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A03095" w:rsidRPr="006C6E40" w14:paraId="341A10A7" w14:textId="77777777" w:rsidTr="00F85601">
        <w:trPr>
          <w:trHeight w:val="851"/>
        </w:trPr>
        <w:tc>
          <w:tcPr>
            <w:tcW w:w="976" w:type="dxa"/>
            <w:tcBorders>
              <w:bottom w:val="single" w:sz="12" w:space="0" w:color="auto"/>
            </w:tcBorders>
          </w:tcPr>
          <w:p w14:paraId="44B44F56" w14:textId="1C1F90B1" w:rsidR="00A03095" w:rsidRPr="009654F0" w:rsidRDefault="002B333B" w:rsidP="009654F0">
            <w:pPr>
              <w:suppressLineNumbers/>
              <w:suppressAutoHyphens/>
              <w:rPr>
                <w:kern w:val="22"/>
              </w:rPr>
            </w:pPr>
            <w:r w:rsidRPr="009654F0">
              <w:rPr>
                <w:noProof/>
                <w:kern w:val="22"/>
              </w:rPr>
              <w:drawing>
                <wp:anchor distT="0" distB="0" distL="114300" distR="114300" simplePos="0" relativeHeight="251658241" behindDoc="0" locked="0" layoutInCell="1" allowOverlap="1" wp14:anchorId="66FD94DB" wp14:editId="60BF39AF">
                  <wp:simplePos x="0" y="0"/>
                  <wp:positionH relativeFrom="column">
                    <wp:posOffset>365</wp:posOffset>
                  </wp:positionH>
                  <wp:positionV relativeFrom="page">
                    <wp:posOffset>-122</wp:posOffset>
                  </wp:positionV>
                  <wp:extent cx="476250" cy="402590"/>
                  <wp:effectExtent l="0" t="0" r="0" b="0"/>
                  <wp:wrapNone/>
                  <wp:docPr id="6" name="Picture 6"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41" w:type="dxa"/>
            <w:tcBorders>
              <w:bottom w:val="single" w:sz="12" w:space="0" w:color="auto"/>
            </w:tcBorders>
            <w:shd w:val="clear" w:color="auto" w:fill="auto"/>
            <w:tcFitText/>
          </w:tcPr>
          <w:p w14:paraId="54547C38" w14:textId="22FE4CA3" w:rsidR="00A03095" w:rsidRPr="009654F0" w:rsidRDefault="00A03095" w:rsidP="009654F0">
            <w:pPr>
              <w:suppressLineNumbers/>
              <w:suppressAutoHyphens/>
              <w:rPr>
                <w:kern w:val="22"/>
              </w:rPr>
            </w:pPr>
            <w:r w:rsidRPr="009654F0">
              <w:rPr>
                <w:noProof/>
              </w:rPr>
              <w:drawing>
                <wp:anchor distT="0" distB="0" distL="114300" distR="114300" simplePos="0" relativeHeight="251658240" behindDoc="0" locked="0" layoutInCell="1" allowOverlap="1" wp14:anchorId="45D37B4A" wp14:editId="07B18733">
                  <wp:simplePos x="0" y="0"/>
                  <wp:positionH relativeFrom="column">
                    <wp:posOffset>-176140</wp:posOffset>
                  </wp:positionH>
                  <wp:positionV relativeFrom="page">
                    <wp:posOffset>-77943</wp:posOffset>
                  </wp:positionV>
                  <wp:extent cx="941011" cy="5933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482E525A" w14:textId="77777777" w:rsidR="00A03095" w:rsidRPr="009654F0" w:rsidRDefault="00A03095" w:rsidP="009654F0">
            <w:pPr>
              <w:suppressLineNumbers/>
              <w:suppressAutoHyphens/>
              <w:jc w:val="right"/>
              <w:rPr>
                <w:rFonts w:ascii="Arial" w:hAnsi="Arial" w:cs="Arial"/>
                <w:b/>
                <w:kern w:val="22"/>
                <w:sz w:val="32"/>
                <w:szCs w:val="32"/>
              </w:rPr>
            </w:pPr>
            <w:r w:rsidRPr="009654F0">
              <w:rPr>
                <w:rFonts w:ascii="Arial" w:hAnsi="Arial" w:cs="Arial"/>
                <w:b/>
                <w:kern w:val="22"/>
                <w:sz w:val="32"/>
                <w:szCs w:val="32"/>
              </w:rPr>
              <w:t>CBD</w:t>
            </w:r>
          </w:p>
        </w:tc>
      </w:tr>
    </w:tbl>
    <w:tbl>
      <w:tblPr>
        <w:tblStyle w:val="TableGrid"/>
        <w:tblW w:w="102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5465"/>
      </w:tblGrid>
      <w:tr w:rsidR="00C9161D" w:rsidRPr="006C6E40" w14:paraId="64C5FB06" w14:textId="77777777" w:rsidTr="00A03095">
        <w:tc>
          <w:tcPr>
            <w:tcW w:w="4776" w:type="dxa"/>
            <w:tcBorders>
              <w:top w:val="single" w:sz="12" w:space="0" w:color="auto"/>
              <w:bottom w:val="single" w:sz="36" w:space="0" w:color="auto"/>
            </w:tcBorders>
            <w:vAlign w:val="center"/>
          </w:tcPr>
          <w:p w14:paraId="43903A81" w14:textId="339182AB" w:rsidR="00C9161D" w:rsidRPr="006C6E40" w:rsidRDefault="00C9161D" w:rsidP="006C6E40">
            <w:pPr>
              <w:suppressLineNumbers/>
              <w:suppressAutoHyphens/>
              <w:adjustRightInd w:val="0"/>
              <w:snapToGrid w:val="0"/>
              <w:rPr>
                <w:kern w:val="22"/>
              </w:rPr>
            </w:pPr>
            <w:r w:rsidRPr="009654F0">
              <w:rPr>
                <w:noProof/>
                <w:kern w:val="22"/>
              </w:rPr>
              <w:drawing>
                <wp:inline distT="0" distB="0" distL="0" distR="0" wp14:anchorId="00275DD0" wp14:editId="0146B5C1">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5465" w:type="dxa"/>
            <w:tcBorders>
              <w:top w:val="single" w:sz="12" w:space="0" w:color="auto"/>
              <w:bottom w:val="single" w:sz="36" w:space="0" w:color="auto"/>
            </w:tcBorders>
          </w:tcPr>
          <w:p w14:paraId="0F21401B" w14:textId="77777777" w:rsidR="00C9161D" w:rsidRPr="002D21DA" w:rsidRDefault="00C9161D" w:rsidP="00332F88">
            <w:pPr>
              <w:suppressLineNumbers/>
              <w:suppressAutoHyphens/>
              <w:adjustRightInd w:val="0"/>
              <w:snapToGrid w:val="0"/>
              <w:ind w:left="2809"/>
              <w:jc w:val="left"/>
              <w:rPr>
                <w:kern w:val="22"/>
                <w:szCs w:val="22"/>
              </w:rPr>
            </w:pPr>
            <w:r w:rsidRPr="006C6E40">
              <w:rPr>
                <w:kern w:val="22"/>
                <w:szCs w:val="22"/>
              </w:rPr>
              <w:t>Distr.</w:t>
            </w:r>
          </w:p>
          <w:p w14:paraId="09A50C1A" w14:textId="77777777" w:rsidR="00C9161D" w:rsidRPr="006C6E40" w:rsidRDefault="00595C7C">
            <w:pPr>
              <w:suppressLineNumbers/>
              <w:suppressAutoHyphens/>
              <w:adjustRightInd w:val="0"/>
              <w:snapToGrid w:val="0"/>
              <w:ind w:left="2809"/>
              <w:jc w:val="left"/>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6F4227" w:rsidRPr="006C6E40">
                  <w:rPr>
                    <w:kern w:val="22"/>
                    <w:szCs w:val="22"/>
                  </w:rPr>
                  <w:t>GENERAL</w:t>
                </w:r>
              </w:sdtContent>
            </w:sdt>
          </w:p>
          <w:p w14:paraId="1BCDEF14" w14:textId="77777777" w:rsidR="00C9161D" w:rsidRPr="006C6E40" w:rsidRDefault="00C9161D">
            <w:pPr>
              <w:suppressLineNumbers/>
              <w:suppressAutoHyphens/>
              <w:adjustRightInd w:val="0"/>
              <w:snapToGrid w:val="0"/>
              <w:ind w:left="2809"/>
              <w:jc w:val="left"/>
              <w:rPr>
                <w:kern w:val="22"/>
                <w:szCs w:val="22"/>
              </w:rPr>
            </w:pPr>
          </w:p>
          <w:p w14:paraId="46599D7E" w14:textId="6DE3FBFC" w:rsidR="00C9161D" w:rsidRPr="006C6E40" w:rsidRDefault="00595C7C">
            <w:pPr>
              <w:suppressLineNumbers/>
              <w:suppressAutoHyphens/>
              <w:adjustRightInd w:val="0"/>
              <w:snapToGrid w:val="0"/>
              <w:ind w:left="2809"/>
              <w:jc w:val="left"/>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9F14BF" w:rsidRPr="006C6E40">
                  <w:rPr>
                    <w:kern w:val="22"/>
                  </w:rPr>
                  <w:t>CBD/SBI/3/5/Add.1</w:t>
                </w:r>
              </w:sdtContent>
            </w:sdt>
          </w:p>
          <w:p w14:paraId="76FBD2B2" w14:textId="783C6C8A" w:rsidR="00C9161D" w:rsidRPr="006C6E40" w:rsidRDefault="00595C7C">
            <w:pPr>
              <w:suppressLineNumbers/>
              <w:suppressAutoHyphens/>
              <w:adjustRightInd w:val="0"/>
              <w:snapToGrid w:val="0"/>
              <w:ind w:left="2809"/>
              <w:jc w:val="left"/>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20-06-08T00:00:00Z">
                  <w:dateFormat w:val="d MMMM yyyy"/>
                  <w:lid w:val="en-US"/>
                  <w:storeMappedDataAs w:val="dateTime"/>
                  <w:calendar w:val="gregorian"/>
                </w:date>
              </w:sdtPr>
              <w:sdtEndPr/>
              <w:sdtContent>
                <w:r w:rsidR="00FA3085" w:rsidRPr="006C6E40">
                  <w:rPr>
                    <w:kern w:val="22"/>
                    <w:szCs w:val="22"/>
                  </w:rPr>
                  <w:t>8 June 20</w:t>
                </w:r>
                <w:r w:rsidR="00D379F8" w:rsidRPr="006C6E40">
                  <w:rPr>
                    <w:kern w:val="22"/>
                    <w:szCs w:val="22"/>
                  </w:rPr>
                  <w:t>20</w:t>
                </w:r>
              </w:sdtContent>
            </w:sdt>
          </w:p>
          <w:p w14:paraId="35CEF465" w14:textId="77777777" w:rsidR="00C9161D" w:rsidRPr="006C6E40" w:rsidRDefault="00C9161D">
            <w:pPr>
              <w:suppressLineNumbers/>
              <w:suppressAutoHyphens/>
              <w:adjustRightInd w:val="0"/>
              <w:snapToGrid w:val="0"/>
              <w:ind w:left="2809"/>
              <w:jc w:val="left"/>
              <w:rPr>
                <w:kern w:val="22"/>
                <w:szCs w:val="22"/>
              </w:rPr>
            </w:pPr>
          </w:p>
          <w:p w14:paraId="5F8298BC" w14:textId="5F848C59" w:rsidR="00C9161D" w:rsidRPr="006C6E40" w:rsidRDefault="00C21F62">
            <w:pPr>
              <w:suppressLineNumbers/>
              <w:suppressAutoHyphens/>
              <w:adjustRightInd w:val="0"/>
              <w:snapToGrid w:val="0"/>
              <w:ind w:left="2809"/>
              <w:jc w:val="left"/>
              <w:rPr>
                <w:kern w:val="22"/>
                <w:szCs w:val="22"/>
              </w:rPr>
            </w:pPr>
            <w:r w:rsidRPr="006C6E40">
              <w:rPr>
                <w:kern w:val="22"/>
                <w:szCs w:val="22"/>
              </w:rPr>
              <w:t xml:space="preserve">ORIGINAL: </w:t>
            </w:r>
            <w:r w:rsidR="00C9161D" w:rsidRPr="006C6E40">
              <w:rPr>
                <w:kern w:val="22"/>
                <w:szCs w:val="22"/>
              </w:rPr>
              <w:t>ENGLISH</w:t>
            </w:r>
            <w:r w:rsidR="00014FAD" w:rsidRPr="006C6E40">
              <w:rPr>
                <w:kern w:val="22"/>
                <w:szCs w:val="22"/>
              </w:rPr>
              <w:t xml:space="preserve"> </w:t>
            </w:r>
          </w:p>
          <w:p w14:paraId="302A6087" w14:textId="77777777" w:rsidR="00C9161D" w:rsidRPr="006C6E40" w:rsidRDefault="00C9161D">
            <w:pPr>
              <w:suppressLineNumbers/>
              <w:suppressAutoHyphens/>
              <w:adjustRightInd w:val="0"/>
              <w:snapToGrid w:val="0"/>
              <w:jc w:val="left"/>
              <w:rPr>
                <w:kern w:val="22"/>
              </w:rPr>
            </w:pPr>
          </w:p>
        </w:tc>
      </w:tr>
    </w:tbl>
    <w:p w14:paraId="4BE73B85" w14:textId="077C94FE" w:rsidR="00CF4B58" w:rsidRPr="006C6E40" w:rsidRDefault="00CF4B58" w:rsidP="006C6E40">
      <w:pPr>
        <w:pStyle w:val="meetingname"/>
        <w:suppressLineNumbers/>
        <w:suppressAutoHyphens/>
        <w:ind w:left="0" w:right="4392" w:firstLine="0"/>
        <w:rPr>
          <w:kern w:val="22"/>
        </w:rPr>
      </w:pPr>
      <w:bookmarkStart w:id="0" w:name="Meeting"/>
      <w:bookmarkStart w:id="1" w:name="_Hlk23262499"/>
      <w:r w:rsidRPr="006C6E40">
        <w:rPr>
          <w:kern w:val="22"/>
        </w:rPr>
        <w:t>SUBSIDIARY BODY ON IMPLEMENTATION</w:t>
      </w:r>
      <w:bookmarkEnd w:id="0"/>
    </w:p>
    <w:p w14:paraId="00E3452C" w14:textId="77777777" w:rsidR="00CF4B58" w:rsidRPr="006C6E40" w:rsidRDefault="00CF4B58">
      <w:pPr>
        <w:suppressLineNumbers/>
        <w:suppressAutoHyphens/>
        <w:rPr>
          <w:snapToGrid w:val="0"/>
          <w:kern w:val="22"/>
          <w:szCs w:val="22"/>
          <w:lang w:eastAsia="nb-NO"/>
        </w:rPr>
      </w:pPr>
      <w:r w:rsidRPr="006C6E40">
        <w:rPr>
          <w:snapToGrid w:val="0"/>
          <w:kern w:val="22"/>
          <w:szCs w:val="22"/>
          <w:lang w:eastAsia="nb-NO"/>
        </w:rPr>
        <w:t>Third meeting</w:t>
      </w:r>
    </w:p>
    <w:p w14:paraId="29E15305" w14:textId="7AE59481" w:rsidR="00CF4B58" w:rsidRPr="006C6E40" w:rsidRDefault="0016125A">
      <w:pPr>
        <w:suppressLineNumbers/>
        <w:suppressAutoHyphens/>
        <w:rPr>
          <w:snapToGrid w:val="0"/>
          <w:kern w:val="22"/>
          <w:szCs w:val="22"/>
          <w:lang w:eastAsia="nb-NO"/>
        </w:rPr>
      </w:pPr>
      <w:r w:rsidRPr="006C6E40">
        <w:rPr>
          <w:snapToGrid w:val="0"/>
          <w:kern w:val="22"/>
          <w:szCs w:val="22"/>
          <w:lang w:eastAsia="nb-NO"/>
        </w:rPr>
        <w:t>Quebec City (to be confirmed)</w:t>
      </w:r>
      <w:r w:rsidR="00CF4B58" w:rsidRPr="006C6E40">
        <w:rPr>
          <w:snapToGrid w:val="0"/>
          <w:kern w:val="22"/>
          <w:szCs w:val="22"/>
          <w:lang w:eastAsia="nb-NO"/>
        </w:rPr>
        <w:t xml:space="preserve">, Canada, </w:t>
      </w:r>
      <w:r w:rsidRPr="006C6E40">
        <w:rPr>
          <w:snapToGrid w:val="0"/>
          <w:kern w:val="22"/>
          <w:szCs w:val="22"/>
          <w:lang w:eastAsia="nb-NO"/>
        </w:rPr>
        <w:t>9-14 November</w:t>
      </w:r>
      <w:r w:rsidR="00CF4B58" w:rsidRPr="006C6E40">
        <w:rPr>
          <w:snapToGrid w:val="0"/>
          <w:kern w:val="22"/>
          <w:szCs w:val="22"/>
          <w:lang w:eastAsia="nb-NO"/>
        </w:rPr>
        <w:t xml:space="preserve"> 2020</w:t>
      </w:r>
    </w:p>
    <w:p w14:paraId="1A43B633" w14:textId="08038E2F" w:rsidR="001E433D" w:rsidRPr="009654F0" w:rsidRDefault="00CF4B58">
      <w:pPr>
        <w:pStyle w:val="Header"/>
        <w:suppressLineNumbers/>
        <w:tabs>
          <w:tab w:val="clear" w:pos="4320"/>
          <w:tab w:val="clear" w:pos="8640"/>
        </w:tabs>
        <w:suppressAutoHyphens/>
        <w:rPr>
          <w:bCs/>
          <w:iCs/>
          <w:kern w:val="22"/>
        </w:rPr>
      </w:pPr>
      <w:r w:rsidRPr="006C6E40">
        <w:rPr>
          <w:snapToGrid w:val="0"/>
          <w:kern w:val="22"/>
          <w:szCs w:val="22"/>
        </w:rPr>
        <w:t>Item 6 of the provisional agenda</w:t>
      </w:r>
      <w:bookmarkStart w:id="2" w:name="_Hlk35353706"/>
      <w:r w:rsidRPr="006C6E40">
        <w:rPr>
          <w:rStyle w:val="FootnoteReference"/>
          <w:snapToGrid w:val="0"/>
          <w:kern w:val="22"/>
          <w:szCs w:val="22"/>
          <w:vertAlign w:val="baseline"/>
        </w:rPr>
        <w:footnoteReference w:customMarkFollows="1" w:id="2"/>
        <w:t>*</w:t>
      </w:r>
      <w:bookmarkEnd w:id="1"/>
      <w:bookmarkEnd w:id="2"/>
    </w:p>
    <w:p w14:paraId="12DF0046" w14:textId="57D1B24B" w:rsidR="006726E9" w:rsidRPr="009654F0" w:rsidRDefault="00246F3E">
      <w:pPr>
        <w:pStyle w:val="Para1"/>
        <w:keepNext/>
        <w:numPr>
          <w:ilvl w:val="0"/>
          <w:numId w:val="0"/>
        </w:numPr>
        <w:suppressLineNumbers/>
        <w:suppressAutoHyphens/>
        <w:spacing w:before="240"/>
        <w:jc w:val="center"/>
        <w:rPr>
          <w:rFonts w:ascii="Times New Roman Bold" w:hAnsi="Times New Roman Bold"/>
          <w:b/>
          <w:bCs/>
          <w:caps/>
          <w:kern w:val="22"/>
        </w:rPr>
      </w:pPr>
      <w:bookmarkStart w:id="3" w:name="_GoBack"/>
      <w:r w:rsidRPr="009654F0">
        <w:rPr>
          <w:rFonts w:ascii="Times New Roman Bold" w:hAnsi="Times New Roman Bold"/>
          <w:b/>
          <w:bCs/>
          <w:caps/>
          <w:kern w:val="22"/>
        </w:rPr>
        <w:t>Evaluation and review of the strategy for resource mobilization and Aichi Biodiversity Target 20</w:t>
      </w:r>
    </w:p>
    <w:p w14:paraId="17D52D26" w14:textId="1CD4F67F" w:rsidR="00187730" w:rsidRPr="009654F0" w:rsidRDefault="001874FC">
      <w:pPr>
        <w:pStyle w:val="Para1"/>
        <w:keepNext/>
        <w:numPr>
          <w:ilvl w:val="0"/>
          <w:numId w:val="0"/>
        </w:numPr>
        <w:suppressLineNumbers/>
        <w:suppressAutoHyphens/>
        <w:jc w:val="center"/>
        <w:rPr>
          <w:rFonts w:ascii="Times New Roman Bold" w:hAnsi="Times New Roman Bold"/>
          <w:bCs/>
          <w:caps/>
          <w:spacing w:val="-2"/>
          <w:kern w:val="22"/>
        </w:rPr>
      </w:pPr>
      <w:r w:rsidRPr="009654F0">
        <w:rPr>
          <w:rFonts w:ascii="Times New Roman Bold" w:hAnsi="Times New Roman Bold"/>
          <w:b/>
          <w:bCs/>
          <w:caps/>
          <w:spacing w:val="-2"/>
          <w:kern w:val="22"/>
        </w:rPr>
        <w:t xml:space="preserve">Summary of </w:t>
      </w:r>
      <w:r w:rsidR="00DC5E81">
        <w:rPr>
          <w:rFonts w:ascii="Times New Roman Bold" w:hAnsi="Times New Roman Bold"/>
          <w:b/>
          <w:bCs/>
          <w:caps/>
          <w:spacing w:val="-2"/>
          <w:kern w:val="22"/>
        </w:rPr>
        <w:t xml:space="preserve">THE </w:t>
      </w:r>
      <w:r w:rsidRPr="009654F0">
        <w:rPr>
          <w:rFonts w:ascii="Times New Roman Bold" w:hAnsi="Times New Roman Bold"/>
          <w:b/>
          <w:bCs/>
          <w:caps/>
          <w:spacing w:val="-2"/>
          <w:kern w:val="22"/>
        </w:rPr>
        <w:t>first report of the panel of experts on resource mobilization</w:t>
      </w:r>
    </w:p>
    <w:bookmarkEnd w:id="3"/>
    <w:p w14:paraId="0CD310A3" w14:textId="04925BD9" w:rsidR="00531771" w:rsidRPr="009654F0" w:rsidRDefault="003205BD" w:rsidP="009654F0">
      <w:pPr>
        <w:pStyle w:val="Heading1"/>
        <w:suppressLineNumbers/>
        <w:tabs>
          <w:tab w:val="clear" w:pos="720"/>
          <w:tab w:val="left" w:pos="426"/>
        </w:tabs>
        <w:suppressAutoHyphens/>
        <w:spacing w:before="120"/>
        <w:rPr>
          <w:kern w:val="22"/>
          <w:lang w:eastAsia="ja-JP"/>
        </w:rPr>
      </w:pPr>
      <w:r w:rsidRPr="009654F0">
        <w:rPr>
          <w:kern w:val="22"/>
        </w:rPr>
        <w:t>I.</w:t>
      </w:r>
      <w:r w:rsidRPr="009654F0">
        <w:rPr>
          <w:kern w:val="22"/>
        </w:rPr>
        <w:tab/>
      </w:r>
      <w:r w:rsidR="00791070" w:rsidRPr="009654F0">
        <w:rPr>
          <w:kern w:val="22"/>
        </w:rPr>
        <w:t>Introduction</w:t>
      </w:r>
    </w:p>
    <w:p w14:paraId="0EF5679F" w14:textId="22B1BF84" w:rsidR="00AF46BC" w:rsidRPr="009654F0" w:rsidRDefault="00324BA1">
      <w:pPr>
        <w:pStyle w:val="Para1"/>
        <w:suppressLineNumbers/>
        <w:tabs>
          <w:tab w:val="clear" w:pos="360"/>
        </w:tabs>
        <w:suppressAutoHyphens/>
        <w:rPr>
          <w:kern w:val="22"/>
        </w:rPr>
      </w:pPr>
      <w:r w:rsidRPr="009654F0">
        <w:rPr>
          <w:kern w:val="22"/>
        </w:rPr>
        <w:t xml:space="preserve">At </w:t>
      </w:r>
      <w:r w:rsidR="00F16155" w:rsidRPr="009654F0">
        <w:rPr>
          <w:kern w:val="22"/>
        </w:rPr>
        <w:t>the fourteenth meeting of the Conference of t</w:t>
      </w:r>
      <w:r w:rsidR="00E173E7" w:rsidRPr="009654F0">
        <w:rPr>
          <w:kern w:val="22"/>
        </w:rPr>
        <w:t>he Parties</w:t>
      </w:r>
      <w:r w:rsidRPr="009654F0">
        <w:rPr>
          <w:kern w:val="22"/>
        </w:rPr>
        <w:t xml:space="preserve"> (Sharm </w:t>
      </w:r>
      <w:r w:rsidR="005D3F65" w:rsidRPr="009654F0">
        <w:rPr>
          <w:kern w:val="22"/>
        </w:rPr>
        <w:t>E</w:t>
      </w:r>
      <w:r w:rsidRPr="009654F0">
        <w:rPr>
          <w:kern w:val="22"/>
        </w:rPr>
        <w:t>l</w:t>
      </w:r>
      <w:r w:rsidR="004D2C0D" w:rsidRPr="009654F0">
        <w:rPr>
          <w:kern w:val="22"/>
        </w:rPr>
        <w:t>-</w:t>
      </w:r>
      <w:r w:rsidRPr="009654F0">
        <w:rPr>
          <w:kern w:val="22"/>
        </w:rPr>
        <w:t>Sheikh</w:t>
      </w:r>
      <w:r w:rsidR="004D2C0D" w:rsidRPr="009654F0">
        <w:rPr>
          <w:kern w:val="22"/>
        </w:rPr>
        <w:t>, Egypt</w:t>
      </w:r>
      <w:r w:rsidRPr="009654F0">
        <w:rPr>
          <w:kern w:val="22"/>
        </w:rPr>
        <w:t xml:space="preserve">), Parties affirmed that resource mobilization </w:t>
      </w:r>
      <w:r w:rsidR="00A54AE2" w:rsidRPr="009654F0">
        <w:rPr>
          <w:kern w:val="22"/>
        </w:rPr>
        <w:t>would</w:t>
      </w:r>
      <w:r w:rsidRPr="009654F0">
        <w:rPr>
          <w:kern w:val="22"/>
        </w:rPr>
        <w:t xml:space="preserve"> be an integral part of the post-2020 global biodiversity framework and decided to initiate preparations of this resource mobilization component at an early stage and in full coherence and coordination with the overall process of developing the post-2020 framework (</w:t>
      </w:r>
      <w:r w:rsidR="002470F5" w:rsidRPr="009654F0">
        <w:rPr>
          <w:kern w:val="22"/>
        </w:rPr>
        <w:t xml:space="preserve">decision </w:t>
      </w:r>
      <w:hyperlink r:id="rId15" w:history="1">
        <w:r w:rsidR="002470F5" w:rsidRPr="009654F0">
          <w:rPr>
            <w:rStyle w:val="Hyperlink"/>
            <w:kern w:val="22"/>
            <w:sz w:val="22"/>
          </w:rPr>
          <w:t>14/22</w:t>
        </w:r>
      </w:hyperlink>
      <w:r w:rsidR="002470F5" w:rsidRPr="009654F0">
        <w:rPr>
          <w:kern w:val="22"/>
        </w:rPr>
        <w:t xml:space="preserve">, </w:t>
      </w:r>
      <w:r w:rsidRPr="009654F0">
        <w:rPr>
          <w:kern w:val="22"/>
        </w:rPr>
        <w:t>para</w:t>
      </w:r>
      <w:r w:rsidR="00E173E7" w:rsidRPr="009654F0">
        <w:rPr>
          <w:kern w:val="22"/>
        </w:rPr>
        <w:t>.</w:t>
      </w:r>
      <w:r w:rsidRPr="009654F0">
        <w:rPr>
          <w:kern w:val="22"/>
        </w:rPr>
        <w:t xml:space="preserve"> 14). </w:t>
      </w:r>
      <w:r w:rsidRPr="009654F0">
        <w:rPr>
          <w:kern w:val="22"/>
          <w:szCs w:val="22"/>
        </w:rPr>
        <w:t xml:space="preserve">In the same decision, </w:t>
      </w:r>
      <w:r w:rsidR="00E173E7" w:rsidRPr="009654F0">
        <w:rPr>
          <w:kern w:val="22"/>
          <w:szCs w:val="22"/>
        </w:rPr>
        <w:t>the Conference of the Parties</w:t>
      </w:r>
      <w:r w:rsidRPr="009654F0">
        <w:rPr>
          <w:kern w:val="22"/>
          <w:szCs w:val="22"/>
        </w:rPr>
        <w:t xml:space="preserve"> requested the Executive Secretary to contract a </w:t>
      </w:r>
      <w:r w:rsidR="00D94884" w:rsidRPr="009654F0">
        <w:rPr>
          <w:kern w:val="22"/>
          <w:szCs w:val="22"/>
        </w:rPr>
        <w:t>p</w:t>
      </w:r>
      <w:r w:rsidRPr="009654F0">
        <w:rPr>
          <w:kern w:val="22"/>
          <w:szCs w:val="22"/>
        </w:rPr>
        <w:t xml:space="preserve">anel of </w:t>
      </w:r>
      <w:r w:rsidR="00D94884" w:rsidRPr="009654F0">
        <w:rPr>
          <w:kern w:val="22"/>
          <w:szCs w:val="22"/>
        </w:rPr>
        <w:t>e</w:t>
      </w:r>
      <w:r w:rsidRPr="009654F0">
        <w:rPr>
          <w:kern w:val="22"/>
          <w:szCs w:val="22"/>
        </w:rPr>
        <w:t xml:space="preserve">xperts to prepare pertinent analyses and reports for the consideration of the Open-ended Working Group </w:t>
      </w:r>
      <w:r w:rsidR="00F97AFE" w:rsidRPr="009654F0">
        <w:rPr>
          <w:kern w:val="22"/>
          <w:szCs w:val="22"/>
        </w:rPr>
        <w:t>on the Post-2020 Global Biodiversity Framework</w:t>
      </w:r>
      <w:r w:rsidRPr="009654F0">
        <w:rPr>
          <w:kern w:val="22"/>
          <w:szCs w:val="22"/>
        </w:rPr>
        <w:t>, and of the Conference of the Parties at its fifteenth meeting (</w:t>
      </w:r>
      <w:r w:rsidR="001A2EF9" w:rsidRPr="009654F0">
        <w:rPr>
          <w:kern w:val="22"/>
          <w:szCs w:val="22"/>
        </w:rPr>
        <w:t>d</w:t>
      </w:r>
      <w:r w:rsidRPr="009654F0">
        <w:rPr>
          <w:kern w:val="22"/>
          <w:szCs w:val="22"/>
        </w:rPr>
        <w:t>ecision 14/22, para</w:t>
      </w:r>
      <w:r w:rsidR="00F97AFE" w:rsidRPr="009654F0">
        <w:rPr>
          <w:kern w:val="22"/>
          <w:szCs w:val="22"/>
        </w:rPr>
        <w:t>.</w:t>
      </w:r>
      <w:r w:rsidRPr="009654F0">
        <w:rPr>
          <w:kern w:val="22"/>
          <w:szCs w:val="22"/>
        </w:rPr>
        <w:t xml:space="preserve"> 15).</w:t>
      </w:r>
    </w:p>
    <w:p w14:paraId="4CEF868C" w14:textId="37209CA5" w:rsidR="00324BA1" w:rsidRPr="009654F0" w:rsidRDefault="00324BA1">
      <w:pPr>
        <w:pStyle w:val="Para1"/>
        <w:suppressLineNumbers/>
        <w:tabs>
          <w:tab w:val="clear" w:pos="360"/>
        </w:tabs>
        <w:suppressAutoHyphens/>
        <w:rPr>
          <w:kern w:val="22"/>
        </w:rPr>
      </w:pPr>
      <w:r w:rsidRPr="009654F0">
        <w:rPr>
          <w:kern w:val="22"/>
          <w:szCs w:val="22"/>
        </w:rPr>
        <w:t>Th</w:t>
      </w:r>
      <w:r w:rsidR="001A2EF9" w:rsidRPr="009654F0">
        <w:rPr>
          <w:kern w:val="22"/>
          <w:szCs w:val="22"/>
        </w:rPr>
        <w:t xml:space="preserve">e present </w:t>
      </w:r>
      <w:r w:rsidRPr="009654F0">
        <w:rPr>
          <w:kern w:val="22"/>
          <w:szCs w:val="22"/>
        </w:rPr>
        <w:t>document</w:t>
      </w:r>
      <w:r w:rsidR="0012507C" w:rsidRPr="009654F0">
        <w:rPr>
          <w:kern w:val="22"/>
          <w:szCs w:val="22"/>
        </w:rPr>
        <w:t xml:space="preserve"> provides a summary of the </w:t>
      </w:r>
      <w:r w:rsidR="00F303D7" w:rsidRPr="009654F0">
        <w:rPr>
          <w:kern w:val="22"/>
          <w:szCs w:val="22"/>
        </w:rPr>
        <w:t xml:space="preserve">final version of </w:t>
      </w:r>
      <w:r w:rsidRPr="009654F0">
        <w:rPr>
          <w:kern w:val="22"/>
          <w:szCs w:val="22"/>
        </w:rPr>
        <w:t xml:space="preserve">the </w:t>
      </w:r>
      <w:r w:rsidR="00E11FA5" w:rsidRPr="009654F0">
        <w:rPr>
          <w:kern w:val="22"/>
          <w:szCs w:val="22"/>
        </w:rPr>
        <w:t>f</w:t>
      </w:r>
      <w:r w:rsidR="00F303D7" w:rsidRPr="009654F0">
        <w:rPr>
          <w:kern w:val="22"/>
          <w:szCs w:val="22"/>
        </w:rPr>
        <w:t xml:space="preserve">irst </w:t>
      </w:r>
      <w:r w:rsidR="00E11FA5" w:rsidRPr="009654F0">
        <w:rPr>
          <w:kern w:val="22"/>
          <w:szCs w:val="22"/>
        </w:rPr>
        <w:t>r</w:t>
      </w:r>
      <w:r w:rsidRPr="009654F0">
        <w:rPr>
          <w:kern w:val="22"/>
          <w:szCs w:val="22"/>
        </w:rPr>
        <w:t>eport</w:t>
      </w:r>
      <w:r w:rsidR="0012507C" w:rsidRPr="009654F0">
        <w:rPr>
          <w:rStyle w:val="FootnoteReference"/>
          <w:kern w:val="22"/>
          <w:szCs w:val="22"/>
        </w:rPr>
        <w:footnoteReference w:id="3"/>
      </w:r>
      <w:r w:rsidRPr="009654F0">
        <w:rPr>
          <w:kern w:val="22"/>
          <w:szCs w:val="22"/>
        </w:rPr>
        <w:t xml:space="preserve"> </w:t>
      </w:r>
      <w:r w:rsidR="00F303D7" w:rsidRPr="009654F0">
        <w:rPr>
          <w:kern w:val="22"/>
          <w:szCs w:val="22"/>
        </w:rPr>
        <w:t>of</w:t>
      </w:r>
      <w:r w:rsidRPr="009654F0">
        <w:rPr>
          <w:kern w:val="22"/>
          <w:szCs w:val="22"/>
        </w:rPr>
        <w:t xml:space="preserve"> the </w:t>
      </w:r>
      <w:r w:rsidR="0012507C" w:rsidRPr="009654F0">
        <w:rPr>
          <w:kern w:val="22"/>
          <w:szCs w:val="22"/>
        </w:rPr>
        <w:t>P</w:t>
      </w:r>
      <w:r w:rsidRPr="009654F0">
        <w:rPr>
          <w:kern w:val="22"/>
          <w:szCs w:val="22"/>
        </w:rPr>
        <w:t xml:space="preserve">anel of </w:t>
      </w:r>
      <w:r w:rsidR="0012507C" w:rsidRPr="009654F0">
        <w:rPr>
          <w:kern w:val="22"/>
          <w:szCs w:val="22"/>
        </w:rPr>
        <w:t>E</w:t>
      </w:r>
      <w:r w:rsidRPr="009654F0">
        <w:rPr>
          <w:kern w:val="22"/>
          <w:szCs w:val="22"/>
        </w:rPr>
        <w:t>xperts in fulfilment of its mandate, and responds to the requests in para</w:t>
      </w:r>
      <w:r w:rsidR="00D01B20" w:rsidRPr="009654F0">
        <w:rPr>
          <w:kern w:val="22"/>
          <w:szCs w:val="22"/>
        </w:rPr>
        <w:t>graphs</w:t>
      </w:r>
      <w:r w:rsidRPr="009654F0">
        <w:rPr>
          <w:kern w:val="22"/>
          <w:szCs w:val="22"/>
        </w:rPr>
        <w:t xml:space="preserve"> 15</w:t>
      </w:r>
      <w:r w:rsidR="008F0336" w:rsidRPr="009654F0">
        <w:rPr>
          <w:kern w:val="22"/>
          <w:szCs w:val="22"/>
        </w:rPr>
        <w:t> </w:t>
      </w:r>
      <w:r w:rsidRPr="009654F0">
        <w:rPr>
          <w:kern w:val="22"/>
          <w:szCs w:val="22"/>
        </w:rPr>
        <w:t>(a) and 15</w:t>
      </w:r>
      <w:r w:rsidR="008F0336" w:rsidRPr="009654F0">
        <w:rPr>
          <w:kern w:val="22"/>
          <w:szCs w:val="22"/>
        </w:rPr>
        <w:t> </w:t>
      </w:r>
      <w:r w:rsidRPr="009654F0">
        <w:rPr>
          <w:kern w:val="22"/>
          <w:szCs w:val="22"/>
        </w:rPr>
        <w:t xml:space="preserve">(b) of the </w:t>
      </w:r>
      <w:r w:rsidR="00D01B20" w:rsidRPr="009654F0">
        <w:rPr>
          <w:kern w:val="22"/>
          <w:szCs w:val="22"/>
        </w:rPr>
        <w:t>d</w:t>
      </w:r>
      <w:r w:rsidRPr="009654F0">
        <w:rPr>
          <w:kern w:val="22"/>
          <w:szCs w:val="22"/>
        </w:rPr>
        <w:t>ecision, to:</w:t>
      </w:r>
    </w:p>
    <w:p w14:paraId="35942B6E" w14:textId="180CDD62" w:rsidR="00324BA1" w:rsidRPr="009654F0" w:rsidRDefault="00F97AFE">
      <w:pPr>
        <w:pStyle w:val="ListParagraph"/>
        <w:numPr>
          <w:ilvl w:val="0"/>
          <w:numId w:val="6"/>
        </w:numPr>
        <w:suppressLineNumbers/>
        <w:suppressAutoHyphens/>
        <w:spacing w:before="120" w:after="120"/>
        <w:ind w:left="0" w:firstLine="720"/>
        <w:contextualSpacing w:val="0"/>
        <w:rPr>
          <w:kern w:val="22"/>
          <w:szCs w:val="22"/>
        </w:rPr>
      </w:pPr>
      <w:r w:rsidRPr="009654F0">
        <w:rPr>
          <w:kern w:val="22"/>
          <w:szCs w:val="22"/>
        </w:rPr>
        <w:t>E</w:t>
      </w:r>
      <w:r w:rsidR="00324BA1" w:rsidRPr="009654F0">
        <w:rPr>
          <w:kern w:val="22"/>
          <w:szCs w:val="22"/>
        </w:rPr>
        <w:t xml:space="preserve">valuate the structure, content and effectiveness of the </w:t>
      </w:r>
      <w:r w:rsidR="002B2E58" w:rsidRPr="009654F0">
        <w:rPr>
          <w:kern w:val="22"/>
          <w:szCs w:val="22"/>
        </w:rPr>
        <w:t>strategy for resource mobilization</w:t>
      </w:r>
      <w:r w:rsidR="00324BA1" w:rsidRPr="009654F0">
        <w:rPr>
          <w:kern w:val="22"/>
          <w:szCs w:val="22"/>
        </w:rPr>
        <w:t xml:space="preserve"> indicating as much as possible the gaps in meeting the targets;</w:t>
      </w:r>
    </w:p>
    <w:p w14:paraId="596C4F4F" w14:textId="5D5F23CE" w:rsidR="00324BA1" w:rsidRPr="009654F0" w:rsidRDefault="00F97AFE">
      <w:pPr>
        <w:pStyle w:val="ListParagraph"/>
        <w:numPr>
          <w:ilvl w:val="0"/>
          <w:numId w:val="6"/>
        </w:numPr>
        <w:suppressLineNumbers/>
        <w:suppressAutoHyphens/>
        <w:spacing w:before="120" w:after="120"/>
        <w:ind w:left="0" w:firstLine="720"/>
        <w:contextualSpacing w:val="0"/>
        <w:rPr>
          <w:kern w:val="22"/>
          <w:szCs w:val="22"/>
        </w:rPr>
      </w:pPr>
      <w:r w:rsidRPr="009654F0">
        <w:rPr>
          <w:kern w:val="22"/>
          <w:szCs w:val="22"/>
        </w:rPr>
        <w:t>R</w:t>
      </w:r>
      <w:r w:rsidR="00324BA1" w:rsidRPr="009654F0">
        <w:rPr>
          <w:kern w:val="22"/>
          <w:szCs w:val="22"/>
        </w:rPr>
        <w:t xml:space="preserve">eview the experiences of achieving Aichi Biodiversity Target 20 and implementing the </w:t>
      </w:r>
      <w:r w:rsidR="002B2E58" w:rsidRPr="009654F0">
        <w:rPr>
          <w:kern w:val="22"/>
          <w:szCs w:val="22"/>
        </w:rPr>
        <w:t>strategy for resource mobilization</w:t>
      </w:r>
      <w:r w:rsidR="00324BA1" w:rsidRPr="009654F0">
        <w:rPr>
          <w:kern w:val="22"/>
          <w:szCs w:val="22"/>
        </w:rPr>
        <w:t xml:space="preserve">, and their adequacy, and build on these experiences, as well as those in implementing other relevant multilateral environmental agreements, public and private stakeholder initiatives and those undertaken by indigenous peoples and local communities, to consider the need for appropriate action, based on information provided by Parties through the </w:t>
      </w:r>
      <w:r w:rsidR="002B2E58" w:rsidRPr="009654F0">
        <w:rPr>
          <w:kern w:val="22"/>
          <w:szCs w:val="22"/>
        </w:rPr>
        <w:t>financial reporting framework</w:t>
      </w:r>
      <w:r w:rsidR="00324BA1" w:rsidRPr="009654F0">
        <w:rPr>
          <w:kern w:val="22"/>
          <w:szCs w:val="22"/>
        </w:rPr>
        <w:t>, including their respective identified resource needs, and other relevant sources.</w:t>
      </w:r>
    </w:p>
    <w:p w14:paraId="1D879CDD" w14:textId="168DC6C0" w:rsidR="00246DAD" w:rsidRPr="009654F0" w:rsidRDefault="0041134B">
      <w:pPr>
        <w:pStyle w:val="Para1"/>
        <w:suppressLineNumbers/>
        <w:tabs>
          <w:tab w:val="clear" w:pos="360"/>
        </w:tabs>
        <w:suppressAutoHyphens/>
        <w:rPr>
          <w:kern w:val="22"/>
        </w:rPr>
      </w:pPr>
      <w:r w:rsidRPr="009654F0">
        <w:rPr>
          <w:kern w:val="22"/>
        </w:rPr>
        <w:t xml:space="preserve">In order to </w:t>
      </w:r>
      <w:r w:rsidR="0005032B" w:rsidRPr="009654F0">
        <w:rPr>
          <w:kern w:val="22"/>
        </w:rPr>
        <w:t xml:space="preserve">support </w:t>
      </w:r>
      <w:r w:rsidRPr="009654F0">
        <w:rPr>
          <w:kern w:val="22"/>
        </w:rPr>
        <w:t xml:space="preserve">the work of the </w:t>
      </w:r>
      <w:r w:rsidR="0012507C" w:rsidRPr="009654F0">
        <w:rPr>
          <w:kern w:val="22"/>
        </w:rPr>
        <w:t>Panel</w:t>
      </w:r>
      <w:r w:rsidRPr="009654F0">
        <w:rPr>
          <w:kern w:val="22"/>
        </w:rPr>
        <w:t xml:space="preserve">, </w:t>
      </w:r>
      <w:r w:rsidR="0005032B" w:rsidRPr="009654F0">
        <w:rPr>
          <w:kern w:val="22"/>
        </w:rPr>
        <w:t xml:space="preserve">a call for evidence on resource mobilization was issued by notification </w:t>
      </w:r>
      <w:hyperlink r:id="rId16" w:history="1">
        <w:r w:rsidR="006C0C9E" w:rsidRPr="009654F0">
          <w:rPr>
            <w:rStyle w:val="Hyperlink"/>
            <w:kern w:val="22"/>
            <w:sz w:val="22"/>
          </w:rPr>
          <w:t>2019</w:t>
        </w:r>
        <w:r w:rsidR="00966EB4" w:rsidRPr="009654F0">
          <w:rPr>
            <w:rStyle w:val="Hyperlink"/>
            <w:kern w:val="22"/>
            <w:sz w:val="22"/>
          </w:rPr>
          <w:t>-</w:t>
        </w:r>
        <w:r w:rsidR="006C0C9E" w:rsidRPr="009654F0">
          <w:rPr>
            <w:rStyle w:val="Hyperlink"/>
            <w:kern w:val="22"/>
            <w:sz w:val="22"/>
          </w:rPr>
          <w:t>086</w:t>
        </w:r>
      </w:hyperlink>
      <w:r w:rsidR="006C0C9E" w:rsidRPr="009654F0">
        <w:rPr>
          <w:kern w:val="22"/>
        </w:rPr>
        <w:t xml:space="preserve"> of 8 October </w:t>
      </w:r>
      <w:r w:rsidR="00966EB4" w:rsidRPr="009654F0">
        <w:rPr>
          <w:kern w:val="22"/>
        </w:rPr>
        <w:t>2019</w:t>
      </w:r>
      <w:r w:rsidR="00B56DBE" w:rsidRPr="009654F0">
        <w:rPr>
          <w:kern w:val="22"/>
        </w:rPr>
        <w:t>;</w:t>
      </w:r>
      <w:r w:rsidR="006C0C9E" w:rsidRPr="009654F0">
        <w:rPr>
          <w:kern w:val="22"/>
        </w:rPr>
        <w:t xml:space="preserve"> submissions received are available under</w:t>
      </w:r>
      <w:r w:rsidR="00A273E9" w:rsidRPr="009654F0">
        <w:rPr>
          <w:kern w:val="22"/>
        </w:rPr>
        <w:t xml:space="preserve"> </w:t>
      </w:r>
      <w:hyperlink r:id="rId17" w:history="1">
        <w:r w:rsidR="00D847ED" w:rsidRPr="009654F0">
          <w:rPr>
            <w:rStyle w:val="Hyperlink"/>
            <w:kern w:val="22"/>
            <w:sz w:val="22"/>
            <w:szCs w:val="22"/>
          </w:rPr>
          <w:t>https://www.cbd.int/financial/rm2020.shtml</w:t>
        </w:r>
      </w:hyperlink>
      <w:r w:rsidR="00CE680C" w:rsidRPr="009654F0">
        <w:rPr>
          <w:kern w:val="22"/>
        </w:rPr>
        <w:t>.</w:t>
      </w:r>
      <w:r w:rsidR="00C579F9" w:rsidRPr="009654F0">
        <w:rPr>
          <w:kern w:val="22"/>
        </w:rPr>
        <w:t xml:space="preserve"> </w:t>
      </w:r>
      <w:r w:rsidR="0072389D" w:rsidRPr="009654F0">
        <w:rPr>
          <w:kern w:val="22"/>
        </w:rPr>
        <w:t xml:space="preserve">A list of the sources of evidence drawn on by the panel of experts in preparing this first report, both written and </w:t>
      </w:r>
      <w:r w:rsidR="00FD0E52" w:rsidRPr="009654F0">
        <w:rPr>
          <w:kern w:val="22"/>
        </w:rPr>
        <w:t>through meetings and other oral communications</w:t>
      </w:r>
      <w:r w:rsidR="0072389D" w:rsidRPr="009654F0">
        <w:rPr>
          <w:kern w:val="22"/>
        </w:rPr>
        <w:t>, i</w:t>
      </w:r>
      <w:r w:rsidR="002E7C95" w:rsidRPr="009654F0">
        <w:rPr>
          <w:kern w:val="22"/>
        </w:rPr>
        <w:t>s</w:t>
      </w:r>
      <w:r w:rsidR="0072389D" w:rsidRPr="009654F0">
        <w:rPr>
          <w:kern w:val="22"/>
        </w:rPr>
        <w:t xml:space="preserve"> included </w:t>
      </w:r>
      <w:r w:rsidR="007D5A3D" w:rsidRPr="009654F0">
        <w:rPr>
          <w:kern w:val="22"/>
        </w:rPr>
        <w:t xml:space="preserve">in </w:t>
      </w:r>
      <w:r w:rsidR="00966EB4" w:rsidRPr="009654F0">
        <w:rPr>
          <w:kern w:val="22"/>
        </w:rPr>
        <w:t>a</w:t>
      </w:r>
      <w:r w:rsidR="0072389D" w:rsidRPr="009654F0">
        <w:rPr>
          <w:kern w:val="22"/>
        </w:rPr>
        <w:t xml:space="preserve">nnex </w:t>
      </w:r>
      <w:r w:rsidR="007D5A3D" w:rsidRPr="009654F0">
        <w:rPr>
          <w:kern w:val="22"/>
        </w:rPr>
        <w:t>IV</w:t>
      </w:r>
      <w:r w:rsidR="0012507C" w:rsidRPr="009654F0">
        <w:rPr>
          <w:kern w:val="22"/>
        </w:rPr>
        <w:t xml:space="preserve"> </w:t>
      </w:r>
      <w:r w:rsidR="00966EB4" w:rsidRPr="009654F0">
        <w:rPr>
          <w:kern w:val="22"/>
        </w:rPr>
        <w:t>to</w:t>
      </w:r>
      <w:r w:rsidR="00F86A2E" w:rsidRPr="009654F0">
        <w:rPr>
          <w:kern w:val="22"/>
        </w:rPr>
        <w:t xml:space="preserve"> the accompanying information document</w:t>
      </w:r>
      <w:r w:rsidR="00EA37E9" w:rsidRPr="009654F0">
        <w:rPr>
          <w:kern w:val="22"/>
        </w:rPr>
        <w:t xml:space="preserve"> containing the full report</w:t>
      </w:r>
      <w:r w:rsidR="0072389D" w:rsidRPr="009654F0">
        <w:rPr>
          <w:kern w:val="22"/>
        </w:rPr>
        <w:t>.</w:t>
      </w:r>
    </w:p>
    <w:p w14:paraId="40220C79" w14:textId="580E7FE0" w:rsidR="008E11DA" w:rsidRPr="009654F0" w:rsidRDefault="008E11DA" w:rsidP="009654F0">
      <w:pPr>
        <w:pStyle w:val="Heading1"/>
        <w:suppressLineNumbers/>
        <w:tabs>
          <w:tab w:val="clear" w:pos="720"/>
        </w:tabs>
        <w:suppressAutoHyphens/>
        <w:spacing w:before="120"/>
        <w:ind w:left="1418" w:hanging="567"/>
        <w:jc w:val="left"/>
        <w:rPr>
          <w:kern w:val="22"/>
        </w:rPr>
      </w:pPr>
      <w:r w:rsidRPr="009654F0">
        <w:rPr>
          <w:kern w:val="22"/>
        </w:rPr>
        <w:lastRenderedPageBreak/>
        <w:t>II</w:t>
      </w:r>
      <w:r w:rsidR="003205BD" w:rsidRPr="009654F0">
        <w:rPr>
          <w:kern w:val="22"/>
        </w:rPr>
        <w:t>.</w:t>
      </w:r>
      <w:r w:rsidRPr="009654F0">
        <w:rPr>
          <w:kern w:val="22"/>
        </w:rPr>
        <w:tab/>
      </w:r>
      <w:r w:rsidR="001874FC" w:rsidRPr="009654F0">
        <w:rPr>
          <w:kern w:val="22"/>
        </w:rPr>
        <w:t xml:space="preserve">Assessment of the structure, content and effectiveness of the </w:t>
      </w:r>
      <w:r w:rsidR="002B2E58" w:rsidRPr="009654F0">
        <w:rPr>
          <w:kern w:val="22"/>
        </w:rPr>
        <w:t>strategy for resource mobilization</w:t>
      </w:r>
    </w:p>
    <w:p w14:paraId="4CAF57E5" w14:textId="28DFB282" w:rsidR="00246DAD" w:rsidRPr="009654F0" w:rsidRDefault="00246DAD" w:rsidP="007A23A7">
      <w:pPr>
        <w:pStyle w:val="Para1"/>
        <w:suppressLineNumbers/>
        <w:tabs>
          <w:tab w:val="clear" w:pos="360"/>
        </w:tabs>
        <w:suppressAutoHyphens/>
        <w:rPr>
          <w:kern w:val="22"/>
        </w:rPr>
      </w:pPr>
      <w:r w:rsidRPr="009654F0">
        <w:rPr>
          <w:kern w:val="22"/>
        </w:rPr>
        <w:t xml:space="preserve">The Convention’s </w:t>
      </w:r>
      <w:r w:rsidR="00367072" w:rsidRPr="009654F0">
        <w:rPr>
          <w:kern w:val="22"/>
        </w:rPr>
        <w:t xml:space="preserve">current </w:t>
      </w:r>
      <w:r w:rsidRPr="009654F0">
        <w:rPr>
          <w:kern w:val="22"/>
        </w:rPr>
        <w:t>approach to resource mobilization evolved over several meetings of the Conference of the Parties</w:t>
      </w:r>
      <w:r w:rsidR="00202A17">
        <w:rPr>
          <w:kern w:val="22"/>
        </w:rPr>
        <w:t>:</w:t>
      </w:r>
      <w:r w:rsidRPr="009654F0">
        <w:rPr>
          <w:kern w:val="22"/>
        </w:rPr>
        <w:t xml:space="preserve"> beginning at </w:t>
      </w:r>
      <w:r w:rsidR="00A83CAF" w:rsidRPr="009654F0">
        <w:rPr>
          <w:kern w:val="22"/>
        </w:rPr>
        <w:t xml:space="preserve">the ninth meeting </w:t>
      </w:r>
      <w:r w:rsidRPr="009654F0">
        <w:rPr>
          <w:kern w:val="22"/>
        </w:rPr>
        <w:t xml:space="preserve">with adoption of the </w:t>
      </w:r>
      <w:r w:rsidR="002B2E58" w:rsidRPr="009654F0">
        <w:rPr>
          <w:kern w:val="22"/>
        </w:rPr>
        <w:t>strategy for resource mobilization</w:t>
      </w:r>
      <w:r w:rsidRPr="009654F0">
        <w:rPr>
          <w:kern w:val="22"/>
        </w:rPr>
        <w:t>;</w:t>
      </w:r>
      <w:r w:rsidR="00D3654E" w:rsidRPr="009654F0">
        <w:rPr>
          <w:rStyle w:val="FootnoteReference"/>
          <w:kern w:val="22"/>
        </w:rPr>
        <w:footnoteReference w:id="4"/>
      </w:r>
      <w:r w:rsidRPr="009654F0">
        <w:rPr>
          <w:kern w:val="22"/>
        </w:rPr>
        <w:t xml:space="preserve"> the adoption at </w:t>
      </w:r>
      <w:r w:rsidR="00B56DBE" w:rsidRPr="009654F0">
        <w:rPr>
          <w:kern w:val="22"/>
        </w:rPr>
        <w:t xml:space="preserve">the tenth meeting </w:t>
      </w:r>
      <w:r w:rsidRPr="009654F0">
        <w:rPr>
          <w:kern w:val="22"/>
        </w:rPr>
        <w:t xml:space="preserve">of the Strategic Plan for Biodiversity 2011-2020, including the </w:t>
      </w:r>
      <w:r w:rsidR="00206097">
        <w:rPr>
          <w:kern w:val="22"/>
        </w:rPr>
        <w:t>20</w:t>
      </w:r>
      <w:r w:rsidR="00206097" w:rsidRPr="009654F0">
        <w:rPr>
          <w:kern w:val="22"/>
        </w:rPr>
        <w:t xml:space="preserve"> </w:t>
      </w:r>
      <w:r w:rsidRPr="009654F0">
        <w:rPr>
          <w:kern w:val="22"/>
        </w:rPr>
        <w:t>Aichi Biodiversity Targets</w:t>
      </w:r>
      <w:r w:rsidR="00CF6746" w:rsidRPr="009654F0">
        <w:rPr>
          <w:kern w:val="22"/>
        </w:rPr>
        <w:t>;</w:t>
      </w:r>
      <w:r w:rsidRPr="009654F0">
        <w:rPr>
          <w:rStyle w:val="FootnoteReference"/>
          <w:kern w:val="22"/>
        </w:rPr>
        <w:footnoteReference w:id="5"/>
      </w:r>
      <w:r w:rsidRPr="009654F0">
        <w:rPr>
          <w:kern w:val="22"/>
        </w:rPr>
        <w:t xml:space="preserve"> and the adoption at </w:t>
      </w:r>
      <w:r w:rsidR="00A83CAF" w:rsidRPr="009654F0">
        <w:rPr>
          <w:kern w:val="22"/>
        </w:rPr>
        <w:t xml:space="preserve">the </w:t>
      </w:r>
      <w:r w:rsidR="00256647" w:rsidRPr="009654F0">
        <w:rPr>
          <w:kern w:val="22"/>
        </w:rPr>
        <w:t>twelfth</w:t>
      </w:r>
      <w:r w:rsidR="00A83CAF" w:rsidRPr="009654F0">
        <w:rPr>
          <w:kern w:val="22"/>
        </w:rPr>
        <w:t xml:space="preserve"> meeting </w:t>
      </w:r>
      <w:r w:rsidRPr="009654F0">
        <w:rPr>
          <w:kern w:val="22"/>
        </w:rPr>
        <w:t>of a series of targets</w:t>
      </w:r>
      <w:r w:rsidR="0036618F" w:rsidRPr="009654F0">
        <w:rPr>
          <w:kern w:val="22"/>
        </w:rPr>
        <w:t xml:space="preserve"> (see annex</w:t>
      </w:r>
      <w:r w:rsidR="00765C00" w:rsidRPr="009654F0">
        <w:rPr>
          <w:kern w:val="22"/>
        </w:rPr>
        <w:t xml:space="preserve"> below</w:t>
      </w:r>
      <w:r w:rsidR="0036618F" w:rsidRPr="009654F0">
        <w:rPr>
          <w:kern w:val="22"/>
        </w:rPr>
        <w:t>)</w:t>
      </w:r>
      <w:r w:rsidRPr="009654F0">
        <w:rPr>
          <w:kern w:val="22"/>
        </w:rPr>
        <w:t xml:space="preserve">, as well as the CBD </w:t>
      </w:r>
      <w:r w:rsidR="002B2E58" w:rsidRPr="009654F0">
        <w:rPr>
          <w:kern w:val="22"/>
        </w:rPr>
        <w:t>financial reporting framework</w:t>
      </w:r>
      <w:r w:rsidRPr="009654F0">
        <w:rPr>
          <w:kern w:val="22"/>
        </w:rPr>
        <w:t>.</w:t>
      </w:r>
      <w:r w:rsidR="00530F14" w:rsidRPr="009654F0">
        <w:rPr>
          <w:rStyle w:val="FootnoteReference"/>
          <w:kern w:val="22"/>
        </w:rPr>
        <w:footnoteReference w:id="6"/>
      </w:r>
      <w:r w:rsidRPr="009654F0">
        <w:rPr>
          <w:kern w:val="22"/>
        </w:rPr>
        <w:t xml:space="preserve"> As a result there is a degree of overlap between the topics covered by the goals and sub-goals of the </w:t>
      </w:r>
      <w:r w:rsidR="002B2E58" w:rsidRPr="009654F0">
        <w:rPr>
          <w:kern w:val="22"/>
        </w:rPr>
        <w:t>strategy for resource mobilization</w:t>
      </w:r>
      <w:r w:rsidR="00D41A09" w:rsidRPr="009654F0">
        <w:rPr>
          <w:kern w:val="22"/>
        </w:rPr>
        <w:t xml:space="preserve"> </w:t>
      </w:r>
      <w:r w:rsidRPr="009654F0">
        <w:rPr>
          <w:kern w:val="22"/>
        </w:rPr>
        <w:t>and the resource mobilization targets established under Aichi Target 20. The following table provide</w:t>
      </w:r>
      <w:r w:rsidR="00202A17">
        <w:rPr>
          <w:kern w:val="22"/>
        </w:rPr>
        <w:t>s</w:t>
      </w:r>
      <w:r w:rsidRPr="009654F0">
        <w:rPr>
          <w:kern w:val="22"/>
        </w:rPr>
        <w:t xml:space="preserve"> a point of reference to assist in identifying where different themes occur.</w:t>
      </w:r>
    </w:p>
    <w:p w14:paraId="7DCBD038" w14:textId="28CFE631" w:rsidR="00246DAD" w:rsidRPr="009654F0" w:rsidRDefault="00246DAD" w:rsidP="009654F0">
      <w:pPr>
        <w:pStyle w:val="Para1"/>
        <w:keepNext/>
        <w:numPr>
          <w:ilvl w:val="0"/>
          <w:numId w:val="0"/>
        </w:numPr>
        <w:suppressLineNumbers/>
        <w:suppressAutoHyphens/>
        <w:ind w:left="851" w:hanging="851"/>
        <w:rPr>
          <w:b/>
          <w:kern w:val="22"/>
        </w:rPr>
      </w:pPr>
      <w:r w:rsidRPr="009654F0">
        <w:rPr>
          <w:b/>
          <w:kern w:val="22"/>
        </w:rPr>
        <w:t>Table 1</w:t>
      </w:r>
      <w:r w:rsidR="004B14AC" w:rsidRPr="009654F0">
        <w:rPr>
          <w:b/>
          <w:kern w:val="22"/>
        </w:rPr>
        <w:t>.</w:t>
      </w:r>
      <w:r w:rsidR="00933838">
        <w:rPr>
          <w:b/>
          <w:kern w:val="22"/>
        </w:rPr>
        <w:tab/>
      </w:r>
      <w:r w:rsidRPr="009654F0">
        <w:rPr>
          <w:b/>
          <w:kern w:val="22"/>
        </w:rPr>
        <w:t xml:space="preserve">Relationship between </w:t>
      </w:r>
      <w:r w:rsidR="007A32CE" w:rsidRPr="009654F0">
        <w:rPr>
          <w:b/>
          <w:kern w:val="22"/>
        </w:rPr>
        <w:t>t</w:t>
      </w:r>
      <w:r w:rsidRPr="009654F0">
        <w:rPr>
          <w:b/>
          <w:kern w:val="22"/>
        </w:rPr>
        <w:t xml:space="preserve">hemes, goals of the </w:t>
      </w:r>
      <w:r w:rsidR="002B2E58" w:rsidRPr="009654F0">
        <w:rPr>
          <w:b/>
          <w:kern w:val="22"/>
        </w:rPr>
        <w:t>strategy for resource mobilization</w:t>
      </w:r>
      <w:r w:rsidRPr="009654F0">
        <w:rPr>
          <w:b/>
          <w:kern w:val="22"/>
        </w:rPr>
        <w:t xml:space="preserve"> and targets </w:t>
      </w:r>
      <w:r w:rsidR="00E03D0A" w:rsidRPr="009654F0">
        <w:rPr>
          <w:b/>
          <w:kern w:val="22"/>
        </w:rPr>
        <w:t>under</w:t>
      </w:r>
      <w:r w:rsidRPr="009654F0">
        <w:rPr>
          <w:b/>
          <w:kern w:val="22"/>
        </w:rPr>
        <w:t xml:space="preserve"> Aichi Biodiversity Target 20</w:t>
      </w:r>
    </w:p>
    <w:tbl>
      <w:tblPr>
        <w:tblStyle w:val="TableGrid"/>
        <w:tblW w:w="0" w:type="auto"/>
        <w:jc w:val="center"/>
        <w:tblLook w:val="04A0" w:firstRow="1" w:lastRow="0" w:firstColumn="1" w:lastColumn="0" w:noHBand="0" w:noVBand="1"/>
      </w:tblPr>
      <w:tblGrid>
        <w:gridCol w:w="5749"/>
        <w:gridCol w:w="1990"/>
        <w:gridCol w:w="1777"/>
      </w:tblGrid>
      <w:tr w:rsidR="00246DAD" w:rsidRPr="006C6E40" w14:paraId="375D7132" w14:textId="77777777" w:rsidTr="009654F0">
        <w:trPr>
          <w:cantSplit/>
          <w:tblHeader/>
          <w:jc w:val="center"/>
        </w:trPr>
        <w:tc>
          <w:tcPr>
            <w:tcW w:w="5920" w:type="dxa"/>
            <w:vAlign w:val="center"/>
          </w:tcPr>
          <w:p w14:paraId="0EFFE0FE" w14:textId="77777777" w:rsidR="00246DAD" w:rsidRPr="009654F0" w:rsidRDefault="00246DAD" w:rsidP="00933838">
            <w:pPr>
              <w:pStyle w:val="Para1"/>
              <w:keepNext/>
              <w:numPr>
                <w:ilvl w:val="0"/>
                <w:numId w:val="0"/>
              </w:numPr>
              <w:suppressLineNumbers/>
              <w:suppressAutoHyphens/>
              <w:spacing w:before="0" w:after="0"/>
              <w:jc w:val="center"/>
              <w:rPr>
                <w:bCs/>
                <w:i/>
                <w:iCs/>
                <w:kern w:val="22"/>
                <w:sz w:val="20"/>
                <w:szCs w:val="20"/>
              </w:rPr>
            </w:pPr>
            <w:r w:rsidRPr="009654F0">
              <w:rPr>
                <w:bCs/>
                <w:i/>
                <w:iCs/>
                <w:kern w:val="22"/>
                <w:sz w:val="20"/>
                <w:szCs w:val="20"/>
              </w:rPr>
              <w:t>Theme</w:t>
            </w:r>
          </w:p>
        </w:tc>
        <w:tc>
          <w:tcPr>
            <w:tcW w:w="2021" w:type="dxa"/>
            <w:vAlign w:val="center"/>
          </w:tcPr>
          <w:p w14:paraId="09673270" w14:textId="4ABEABC9" w:rsidR="00246DAD" w:rsidRPr="009654F0" w:rsidRDefault="0036618F" w:rsidP="0011290F">
            <w:pPr>
              <w:pStyle w:val="Para1"/>
              <w:keepNext/>
              <w:numPr>
                <w:ilvl w:val="0"/>
                <w:numId w:val="0"/>
              </w:numPr>
              <w:suppressLineNumbers/>
              <w:suppressAutoHyphens/>
              <w:spacing w:before="0" w:after="0"/>
              <w:jc w:val="center"/>
              <w:rPr>
                <w:bCs/>
                <w:i/>
                <w:iCs/>
                <w:kern w:val="22"/>
                <w:sz w:val="20"/>
                <w:szCs w:val="20"/>
              </w:rPr>
            </w:pPr>
            <w:r w:rsidRPr="009654F0">
              <w:rPr>
                <w:bCs/>
                <w:i/>
                <w:iCs/>
                <w:kern w:val="22"/>
                <w:sz w:val="20"/>
                <w:szCs w:val="20"/>
              </w:rPr>
              <w:t>Goal(s) of the s</w:t>
            </w:r>
            <w:r w:rsidR="007A32CE" w:rsidRPr="009654F0">
              <w:rPr>
                <w:bCs/>
                <w:i/>
                <w:iCs/>
                <w:kern w:val="22"/>
                <w:sz w:val="20"/>
                <w:szCs w:val="20"/>
              </w:rPr>
              <w:t xml:space="preserve">trategy for </w:t>
            </w:r>
            <w:r w:rsidR="002B2E58" w:rsidRPr="009654F0">
              <w:rPr>
                <w:bCs/>
                <w:i/>
                <w:iCs/>
                <w:kern w:val="22"/>
                <w:sz w:val="20"/>
                <w:szCs w:val="20"/>
              </w:rPr>
              <w:t>r</w:t>
            </w:r>
            <w:r w:rsidR="007A32CE" w:rsidRPr="009654F0">
              <w:rPr>
                <w:bCs/>
                <w:i/>
                <w:iCs/>
                <w:kern w:val="22"/>
                <w:sz w:val="20"/>
                <w:szCs w:val="20"/>
              </w:rPr>
              <w:t xml:space="preserve">esource </w:t>
            </w:r>
            <w:r w:rsidR="002B2E58" w:rsidRPr="009654F0">
              <w:rPr>
                <w:bCs/>
                <w:i/>
                <w:iCs/>
                <w:kern w:val="22"/>
                <w:sz w:val="20"/>
                <w:szCs w:val="20"/>
              </w:rPr>
              <w:t>m</w:t>
            </w:r>
            <w:r w:rsidR="007A32CE" w:rsidRPr="009654F0">
              <w:rPr>
                <w:bCs/>
                <w:i/>
                <w:iCs/>
                <w:kern w:val="22"/>
                <w:sz w:val="20"/>
                <w:szCs w:val="20"/>
              </w:rPr>
              <w:t>obilization</w:t>
            </w:r>
          </w:p>
        </w:tc>
        <w:tc>
          <w:tcPr>
            <w:tcW w:w="1801" w:type="dxa"/>
            <w:vAlign w:val="center"/>
          </w:tcPr>
          <w:p w14:paraId="5706B513" w14:textId="0FD10A86" w:rsidR="00246DAD" w:rsidRPr="009654F0" w:rsidRDefault="0036618F" w:rsidP="0011290F">
            <w:pPr>
              <w:pStyle w:val="Para1"/>
              <w:keepNext/>
              <w:numPr>
                <w:ilvl w:val="0"/>
                <w:numId w:val="0"/>
              </w:numPr>
              <w:suppressLineNumbers/>
              <w:suppressAutoHyphens/>
              <w:spacing w:before="0" w:after="0"/>
              <w:jc w:val="center"/>
              <w:rPr>
                <w:bCs/>
                <w:i/>
                <w:iCs/>
                <w:kern w:val="22"/>
                <w:sz w:val="20"/>
                <w:szCs w:val="20"/>
              </w:rPr>
            </w:pPr>
            <w:r w:rsidRPr="009654F0">
              <w:rPr>
                <w:bCs/>
                <w:i/>
                <w:iCs/>
                <w:kern w:val="22"/>
                <w:sz w:val="20"/>
                <w:szCs w:val="20"/>
              </w:rPr>
              <w:t xml:space="preserve">Target(s) under </w:t>
            </w:r>
            <w:r w:rsidR="007A32CE" w:rsidRPr="009654F0">
              <w:rPr>
                <w:bCs/>
                <w:i/>
                <w:iCs/>
                <w:kern w:val="22"/>
                <w:sz w:val="20"/>
                <w:szCs w:val="20"/>
              </w:rPr>
              <w:t>Aichi Biodiversity Target </w:t>
            </w:r>
            <w:r w:rsidR="00246DAD" w:rsidRPr="009654F0">
              <w:rPr>
                <w:bCs/>
                <w:i/>
                <w:iCs/>
                <w:kern w:val="22"/>
                <w:sz w:val="20"/>
                <w:szCs w:val="20"/>
              </w:rPr>
              <w:t>20</w:t>
            </w:r>
          </w:p>
        </w:tc>
      </w:tr>
      <w:tr w:rsidR="00246DAD" w:rsidRPr="006C6E40" w14:paraId="3294A445" w14:textId="77777777" w:rsidTr="002D4A62">
        <w:trPr>
          <w:cantSplit/>
          <w:jc w:val="center"/>
        </w:trPr>
        <w:tc>
          <w:tcPr>
            <w:tcW w:w="5920" w:type="dxa"/>
          </w:tcPr>
          <w:p w14:paraId="16CC5618" w14:textId="618D7B9D" w:rsidR="00246DAD" w:rsidRPr="009654F0" w:rsidRDefault="00246DAD" w:rsidP="006C6E40">
            <w:pPr>
              <w:pStyle w:val="Para1"/>
              <w:keepNext/>
              <w:numPr>
                <w:ilvl w:val="0"/>
                <w:numId w:val="0"/>
              </w:numPr>
              <w:suppressLineNumbers/>
              <w:suppressAutoHyphens/>
              <w:spacing w:before="0" w:after="0"/>
              <w:jc w:val="left"/>
              <w:rPr>
                <w:kern w:val="22"/>
                <w:sz w:val="20"/>
                <w:szCs w:val="20"/>
              </w:rPr>
            </w:pPr>
            <w:r w:rsidRPr="009654F0">
              <w:rPr>
                <w:kern w:val="22"/>
                <w:sz w:val="20"/>
                <w:szCs w:val="20"/>
              </w:rPr>
              <w:t>Improving information base and reporting</w:t>
            </w:r>
          </w:p>
        </w:tc>
        <w:tc>
          <w:tcPr>
            <w:tcW w:w="2021" w:type="dxa"/>
          </w:tcPr>
          <w:p w14:paraId="380FA2C6" w14:textId="77777777" w:rsidR="00246DAD" w:rsidRPr="009654F0" w:rsidRDefault="00246DAD" w:rsidP="0011290F">
            <w:pPr>
              <w:pStyle w:val="Para1"/>
              <w:keepNext/>
              <w:numPr>
                <w:ilvl w:val="0"/>
                <w:numId w:val="0"/>
              </w:numPr>
              <w:suppressLineNumbers/>
              <w:suppressAutoHyphens/>
              <w:spacing w:before="0" w:after="0"/>
              <w:jc w:val="center"/>
              <w:rPr>
                <w:kern w:val="22"/>
                <w:sz w:val="20"/>
                <w:szCs w:val="20"/>
              </w:rPr>
            </w:pPr>
            <w:r w:rsidRPr="009654F0">
              <w:rPr>
                <w:kern w:val="22"/>
                <w:sz w:val="20"/>
                <w:szCs w:val="20"/>
              </w:rPr>
              <w:t>1</w:t>
            </w:r>
          </w:p>
        </w:tc>
        <w:tc>
          <w:tcPr>
            <w:tcW w:w="1801" w:type="dxa"/>
          </w:tcPr>
          <w:p w14:paraId="4AE4476B" w14:textId="77777777" w:rsidR="00246DAD" w:rsidRPr="009654F0" w:rsidRDefault="00246DAD" w:rsidP="0011290F">
            <w:pPr>
              <w:pStyle w:val="Para1"/>
              <w:keepNext/>
              <w:numPr>
                <w:ilvl w:val="0"/>
                <w:numId w:val="0"/>
              </w:numPr>
              <w:suppressLineNumbers/>
              <w:suppressAutoHyphens/>
              <w:spacing w:before="0" w:after="0"/>
              <w:jc w:val="center"/>
              <w:rPr>
                <w:kern w:val="22"/>
                <w:sz w:val="20"/>
                <w:szCs w:val="20"/>
              </w:rPr>
            </w:pPr>
            <w:r w:rsidRPr="009654F0">
              <w:rPr>
                <w:kern w:val="22"/>
                <w:sz w:val="20"/>
                <w:szCs w:val="20"/>
              </w:rPr>
              <w:t>1 (c)</w:t>
            </w:r>
          </w:p>
        </w:tc>
      </w:tr>
      <w:tr w:rsidR="00246DAD" w:rsidRPr="006C6E40" w14:paraId="1C3059CB" w14:textId="77777777" w:rsidTr="002D4A62">
        <w:trPr>
          <w:cantSplit/>
          <w:jc w:val="center"/>
        </w:trPr>
        <w:tc>
          <w:tcPr>
            <w:tcW w:w="5920" w:type="dxa"/>
          </w:tcPr>
          <w:p w14:paraId="0B6EC116" w14:textId="77777777" w:rsidR="00246DAD" w:rsidRPr="009654F0" w:rsidRDefault="00246DAD" w:rsidP="006C6E40">
            <w:pPr>
              <w:pStyle w:val="Para1"/>
              <w:keepNext/>
              <w:numPr>
                <w:ilvl w:val="0"/>
                <w:numId w:val="0"/>
              </w:numPr>
              <w:suppressLineNumbers/>
              <w:suppressAutoHyphens/>
              <w:spacing w:before="0" w:after="0"/>
              <w:jc w:val="left"/>
              <w:rPr>
                <w:kern w:val="22"/>
                <w:sz w:val="20"/>
                <w:szCs w:val="20"/>
              </w:rPr>
            </w:pPr>
            <w:r w:rsidRPr="009654F0">
              <w:rPr>
                <w:kern w:val="22"/>
                <w:sz w:val="20"/>
                <w:szCs w:val="20"/>
              </w:rPr>
              <w:t>International public and private financial flows</w:t>
            </w:r>
          </w:p>
        </w:tc>
        <w:tc>
          <w:tcPr>
            <w:tcW w:w="2021" w:type="dxa"/>
          </w:tcPr>
          <w:p w14:paraId="32F2308D" w14:textId="77777777" w:rsidR="00246DAD" w:rsidRPr="009654F0" w:rsidRDefault="00246DAD" w:rsidP="0011290F">
            <w:pPr>
              <w:pStyle w:val="Para1"/>
              <w:keepNext/>
              <w:numPr>
                <w:ilvl w:val="0"/>
                <w:numId w:val="0"/>
              </w:numPr>
              <w:suppressLineNumbers/>
              <w:suppressAutoHyphens/>
              <w:spacing w:before="0" w:after="0"/>
              <w:jc w:val="center"/>
              <w:rPr>
                <w:kern w:val="22"/>
                <w:sz w:val="20"/>
                <w:szCs w:val="20"/>
              </w:rPr>
            </w:pPr>
            <w:r w:rsidRPr="009654F0">
              <w:rPr>
                <w:kern w:val="22"/>
                <w:sz w:val="20"/>
                <w:szCs w:val="20"/>
              </w:rPr>
              <w:t>3, 6</w:t>
            </w:r>
          </w:p>
        </w:tc>
        <w:tc>
          <w:tcPr>
            <w:tcW w:w="1801" w:type="dxa"/>
          </w:tcPr>
          <w:p w14:paraId="103D569C" w14:textId="77777777" w:rsidR="00246DAD" w:rsidRPr="009654F0" w:rsidRDefault="00246DAD" w:rsidP="0011290F">
            <w:pPr>
              <w:pStyle w:val="Para1"/>
              <w:keepNext/>
              <w:numPr>
                <w:ilvl w:val="0"/>
                <w:numId w:val="0"/>
              </w:numPr>
              <w:suppressLineNumbers/>
              <w:suppressAutoHyphens/>
              <w:spacing w:before="0" w:after="0"/>
              <w:jc w:val="center"/>
              <w:rPr>
                <w:kern w:val="22"/>
                <w:sz w:val="20"/>
                <w:szCs w:val="20"/>
              </w:rPr>
            </w:pPr>
            <w:r w:rsidRPr="009654F0">
              <w:rPr>
                <w:kern w:val="22"/>
                <w:sz w:val="20"/>
                <w:szCs w:val="20"/>
              </w:rPr>
              <w:t>1 (a)</w:t>
            </w:r>
          </w:p>
        </w:tc>
      </w:tr>
      <w:tr w:rsidR="00246DAD" w:rsidRPr="006C6E40" w14:paraId="20AA795C" w14:textId="77777777" w:rsidTr="002D4A62">
        <w:trPr>
          <w:cantSplit/>
          <w:jc w:val="center"/>
        </w:trPr>
        <w:tc>
          <w:tcPr>
            <w:tcW w:w="5920" w:type="dxa"/>
          </w:tcPr>
          <w:p w14:paraId="05F1804A" w14:textId="77777777" w:rsidR="00246DAD" w:rsidRPr="009654F0" w:rsidRDefault="00246DAD" w:rsidP="006C6E40">
            <w:pPr>
              <w:pStyle w:val="Para1"/>
              <w:keepNext/>
              <w:numPr>
                <w:ilvl w:val="0"/>
                <w:numId w:val="0"/>
              </w:numPr>
              <w:suppressLineNumbers/>
              <w:suppressAutoHyphens/>
              <w:spacing w:before="0" w:after="0"/>
              <w:jc w:val="left"/>
              <w:rPr>
                <w:kern w:val="22"/>
                <w:sz w:val="20"/>
                <w:szCs w:val="20"/>
              </w:rPr>
            </w:pPr>
            <w:r w:rsidRPr="009654F0">
              <w:rPr>
                <w:kern w:val="22"/>
                <w:sz w:val="20"/>
                <w:szCs w:val="20"/>
              </w:rPr>
              <w:t>Domestic public and private financial flows</w:t>
            </w:r>
          </w:p>
        </w:tc>
        <w:tc>
          <w:tcPr>
            <w:tcW w:w="2021" w:type="dxa"/>
          </w:tcPr>
          <w:p w14:paraId="1CD34B8F" w14:textId="77777777" w:rsidR="00246DAD" w:rsidRPr="009654F0" w:rsidRDefault="00246DAD" w:rsidP="0011290F">
            <w:pPr>
              <w:pStyle w:val="Para1"/>
              <w:keepNext/>
              <w:numPr>
                <w:ilvl w:val="0"/>
                <w:numId w:val="0"/>
              </w:numPr>
              <w:suppressLineNumbers/>
              <w:suppressAutoHyphens/>
              <w:spacing w:before="0" w:after="0"/>
              <w:jc w:val="center"/>
              <w:rPr>
                <w:kern w:val="22"/>
                <w:sz w:val="20"/>
                <w:szCs w:val="20"/>
              </w:rPr>
            </w:pPr>
            <w:r w:rsidRPr="009654F0">
              <w:rPr>
                <w:kern w:val="22"/>
                <w:sz w:val="20"/>
                <w:szCs w:val="20"/>
              </w:rPr>
              <w:t>2</w:t>
            </w:r>
          </w:p>
        </w:tc>
        <w:tc>
          <w:tcPr>
            <w:tcW w:w="1801" w:type="dxa"/>
          </w:tcPr>
          <w:p w14:paraId="71067B06" w14:textId="77777777" w:rsidR="00246DAD" w:rsidRPr="009654F0" w:rsidRDefault="00246DAD" w:rsidP="0011290F">
            <w:pPr>
              <w:pStyle w:val="Para1"/>
              <w:keepNext/>
              <w:numPr>
                <w:ilvl w:val="0"/>
                <w:numId w:val="0"/>
              </w:numPr>
              <w:suppressLineNumbers/>
              <w:suppressAutoHyphens/>
              <w:spacing w:before="0" w:after="0"/>
              <w:jc w:val="center"/>
              <w:rPr>
                <w:kern w:val="22"/>
                <w:sz w:val="20"/>
                <w:szCs w:val="20"/>
              </w:rPr>
            </w:pPr>
            <w:r w:rsidRPr="009654F0">
              <w:rPr>
                <w:kern w:val="22"/>
                <w:sz w:val="20"/>
                <w:szCs w:val="20"/>
              </w:rPr>
              <w:t>1 (c)-(e)</w:t>
            </w:r>
          </w:p>
        </w:tc>
      </w:tr>
      <w:tr w:rsidR="00246DAD" w:rsidRPr="006C6E40" w14:paraId="4F445DE7" w14:textId="77777777" w:rsidTr="002D4A62">
        <w:trPr>
          <w:cantSplit/>
          <w:jc w:val="center"/>
        </w:trPr>
        <w:tc>
          <w:tcPr>
            <w:tcW w:w="5920" w:type="dxa"/>
          </w:tcPr>
          <w:p w14:paraId="46FE92B7" w14:textId="77777777" w:rsidR="00246DAD" w:rsidRPr="009654F0" w:rsidRDefault="00246DAD" w:rsidP="006C6E40">
            <w:pPr>
              <w:pStyle w:val="Para1"/>
              <w:keepNext/>
              <w:numPr>
                <w:ilvl w:val="0"/>
                <w:numId w:val="0"/>
              </w:numPr>
              <w:suppressLineNumbers/>
              <w:suppressAutoHyphens/>
              <w:spacing w:before="0" w:after="0"/>
              <w:jc w:val="left"/>
              <w:rPr>
                <w:kern w:val="22"/>
                <w:sz w:val="20"/>
                <w:szCs w:val="20"/>
              </w:rPr>
            </w:pPr>
            <w:r w:rsidRPr="009654F0">
              <w:rPr>
                <w:kern w:val="22"/>
                <w:sz w:val="20"/>
                <w:szCs w:val="20"/>
              </w:rPr>
              <w:t>Mainstreaming as a tool to increase biodiversity finance</w:t>
            </w:r>
          </w:p>
        </w:tc>
        <w:tc>
          <w:tcPr>
            <w:tcW w:w="2021" w:type="dxa"/>
          </w:tcPr>
          <w:p w14:paraId="2F4F5D95" w14:textId="77777777" w:rsidR="00246DAD" w:rsidRPr="009654F0" w:rsidRDefault="00246DAD" w:rsidP="0011290F">
            <w:pPr>
              <w:pStyle w:val="Para1"/>
              <w:keepNext/>
              <w:numPr>
                <w:ilvl w:val="0"/>
                <w:numId w:val="0"/>
              </w:numPr>
              <w:suppressLineNumbers/>
              <w:suppressAutoHyphens/>
              <w:spacing w:before="0" w:after="0"/>
              <w:jc w:val="center"/>
              <w:rPr>
                <w:kern w:val="22"/>
                <w:sz w:val="20"/>
                <w:szCs w:val="20"/>
              </w:rPr>
            </w:pPr>
            <w:r w:rsidRPr="009654F0">
              <w:rPr>
                <w:kern w:val="22"/>
                <w:sz w:val="20"/>
                <w:szCs w:val="20"/>
              </w:rPr>
              <w:t>4, 5</w:t>
            </w:r>
          </w:p>
        </w:tc>
        <w:tc>
          <w:tcPr>
            <w:tcW w:w="1801" w:type="dxa"/>
          </w:tcPr>
          <w:p w14:paraId="12C5F493" w14:textId="77777777" w:rsidR="00246DAD" w:rsidRPr="009654F0" w:rsidRDefault="00246DAD" w:rsidP="0011290F">
            <w:pPr>
              <w:pStyle w:val="Para1"/>
              <w:keepNext/>
              <w:numPr>
                <w:ilvl w:val="0"/>
                <w:numId w:val="0"/>
              </w:numPr>
              <w:suppressLineNumbers/>
              <w:suppressAutoHyphens/>
              <w:spacing w:before="0" w:after="0"/>
              <w:jc w:val="center"/>
              <w:rPr>
                <w:kern w:val="22"/>
                <w:sz w:val="20"/>
                <w:szCs w:val="20"/>
              </w:rPr>
            </w:pPr>
            <w:r w:rsidRPr="009654F0">
              <w:rPr>
                <w:kern w:val="22"/>
                <w:sz w:val="20"/>
                <w:szCs w:val="20"/>
              </w:rPr>
              <w:t>1 (b)</w:t>
            </w:r>
          </w:p>
        </w:tc>
      </w:tr>
      <w:tr w:rsidR="00246DAD" w:rsidRPr="006C6E40" w14:paraId="67C75B97" w14:textId="77777777" w:rsidTr="002D4A62">
        <w:trPr>
          <w:cantSplit/>
          <w:trHeight w:val="164"/>
          <w:jc w:val="center"/>
        </w:trPr>
        <w:tc>
          <w:tcPr>
            <w:tcW w:w="5920" w:type="dxa"/>
          </w:tcPr>
          <w:p w14:paraId="0CD35118" w14:textId="6D8DCAEF" w:rsidR="00246DAD" w:rsidRPr="009654F0" w:rsidRDefault="00246DAD" w:rsidP="006C6E40">
            <w:pPr>
              <w:pStyle w:val="Para1"/>
              <w:numPr>
                <w:ilvl w:val="0"/>
                <w:numId w:val="0"/>
              </w:numPr>
              <w:suppressLineNumbers/>
              <w:suppressAutoHyphens/>
              <w:spacing w:before="0" w:after="60"/>
              <w:jc w:val="left"/>
              <w:rPr>
                <w:kern w:val="22"/>
                <w:sz w:val="20"/>
                <w:szCs w:val="20"/>
              </w:rPr>
            </w:pPr>
            <w:r w:rsidRPr="009654F0">
              <w:rPr>
                <w:kern w:val="22"/>
                <w:sz w:val="20"/>
                <w:szCs w:val="20"/>
              </w:rPr>
              <w:t xml:space="preserve">Mobilizing resources via </w:t>
            </w:r>
            <w:r w:rsidR="007A32CE" w:rsidRPr="009654F0">
              <w:rPr>
                <w:kern w:val="22"/>
                <w:sz w:val="20"/>
                <w:szCs w:val="20"/>
              </w:rPr>
              <w:t>access and benefit-sharing</w:t>
            </w:r>
            <w:r w:rsidRPr="009654F0">
              <w:rPr>
                <w:kern w:val="22"/>
                <w:sz w:val="20"/>
                <w:szCs w:val="20"/>
              </w:rPr>
              <w:t xml:space="preserve"> and </w:t>
            </w:r>
            <w:r w:rsidR="007A32CE" w:rsidRPr="009654F0">
              <w:rPr>
                <w:kern w:val="22"/>
                <w:sz w:val="20"/>
                <w:szCs w:val="20"/>
              </w:rPr>
              <w:t>indigenous peoples and local communities</w:t>
            </w:r>
            <w:r w:rsidRPr="009654F0">
              <w:rPr>
                <w:kern w:val="22"/>
                <w:sz w:val="20"/>
                <w:szCs w:val="20"/>
              </w:rPr>
              <w:t xml:space="preserve"> and their knowledge</w:t>
            </w:r>
          </w:p>
        </w:tc>
        <w:tc>
          <w:tcPr>
            <w:tcW w:w="2021" w:type="dxa"/>
          </w:tcPr>
          <w:p w14:paraId="21DAC7F5" w14:textId="77777777" w:rsidR="00246DAD" w:rsidRPr="009654F0" w:rsidRDefault="00246DAD" w:rsidP="0011290F">
            <w:pPr>
              <w:pStyle w:val="Para1"/>
              <w:numPr>
                <w:ilvl w:val="0"/>
                <w:numId w:val="0"/>
              </w:numPr>
              <w:suppressLineNumbers/>
              <w:suppressAutoHyphens/>
              <w:spacing w:before="0" w:after="0"/>
              <w:jc w:val="center"/>
              <w:rPr>
                <w:kern w:val="22"/>
                <w:sz w:val="20"/>
                <w:szCs w:val="20"/>
              </w:rPr>
            </w:pPr>
            <w:r w:rsidRPr="009654F0">
              <w:rPr>
                <w:kern w:val="22"/>
                <w:sz w:val="20"/>
                <w:szCs w:val="20"/>
              </w:rPr>
              <w:t>7</w:t>
            </w:r>
          </w:p>
        </w:tc>
        <w:tc>
          <w:tcPr>
            <w:tcW w:w="1801" w:type="dxa"/>
          </w:tcPr>
          <w:p w14:paraId="6135CB5B" w14:textId="77777777" w:rsidR="00246DAD" w:rsidRPr="009654F0" w:rsidRDefault="00246DAD" w:rsidP="0011290F">
            <w:pPr>
              <w:pStyle w:val="Para1"/>
              <w:numPr>
                <w:ilvl w:val="0"/>
                <w:numId w:val="0"/>
              </w:numPr>
              <w:suppressLineNumbers/>
              <w:suppressAutoHyphens/>
              <w:spacing w:before="0" w:after="0"/>
              <w:jc w:val="center"/>
              <w:rPr>
                <w:kern w:val="22"/>
                <w:sz w:val="20"/>
                <w:szCs w:val="20"/>
              </w:rPr>
            </w:pPr>
            <w:r w:rsidRPr="009654F0">
              <w:rPr>
                <w:kern w:val="22"/>
                <w:sz w:val="20"/>
                <w:szCs w:val="20"/>
              </w:rPr>
              <w:t>1 (d)</w:t>
            </w:r>
          </w:p>
        </w:tc>
      </w:tr>
    </w:tbl>
    <w:p w14:paraId="5736AC49" w14:textId="224DC6EC" w:rsidR="00A51E02" w:rsidRPr="006C6E40" w:rsidRDefault="00A51E02" w:rsidP="006C6E40">
      <w:pPr>
        <w:pStyle w:val="Para1"/>
        <w:suppressLineNumbers/>
        <w:tabs>
          <w:tab w:val="clear" w:pos="360"/>
        </w:tabs>
        <w:suppressAutoHyphens/>
        <w:adjustRightInd w:val="0"/>
        <w:snapToGrid w:val="0"/>
        <w:rPr>
          <w:kern w:val="22"/>
          <w:szCs w:val="22"/>
        </w:rPr>
      </w:pPr>
      <w:r w:rsidRPr="009654F0">
        <w:rPr>
          <w:kern w:val="22"/>
          <w:szCs w:val="22"/>
        </w:rPr>
        <w:t xml:space="preserve">The </w:t>
      </w:r>
      <w:r w:rsidR="002B2E58" w:rsidRPr="009654F0">
        <w:rPr>
          <w:kern w:val="22"/>
        </w:rPr>
        <w:t>strategy for resource mobilization</w:t>
      </w:r>
      <w:r w:rsidR="00D41A09" w:rsidRPr="009654F0">
        <w:rPr>
          <w:kern w:val="22"/>
          <w:szCs w:val="22"/>
        </w:rPr>
        <w:t xml:space="preserve"> </w:t>
      </w:r>
      <w:r w:rsidRPr="009654F0">
        <w:rPr>
          <w:kern w:val="22"/>
          <w:szCs w:val="22"/>
        </w:rPr>
        <w:t>is structured in five sections</w:t>
      </w:r>
      <w:r w:rsidR="00DB53DB" w:rsidRPr="009654F0">
        <w:rPr>
          <w:kern w:val="22"/>
          <w:szCs w:val="22"/>
        </w:rPr>
        <w:t>, on the u</w:t>
      </w:r>
      <w:r w:rsidRPr="009654F0">
        <w:rPr>
          <w:kern w:val="22"/>
          <w:szCs w:val="22"/>
        </w:rPr>
        <w:t>rgency</w:t>
      </w:r>
      <w:r w:rsidR="00DB53DB" w:rsidRPr="009654F0">
        <w:rPr>
          <w:kern w:val="22"/>
          <w:szCs w:val="22"/>
        </w:rPr>
        <w:t>, m</w:t>
      </w:r>
      <w:r w:rsidRPr="009654F0">
        <w:rPr>
          <w:kern w:val="22"/>
          <w:szCs w:val="22"/>
        </w:rPr>
        <w:t>ission</w:t>
      </w:r>
      <w:r w:rsidR="00DB53DB" w:rsidRPr="009654F0">
        <w:rPr>
          <w:kern w:val="22"/>
          <w:szCs w:val="22"/>
        </w:rPr>
        <w:t>,</w:t>
      </w:r>
      <w:r w:rsidRPr="009654F0">
        <w:rPr>
          <w:kern w:val="22"/>
          <w:szCs w:val="22"/>
        </w:rPr>
        <w:t xml:space="preserve"> </w:t>
      </w:r>
      <w:r w:rsidR="00DB53DB" w:rsidRPr="009654F0">
        <w:rPr>
          <w:kern w:val="22"/>
          <w:szCs w:val="22"/>
        </w:rPr>
        <w:t>g</w:t>
      </w:r>
      <w:r w:rsidRPr="009654F0">
        <w:rPr>
          <w:kern w:val="22"/>
          <w:szCs w:val="22"/>
        </w:rPr>
        <w:t xml:space="preserve">uiding </w:t>
      </w:r>
      <w:r w:rsidR="00DB53DB" w:rsidRPr="009654F0">
        <w:rPr>
          <w:kern w:val="22"/>
          <w:szCs w:val="22"/>
        </w:rPr>
        <w:t>p</w:t>
      </w:r>
      <w:r w:rsidRPr="009654F0">
        <w:rPr>
          <w:kern w:val="22"/>
          <w:szCs w:val="22"/>
        </w:rPr>
        <w:t>rinciples</w:t>
      </w:r>
      <w:r w:rsidR="00DB53DB" w:rsidRPr="009654F0">
        <w:rPr>
          <w:kern w:val="22"/>
          <w:szCs w:val="22"/>
        </w:rPr>
        <w:t xml:space="preserve">, </w:t>
      </w:r>
      <w:r w:rsidR="00FC0F43" w:rsidRPr="009654F0">
        <w:rPr>
          <w:kern w:val="22"/>
          <w:szCs w:val="22"/>
        </w:rPr>
        <w:t>s</w:t>
      </w:r>
      <w:r w:rsidRPr="009654F0">
        <w:rPr>
          <w:kern w:val="22"/>
          <w:szCs w:val="22"/>
        </w:rPr>
        <w:t xml:space="preserve">trategic </w:t>
      </w:r>
      <w:r w:rsidR="00FC0F43" w:rsidRPr="009654F0">
        <w:rPr>
          <w:kern w:val="22"/>
          <w:szCs w:val="22"/>
        </w:rPr>
        <w:t>g</w:t>
      </w:r>
      <w:r w:rsidRPr="009654F0">
        <w:rPr>
          <w:kern w:val="22"/>
          <w:szCs w:val="22"/>
        </w:rPr>
        <w:t>oals (of which there are eight)</w:t>
      </w:r>
      <w:r w:rsidR="0011645D" w:rsidRPr="009654F0">
        <w:rPr>
          <w:kern w:val="22"/>
          <w:szCs w:val="22"/>
        </w:rPr>
        <w:t xml:space="preserve"> o</w:t>
      </w:r>
      <w:r w:rsidRPr="009654F0">
        <w:rPr>
          <w:kern w:val="22"/>
          <w:szCs w:val="22"/>
        </w:rPr>
        <w:t>bjectives</w:t>
      </w:r>
      <w:r w:rsidR="0011645D" w:rsidRPr="009654F0">
        <w:rPr>
          <w:kern w:val="22"/>
          <w:szCs w:val="22"/>
        </w:rPr>
        <w:t xml:space="preserve">, </w:t>
      </w:r>
      <w:r w:rsidR="00966EB4" w:rsidRPr="009654F0">
        <w:rPr>
          <w:kern w:val="22"/>
          <w:szCs w:val="22"/>
        </w:rPr>
        <w:t xml:space="preserve">and </w:t>
      </w:r>
      <w:r w:rsidR="00AE35E5" w:rsidRPr="009654F0">
        <w:rPr>
          <w:kern w:val="22"/>
          <w:szCs w:val="22"/>
        </w:rPr>
        <w:t>i</w:t>
      </w:r>
      <w:r w:rsidR="00966EB4" w:rsidRPr="009654F0">
        <w:rPr>
          <w:kern w:val="22"/>
          <w:szCs w:val="22"/>
        </w:rPr>
        <w:t>mplementation</w:t>
      </w:r>
      <w:r w:rsidR="00AD147E" w:rsidRPr="009654F0">
        <w:rPr>
          <w:kern w:val="22"/>
          <w:szCs w:val="22"/>
        </w:rPr>
        <w:t>.</w:t>
      </w:r>
    </w:p>
    <w:p w14:paraId="1831FEDB" w14:textId="184C8DA1" w:rsidR="00531771" w:rsidRPr="006C6E40" w:rsidRDefault="00013098" w:rsidP="00B37104">
      <w:pPr>
        <w:pStyle w:val="Para1"/>
        <w:suppressLineNumbers/>
        <w:tabs>
          <w:tab w:val="clear" w:pos="360"/>
        </w:tabs>
        <w:suppressAutoHyphens/>
        <w:adjustRightInd w:val="0"/>
        <w:snapToGrid w:val="0"/>
        <w:rPr>
          <w:kern w:val="22"/>
          <w:szCs w:val="22"/>
        </w:rPr>
      </w:pPr>
      <w:r w:rsidRPr="009654F0">
        <w:rPr>
          <w:kern w:val="22"/>
        </w:rPr>
        <w:t xml:space="preserve">In considering the </w:t>
      </w:r>
      <w:r w:rsidR="002B2E58" w:rsidRPr="009654F0">
        <w:rPr>
          <w:kern w:val="22"/>
        </w:rPr>
        <w:t>strategy for resource mobilization</w:t>
      </w:r>
      <w:r w:rsidRPr="009654F0">
        <w:rPr>
          <w:kern w:val="22"/>
        </w:rPr>
        <w:t xml:space="preserve"> as a whole, Parties to the Convention</w:t>
      </w:r>
      <w:r w:rsidR="002E7C95" w:rsidRPr="009654F0">
        <w:rPr>
          <w:kern w:val="22"/>
        </w:rPr>
        <w:t xml:space="preserve"> and </w:t>
      </w:r>
      <w:r w:rsidRPr="009654F0">
        <w:rPr>
          <w:kern w:val="22"/>
        </w:rPr>
        <w:t xml:space="preserve">other stakeholders (including </w:t>
      </w:r>
      <w:r w:rsidR="00F608EA" w:rsidRPr="009654F0">
        <w:rPr>
          <w:kern w:val="22"/>
        </w:rPr>
        <w:t>indigenous peoples and local communities</w:t>
      </w:r>
      <w:r w:rsidRPr="009654F0">
        <w:rPr>
          <w:kern w:val="22"/>
        </w:rPr>
        <w:t xml:space="preserve">) who </w:t>
      </w:r>
      <w:r w:rsidR="00474082" w:rsidRPr="009654F0">
        <w:rPr>
          <w:kern w:val="22"/>
        </w:rPr>
        <w:t xml:space="preserve">responded </w:t>
      </w:r>
      <w:r w:rsidRPr="009654F0">
        <w:rPr>
          <w:kern w:val="22"/>
        </w:rPr>
        <w:t xml:space="preserve">to the </w:t>
      </w:r>
      <w:r w:rsidR="00966EB4" w:rsidRPr="009654F0">
        <w:rPr>
          <w:kern w:val="22"/>
        </w:rPr>
        <w:t xml:space="preserve">above-mentioned </w:t>
      </w:r>
      <w:r w:rsidRPr="009654F0">
        <w:rPr>
          <w:kern w:val="22"/>
        </w:rPr>
        <w:t xml:space="preserve">call for evidence were of the view that both the fundamental structure and </w:t>
      </w:r>
      <w:r w:rsidR="00966EB4" w:rsidRPr="009654F0">
        <w:rPr>
          <w:kern w:val="22"/>
        </w:rPr>
        <w:t xml:space="preserve">the </w:t>
      </w:r>
      <w:r w:rsidRPr="009654F0">
        <w:rPr>
          <w:kern w:val="22"/>
        </w:rPr>
        <w:t xml:space="preserve">content of the </w:t>
      </w:r>
      <w:r w:rsidR="002B2E58" w:rsidRPr="009654F0">
        <w:rPr>
          <w:kern w:val="22"/>
        </w:rPr>
        <w:t>strategy for resource mobilization</w:t>
      </w:r>
      <w:r w:rsidRPr="009654F0">
        <w:rPr>
          <w:kern w:val="22"/>
        </w:rPr>
        <w:t xml:space="preserve"> were essentially sound and still relevant.</w:t>
      </w:r>
      <w:r w:rsidR="008940F0" w:rsidRPr="009654F0">
        <w:rPr>
          <w:kern w:val="22"/>
        </w:rPr>
        <w:t xml:space="preserve"> </w:t>
      </w:r>
      <w:r w:rsidR="009C0487" w:rsidRPr="009654F0">
        <w:rPr>
          <w:kern w:val="22"/>
          <w:szCs w:val="22"/>
        </w:rPr>
        <w:t xml:space="preserve">However, a number of those who responded commented that the effectiveness of the </w:t>
      </w:r>
      <w:r w:rsidR="0059342F">
        <w:rPr>
          <w:kern w:val="22"/>
          <w:szCs w:val="22"/>
        </w:rPr>
        <w:t>s</w:t>
      </w:r>
      <w:r w:rsidR="00053427" w:rsidRPr="009654F0">
        <w:rPr>
          <w:kern w:val="22"/>
          <w:szCs w:val="22"/>
        </w:rPr>
        <w:t>trategy</w:t>
      </w:r>
      <w:r w:rsidR="009C0487" w:rsidRPr="009654F0">
        <w:rPr>
          <w:kern w:val="22"/>
          <w:szCs w:val="22"/>
        </w:rPr>
        <w:t xml:space="preserve"> as a vehicle for implementation of decisions </w:t>
      </w:r>
      <w:r w:rsidR="00053427" w:rsidRPr="009654F0">
        <w:rPr>
          <w:kern w:val="22"/>
          <w:szCs w:val="22"/>
        </w:rPr>
        <w:t xml:space="preserve">of the Conference of the Parties </w:t>
      </w:r>
      <w:r w:rsidR="009C0487" w:rsidRPr="009654F0">
        <w:rPr>
          <w:kern w:val="22"/>
          <w:szCs w:val="22"/>
        </w:rPr>
        <w:t>on resource mobili</w:t>
      </w:r>
      <w:r w:rsidR="00053427" w:rsidRPr="009654F0">
        <w:rPr>
          <w:kern w:val="22"/>
          <w:szCs w:val="22"/>
        </w:rPr>
        <w:t>z</w:t>
      </w:r>
      <w:r w:rsidR="009C0487" w:rsidRPr="009654F0">
        <w:rPr>
          <w:kern w:val="22"/>
          <w:szCs w:val="22"/>
        </w:rPr>
        <w:t xml:space="preserve">ation was, at best, limited. Benin, for instance, observed that its effectiveness was “still to be proven in poor countries”, and Ethiopia </w:t>
      </w:r>
      <w:r w:rsidR="000E2DD4" w:rsidRPr="009654F0">
        <w:rPr>
          <w:kern w:val="22"/>
          <w:szCs w:val="22"/>
        </w:rPr>
        <w:t xml:space="preserve">noted </w:t>
      </w:r>
      <w:r w:rsidR="009C0487" w:rsidRPr="009654F0">
        <w:rPr>
          <w:kern w:val="22"/>
          <w:szCs w:val="22"/>
        </w:rPr>
        <w:t xml:space="preserve">that </w:t>
      </w:r>
      <w:r w:rsidR="000E2DD4" w:rsidRPr="009654F0">
        <w:rPr>
          <w:kern w:val="22"/>
          <w:szCs w:val="22"/>
        </w:rPr>
        <w:t xml:space="preserve">the </w:t>
      </w:r>
      <w:r w:rsidR="00AD4B54">
        <w:rPr>
          <w:kern w:val="22"/>
          <w:szCs w:val="22"/>
        </w:rPr>
        <w:t>s</w:t>
      </w:r>
      <w:r w:rsidR="00053427" w:rsidRPr="009654F0">
        <w:rPr>
          <w:kern w:val="22"/>
          <w:szCs w:val="22"/>
        </w:rPr>
        <w:t xml:space="preserve">trategy </w:t>
      </w:r>
      <w:r w:rsidR="009C0487" w:rsidRPr="009654F0">
        <w:rPr>
          <w:kern w:val="22"/>
          <w:szCs w:val="22"/>
        </w:rPr>
        <w:t>“does not put in place binding mechanisms to effectively mobilize the resources required for implementation of the targets…”.</w:t>
      </w:r>
      <w:r w:rsidR="00474082" w:rsidRPr="009654F0">
        <w:rPr>
          <w:kern w:val="22"/>
          <w:szCs w:val="22"/>
        </w:rPr>
        <w:t xml:space="preserve"> </w:t>
      </w:r>
      <w:r w:rsidR="00474082" w:rsidRPr="006C6E40">
        <w:rPr>
          <w:kern w:val="22"/>
          <w:szCs w:val="22"/>
        </w:rPr>
        <w:t>The</w:t>
      </w:r>
      <w:r w:rsidR="00474082" w:rsidRPr="002D21DA">
        <w:rPr>
          <w:kern w:val="22"/>
          <w:szCs w:val="22"/>
        </w:rPr>
        <w:t xml:space="preserve"> European Union also took the view that the effectiveness of the </w:t>
      </w:r>
      <w:r w:rsidR="00AD4B54">
        <w:rPr>
          <w:kern w:val="22"/>
          <w:szCs w:val="22"/>
        </w:rPr>
        <w:t>s</w:t>
      </w:r>
      <w:r w:rsidR="00474082" w:rsidRPr="002D21DA">
        <w:rPr>
          <w:kern w:val="22"/>
          <w:szCs w:val="22"/>
        </w:rPr>
        <w:t>trategy has been limited and that it is not sufficiently operational.</w:t>
      </w:r>
    </w:p>
    <w:p w14:paraId="02B4B878" w14:textId="2BEABEB9" w:rsidR="00E64F8D" w:rsidRPr="009654F0" w:rsidRDefault="00474082" w:rsidP="00332F88">
      <w:pPr>
        <w:pStyle w:val="Para1"/>
        <w:suppressLineNumbers/>
        <w:tabs>
          <w:tab w:val="clear" w:pos="360"/>
        </w:tabs>
        <w:suppressAutoHyphens/>
        <w:rPr>
          <w:kern w:val="22"/>
        </w:rPr>
      </w:pPr>
      <w:r w:rsidRPr="009654F0">
        <w:rPr>
          <w:kern w:val="22"/>
        </w:rPr>
        <w:t>It was also noted that</w:t>
      </w:r>
      <w:r w:rsidR="00C22222">
        <w:rPr>
          <w:kern w:val="22"/>
        </w:rPr>
        <w:t>,</w:t>
      </w:r>
      <w:r w:rsidRPr="009654F0">
        <w:rPr>
          <w:kern w:val="22"/>
        </w:rPr>
        <w:t xml:space="preserve"> in order</w:t>
      </w:r>
      <w:r w:rsidR="00E64F8D" w:rsidRPr="009654F0">
        <w:rPr>
          <w:kern w:val="22"/>
        </w:rPr>
        <w:t xml:space="preserve"> to mobili</w:t>
      </w:r>
      <w:r w:rsidR="00387B0B" w:rsidRPr="009654F0">
        <w:rPr>
          <w:kern w:val="22"/>
        </w:rPr>
        <w:t>z</w:t>
      </w:r>
      <w:r w:rsidR="00E64F8D" w:rsidRPr="009654F0">
        <w:rPr>
          <w:kern w:val="22"/>
        </w:rPr>
        <w:t>e all relevant resources at the scale and through the modalities needed to effectively and sustainably address the global biodiversity crisis</w:t>
      </w:r>
      <w:r w:rsidRPr="009654F0">
        <w:rPr>
          <w:kern w:val="22"/>
        </w:rPr>
        <w:t>, resource mobili</w:t>
      </w:r>
      <w:r w:rsidR="00387B0B" w:rsidRPr="009654F0">
        <w:rPr>
          <w:kern w:val="22"/>
        </w:rPr>
        <w:t>z</w:t>
      </w:r>
      <w:r w:rsidRPr="009654F0">
        <w:rPr>
          <w:kern w:val="22"/>
        </w:rPr>
        <w:t xml:space="preserve">ation in the </w:t>
      </w:r>
      <w:r w:rsidR="00CD71AC" w:rsidRPr="009654F0">
        <w:rPr>
          <w:kern w:val="22"/>
        </w:rPr>
        <w:t>p</w:t>
      </w:r>
      <w:r w:rsidRPr="009654F0">
        <w:rPr>
          <w:kern w:val="22"/>
        </w:rPr>
        <w:t xml:space="preserve">ost-2020 framework </w:t>
      </w:r>
      <w:r w:rsidR="00E64F8D" w:rsidRPr="009654F0">
        <w:rPr>
          <w:kern w:val="22"/>
        </w:rPr>
        <w:t xml:space="preserve">would </w:t>
      </w:r>
      <w:r w:rsidRPr="009654F0">
        <w:rPr>
          <w:kern w:val="22"/>
        </w:rPr>
        <w:t xml:space="preserve">need to </w:t>
      </w:r>
      <w:r w:rsidR="00E64F8D" w:rsidRPr="009654F0">
        <w:rPr>
          <w:kern w:val="22"/>
        </w:rPr>
        <w:t xml:space="preserve">encompass fully addressing harmful subsidies and incentives, which are covered in Aichi Target 3 but not in the goals of the </w:t>
      </w:r>
      <w:r w:rsidR="002B2E58" w:rsidRPr="009654F0">
        <w:rPr>
          <w:kern w:val="22"/>
        </w:rPr>
        <w:t>strategy for resource mobilization</w:t>
      </w:r>
      <w:r w:rsidR="009C0063" w:rsidRPr="009654F0">
        <w:rPr>
          <w:kern w:val="22"/>
        </w:rPr>
        <w:t xml:space="preserve"> </w:t>
      </w:r>
      <w:r w:rsidR="00E64F8D" w:rsidRPr="009654F0">
        <w:rPr>
          <w:kern w:val="22"/>
        </w:rPr>
        <w:t>as such.</w:t>
      </w:r>
    </w:p>
    <w:p w14:paraId="6EC7DA08" w14:textId="3B7F813D" w:rsidR="0056299F" w:rsidRPr="009654F0" w:rsidRDefault="00474082" w:rsidP="00332F88">
      <w:pPr>
        <w:pStyle w:val="Para1"/>
        <w:suppressLineNumbers/>
        <w:tabs>
          <w:tab w:val="clear" w:pos="360"/>
        </w:tabs>
        <w:suppressAutoHyphens/>
        <w:rPr>
          <w:kern w:val="22"/>
          <w:szCs w:val="22"/>
        </w:rPr>
      </w:pPr>
      <w:r w:rsidRPr="009654F0">
        <w:rPr>
          <w:kern w:val="22"/>
          <w:szCs w:val="22"/>
        </w:rPr>
        <w:t xml:space="preserve">Others </w:t>
      </w:r>
      <w:r w:rsidR="009D376C" w:rsidRPr="009654F0">
        <w:rPr>
          <w:kern w:val="22"/>
          <w:szCs w:val="22"/>
        </w:rPr>
        <w:t>consider</w:t>
      </w:r>
      <w:r w:rsidRPr="009654F0">
        <w:rPr>
          <w:kern w:val="22"/>
          <w:szCs w:val="22"/>
        </w:rPr>
        <w:t xml:space="preserve"> that </w:t>
      </w:r>
      <w:r w:rsidR="009A0977" w:rsidRPr="009654F0">
        <w:rPr>
          <w:kern w:val="22"/>
          <w:szCs w:val="22"/>
        </w:rPr>
        <w:t xml:space="preserve">the existing </w:t>
      </w:r>
      <w:r w:rsidR="002B2E58" w:rsidRPr="009654F0">
        <w:rPr>
          <w:kern w:val="22"/>
        </w:rPr>
        <w:t>strategy for resource mobilization</w:t>
      </w:r>
      <w:r w:rsidR="00DD12FD" w:rsidRPr="009654F0" w:rsidDel="00DD12FD">
        <w:rPr>
          <w:kern w:val="22"/>
          <w:szCs w:val="22"/>
        </w:rPr>
        <w:t xml:space="preserve"> </w:t>
      </w:r>
      <w:r w:rsidR="009A0977" w:rsidRPr="009654F0">
        <w:rPr>
          <w:kern w:val="22"/>
          <w:szCs w:val="22"/>
        </w:rPr>
        <w:t>underestimates the potential role of non-</w:t>
      </w:r>
      <w:r w:rsidR="00163CBC" w:rsidRPr="009654F0">
        <w:rPr>
          <w:kern w:val="22"/>
          <w:szCs w:val="22"/>
        </w:rPr>
        <w:t>S</w:t>
      </w:r>
      <w:r w:rsidR="009A0977" w:rsidRPr="009654F0">
        <w:rPr>
          <w:kern w:val="22"/>
          <w:szCs w:val="22"/>
        </w:rPr>
        <w:t>tate actors, and in particular of the private sector, in resource mobilization</w:t>
      </w:r>
      <w:r w:rsidR="00C810E3" w:rsidRPr="009654F0">
        <w:rPr>
          <w:kern w:val="22"/>
          <w:szCs w:val="22"/>
        </w:rPr>
        <w:t xml:space="preserve">, and </w:t>
      </w:r>
      <w:r w:rsidR="009A0977" w:rsidRPr="009654F0">
        <w:rPr>
          <w:kern w:val="22"/>
          <w:szCs w:val="22"/>
        </w:rPr>
        <w:t>recommend</w:t>
      </w:r>
      <w:r w:rsidR="00C810E3" w:rsidRPr="009654F0">
        <w:rPr>
          <w:kern w:val="22"/>
          <w:szCs w:val="22"/>
        </w:rPr>
        <w:t>ed</w:t>
      </w:r>
      <w:r w:rsidR="009A0977" w:rsidRPr="009654F0">
        <w:rPr>
          <w:kern w:val="22"/>
          <w:szCs w:val="22"/>
        </w:rPr>
        <w:t xml:space="preserve"> that an updated </w:t>
      </w:r>
      <w:r w:rsidR="00A40E80">
        <w:rPr>
          <w:kern w:val="22"/>
          <w:szCs w:val="22"/>
        </w:rPr>
        <w:t>s</w:t>
      </w:r>
      <w:r w:rsidR="00DD12FD" w:rsidRPr="009654F0">
        <w:rPr>
          <w:kern w:val="22"/>
          <w:szCs w:val="22"/>
        </w:rPr>
        <w:t xml:space="preserve">trategy </w:t>
      </w:r>
      <w:r w:rsidR="009A0977" w:rsidRPr="009654F0">
        <w:rPr>
          <w:kern w:val="22"/>
          <w:szCs w:val="22"/>
        </w:rPr>
        <w:t>should more carefully consider</w:t>
      </w:r>
      <w:r w:rsidRPr="009654F0">
        <w:rPr>
          <w:kern w:val="22"/>
          <w:szCs w:val="22"/>
        </w:rPr>
        <w:t xml:space="preserve"> t</w:t>
      </w:r>
      <w:r w:rsidR="009A0977" w:rsidRPr="009654F0">
        <w:rPr>
          <w:kern w:val="22"/>
          <w:szCs w:val="22"/>
        </w:rPr>
        <w:t>he importance of the innovative use of public finance to leverage private investment in conservation (such as public-private partnerships, blended finance)</w:t>
      </w:r>
      <w:r w:rsidR="00C810E3" w:rsidRPr="009654F0">
        <w:rPr>
          <w:kern w:val="22"/>
          <w:szCs w:val="22"/>
        </w:rPr>
        <w:t>;</w:t>
      </w:r>
      <w:r w:rsidRPr="009654F0">
        <w:rPr>
          <w:kern w:val="22"/>
          <w:szCs w:val="22"/>
        </w:rPr>
        <w:t xml:space="preserve"> l</w:t>
      </w:r>
      <w:r w:rsidR="009A0977" w:rsidRPr="009654F0">
        <w:rPr>
          <w:kern w:val="22"/>
          <w:szCs w:val="22"/>
        </w:rPr>
        <w:t xml:space="preserve">everaging global stakeholder platforms to foster cooperation and bring innovative solutions for conservation finance to </w:t>
      </w:r>
      <w:r w:rsidR="009A0977" w:rsidRPr="009654F0">
        <w:rPr>
          <w:kern w:val="22"/>
          <w:szCs w:val="22"/>
        </w:rPr>
        <w:lastRenderedPageBreak/>
        <w:t>scale</w:t>
      </w:r>
      <w:r w:rsidR="00C810E3" w:rsidRPr="009654F0">
        <w:rPr>
          <w:kern w:val="22"/>
          <w:szCs w:val="22"/>
        </w:rPr>
        <w:t>;</w:t>
      </w:r>
      <w:r w:rsidRPr="009654F0">
        <w:rPr>
          <w:kern w:val="22"/>
          <w:szCs w:val="22"/>
        </w:rPr>
        <w:t xml:space="preserve"> and s</w:t>
      </w:r>
      <w:r w:rsidR="0056299F" w:rsidRPr="009654F0">
        <w:rPr>
          <w:kern w:val="22"/>
          <w:szCs w:val="22"/>
        </w:rPr>
        <w:t>ynergies with the S</w:t>
      </w:r>
      <w:r w:rsidR="00C81C9A" w:rsidRPr="009654F0">
        <w:rPr>
          <w:kern w:val="22"/>
          <w:szCs w:val="22"/>
        </w:rPr>
        <w:t>ustainable Development Goal</w:t>
      </w:r>
      <w:r w:rsidR="0056299F" w:rsidRPr="009654F0">
        <w:rPr>
          <w:kern w:val="22"/>
          <w:szCs w:val="22"/>
        </w:rPr>
        <w:t xml:space="preserve">s and climate change </w:t>
      </w:r>
      <w:r w:rsidRPr="009654F0">
        <w:rPr>
          <w:kern w:val="22"/>
          <w:szCs w:val="22"/>
        </w:rPr>
        <w:t xml:space="preserve">finance </w:t>
      </w:r>
      <w:r w:rsidR="0056299F" w:rsidRPr="009654F0">
        <w:rPr>
          <w:kern w:val="22"/>
          <w:szCs w:val="22"/>
        </w:rPr>
        <w:t>to create win-win strategies for each</w:t>
      </w:r>
      <w:r w:rsidR="00C81C9A" w:rsidRPr="009654F0">
        <w:rPr>
          <w:kern w:val="22"/>
          <w:szCs w:val="22"/>
        </w:rPr>
        <w:t>.</w:t>
      </w:r>
    </w:p>
    <w:p w14:paraId="53908111" w14:textId="258DCA24" w:rsidR="00E77D68" w:rsidRPr="009654F0" w:rsidRDefault="00E77D68">
      <w:pPr>
        <w:pStyle w:val="Para1"/>
        <w:suppressLineNumbers/>
        <w:tabs>
          <w:tab w:val="clear" w:pos="360"/>
        </w:tabs>
        <w:suppressAutoHyphens/>
        <w:rPr>
          <w:kern w:val="22"/>
        </w:rPr>
      </w:pPr>
      <w:r w:rsidRPr="009654F0">
        <w:rPr>
          <w:kern w:val="22"/>
        </w:rPr>
        <w:t xml:space="preserve">The World Bank considered that the </w:t>
      </w:r>
      <w:r w:rsidR="002B2E58" w:rsidRPr="009654F0">
        <w:rPr>
          <w:kern w:val="22"/>
        </w:rPr>
        <w:t>strategy for resource mobilization</w:t>
      </w:r>
      <w:r w:rsidRPr="009654F0">
        <w:rPr>
          <w:kern w:val="22"/>
        </w:rPr>
        <w:t xml:space="preserve"> has a number of shortcomings, </w:t>
      </w:r>
      <w:r w:rsidR="000F270B" w:rsidRPr="009654F0">
        <w:rPr>
          <w:kern w:val="22"/>
        </w:rPr>
        <w:t>including</w:t>
      </w:r>
      <w:r w:rsidRPr="009654F0">
        <w:rPr>
          <w:kern w:val="22"/>
        </w:rPr>
        <w:t xml:space="preserve"> (</w:t>
      </w:r>
      <w:r w:rsidR="00F4607D" w:rsidRPr="009654F0">
        <w:rPr>
          <w:kern w:val="22"/>
        </w:rPr>
        <w:t>a</w:t>
      </w:r>
      <w:r w:rsidRPr="009654F0">
        <w:rPr>
          <w:kern w:val="22"/>
        </w:rPr>
        <w:t>)</w:t>
      </w:r>
      <w:r w:rsidR="00AB6460" w:rsidRPr="009654F0">
        <w:rPr>
          <w:kern w:val="22"/>
        </w:rPr>
        <w:t> </w:t>
      </w:r>
      <w:r w:rsidRPr="009654F0">
        <w:rPr>
          <w:kern w:val="22"/>
        </w:rPr>
        <w:t xml:space="preserve">absence of a quantitative target for resource mobilization (in the </w:t>
      </w:r>
      <w:r w:rsidR="00C216A7">
        <w:rPr>
          <w:kern w:val="22"/>
        </w:rPr>
        <w:t>s</w:t>
      </w:r>
      <w:r w:rsidRPr="009654F0">
        <w:rPr>
          <w:kern w:val="22"/>
        </w:rPr>
        <w:t>trategy and in Aichi Target</w:t>
      </w:r>
      <w:r w:rsidR="00AB6460" w:rsidRPr="009654F0">
        <w:rPr>
          <w:kern w:val="22"/>
        </w:rPr>
        <w:t> </w:t>
      </w:r>
      <w:r w:rsidRPr="009654F0">
        <w:rPr>
          <w:kern w:val="22"/>
        </w:rPr>
        <w:t>20); (</w:t>
      </w:r>
      <w:r w:rsidR="00F4607D" w:rsidRPr="009654F0">
        <w:rPr>
          <w:kern w:val="22"/>
        </w:rPr>
        <w:t>b</w:t>
      </w:r>
      <w:r w:rsidRPr="009654F0">
        <w:rPr>
          <w:kern w:val="22"/>
        </w:rPr>
        <w:t>)</w:t>
      </w:r>
      <w:r w:rsidR="00AB6460" w:rsidRPr="009654F0">
        <w:rPr>
          <w:kern w:val="22"/>
        </w:rPr>
        <w:t> </w:t>
      </w:r>
      <w:r w:rsidRPr="009654F0">
        <w:rPr>
          <w:kern w:val="22"/>
        </w:rPr>
        <w:t>absence of a definition of biodiversity finance, both private and public</w:t>
      </w:r>
      <w:r w:rsidR="000F270B" w:rsidRPr="009654F0">
        <w:rPr>
          <w:kern w:val="22"/>
        </w:rPr>
        <w:t xml:space="preserve">, and of what constitutes the </w:t>
      </w:r>
      <w:r w:rsidR="007A32CE" w:rsidRPr="009654F0">
        <w:rPr>
          <w:kern w:val="22"/>
        </w:rPr>
        <w:t>“</w:t>
      </w:r>
      <w:r w:rsidR="000F270B" w:rsidRPr="009654F0">
        <w:rPr>
          <w:kern w:val="22"/>
        </w:rPr>
        <w:t>private sector</w:t>
      </w:r>
      <w:r w:rsidR="007A32CE" w:rsidRPr="009654F0">
        <w:rPr>
          <w:kern w:val="22"/>
        </w:rPr>
        <w:t>”</w:t>
      </w:r>
      <w:r w:rsidRPr="009654F0">
        <w:rPr>
          <w:kern w:val="22"/>
        </w:rPr>
        <w:t>; (</w:t>
      </w:r>
      <w:r w:rsidR="00F4607D" w:rsidRPr="009654F0">
        <w:rPr>
          <w:kern w:val="22"/>
        </w:rPr>
        <w:t>c</w:t>
      </w:r>
      <w:r w:rsidRPr="009654F0">
        <w:rPr>
          <w:kern w:val="22"/>
        </w:rPr>
        <w:t>)</w:t>
      </w:r>
      <w:r w:rsidR="007A32CE" w:rsidRPr="009654F0">
        <w:rPr>
          <w:kern w:val="22"/>
        </w:rPr>
        <w:t> </w:t>
      </w:r>
      <w:r w:rsidRPr="009654F0">
        <w:rPr>
          <w:kern w:val="22"/>
        </w:rPr>
        <w:t>absence of a time-bound action plan for mobilizing resources; (</w:t>
      </w:r>
      <w:r w:rsidR="00F4607D" w:rsidRPr="009654F0">
        <w:rPr>
          <w:kern w:val="22"/>
        </w:rPr>
        <w:t>d</w:t>
      </w:r>
      <w:r w:rsidRPr="009654F0">
        <w:rPr>
          <w:kern w:val="22"/>
        </w:rPr>
        <w:t>)</w:t>
      </w:r>
      <w:r w:rsidR="00AB6460" w:rsidRPr="009654F0">
        <w:rPr>
          <w:kern w:val="22"/>
        </w:rPr>
        <w:t> </w:t>
      </w:r>
      <w:r w:rsidRPr="009654F0">
        <w:rPr>
          <w:kern w:val="22"/>
        </w:rPr>
        <w:t>lack of indication on how the resources could be split between the five strategic goals</w:t>
      </w:r>
      <w:r w:rsidR="00A706A1" w:rsidRPr="009654F0">
        <w:rPr>
          <w:kern w:val="22"/>
        </w:rPr>
        <w:t xml:space="preserve"> of the current Strategic Plan for Biodiversity</w:t>
      </w:r>
      <w:r w:rsidRPr="009654F0">
        <w:rPr>
          <w:kern w:val="22"/>
        </w:rPr>
        <w:t>; (</w:t>
      </w:r>
      <w:r w:rsidR="00F4607D" w:rsidRPr="009654F0">
        <w:rPr>
          <w:kern w:val="22"/>
        </w:rPr>
        <w:t>e</w:t>
      </w:r>
      <w:r w:rsidRPr="009654F0">
        <w:rPr>
          <w:kern w:val="22"/>
        </w:rPr>
        <w:t>)</w:t>
      </w:r>
      <w:r w:rsidR="00AB6460" w:rsidRPr="009654F0">
        <w:rPr>
          <w:kern w:val="22"/>
        </w:rPr>
        <w:t> </w:t>
      </w:r>
      <w:r w:rsidRPr="009654F0">
        <w:rPr>
          <w:kern w:val="22"/>
        </w:rPr>
        <w:t>lack of emphasis on the need to scale down investments (public and private) that are harmful to biodiversity, as well as scale up biodiversity-friendly investment; (</w:t>
      </w:r>
      <w:r w:rsidR="00F4607D" w:rsidRPr="009654F0">
        <w:rPr>
          <w:kern w:val="22"/>
        </w:rPr>
        <w:t>g</w:t>
      </w:r>
      <w:r w:rsidRPr="009654F0">
        <w:rPr>
          <w:kern w:val="22"/>
        </w:rPr>
        <w:t>)</w:t>
      </w:r>
      <w:r w:rsidR="00AB6460" w:rsidRPr="009654F0">
        <w:rPr>
          <w:kern w:val="22"/>
        </w:rPr>
        <w:t> </w:t>
      </w:r>
      <w:r w:rsidRPr="009654F0">
        <w:rPr>
          <w:kern w:val="22"/>
        </w:rPr>
        <w:t>omission of any references to the financial markets and the banking sector; and (</w:t>
      </w:r>
      <w:r w:rsidR="00F4607D" w:rsidRPr="009654F0">
        <w:rPr>
          <w:kern w:val="22"/>
        </w:rPr>
        <w:t>h</w:t>
      </w:r>
      <w:r w:rsidRPr="009654F0">
        <w:rPr>
          <w:kern w:val="22"/>
        </w:rPr>
        <w:t>)</w:t>
      </w:r>
      <w:r w:rsidR="00AB6460" w:rsidRPr="009654F0">
        <w:rPr>
          <w:kern w:val="22"/>
        </w:rPr>
        <w:t> </w:t>
      </w:r>
      <w:r w:rsidRPr="009654F0">
        <w:rPr>
          <w:kern w:val="22"/>
        </w:rPr>
        <w:t>lack of clarity on the responsibilities of each stakeholder group.</w:t>
      </w:r>
    </w:p>
    <w:p w14:paraId="79E7B152" w14:textId="25053CCC" w:rsidR="00B147CB" w:rsidRPr="009654F0" w:rsidRDefault="000F270B">
      <w:pPr>
        <w:pStyle w:val="Para1"/>
        <w:suppressLineNumbers/>
        <w:tabs>
          <w:tab w:val="clear" w:pos="360"/>
        </w:tabs>
        <w:suppressAutoHyphens/>
        <w:rPr>
          <w:kern w:val="22"/>
        </w:rPr>
      </w:pPr>
      <w:r w:rsidRPr="009654F0">
        <w:rPr>
          <w:kern w:val="22"/>
        </w:rPr>
        <w:t>A</w:t>
      </w:r>
      <w:r w:rsidR="00B147CB" w:rsidRPr="009654F0">
        <w:rPr>
          <w:kern w:val="22"/>
        </w:rPr>
        <w:t xml:space="preserve"> more detailed </w:t>
      </w:r>
      <w:r w:rsidRPr="009654F0">
        <w:rPr>
          <w:kern w:val="22"/>
        </w:rPr>
        <w:t>assessment</w:t>
      </w:r>
      <w:r w:rsidR="00B147CB" w:rsidRPr="009654F0">
        <w:rPr>
          <w:kern w:val="22"/>
        </w:rPr>
        <w:t xml:space="preserve"> of progress</w:t>
      </w:r>
      <w:r w:rsidR="00EE127B" w:rsidRPr="009654F0">
        <w:rPr>
          <w:kern w:val="22"/>
        </w:rPr>
        <w:t xml:space="preserve"> toward the goals of the strategy for resource management</w:t>
      </w:r>
      <w:r w:rsidR="00F667ED" w:rsidRPr="009654F0">
        <w:rPr>
          <w:kern w:val="22"/>
        </w:rPr>
        <w:t xml:space="preserve"> is provided below</w:t>
      </w:r>
      <w:r w:rsidRPr="009654F0">
        <w:rPr>
          <w:kern w:val="22"/>
        </w:rPr>
        <w:t>,</w:t>
      </w:r>
      <w:r w:rsidR="00B147CB" w:rsidRPr="009654F0">
        <w:rPr>
          <w:kern w:val="22"/>
        </w:rPr>
        <w:t xml:space="preserve"> </w:t>
      </w:r>
      <w:r w:rsidR="00676F77" w:rsidRPr="009654F0">
        <w:rPr>
          <w:kern w:val="22"/>
        </w:rPr>
        <w:t>with</w:t>
      </w:r>
      <w:r w:rsidR="008A3964" w:rsidRPr="009654F0">
        <w:rPr>
          <w:kern w:val="22"/>
        </w:rPr>
        <w:t xml:space="preserve"> </w:t>
      </w:r>
      <w:r w:rsidR="00B147CB" w:rsidRPr="009654F0">
        <w:rPr>
          <w:kern w:val="22"/>
        </w:rPr>
        <w:t>indications of specific gaps that have been identified and initial suggestions about possible further action.</w:t>
      </w:r>
    </w:p>
    <w:p w14:paraId="3BE6FE83" w14:textId="5F548F08" w:rsidR="00B147CB" w:rsidRPr="009654F0" w:rsidRDefault="00B147CB">
      <w:pPr>
        <w:pStyle w:val="Heading4"/>
        <w:suppressLineNumbers/>
        <w:suppressAutoHyphens/>
        <w:rPr>
          <w:i w:val="0"/>
          <w:kern w:val="22"/>
        </w:rPr>
      </w:pPr>
      <w:r w:rsidRPr="009654F0">
        <w:rPr>
          <w:i w:val="0"/>
          <w:kern w:val="22"/>
        </w:rPr>
        <w:t>Goal 1</w:t>
      </w:r>
      <w:r w:rsidR="000F27EA" w:rsidRPr="009654F0">
        <w:rPr>
          <w:i w:val="0"/>
          <w:kern w:val="22"/>
        </w:rPr>
        <w:t>:</w:t>
      </w:r>
      <w:r w:rsidRPr="009654F0">
        <w:rPr>
          <w:i w:val="0"/>
          <w:kern w:val="22"/>
        </w:rPr>
        <w:t xml:space="preserve"> Improve information base on funding needs, gaps and priorities</w:t>
      </w:r>
    </w:p>
    <w:p w14:paraId="07233ADA" w14:textId="57392C51" w:rsidR="00B147CB" w:rsidRPr="009654F0" w:rsidRDefault="00B147CB">
      <w:pPr>
        <w:pStyle w:val="Para1"/>
        <w:suppressLineNumbers/>
        <w:tabs>
          <w:tab w:val="clear" w:pos="360"/>
        </w:tabs>
        <w:suppressAutoHyphens/>
        <w:rPr>
          <w:kern w:val="22"/>
        </w:rPr>
      </w:pPr>
      <w:r w:rsidRPr="009654F0">
        <w:rPr>
          <w:kern w:val="22"/>
        </w:rPr>
        <w:t xml:space="preserve">With the important addition of </w:t>
      </w:r>
      <w:r w:rsidR="003C46B0" w:rsidRPr="009654F0">
        <w:rPr>
          <w:kern w:val="22"/>
        </w:rPr>
        <w:t>targets for resource mobilization adopted by d</w:t>
      </w:r>
      <w:r w:rsidRPr="009654F0">
        <w:rPr>
          <w:kern w:val="22"/>
        </w:rPr>
        <w:t xml:space="preserve">ecision </w:t>
      </w:r>
      <w:hyperlink r:id="rId18" w:history="1">
        <w:r w:rsidRPr="009654F0">
          <w:rPr>
            <w:rStyle w:val="Hyperlink"/>
            <w:kern w:val="22"/>
            <w:sz w:val="22"/>
          </w:rPr>
          <w:t>XII/3</w:t>
        </w:r>
      </w:hyperlink>
      <w:r w:rsidRPr="009654F0">
        <w:rPr>
          <w:kern w:val="22"/>
        </w:rPr>
        <w:t xml:space="preserve"> and the </w:t>
      </w:r>
      <w:r w:rsidR="003C46B0" w:rsidRPr="009654F0">
        <w:rPr>
          <w:kern w:val="22"/>
        </w:rPr>
        <w:t xml:space="preserve">associated </w:t>
      </w:r>
      <w:r w:rsidR="002B2E58" w:rsidRPr="009654F0">
        <w:rPr>
          <w:kern w:val="22"/>
        </w:rPr>
        <w:t>financial reporting framework</w:t>
      </w:r>
      <w:r w:rsidRPr="009654F0">
        <w:rPr>
          <w:kern w:val="22"/>
        </w:rPr>
        <w:t xml:space="preserve">, </w:t>
      </w:r>
      <w:r w:rsidR="002E0A60" w:rsidRPr="009654F0">
        <w:rPr>
          <w:kern w:val="22"/>
        </w:rPr>
        <w:t xml:space="preserve">as well as </w:t>
      </w:r>
      <w:r w:rsidRPr="009654F0">
        <w:rPr>
          <w:kern w:val="22"/>
        </w:rPr>
        <w:t xml:space="preserve">information from </w:t>
      </w:r>
      <w:r w:rsidR="002E0A60" w:rsidRPr="009654F0">
        <w:rPr>
          <w:kern w:val="22"/>
        </w:rPr>
        <w:t xml:space="preserve">the </w:t>
      </w:r>
      <w:r w:rsidR="008163E4" w:rsidRPr="009654F0">
        <w:rPr>
          <w:kern w:val="22"/>
        </w:rPr>
        <w:t xml:space="preserve">second </w:t>
      </w:r>
      <w:r w:rsidR="00EE7740" w:rsidRPr="009654F0">
        <w:rPr>
          <w:kern w:val="22"/>
        </w:rPr>
        <w:t>report of the High-</w:t>
      </w:r>
      <w:r w:rsidR="008163E4" w:rsidRPr="009654F0">
        <w:rPr>
          <w:kern w:val="22"/>
        </w:rPr>
        <w:t>L</w:t>
      </w:r>
      <w:r w:rsidR="00EE7740" w:rsidRPr="009654F0">
        <w:rPr>
          <w:kern w:val="22"/>
        </w:rPr>
        <w:t>evel Panel on resource mobilization</w:t>
      </w:r>
      <w:r w:rsidRPr="009654F0">
        <w:rPr>
          <w:kern w:val="22"/>
        </w:rPr>
        <w:t>,</w:t>
      </w:r>
      <w:r w:rsidR="00EE7740" w:rsidRPr="009654F0">
        <w:rPr>
          <w:rStyle w:val="FootnoteReference"/>
          <w:kern w:val="22"/>
        </w:rPr>
        <w:footnoteReference w:id="7"/>
      </w:r>
      <w:r w:rsidRPr="009654F0">
        <w:rPr>
          <w:kern w:val="22"/>
        </w:rPr>
        <w:t xml:space="preserve"> </w:t>
      </w:r>
      <w:r w:rsidR="00E924A7" w:rsidRPr="009654F0">
        <w:rPr>
          <w:kern w:val="22"/>
        </w:rPr>
        <w:t>the Global Environment Facility (</w:t>
      </w:r>
      <w:r w:rsidRPr="009654F0">
        <w:rPr>
          <w:kern w:val="22"/>
        </w:rPr>
        <w:t>GEF</w:t>
      </w:r>
      <w:r w:rsidR="00E924A7" w:rsidRPr="009654F0">
        <w:rPr>
          <w:kern w:val="22"/>
        </w:rPr>
        <w:t>)</w:t>
      </w:r>
      <w:r w:rsidRPr="009654F0">
        <w:rPr>
          <w:kern w:val="22"/>
        </w:rPr>
        <w:t xml:space="preserve">, </w:t>
      </w:r>
      <w:r w:rsidR="002E0A60" w:rsidRPr="009654F0">
        <w:rPr>
          <w:kern w:val="22"/>
        </w:rPr>
        <w:t xml:space="preserve">the </w:t>
      </w:r>
      <w:r w:rsidR="00F14EBA" w:rsidRPr="009654F0">
        <w:rPr>
          <w:kern w:val="22"/>
        </w:rPr>
        <w:t>Biodiversity Finance Initiative (BIOFIN) of the United Nations Development Programme</w:t>
      </w:r>
      <w:r w:rsidR="00A80C67" w:rsidRPr="009654F0">
        <w:rPr>
          <w:kern w:val="22"/>
        </w:rPr>
        <w:t xml:space="preserve"> (UNDP)</w:t>
      </w:r>
      <w:r w:rsidR="002E0A60" w:rsidRPr="009654F0">
        <w:rPr>
          <w:kern w:val="22"/>
        </w:rPr>
        <w:t xml:space="preserve">, </w:t>
      </w:r>
      <w:r w:rsidRPr="009654F0">
        <w:rPr>
          <w:kern w:val="22"/>
        </w:rPr>
        <w:t xml:space="preserve">and others, the essential tools are </w:t>
      </w:r>
      <w:r w:rsidR="00A37C24" w:rsidRPr="009654F0">
        <w:rPr>
          <w:kern w:val="22"/>
        </w:rPr>
        <w:t>theoretically</w:t>
      </w:r>
      <w:r w:rsidRPr="009654F0">
        <w:rPr>
          <w:kern w:val="22"/>
        </w:rPr>
        <w:t xml:space="preserve"> in place to meet all the key elements of </w:t>
      </w:r>
      <w:r w:rsidR="00DE465E" w:rsidRPr="009654F0">
        <w:rPr>
          <w:kern w:val="22"/>
        </w:rPr>
        <w:t>g</w:t>
      </w:r>
      <w:r w:rsidRPr="009654F0">
        <w:rPr>
          <w:kern w:val="22"/>
        </w:rPr>
        <w:t>oal</w:t>
      </w:r>
      <w:r w:rsidR="00C177E9" w:rsidRPr="009654F0">
        <w:rPr>
          <w:kern w:val="22"/>
        </w:rPr>
        <w:t> </w:t>
      </w:r>
      <w:r w:rsidRPr="009654F0">
        <w:rPr>
          <w:kern w:val="22"/>
        </w:rPr>
        <w:t xml:space="preserve">1. However, the overall effectiveness of </w:t>
      </w:r>
      <w:r w:rsidR="000D77CA" w:rsidRPr="009654F0">
        <w:rPr>
          <w:kern w:val="22"/>
        </w:rPr>
        <w:t>g</w:t>
      </w:r>
      <w:r w:rsidRPr="009654F0">
        <w:rPr>
          <w:kern w:val="22"/>
        </w:rPr>
        <w:t>oal 1 has</w:t>
      </w:r>
      <w:r w:rsidR="005F0B3F" w:rsidRPr="009654F0">
        <w:rPr>
          <w:kern w:val="22"/>
        </w:rPr>
        <w:t xml:space="preserve"> </w:t>
      </w:r>
      <w:r w:rsidRPr="009654F0">
        <w:rPr>
          <w:kern w:val="22"/>
        </w:rPr>
        <w:t>been limited, with only about half of Parties reporting information on financing, a minority of eligible recipient Parties reporting on their needs and priorities, and less than the minimum 75</w:t>
      </w:r>
      <w:r w:rsidR="00CB4842" w:rsidRPr="009654F0">
        <w:rPr>
          <w:kern w:val="22"/>
        </w:rPr>
        <w:t> </w:t>
      </w:r>
      <w:r w:rsidR="00AC2C0A" w:rsidRPr="009654F0">
        <w:rPr>
          <w:kern w:val="22"/>
        </w:rPr>
        <w:t>per cent</w:t>
      </w:r>
      <w:r w:rsidRPr="009654F0">
        <w:rPr>
          <w:kern w:val="22"/>
        </w:rPr>
        <w:t xml:space="preserve"> of Parties reporting on targets. The limitations in the data provided under the current financial reporting framework also mean that </w:t>
      </w:r>
      <w:r w:rsidR="00935F48" w:rsidRPr="009654F0">
        <w:rPr>
          <w:kern w:val="22"/>
        </w:rPr>
        <w:t>these data are</w:t>
      </w:r>
      <w:r w:rsidRPr="009654F0">
        <w:rPr>
          <w:kern w:val="22"/>
        </w:rPr>
        <w:t xml:space="preserve"> not likely to be able to provide a strong baseline for future years under the </w:t>
      </w:r>
      <w:r w:rsidR="00F03F8D" w:rsidRPr="009654F0">
        <w:rPr>
          <w:kern w:val="22"/>
        </w:rPr>
        <w:t>p</w:t>
      </w:r>
      <w:r w:rsidRPr="009654F0">
        <w:rPr>
          <w:kern w:val="22"/>
        </w:rPr>
        <w:t xml:space="preserve">ost-2020 </w:t>
      </w:r>
      <w:r w:rsidR="007C232E" w:rsidRPr="009654F0">
        <w:rPr>
          <w:kern w:val="22"/>
        </w:rPr>
        <w:t xml:space="preserve">global </w:t>
      </w:r>
      <w:r w:rsidR="009C7BB4" w:rsidRPr="009654F0">
        <w:rPr>
          <w:kern w:val="22"/>
        </w:rPr>
        <w:t xml:space="preserve">biodiversity </w:t>
      </w:r>
      <w:r w:rsidR="00F03F8D" w:rsidRPr="009654F0">
        <w:rPr>
          <w:kern w:val="22"/>
        </w:rPr>
        <w:t>f</w:t>
      </w:r>
      <w:r w:rsidRPr="009654F0">
        <w:rPr>
          <w:kern w:val="22"/>
        </w:rPr>
        <w:t>ramework.</w:t>
      </w:r>
    </w:p>
    <w:p w14:paraId="37DF8D08" w14:textId="3266483C" w:rsidR="000F1D07" w:rsidRPr="009654F0" w:rsidRDefault="000F1D07">
      <w:pPr>
        <w:pStyle w:val="Para1"/>
        <w:suppressLineNumbers/>
        <w:tabs>
          <w:tab w:val="clear" w:pos="360"/>
        </w:tabs>
        <w:suppressAutoHyphens/>
        <w:rPr>
          <w:kern w:val="22"/>
        </w:rPr>
      </w:pPr>
      <w:r w:rsidRPr="009654F0">
        <w:rPr>
          <w:kern w:val="22"/>
        </w:rPr>
        <w:t>Sub-</w:t>
      </w:r>
      <w:r w:rsidR="00F03F8D" w:rsidRPr="009654F0">
        <w:rPr>
          <w:kern w:val="22"/>
        </w:rPr>
        <w:t>g</w:t>
      </w:r>
      <w:r w:rsidRPr="009654F0">
        <w:rPr>
          <w:kern w:val="22"/>
        </w:rPr>
        <w:t xml:space="preserve">oal 1.2, on the other hand, </w:t>
      </w:r>
      <w:r w:rsidR="007F2507" w:rsidRPr="00DE0DA8">
        <w:rPr>
          <w:kern w:val="22"/>
        </w:rPr>
        <w:t>has</w:t>
      </w:r>
      <w:r w:rsidR="007F2507" w:rsidRPr="006C6E40">
        <w:rPr>
          <w:kern w:val="22"/>
        </w:rPr>
        <w:t xml:space="preserve"> </w:t>
      </w:r>
      <w:r w:rsidRPr="009654F0">
        <w:rPr>
          <w:kern w:val="22"/>
        </w:rPr>
        <w:t xml:space="preserve">been more successful, as a significant number of studies have been undertaken by </w:t>
      </w:r>
      <w:r w:rsidR="0064466D" w:rsidRPr="009654F0">
        <w:rPr>
          <w:kern w:val="22"/>
        </w:rPr>
        <w:t xml:space="preserve">international organizations </w:t>
      </w:r>
      <w:r w:rsidRPr="009654F0">
        <w:rPr>
          <w:kern w:val="22"/>
        </w:rPr>
        <w:t xml:space="preserve">(such as </w:t>
      </w:r>
      <w:r w:rsidR="009E6D2C" w:rsidRPr="009654F0">
        <w:rPr>
          <w:kern w:val="22"/>
        </w:rPr>
        <w:t xml:space="preserve">the Organisation for Economic Co-operation and Development </w:t>
      </w:r>
      <w:r w:rsidR="0012066F">
        <w:rPr>
          <w:kern w:val="22"/>
        </w:rPr>
        <w:t>(</w:t>
      </w:r>
      <w:r w:rsidRPr="009654F0">
        <w:rPr>
          <w:kern w:val="22"/>
        </w:rPr>
        <w:t>OECD</w:t>
      </w:r>
      <w:r w:rsidR="0012066F">
        <w:rPr>
          <w:kern w:val="22"/>
        </w:rPr>
        <w:t>),</w:t>
      </w:r>
      <w:r w:rsidRPr="009654F0">
        <w:rPr>
          <w:kern w:val="22"/>
        </w:rPr>
        <w:t xml:space="preserve"> GEF</w:t>
      </w:r>
      <w:r w:rsidR="0012066F">
        <w:rPr>
          <w:kern w:val="22"/>
        </w:rPr>
        <w:t>,</w:t>
      </w:r>
      <w:r w:rsidRPr="009654F0">
        <w:rPr>
          <w:kern w:val="22"/>
        </w:rPr>
        <w:t xml:space="preserve"> UNDP</w:t>
      </w:r>
      <w:r w:rsidR="0012066F">
        <w:rPr>
          <w:kern w:val="22"/>
        </w:rPr>
        <w:t>,</w:t>
      </w:r>
      <w:r w:rsidRPr="009654F0">
        <w:rPr>
          <w:kern w:val="22"/>
        </w:rPr>
        <w:t xml:space="preserve"> and </w:t>
      </w:r>
      <w:r w:rsidR="009E6D2C" w:rsidRPr="009654F0">
        <w:rPr>
          <w:kern w:val="22"/>
        </w:rPr>
        <w:t xml:space="preserve">the United Nations Environment Programme </w:t>
      </w:r>
      <w:r w:rsidR="0012066F">
        <w:rPr>
          <w:kern w:val="22"/>
        </w:rPr>
        <w:t>(</w:t>
      </w:r>
      <w:r w:rsidRPr="009654F0">
        <w:rPr>
          <w:kern w:val="22"/>
        </w:rPr>
        <w:t>UNEP</w:t>
      </w:r>
      <w:r w:rsidR="0012066F">
        <w:rPr>
          <w:kern w:val="22"/>
        </w:rPr>
        <w:t>)</w:t>
      </w:r>
      <w:r w:rsidRPr="009654F0">
        <w:rPr>
          <w:kern w:val="22"/>
        </w:rPr>
        <w:t xml:space="preserve">) as well as </w:t>
      </w:r>
      <w:r w:rsidR="0064466D" w:rsidRPr="009654F0">
        <w:rPr>
          <w:kern w:val="22"/>
        </w:rPr>
        <w:t xml:space="preserve">several non-governmental organizations </w:t>
      </w:r>
      <w:r w:rsidRPr="009654F0">
        <w:rPr>
          <w:kern w:val="22"/>
        </w:rPr>
        <w:t>and academics, to assess the economic costs of the loss of biodiversity and its associated ecosystem services</w:t>
      </w:r>
      <w:r w:rsidR="00DB1C6C" w:rsidRPr="009654F0">
        <w:rPr>
          <w:kern w:val="22"/>
        </w:rPr>
        <w:t>,</w:t>
      </w:r>
      <w:r w:rsidRPr="009654F0">
        <w:rPr>
          <w:kern w:val="22"/>
        </w:rPr>
        <w:t xml:space="preserve"> and the benefits of action.</w:t>
      </w:r>
    </w:p>
    <w:p w14:paraId="5760B885" w14:textId="6A28FA24" w:rsidR="00937F99" w:rsidRPr="009654F0" w:rsidRDefault="005F0B3F">
      <w:pPr>
        <w:pStyle w:val="Para1"/>
        <w:suppressLineNumbers/>
        <w:tabs>
          <w:tab w:val="clear" w:pos="360"/>
        </w:tabs>
        <w:suppressAutoHyphens/>
        <w:rPr>
          <w:kern w:val="22"/>
        </w:rPr>
      </w:pPr>
      <w:r w:rsidRPr="009654F0">
        <w:rPr>
          <w:kern w:val="22"/>
        </w:rPr>
        <w:t>Concerns about the need for</w:t>
      </w:r>
      <w:r w:rsidR="00937F99" w:rsidRPr="009654F0">
        <w:rPr>
          <w:kern w:val="22"/>
        </w:rPr>
        <w:t xml:space="preserve"> a </w:t>
      </w:r>
      <w:r w:rsidRPr="009654F0">
        <w:rPr>
          <w:kern w:val="22"/>
        </w:rPr>
        <w:t xml:space="preserve">more robust and </w:t>
      </w:r>
      <w:r w:rsidR="00937F99" w:rsidRPr="009654F0">
        <w:rPr>
          <w:kern w:val="22"/>
        </w:rPr>
        <w:t>transparent methodology for reporting on resource mobilization</w:t>
      </w:r>
      <w:r w:rsidRPr="009654F0">
        <w:rPr>
          <w:kern w:val="22"/>
        </w:rPr>
        <w:t xml:space="preserve"> have been recogni</w:t>
      </w:r>
      <w:r w:rsidR="00387B0B" w:rsidRPr="009654F0">
        <w:rPr>
          <w:kern w:val="22"/>
        </w:rPr>
        <w:t>z</w:t>
      </w:r>
      <w:r w:rsidRPr="009654F0">
        <w:rPr>
          <w:kern w:val="22"/>
        </w:rPr>
        <w:t>ed, for instance in a workshop in Mexico City in 2015, but</w:t>
      </w:r>
      <w:r w:rsidR="00246243" w:rsidRPr="009654F0">
        <w:rPr>
          <w:kern w:val="22"/>
        </w:rPr>
        <w:t xml:space="preserve"> more work is needed to develop agreed </w:t>
      </w:r>
      <w:r w:rsidR="00937F99" w:rsidRPr="009654F0">
        <w:rPr>
          <w:kern w:val="22"/>
        </w:rPr>
        <w:t xml:space="preserve">voluntary guidance in order to facilitate financial reporting. Some challenges </w:t>
      </w:r>
      <w:r w:rsidRPr="009654F0">
        <w:rPr>
          <w:kern w:val="22"/>
        </w:rPr>
        <w:t>also remain</w:t>
      </w:r>
      <w:r w:rsidR="00937F99" w:rsidRPr="009654F0">
        <w:rPr>
          <w:kern w:val="22"/>
        </w:rPr>
        <w:t xml:space="preserve"> on how Rio </w:t>
      </w:r>
      <w:r w:rsidR="00815048" w:rsidRPr="009654F0">
        <w:rPr>
          <w:kern w:val="22"/>
        </w:rPr>
        <w:t>m</w:t>
      </w:r>
      <w:r w:rsidR="00937F99" w:rsidRPr="009654F0">
        <w:rPr>
          <w:kern w:val="22"/>
        </w:rPr>
        <w:t>arkers are used under the Convention. The revis</w:t>
      </w:r>
      <w:r w:rsidR="0051363A" w:rsidRPr="009654F0">
        <w:rPr>
          <w:kern w:val="22"/>
        </w:rPr>
        <w:t>ed</w:t>
      </w:r>
      <w:r w:rsidR="00937F99" w:rsidRPr="009654F0">
        <w:rPr>
          <w:kern w:val="22"/>
        </w:rPr>
        <w:t xml:space="preserve"> Rio marker guidance for </w:t>
      </w:r>
      <w:r w:rsidR="00EE7740" w:rsidRPr="009654F0">
        <w:rPr>
          <w:kern w:val="22"/>
        </w:rPr>
        <w:t xml:space="preserve">the </w:t>
      </w:r>
      <w:r w:rsidR="00157830" w:rsidRPr="009654F0">
        <w:rPr>
          <w:kern w:val="22"/>
        </w:rPr>
        <w:t>Creditor Reporting System (</w:t>
      </w:r>
      <w:r w:rsidR="00937F99" w:rsidRPr="009654F0">
        <w:rPr>
          <w:kern w:val="22"/>
        </w:rPr>
        <w:t>CRS</w:t>
      </w:r>
      <w:r w:rsidR="00157830" w:rsidRPr="009654F0">
        <w:rPr>
          <w:kern w:val="22"/>
        </w:rPr>
        <w:t>)</w:t>
      </w:r>
      <w:r w:rsidR="00937F99" w:rsidRPr="009654F0">
        <w:rPr>
          <w:kern w:val="22"/>
        </w:rPr>
        <w:t xml:space="preserve"> reporting on biodiversity</w:t>
      </w:r>
      <w:r w:rsidR="0051363A" w:rsidRPr="009654F0">
        <w:rPr>
          <w:kern w:val="22"/>
        </w:rPr>
        <w:t>,</w:t>
      </w:r>
      <w:r w:rsidR="00937F99" w:rsidRPr="009654F0">
        <w:rPr>
          <w:kern w:val="22"/>
        </w:rPr>
        <w:t xml:space="preserve"> adopted by OECD in 2019</w:t>
      </w:r>
      <w:r w:rsidR="0051363A" w:rsidRPr="009654F0">
        <w:rPr>
          <w:kern w:val="22"/>
        </w:rPr>
        <w:t>,</w:t>
      </w:r>
      <w:r w:rsidR="00937F99" w:rsidRPr="009654F0">
        <w:rPr>
          <w:kern w:val="22"/>
        </w:rPr>
        <w:t xml:space="preserve"> will improve </w:t>
      </w:r>
      <w:r w:rsidR="005D6E38">
        <w:rPr>
          <w:kern w:val="22"/>
        </w:rPr>
        <w:t xml:space="preserve">the </w:t>
      </w:r>
      <w:r w:rsidR="00937F99" w:rsidRPr="009654F0">
        <w:rPr>
          <w:kern w:val="22"/>
        </w:rPr>
        <w:t xml:space="preserve">coherence of </w:t>
      </w:r>
      <w:r w:rsidR="00E245B9" w:rsidRPr="009654F0">
        <w:rPr>
          <w:kern w:val="22"/>
          <w:szCs w:val="22"/>
        </w:rPr>
        <w:t>official development assistance</w:t>
      </w:r>
      <w:r w:rsidR="00E245B9" w:rsidRPr="009654F0">
        <w:rPr>
          <w:kern w:val="22"/>
        </w:rPr>
        <w:t xml:space="preserve"> (</w:t>
      </w:r>
      <w:r w:rsidR="00937F99" w:rsidRPr="009654F0">
        <w:rPr>
          <w:kern w:val="22"/>
        </w:rPr>
        <w:t>ODA</w:t>
      </w:r>
      <w:r w:rsidR="00E245B9" w:rsidRPr="009654F0">
        <w:rPr>
          <w:kern w:val="22"/>
        </w:rPr>
        <w:t>)</w:t>
      </w:r>
      <w:r w:rsidR="00937F99" w:rsidRPr="009654F0">
        <w:rPr>
          <w:kern w:val="22"/>
        </w:rPr>
        <w:t xml:space="preserve"> reporting on biodiversity from OECD countries. Extension and expansion of the BIOFIN </w:t>
      </w:r>
      <w:r w:rsidR="00CF21AA" w:rsidRPr="009654F0">
        <w:rPr>
          <w:kern w:val="22"/>
        </w:rPr>
        <w:t xml:space="preserve">methodology </w:t>
      </w:r>
      <w:r w:rsidR="00937F99" w:rsidRPr="009654F0">
        <w:rPr>
          <w:kern w:val="22"/>
        </w:rPr>
        <w:t>can also improve the reporting of domestic funding.</w:t>
      </w:r>
    </w:p>
    <w:p w14:paraId="19D46587" w14:textId="7CFC2751" w:rsidR="00466935" w:rsidRPr="009654F0" w:rsidRDefault="00466935">
      <w:pPr>
        <w:pStyle w:val="Para1"/>
        <w:suppressLineNumbers/>
        <w:tabs>
          <w:tab w:val="clear" w:pos="360"/>
        </w:tabs>
        <w:suppressAutoHyphens/>
        <w:rPr>
          <w:kern w:val="22"/>
        </w:rPr>
      </w:pPr>
      <w:r w:rsidRPr="009654F0">
        <w:rPr>
          <w:kern w:val="22"/>
        </w:rPr>
        <w:t>A key question for the future is therefore how best to ensure the most consistent and reliable methodology to be used for tracking the mobili</w:t>
      </w:r>
      <w:r w:rsidR="00387B0B" w:rsidRPr="009654F0">
        <w:rPr>
          <w:kern w:val="22"/>
        </w:rPr>
        <w:t>z</w:t>
      </w:r>
      <w:r w:rsidRPr="009654F0">
        <w:rPr>
          <w:kern w:val="22"/>
        </w:rPr>
        <w:t>ation of resources for biodiversity in future, and in particular the extent to which the biodiversity community decides to develop its own bespoke approach, or else aligns fully with established international statistical standards and reporting arrangements. It is noteworthy that the ongoing work in the OECD Environment Directorate on developing a methodology for a comprehensive overview of global biodiversity finance reveals substantial differences between countries in how they report on both national and international expenditure on biodiversity.</w:t>
      </w:r>
    </w:p>
    <w:p w14:paraId="3E36AB9A" w14:textId="707D3B72" w:rsidR="00466935" w:rsidRPr="009654F0" w:rsidRDefault="00466935">
      <w:pPr>
        <w:pStyle w:val="Para1"/>
        <w:suppressLineNumbers/>
        <w:tabs>
          <w:tab w:val="clear" w:pos="360"/>
        </w:tabs>
        <w:suppressAutoHyphens/>
        <w:rPr>
          <w:kern w:val="22"/>
        </w:rPr>
      </w:pPr>
      <w:r w:rsidRPr="009654F0">
        <w:rPr>
          <w:kern w:val="22"/>
        </w:rPr>
        <w:lastRenderedPageBreak/>
        <w:t xml:space="preserve">The use of the OECD Creditor Reporting </w:t>
      </w:r>
      <w:r w:rsidR="00157830" w:rsidRPr="009654F0">
        <w:rPr>
          <w:kern w:val="22"/>
        </w:rPr>
        <w:t>System</w:t>
      </w:r>
      <w:r w:rsidRPr="009654F0">
        <w:rPr>
          <w:kern w:val="22"/>
        </w:rPr>
        <w:t xml:space="preserve">, and the accuracy of the Rio marker methodology, could usefully be enhanced, with non-members of the OECD </w:t>
      </w:r>
      <w:r w:rsidR="005B01C4" w:rsidRPr="009654F0">
        <w:rPr>
          <w:kern w:val="22"/>
          <w:szCs w:val="22"/>
          <w:lang w:eastAsia="en-GB"/>
        </w:rPr>
        <w:t>Development Assistance Committee</w:t>
      </w:r>
      <w:r w:rsidR="005B01C4" w:rsidRPr="009654F0">
        <w:rPr>
          <w:kern w:val="22"/>
        </w:rPr>
        <w:t xml:space="preserve"> (</w:t>
      </w:r>
      <w:r w:rsidRPr="009654F0">
        <w:rPr>
          <w:kern w:val="22"/>
        </w:rPr>
        <w:t>DAC</w:t>
      </w:r>
      <w:r w:rsidR="005B01C4" w:rsidRPr="009654F0">
        <w:rPr>
          <w:kern w:val="22"/>
        </w:rPr>
        <w:t>)</w:t>
      </w:r>
      <w:r w:rsidRPr="009654F0">
        <w:rPr>
          <w:kern w:val="22"/>
        </w:rPr>
        <w:t xml:space="preserve"> as well as multilateral development banks invited to contribute data on a voluntary and consistent basis.</w:t>
      </w:r>
    </w:p>
    <w:p w14:paraId="7DEBC987" w14:textId="0F5E6959" w:rsidR="00466935" w:rsidRPr="009654F0" w:rsidRDefault="00466935">
      <w:pPr>
        <w:pStyle w:val="Para1"/>
        <w:suppressLineNumbers/>
        <w:tabs>
          <w:tab w:val="clear" w:pos="360"/>
        </w:tabs>
        <w:suppressAutoHyphens/>
        <w:rPr>
          <w:kern w:val="22"/>
        </w:rPr>
      </w:pPr>
      <w:r w:rsidRPr="009654F0">
        <w:rPr>
          <w:kern w:val="22"/>
        </w:rPr>
        <w:t xml:space="preserve">Data on domestic expenditure on biodiversity, and expenditure indirectly related to biodiversity, could be improved through engaging with the </w:t>
      </w:r>
      <w:r w:rsidR="005F33BE" w:rsidRPr="009654F0">
        <w:rPr>
          <w:kern w:val="22"/>
        </w:rPr>
        <w:t xml:space="preserve">International Monetary Fund’s </w:t>
      </w:r>
      <w:r w:rsidRPr="009654F0">
        <w:rPr>
          <w:kern w:val="22"/>
        </w:rPr>
        <w:t xml:space="preserve">Government Finance Statistics framework, the </w:t>
      </w:r>
      <w:r w:rsidR="00032DA4" w:rsidRPr="009654F0">
        <w:rPr>
          <w:kern w:val="22"/>
        </w:rPr>
        <w:t>United Nations Committee of Experts on Environmental-Economic Accounting (</w:t>
      </w:r>
      <w:r w:rsidRPr="009654F0">
        <w:rPr>
          <w:kern w:val="22"/>
        </w:rPr>
        <w:t>UNCEEA</w:t>
      </w:r>
      <w:r w:rsidR="00032DA4" w:rsidRPr="009654F0">
        <w:rPr>
          <w:kern w:val="22"/>
        </w:rPr>
        <w:t>)</w:t>
      </w:r>
      <w:r w:rsidRPr="009654F0">
        <w:rPr>
          <w:kern w:val="22"/>
        </w:rPr>
        <w:t xml:space="preserve"> and the </w:t>
      </w:r>
      <w:r w:rsidR="00651F80" w:rsidRPr="009654F0">
        <w:rPr>
          <w:kern w:val="22"/>
        </w:rPr>
        <w:t>United Nations</w:t>
      </w:r>
      <w:r w:rsidRPr="009654F0">
        <w:rPr>
          <w:kern w:val="22"/>
        </w:rPr>
        <w:t xml:space="preserve"> Statistics Division.</w:t>
      </w:r>
    </w:p>
    <w:p w14:paraId="179E47FE" w14:textId="73236AA5" w:rsidR="004C702C" w:rsidRPr="009654F0" w:rsidRDefault="00466935">
      <w:pPr>
        <w:pStyle w:val="Para1"/>
        <w:suppressLineNumbers/>
        <w:tabs>
          <w:tab w:val="clear" w:pos="360"/>
        </w:tabs>
        <w:suppressAutoHyphens/>
        <w:rPr>
          <w:kern w:val="22"/>
        </w:rPr>
      </w:pPr>
      <w:r w:rsidRPr="009654F0">
        <w:rPr>
          <w:kern w:val="22"/>
        </w:rPr>
        <w:t>Data on financial flows and subsidies and their impacts on biodiversity are already captured in the relevant OECD databases, namely Producer Support Estimate (PSE) in agriculture and Policy Instruments for the Environment (PINE). This could be encouraged and broadened, for instance by also covering other economic sectors, such as through the Fisheries Support Estimate (FSE) database.</w:t>
      </w:r>
    </w:p>
    <w:p w14:paraId="7FBC8D6A" w14:textId="30BF3673" w:rsidR="007177DD" w:rsidRPr="009654F0" w:rsidRDefault="007177DD">
      <w:pPr>
        <w:pStyle w:val="Heading4"/>
        <w:suppressLineNumbers/>
        <w:suppressAutoHyphens/>
        <w:rPr>
          <w:i w:val="0"/>
          <w:kern w:val="22"/>
        </w:rPr>
      </w:pPr>
      <w:r w:rsidRPr="009654F0">
        <w:rPr>
          <w:i w:val="0"/>
          <w:kern w:val="22"/>
        </w:rPr>
        <w:t>Goal 2: Strengthen national capacity for resource utilization and mobilize domestic financial resources for the Convention’s three objectives</w:t>
      </w:r>
    </w:p>
    <w:p w14:paraId="614CE165" w14:textId="33FC2239" w:rsidR="007177DD" w:rsidRPr="009654F0" w:rsidRDefault="002D6FF3">
      <w:pPr>
        <w:pStyle w:val="Para1"/>
        <w:suppressLineNumbers/>
        <w:tabs>
          <w:tab w:val="clear" w:pos="360"/>
        </w:tabs>
        <w:suppressAutoHyphens/>
        <w:rPr>
          <w:kern w:val="22"/>
        </w:rPr>
      </w:pPr>
      <w:r w:rsidRPr="009654F0">
        <w:rPr>
          <w:kern w:val="22"/>
        </w:rPr>
        <w:t xml:space="preserve">With regard to progress towards </w:t>
      </w:r>
      <w:r w:rsidR="00B7677E" w:rsidRPr="009654F0">
        <w:rPr>
          <w:kern w:val="22"/>
        </w:rPr>
        <w:t>g</w:t>
      </w:r>
      <w:r w:rsidRPr="009654F0">
        <w:rPr>
          <w:kern w:val="22"/>
        </w:rPr>
        <w:t>oal 2, an analysis of the financial reporting frameworks</w:t>
      </w:r>
      <w:r w:rsidRPr="009654F0">
        <w:rPr>
          <w:rStyle w:val="FootnoteReference"/>
          <w:kern w:val="22"/>
        </w:rPr>
        <w:footnoteReference w:id="8"/>
      </w:r>
      <w:r w:rsidRPr="009654F0">
        <w:rPr>
          <w:kern w:val="22"/>
        </w:rPr>
        <w:t xml:space="preserve"> submitted to the </w:t>
      </w:r>
      <w:r w:rsidR="0005034C" w:rsidRPr="001D3233">
        <w:rPr>
          <w:kern w:val="22"/>
        </w:rPr>
        <w:t xml:space="preserve">Secretariat </w:t>
      </w:r>
      <w:r w:rsidR="0005034C">
        <w:rPr>
          <w:kern w:val="22"/>
        </w:rPr>
        <w:t xml:space="preserve">of the </w:t>
      </w:r>
      <w:r w:rsidRPr="009654F0">
        <w:rPr>
          <w:kern w:val="22"/>
        </w:rPr>
        <w:t>Convention reveals that, while only 25 of the 78 Parties (32</w:t>
      </w:r>
      <w:r w:rsidR="00CB4842" w:rsidRPr="009654F0">
        <w:rPr>
          <w:kern w:val="22"/>
        </w:rPr>
        <w:t> per cent</w:t>
      </w:r>
      <w:r w:rsidRPr="009654F0">
        <w:rPr>
          <w:kern w:val="22"/>
        </w:rPr>
        <w:t xml:space="preserve">) </w:t>
      </w:r>
      <w:r w:rsidR="007177DD" w:rsidRPr="009654F0">
        <w:rPr>
          <w:kern w:val="22"/>
        </w:rPr>
        <w:t>which had submitted returns had comprehensively included biodiversity in national priorities or development plans, thus falling well short of the “at least 75</w:t>
      </w:r>
      <w:r w:rsidR="00CB4842" w:rsidRPr="009654F0">
        <w:rPr>
          <w:kern w:val="22"/>
        </w:rPr>
        <w:t> per cent</w:t>
      </w:r>
      <w:r w:rsidR="007177DD" w:rsidRPr="009654F0">
        <w:rPr>
          <w:kern w:val="22"/>
        </w:rPr>
        <w:t xml:space="preserve"> of Parties” target for 2015</w:t>
      </w:r>
      <w:r w:rsidR="00C96044" w:rsidRPr="009654F0">
        <w:rPr>
          <w:kern w:val="22"/>
        </w:rPr>
        <w:t>, the majority of respondents cited in that document had made some efforts in this direction</w:t>
      </w:r>
      <w:r w:rsidR="007177DD" w:rsidRPr="009654F0">
        <w:rPr>
          <w:kern w:val="22"/>
        </w:rPr>
        <w:t>.</w:t>
      </w:r>
      <w:r w:rsidR="00EF3EBB" w:rsidRPr="009654F0">
        <w:rPr>
          <w:kern w:val="22"/>
        </w:rPr>
        <w:t xml:space="preserve"> Goal 2 of the </w:t>
      </w:r>
      <w:r w:rsidR="002B2E58" w:rsidRPr="009654F0">
        <w:rPr>
          <w:kern w:val="22"/>
        </w:rPr>
        <w:t>strategy for resource mobilization</w:t>
      </w:r>
      <w:r w:rsidR="00302848" w:rsidRPr="009654F0" w:rsidDel="00302848">
        <w:rPr>
          <w:kern w:val="22"/>
        </w:rPr>
        <w:t xml:space="preserve"> </w:t>
      </w:r>
      <w:r w:rsidR="00EF3EBB" w:rsidRPr="009654F0">
        <w:rPr>
          <w:kern w:val="22"/>
        </w:rPr>
        <w:t xml:space="preserve">also </w:t>
      </w:r>
      <w:r w:rsidR="00525756" w:rsidRPr="009654F0">
        <w:rPr>
          <w:kern w:val="22"/>
        </w:rPr>
        <w:t>encompasses diverse elements, on each of which there has at least been some progress, albeit uneven.</w:t>
      </w:r>
    </w:p>
    <w:p w14:paraId="1AFAA782" w14:textId="48D42F1A" w:rsidR="00FC2C36" w:rsidRPr="009654F0" w:rsidRDefault="00205C96">
      <w:pPr>
        <w:pStyle w:val="Para1"/>
        <w:suppressLineNumbers/>
        <w:tabs>
          <w:tab w:val="clear" w:pos="360"/>
        </w:tabs>
        <w:suppressAutoHyphens/>
        <w:rPr>
          <w:kern w:val="22"/>
        </w:rPr>
      </w:pPr>
      <w:r w:rsidRPr="009654F0">
        <w:rPr>
          <w:kern w:val="22"/>
        </w:rPr>
        <w:t>A total of 7</w:t>
      </w:r>
      <w:r w:rsidR="002D6FF3" w:rsidRPr="009654F0">
        <w:rPr>
          <w:kern w:val="22"/>
        </w:rPr>
        <w:t xml:space="preserve">6 </w:t>
      </w:r>
      <w:r w:rsidRPr="009654F0">
        <w:rPr>
          <w:kern w:val="22"/>
        </w:rPr>
        <w:t xml:space="preserve">Parties responded </w:t>
      </w:r>
      <w:r w:rsidR="00112A42" w:rsidRPr="009654F0">
        <w:rPr>
          <w:kern w:val="22"/>
        </w:rPr>
        <w:t xml:space="preserve">as </w:t>
      </w:r>
      <w:r w:rsidRPr="009654F0">
        <w:rPr>
          <w:kern w:val="22"/>
        </w:rPr>
        <w:t xml:space="preserve">to whether they had assessed and/or evaluated the intrinsic, ecological, genetic, socioeconomic, scientific, educational, cultural, recreational and aesthetic values of biological diversity and its components. While only four Parties (Finland, Japan, the Netherlands and Norway), or </w:t>
      </w:r>
      <w:r w:rsidR="002D6FF3" w:rsidRPr="009654F0">
        <w:rPr>
          <w:kern w:val="22"/>
        </w:rPr>
        <w:t>5 </w:t>
      </w:r>
      <w:r w:rsidRPr="009654F0">
        <w:rPr>
          <w:kern w:val="22"/>
        </w:rPr>
        <w:t>per cent</w:t>
      </w:r>
      <w:r w:rsidR="00926107" w:rsidRPr="009654F0">
        <w:rPr>
          <w:kern w:val="22"/>
        </w:rPr>
        <w:t xml:space="preserve"> of respondents</w:t>
      </w:r>
      <w:r w:rsidRPr="009654F0">
        <w:rPr>
          <w:kern w:val="22"/>
        </w:rPr>
        <w:t xml:space="preserve">, indicated that comprehensive assessments had been undertaken, </w:t>
      </w:r>
      <w:r w:rsidR="002D6FF3" w:rsidRPr="009654F0">
        <w:rPr>
          <w:kern w:val="22"/>
        </w:rPr>
        <w:t>88 </w:t>
      </w:r>
      <w:r w:rsidRPr="009654F0">
        <w:rPr>
          <w:kern w:val="22"/>
        </w:rPr>
        <w:t>per</w:t>
      </w:r>
      <w:r w:rsidR="00124F1F" w:rsidRPr="009654F0">
        <w:rPr>
          <w:kern w:val="22"/>
        </w:rPr>
        <w:t> </w:t>
      </w:r>
      <w:r w:rsidRPr="009654F0">
        <w:rPr>
          <w:kern w:val="22"/>
        </w:rPr>
        <w:t xml:space="preserve">cent of reporting countries, or </w:t>
      </w:r>
      <w:r w:rsidR="002D6FF3" w:rsidRPr="009654F0">
        <w:rPr>
          <w:kern w:val="22"/>
        </w:rPr>
        <w:t>over one third</w:t>
      </w:r>
      <w:r w:rsidRPr="009654F0">
        <w:rPr>
          <w:kern w:val="22"/>
        </w:rPr>
        <w:t xml:space="preserve"> of all Parties, reported having undertaken at least some assessments.</w:t>
      </w:r>
    </w:p>
    <w:p w14:paraId="13D6BD2F" w14:textId="6AB9A298" w:rsidR="00525756" w:rsidRPr="009654F0" w:rsidRDefault="00525756">
      <w:pPr>
        <w:pStyle w:val="Para1"/>
        <w:suppressLineNumbers/>
        <w:tabs>
          <w:tab w:val="clear" w:pos="360"/>
        </w:tabs>
        <w:suppressAutoHyphens/>
        <w:rPr>
          <w:kern w:val="22"/>
        </w:rPr>
      </w:pPr>
      <w:r w:rsidRPr="009654F0">
        <w:rPr>
          <w:kern w:val="22"/>
        </w:rPr>
        <w:t xml:space="preserve">In the revised </w:t>
      </w:r>
      <w:r w:rsidR="006C18BE" w:rsidRPr="009654F0">
        <w:rPr>
          <w:kern w:val="22"/>
        </w:rPr>
        <w:t>national biodiversity strategies and action plans (</w:t>
      </w:r>
      <w:r w:rsidRPr="009654F0">
        <w:rPr>
          <w:kern w:val="22"/>
        </w:rPr>
        <w:t>NBSAPs</w:t>
      </w:r>
      <w:r w:rsidR="006C18BE" w:rsidRPr="009654F0">
        <w:rPr>
          <w:kern w:val="22"/>
        </w:rPr>
        <w:t>)</w:t>
      </w:r>
      <w:r w:rsidRPr="009654F0">
        <w:rPr>
          <w:kern w:val="22"/>
        </w:rPr>
        <w:t>, a total of 32 Parties state</w:t>
      </w:r>
      <w:r w:rsidR="00A83CAF" w:rsidRPr="009654F0">
        <w:rPr>
          <w:kern w:val="22"/>
        </w:rPr>
        <w:t>d</w:t>
      </w:r>
      <w:r w:rsidRPr="009654F0">
        <w:rPr>
          <w:kern w:val="22"/>
        </w:rPr>
        <w:t xml:space="preserve"> that biodiversity ha</w:t>
      </w:r>
      <w:r w:rsidR="00A83CAF" w:rsidRPr="009654F0">
        <w:rPr>
          <w:kern w:val="22"/>
        </w:rPr>
        <w:t>d</w:t>
      </w:r>
      <w:r w:rsidRPr="009654F0">
        <w:rPr>
          <w:kern w:val="22"/>
        </w:rPr>
        <w:t xml:space="preserve"> been integrated into their national development plan or equivalent instrument, while 21 Parties mention</w:t>
      </w:r>
      <w:r w:rsidR="00A83CAF" w:rsidRPr="009654F0">
        <w:rPr>
          <w:kern w:val="22"/>
        </w:rPr>
        <w:t>ed</w:t>
      </w:r>
      <w:r w:rsidRPr="009654F0">
        <w:rPr>
          <w:kern w:val="22"/>
        </w:rPr>
        <w:t xml:space="preserve"> integration with their sustainable development plans or equivalent instruments, and 44 Parties refer</w:t>
      </w:r>
      <w:r w:rsidR="00A83CAF" w:rsidRPr="009654F0">
        <w:rPr>
          <w:kern w:val="22"/>
        </w:rPr>
        <w:t>red</w:t>
      </w:r>
      <w:r w:rsidRPr="009654F0">
        <w:rPr>
          <w:kern w:val="22"/>
        </w:rPr>
        <w:t xml:space="preserve"> to links to poverty eradication and/or to integrat</w:t>
      </w:r>
      <w:r w:rsidR="003163D9" w:rsidRPr="009654F0">
        <w:rPr>
          <w:kern w:val="22"/>
        </w:rPr>
        <w:t>ing</w:t>
      </w:r>
      <w:r w:rsidRPr="009654F0">
        <w:rPr>
          <w:kern w:val="22"/>
        </w:rPr>
        <w:t xml:space="preserve"> this objective into their principles, targets and/or actions.</w:t>
      </w:r>
      <w:r w:rsidRPr="009654F0">
        <w:rPr>
          <w:kern w:val="22"/>
          <w:vertAlign w:val="superscript"/>
        </w:rPr>
        <w:footnoteReference w:id="9"/>
      </w:r>
      <w:r w:rsidR="00A56819" w:rsidRPr="009654F0">
        <w:rPr>
          <w:kern w:val="22"/>
        </w:rPr>
        <w:t xml:space="preserve"> </w:t>
      </w:r>
      <w:r w:rsidRPr="009654F0">
        <w:rPr>
          <w:kern w:val="22"/>
        </w:rPr>
        <w:t xml:space="preserve">Some Parties reported comprehensive action in line with </w:t>
      </w:r>
      <w:r w:rsidR="00B7677E" w:rsidRPr="009654F0">
        <w:rPr>
          <w:kern w:val="22"/>
        </w:rPr>
        <w:t>g</w:t>
      </w:r>
      <w:r w:rsidRPr="009654F0">
        <w:rPr>
          <w:kern w:val="22"/>
        </w:rPr>
        <w:t xml:space="preserve">oal 2. Uganda, for instance, noted that its </w:t>
      </w:r>
      <w:r w:rsidR="00974BC1" w:rsidRPr="009654F0">
        <w:rPr>
          <w:kern w:val="22"/>
        </w:rPr>
        <w:t>n</w:t>
      </w:r>
      <w:r w:rsidRPr="009654F0">
        <w:rPr>
          <w:kern w:val="22"/>
        </w:rPr>
        <w:t xml:space="preserve">ational </w:t>
      </w:r>
      <w:r w:rsidR="00974BC1" w:rsidRPr="009654F0">
        <w:rPr>
          <w:kern w:val="22"/>
        </w:rPr>
        <w:t>b</w:t>
      </w:r>
      <w:r w:rsidRPr="009654F0">
        <w:rPr>
          <w:kern w:val="22"/>
        </w:rPr>
        <w:t xml:space="preserve">iodiversity </w:t>
      </w:r>
      <w:r w:rsidR="00974BC1" w:rsidRPr="009654F0">
        <w:rPr>
          <w:kern w:val="22"/>
        </w:rPr>
        <w:t>s</w:t>
      </w:r>
      <w:r w:rsidRPr="009654F0">
        <w:rPr>
          <w:kern w:val="22"/>
        </w:rPr>
        <w:t xml:space="preserve">trategy and </w:t>
      </w:r>
      <w:r w:rsidR="00974BC1" w:rsidRPr="009654F0">
        <w:rPr>
          <w:kern w:val="22"/>
        </w:rPr>
        <w:t>a</w:t>
      </w:r>
      <w:r w:rsidRPr="009654F0">
        <w:rPr>
          <w:kern w:val="22"/>
        </w:rPr>
        <w:t xml:space="preserve">ction </w:t>
      </w:r>
      <w:r w:rsidR="00974BC1" w:rsidRPr="009654F0">
        <w:rPr>
          <w:kern w:val="22"/>
        </w:rPr>
        <w:t>p</w:t>
      </w:r>
      <w:r w:rsidRPr="009654F0">
        <w:rPr>
          <w:kern w:val="22"/>
        </w:rPr>
        <w:t>lan 2015-2025 had been mainstreamed into its National Development Plan.</w:t>
      </w:r>
    </w:p>
    <w:p w14:paraId="3A2DCF04" w14:textId="05AEB8AD" w:rsidR="00703099" w:rsidRPr="009654F0" w:rsidRDefault="00703099">
      <w:pPr>
        <w:pStyle w:val="Para1"/>
        <w:suppressLineNumbers/>
        <w:tabs>
          <w:tab w:val="clear" w:pos="360"/>
        </w:tabs>
        <w:suppressAutoHyphens/>
        <w:rPr>
          <w:kern w:val="22"/>
        </w:rPr>
      </w:pPr>
      <w:r w:rsidRPr="009654F0">
        <w:rPr>
          <w:kern w:val="22"/>
        </w:rPr>
        <w:t xml:space="preserve">In terms of reporting on domestic biodiversity expenditure, almost </w:t>
      </w:r>
      <w:r w:rsidR="002D6FF3" w:rsidRPr="009654F0">
        <w:rPr>
          <w:kern w:val="22"/>
        </w:rPr>
        <w:t xml:space="preserve">all Parties </w:t>
      </w:r>
      <w:r w:rsidR="009012A1" w:rsidRPr="009654F0">
        <w:rPr>
          <w:kern w:val="22"/>
        </w:rPr>
        <w:t xml:space="preserve">reporting </w:t>
      </w:r>
      <w:r w:rsidR="002D6FF3" w:rsidRPr="009654F0">
        <w:rPr>
          <w:kern w:val="22"/>
        </w:rPr>
        <w:t>(77 out of 81)</w:t>
      </w:r>
      <w:r w:rsidR="00CB4842" w:rsidRPr="009654F0">
        <w:rPr>
          <w:kern w:val="22"/>
        </w:rPr>
        <w:t xml:space="preserve"> </w:t>
      </w:r>
      <w:r w:rsidR="00A56819" w:rsidRPr="009654F0">
        <w:rPr>
          <w:kern w:val="22"/>
        </w:rPr>
        <w:t>included information on</w:t>
      </w:r>
      <w:r w:rsidRPr="009654F0">
        <w:rPr>
          <w:kern w:val="22"/>
        </w:rPr>
        <w:t xml:space="preserve"> their annual financial support provided for domestic biodiversity-related activities. </w:t>
      </w:r>
      <w:r w:rsidR="00A56819" w:rsidRPr="009654F0">
        <w:rPr>
          <w:kern w:val="22"/>
        </w:rPr>
        <w:t>However,</w:t>
      </w:r>
      <w:r w:rsidRPr="009654F0">
        <w:rPr>
          <w:kern w:val="22"/>
        </w:rPr>
        <w:t xml:space="preserve"> </w:t>
      </w:r>
      <w:r w:rsidR="00073DED" w:rsidRPr="009654F0">
        <w:rPr>
          <w:kern w:val="22"/>
        </w:rPr>
        <w:t xml:space="preserve">this </w:t>
      </w:r>
      <w:r w:rsidRPr="009654F0">
        <w:rPr>
          <w:kern w:val="22"/>
        </w:rPr>
        <w:t xml:space="preserve">represents </w:t>
      </w:r>
      <w:r w:rsidR="00A56819" w:rsidRPr="009654F0">
        <w:rPr>
          <w:kern w:val="22"/>
        </w:rPr>
        <w:t>less than</w:t>
      </w:r>
      <w:r w:rsidRPr="009654F0">
        <w:rPr>
          <w:kern w:val="22"/>
        </w:rPr>
        <w:t xml:space="preserve"> 40 per cent of all Parties; thus, on a strict interpretation, this element of target 1 (c) of decision XII/3 has not been met.</w:t>
      </w:r>
    </w:p>
    <w:p w14:paraId="565EB166" w14:textId="7D343B93" w:rsidR="00703099" w:rsidRPr="009654F0" w:rsidRDefault="00A56819">
      <w:pPr>
        <w:pStyle w:val="Para1"/>
        <w:suppressLineNumbers/>
        <w:tabs>
          <w:tab w:val="clear" w:pos="360"/>
        </w:tabs>
        <w:suppressAutoHyphens/>
        <w:rPr>
          <w:kern w:val="22"/>
        </w:rPr>
      </w:pPr>
      <w:r w:rsidRPr="009654F0">
        <w:rPr>
          <w:kern w:val="22"/>
        </w:rPr>
        <w:t xml:space="preserve">Some </w:t>
      </w:r>
      <w:r w:rsidR="00703099" w:rsidRPr="009654F0">
        <w:rPr>
          <w:kern w:val="22"/>
        </w:rPr>
        <w:t xml:space="preserve">positive trends in domestic biodiversity finance </w:t>
      </w:r>
      <w:r w:rsidR="002D6FF3" w:rsidRPr="009654F0">
        <w:rPr>
          <w:kern w:val="22"/>
        </w:rPr>
        <w:t>can also be detected</w:t>
      </w:r>
      <w:r w:rsidR="00703099" w:rsidRPr="009654F0">
        <w:rPr>
          <w:kern w:val="22"/>
        </w:rPr>
        <w:t xml:space="preserve">. For instance, in Mexico, biodiversity expenditure increased by 248 per cent from 2006 to 2015 (from US$ 425.6 million to US$ 1,169.8 million); in 2015, public expenditure for biodiversity represented 0.1 per cent of GDP. More broadly, </w:t>
      </w:r>
      <w:r w:rsidR="00D257AB" w:rsidRPr="009654F0">
        <w:rPr>
          <w:kern w:val="22"/>
        </w:rPr>
        <w:t xml:space="preserve">the table </w:t>
      </w:r>
      <w:r w:rsidR="00D257AB" w:rsidRPr="006C6E40">
        <w:rPr>
          <w:kern w:val="22"/>
          <w:szCs w:val="22"/>
        </w:rPr>
        <w:t xml:space="preserve">below, using data synthesized for </w:t>
      </w:r>
      <w:r w:rsidR="00B2042E">
        <w:rPr>
          <w:kern w:val="22"/>
          <w:szCs w:val="22"/>
        </w:rPr>
        <w:t>the note by the Executive Secretary on resource mobilization issued for the fourteenth meeting of the Conference of the Parties</w:t>
      </w:r>
      <w:r w:rsidR="00B2042E" w:rsidRPr="006C6E40">
        <w:rPr>
          <w:kern w:val="22"/>
          <w:szCs w:val="22"/>
        </w:rPr>
        <w:t xml:space="preserve"> </w:t>
      </w:r>
      <w:r w:rsidR="00B2042E">
        <w:rPr>
          <w:kern w:val="22"/>
          <w:szCs w:val="22"/>
        </w:rPr>
        <w:t>(</w:t>
      </w:r>
      <w:hyperlink r:id="rId19" w:history="1">
        <w:r w:rsidR="00D257AB" w:rsidRPr="00C87D72">
          <w:rPr>
            <w:rStyle w:val="Hyperlink"/>
            <w:kern w:val="22"/>
            <w:sz w:val="22"/>
            <w:szCs w:val="22"/>
          </w:rPr>
          <w:t>CBD/COP/14/6</w:t>
        </w:r>
      </w:hyperlink>
      <w:r w:rsidR="00B2042E">
        <w:rPr>
          <w:kern w:val="22"/>
          <w:szCs w:val="22"/>
        </w:rPr>
        <w:t>)</w:t>
      </w:r>
      <w:r w:rsidR="002D6FF3" w:rsidRPr="002D21DA">
        <w:rPr>
          <w:kern w:val="22"/>
          <w:szCs w:val="22"/>
        </w:rPr>
        <w:t xml:space="preserve"> and upd</w:t>
      </w:r>
      <w:r w:rsidR="002D6FF3" w:rsidRPr="00332F88">
        <w:rPr>
          <w:kern w:val="22"/>
          <w:szCs w:val="22"/>
        </w:rPr>
        <w:t>ated with the latest submissions</w:t>
      </w:r>
      <w:r w:rsidR="00D257AB" w:rsidRPr="006C6E40">
        <w:rPr>
          <w:kern w:val="22"/>
          <w:szCs w:val="22"/>
        </w:rPr>
        <w:t xml:space="preserve">, and with the methodological limitations set out </w:t>
      </w:r>
      <w:r w:rsidR="00567F2F" w:rsidRPr="006C6E40">
        <w:rPr>
          <w:kern w:val="22"/>
          <w:szCs w:val="22"/>
        </w:rPr>
        <w:t>in that document</w:t>
      </w:r>
      <w:r w:rsidR="00D257AB" w:rsidRPr="006C6E40">
        <w:rPr>
          <w:kern w:val="22"/>
          <w:szCs w:val="22"/>
        </w:rPr>
        <w:t>, indicates increasing or at least neutral trends in domestic biodiversity finance in the majority of countries.</w:t>
      </w:r>
    </w:p>
    <w:p w14:paraId="4089CF50" w14:textId="57DE78B4" w:rsidR="00BF4C8E" w:rsidRPr="009654F0" w:rsidRDefault="00BF4C8E" w:rsidP="009654F0">
      <w:pPr>
        <w:pStyle w:val="Para1"/>
        <w:keepNext/>
        <w:numPr>
          <w:ilvl w:val="0"/>
          <w:numId w:val="0"/>
        </w:numPr>
        <w:suppressLineNumbers/>
        <w:tabs>
          <w:tab w:val="left" w:pos="851"/>
        </w:tabs>
        <w:suppressAutoHyphens/>
        <w:jc w:val="left"/>
        <w:rPr>
          <w:b/>
          <w:kern w:val="22"/>
        </w:rPr>
      </w:pPr>
      <w:r w:rsidRPr="009654F0">
        <w:rPr>
          <w:b/>
          <w:kern w:val="22"/>
        </w:rPr>
        <w:lastRenderedPageBreak/>
        <w:t xml:space="preserve">Table </w:t>
      </w:r>
      <w:r w:rsidR="00FC7BD5" w:rsidRPr="009654F0">
        <w:rPr>
          <w:b/>
          <w:kern w:val="22"/>
        </w:rPr>
        <w:t>2</w:t>
      </w:r>
      <w:r w:rsidR="007B6159" w:rsidRPr="009654F0">
        <w:rPr>
          <w:b/>
          <w:kern w:val="22"/>
        </w:rPr>
        <w:t>.</w:t>
      </w:r>
      <w:r w:rsidR="00DF5495">
        <w:rPr>
          <w:b/>
          <w:kern w:val="22"/>
        </w:rPr>
        <w:tab/>
      </w:r>
      <w:r w:rsidRPr="009654F0">
        <w:rPr>
          <w:b/>
          <w:kern w:val="22"/>
        </w:rPr>
        <w:t>Domestic expenditure trends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1326"/>
        <w:gridCol w:w="1399"/>
        <w:gridCol w:w="1249"/>
        <w:gridCol w:w="919"/>
        <w:gridCol w:w="1022"/>
      </w:tblGrid>
      <w:tr w:rsidR="00BF4C8E" w:rsidRPr="006C6E40" w14:paraId="08245603" w14:textId="77777777" w:rsidTr="00AB466F">
        <w:trPr>
          <w:cantSplit/>
          <w:jc w:val="center"/>
        </w:trPr>
        <w:tc>
          <w:tcPr>
            <w:tcW w:w="4248" w:type="dxa"/>
            <w:shd w:val="clear" w:color="auto" w:fill="auto"/>
          </w:tcPr>
          <w:p w14:paraId="01E2FE24" w14:textId="1C3DD2D9" w:rsidR="00BF4C8E" w:rsidRPr="006C6E40" w:rsidRDefault="00D35F32">
            <w:pPr>
              <w:keepNext/>
              <w:suppressLineNumbers/>
              <w:suppressAutoHyphens/>
              <w:kinsoku w:val="0"/>
              <w:overflowPunct w:val="0"/>
              <w:autoSpaceDE w:val="0"/>
              <w:autoSpaceDN w:val="0"/>
              <w:adjustRightInd w:val="0"/>
              <w:snapToGrid w:val="0"/>
              <w:ind w:left="360"/>
              <w:rPr>
                <w:snapToGrid w:val="0"/>
                <w:kern w:val="22"/>
                <w:szCs w:val="22"/>
              </w:rPr>
            </w:pPr>
            <w:r>
              <w:rPr>
                <w:snapToGrid w:val="0"/>
                <w:kern w:val="22"/>
                <w:szCs w:val="22"/>
              </w:rPr>
              <w:t>Country</w:t>
            </w:r>
          </w:p>
        </w:tc>
        <w:tc>
          <w:tcPr>
            <w:tcW w:w="1170" w:type="dxa"/>
            <w:shd w:val="clear" w:color="auto" w:fill="auto"/>
          </w:tcPr>
          <w:p w14:paraId="7C3C68E4" w14:textId="77777777" w:rsidR="00BF4C8E" w:rsidRPr="006C6E40" w:rsidRDefault="00BF4C8E" w:rsidP="009654F0">
            <w:pPr>
              <w:keepNext/>
              <w:suppressLineNumbers/>
              <w:suppressAutoHyphens/>
              <w:kinsoku w:val="0"/>
              <w:overflowPunct w:val="0"/>
              <w:autoSpaceDE w:val="0"/>
              <w:autoSpaceDN w:val="0"/>
              <w:adjustRightInd w:val="0"/>
              <w:snapToGrid w:val="0"/>
              <w:ind w:left="360"/>
              <w:jc w:val="center"/>
              <w:rPr>
                <w:i/>
                <w:snapToGrid w:val="0"/>
                <w:kern w:val="22"/>
                <w:szCs w:val="22"/>
              </w:rPr>
            </w:pPr>
            <w:r w:rsidRPr="006C6E40">
              <w:rPr>
                <w:i/>
                <w:snapToGrid w:val="0"/>
                <w:kern w:val="22"/>
                <w:szCs w:val="22"/>
              </w:rPr>
              <w:t>Increase</w:t>
            </w:r>
          </w:p>
        </w:tc>
        <w:tc>
          <w:tcPr>
            <w:tcW w:w="1080" w:type="dxa"/>
            <w:shd w:val="clear" w:color="auto" w:fill="auto"/>
          </w:tcPr>
          <w:p w14:paraId="3490ED6A" w14:textId="77777777" w:rsidR="00BF4C8E" w:rsidRPr="006C6E40" w:rsidRDefault="00BF4C8E" w:rsidP="009654F0">
            <w:pPr>
              <w:keepNext/>
              <w:suppressLineNumbers/>
              <w:suppressAutoHyphens/>
              <w:kinsoku w:val="0"/>
              <w:overflowPunct w:val="0"/>
              <w:autoSpaceDE w:val="0"/>
              <w:autoSpaceDN w:val="0"/>
              <w:adjustRightInd w:val="0"/>
              <w:snapToGrid w:val="0"/>
              <w:ind w:left="360"/>
              <w:jc w:val="center"/>
              <w:rPr>
                <w:i/>
                <w:snapToGrid w:val="0"/>
                <w:kern w:val="22"/>
                <w:szCs w:val="22"/>
              </w:rPr>
            </w:pPr>
            <w:r w:rsidRPr="006C6E40">
              <w:rPr>
                <w:i/>
                <w:snapToGrid w:val="0"/>
                <w:kern w:val="22"/>
                <w:szCs w:val="22"/>
              </w:rPr>
              <w:t>Decrease</w:t>
            </w:r>
          </w:p>
        </w:tc>
        <w:tc>
          <w:tcPr>
            <w:tcW w:w="1080" w:type="dxa"/>
            <w:shd w:val="clear" w:color="auto" w:fill="auto"/>
          </w:tcPr>
          <w:p w14:paraId="36F0CC5B" w14:textId="77777777" w:rsidR="00BF4C8E" w:rsidRPr="006C6E40" w:rsidRDefault="00BF4C8E" w:rsidP="009654F0">
            <w:pPr>
              <w:keepNext/>
              <w:suppressLineNumbers/>
              <w:suppressAutoHyphens/>
              <w:kinsoku w:val="0"/>
              <w:overflowPunct w:val="0"/>
              <w:autoSpaceDE w:val="0"/>
              <w:autoSpaceDN w:val="0"/>
              <w:adjustRightInd w:val="0"/>
              <w:snapToGrid w:val="0"/>
              <w:ind w:left="360"/>
              <w:jc w:val="center"/>
              <w:rPr>
                <w:i/>
                <w:snapToGrid w:val="0"/>
                <w:kern w:val="22"/>
                <w:szCs w:val="22"/>
              </w:rPr>
            </w:pPr>
            <w:r w:rsidRPr="006C6E40">
              <w:rPr>
                <w:i/>
                <w:snapToGrid w:val="0"/>
                <w:kern w:val="22"/>
                <w:szCs w:val="22"/>
              </w:rPr>
              <w:t>Neutral</w:t>
            </w:r>
          </w:p>
        </w:tc>
        <w:tc>
          <w:tcPr>
            <w:tcW w:w="900" w:type="dxa"/>
            <w:shd w:val="clear" w:color="auto" w:fill="auto"/>
          </w:tcPr>
          <w:p w14:paraId="4EDC9886" w14:textId="77777777" w:rsidR="00BF4C8E" w:rsidRPr="006C6E40" w:rsidRDefault="00BF4C8E" w:rsidP="009654F0">
            <w:pPr>
              <w:keepNext/>
              <w:suppressLineNumbers/>
              <w:suppressAutoHyphens/>
              <w:kinsoku w:val="0"/>
              <w:overflowPunct w:val="0"/>
              <w:autoSpaceDE w:val="0"/>
              <w:autoSpaceDN w:val="0"/>
              <w:adjustRightInd w:val="0"/>
              <w:snapToGrid w:val="0"/>
              <w:ind w:left="360"/>
              <w:jc w:val="center"/>
              <w:rPr>
                <w:i/>
                <w:snapToGrid w:val="0"/>
                <w:kern w:val="22"/>
                <w:szCs w:val="22"/>
              </w:rPr>
            </w:pPr>
            <w:r w:rsidRPr="006C6E40">
              <w:rPr>
                <w:i/>
                <w:snapToGrid w:val="0"/>
                <w:kern w:val="22"/>
                <w:szCs w:val="22"/>
              </w:rPr>
              <w:t>N/A</w:t>
            </w:r>
          </w:p>
        </w:tc>
        <w:tc>
          <w:tcPr>
            <w:tcW w:w="1022" w:type="dxa"/>
            <w:shd w:val="clear" w:color="auto" w:fill="auto"/>
          </w:tcPr>
          <w:p w14:paraId="7FD421DF" w14:textId="77777777" w:rsidR="00BF4C8E" w:rsidRPr="006C6E40" w:rsidRDefault="00BF4C8E" w:rsidP="009654F0">
            <w:pPr>
              <w:keepNext/>
              <w:suppressLineNumbers/>
              <w:suppressAutoHyphens/>
              <w:kinsoku w:val="0"/>
              <w:overflowPunct w:val="0"/>
              <w:autoSpaceDE w:val="0"/>
              <w:autoSpaceDN w:val="0"/>
              <w:adjustRightInd w:val="0"/>
              <w:snapToGrid w:val="0"/>
              <w:ind w:left="360"/>
              <w:jc w:val="center"/>
              <w:rPr>
                <w:i/>
                <w:snapToGrid w:val="0"/>
                <w:kern w:val="22"/>
                <w:szCs w:val="22"/>
              </w:rPr>
            </w:pPr>
            <w:r w:rsidRPr="006C6E40">
              <w:rPr>
                <w:i/>
                <w:snapToGrid w:val="0"/>
                <w:kern w:val="22"/>
                <w:szCs w:val="22"/>
              </w:rPr>
              <w:t>Total</w:t>
            </w:r>
          </w:p>
        </w:tc>
      </w:tr>
      <w:tr w:rsidR="00BF4C8E" w:rsidRPr="006C6E40" w14:paraId="78F91D35" w14:textId="77777777" w:rsidTr="00AB466F">
        <w:trPr>
          <w:cantSplit/>
          <w:jc w:val="center"/>
        </w:trPr>
        <w:tc>
          <w:tcPr>
            <w:tcW w:w="4248" w:type="dxa"/>
            <w:shd w:val="clear" w:color="auto" w:fill="auto"/>
          </w:tcPr>
          <w:p w14:paraId="75045713" w14:textId="77777777" w:rsidR="00BF4C8E" w:rsidRPr="002D21DA" w:rsidRDefault="00BF4C8E" w:rsidP="006C6E40">
            <w:pPr>
              <w:keepNext/>
              <w:suppressLineNumbers/>
              <w:suppressAutoHyphens/>
              <w:kinsoku w:val="0"/>
              <w:overflowPunct w:val="0"/>
              <w:autoSpaceDE w:val="0"/>
              <w:autoSpaceDN w:val="0"/>
              <w:adjustRightInd w:val="0"/>
              <w:snapToGrid w:val="0"/>
              <w:rPr>
                <w:snapToGrid w:val="0"/>
                <w:kern w:val="22"/>
                <w:szCs w:val="22"/>
              </w:rPr>
            </w:pPr>
            <w:r w:rsidRPr="006C6E40">
              <w:rPr>
                <w:snapToGrid w:val="0"/>
                <w:kern w:val="22"/>
                <w:szCs w:val="22"/>
              </w:rPr>
              <w:t>DAC members</w:t>
            </w:r>
          </w:p>
        </w:tc>
        <w:tc>
          <w:tcPr>
            <w:tcW w:w="1170" w:type="dxa"/>
            <w:shd w:val="clear" w:color="auto" w:fill="auto"/>
          </w:tcPr>
          <w:p w14:paraId="428D77A0" w14:textId="77777777" w:rsidR="00BF4C8E" w:rsidRPr="006C6E40" w:rsidRDefault="00BF4C8E">
            <w:pPr>
              <w:keepNext/>
              <w:suppressLineNumbers/>
              <w:suppressAutoHyphens/>
              <w:kinsoku w:val="0"/>
              <w:overflowPunct w:val="0"/>
              <w:autoSpaceDE w:val="0"/>
              <w:autoSpaceDN w:val="0"/>
              <w:adjustRightInd w:val="0"/>
              <w:snapToGrid w:val="0"/>
              <w:ind w:left="360"/>
              <w:jc w:val="center"/>
              <w:rPr>
                <w:snapToGrid w:val="0"/>
                <w:kern w:val="22"/>
                <w:szCs w:val="22"/>
              </w:rPr>
            </w:pPr>
            <w:r w:rsidRPr="006C6E40">
              <w:rPr>
                <w:snapToGrid w:val="0"/>
                <w:kern w:val="22"/>
                <w:szCs w:val="22"/>
              </w:rPr>
              <w:t>7</w:t>
            </w:r>
          </w:p>
        </w:tc>
        <w:tc>
          <w:tcPr>
            <w:tcW w:w="1080" w:type="dxa"/>
            <w:shd w:val="clear" w:color="auto" w:fill="auto"/>
          </w:tcPr>
          <w:p w14:paraId="48331B8D" w14:textId="0CC96670" w:rsidR="00BF4C8E" w:rsidRPr="006C6E40" w:rsidRDefault="00245C0E">
            <w:pPr>
              <w:keepNext/>
              <w:suppressLineNumbers/>
              <w:suppressAutoHyphens/>
              <w:kinsoku w:val="0"/>
              <w:overflowPunct w:val="0"/>
              <w:autoSpaceDE w:val="0"/>
              <w:autoSpaceDN w:val="0"/>
              <w:adjustRightInd w:val="0"/>
              <w:snapToGrid w:val="0"/>
              <w:ind w:left="360"/>
              <w:jc w:val="center"/>
              <w:rPr>
                <w:snapToGrid w:val="0"/>
                <w:kern w:val="22"/>
                <w:szCs w:val="22"/>
              </w:rPr>
            </w:pPr>
            <w:r w:rsidRPr="006C6E40">
              <w:rPr>
                <w:snapToGrid w:val="0"/>
                <w:kern w:val="22"/>
                <w:szCs w:val="22"/>
              </w:rPr>
              <w:t>6</w:t>
            </w:r>
          </w:p>
        </w:tc>
        <w:tc>
          <w:tcPr>
            <w:tcW w:w="1080" w:type="dxa"/>
            <w:shd w:val="clear" w:color="auto" w:fill="auto"/>
          </w:tcPr>
          <w:p w14:paraId="6BB4D5AC" w14:textId="77777777" w:rsidR="00BF4C8E" w:rsidRPr="006C6E40" w:rsidRDefault="00BF4C8E">
            <w:pPr>
              <w:keepNext/>
              <w:suppressLineNumbers/>
              <w:suppressAutoHyphens/>
              <w:kinsoku w:val="0"/>
              <w:overflowPunct w:val="0"/>
              <w:autoSpaceDE w:val="0"/>
              <w:autoSpaceDN w:val="0"/>
              <w:adjustRightInd w:val="0"/>
              <w:snapToGrid w:val="0"/>
              <w:ind w:left="360"/>
              <w:jc w:val="center"/>
              <w:rPr>
                <w:snapToGrid w:val="0"/>
                <w:kern w:val="22"/>
                <w:szCs w:val="22"/>
              </w:rPr>
            </w:pPr>
            <w:r w:rsidRPr="006C6E40">
              <w:rPr>
                <w:snapToGrid w:val="0"/>
                <w:kern w:val="22"/>
                <w:szCs w:val="22"/>
              </w:rPr>
              <w:t>7</w:t>
            </w:r>
          </w:p>
        </w:tc>
        <w:tc>
          <w:tcPr>
            <w:tcW w:w="900" w:type="dxa"/>
            <w:shd w:val="clear" w:color="auto" w:fill="auto"/>
          </w:tcPr>
          <w:p w14:paraId="13762571" w14:textId="77777777" w:rsidR="00BF4C8E" w:rsidRPr="006C6E40" w:rsidRDefault="00BF4C8E">
            <w:pPr>
              <w:keepNext/>
              <w:suppressLineNumbers/>
              <w:suppressAutoHyphens/>
              <w:kinsoku w:val="0"/>
              <w:overflowPunct w:val="0"/>
              <w:autoSpaceDE w:val="0"/>
              <w:autoSpaceDN w:val="0"/>
              <w:adjustRightInd w:val="0"/>
              <w:snapToGrid w:val="0"/>
              <w:ind w:left="360"/>
              <w:jc w:val="center"/>
              <w:rPr>
                <w:snapToGrid w:val="0"/>
                <w:kern w:val="22"/>
                <w:szCs w:val="22"/>
              </w:rPr>
            </w:pPr>
            <w:r w:rsidRPr="006C6E40">
              <w:rPr>
                <w:snapToGrid w:val="0"/>
                <w:kern w:val="22"/>
                <w:szCs w:val="22"/>
              </w:rPr>
              <w:t>3</w:t>
            </w:r>
          </w:p>
        </w:tc>
        <w:tc>
          <w:tcPr>
            <w:tcW w:w="1022" w:type="dxa"/>
            <w:shd w:val="clear" w:color="auto" w:fill="auto"/>
          </w:tcPr>
          <w:p w14:paraId="36872091" w14:textId="256B9062" w:rsidR="00BF4C8E" w:rsidRPr="006C6E40" w:rsidRDefault="002D6FF3">
            <w:pPr>
              <w:keepNext/>
              <w:suppressLineNumbers/>
              <w:suppressAutoHyphens/>
              <w:kinsoku w:val="0"/>
              <w:overflowPunct w:val="0"/>
              <w:autoSpaceDE w:val="0"/>
              <w:autoSpaceDN w:val="0"/>
              <w:adjustRightInd w:val="0"/>
              <w:snapToGrid w:val="0"/>
              <w:ind w:left="360"/>
              <w:jc w:val="center"/>
              <w:rPr>
                <w:snapToGrid w:val="0"/>
                <w:kern w:val="22"/>
                <w:szCs w:val="22"/>
              </w:rPr>
            </w:pPr>
            <w:r w:rsidRPr="006C6E40">
              <w:rPr>
                <w:snapToGrid w:val="0"/>
                <w:kern w:val="22"/>
                <w:szCs w:val="22"/>
              </w:rPr>
              <w:t>2</w:t>
            </w:r>
            <w:r w:rsidR="00245C0E" w:rsidRPr="006C6E40">
              <w:rPr>
                <w:snapToGrid w:val="0"/>
                <w:kern w:val="22"/>
                <w:szCs w:val="22"/>
              </w:rPr>
              <w:t>3</w:t>
            </w:r>
          </w:p>
        </w:tc>
      </w:tr>
      <w:tr w:rsidR="00BF4C8E" w:rsidRPr="006C6E40" w14:paraId="2BF1680F" w14:textId="77777777" w:rsidTr="00AB466F">
        <w:trPr>
          <w:cantSplit/>
          <w:jc w:val="center"/>
        </w:trPr>
        <w:tc>
          <w:tcPr>
            <w:tcW w:w="4248" w:type="dxa"/>
            <w:shd w:val="clear" w:color="auto" w:fill="auto"/>
          </w:tcPr>
          <w:p w14:paraId="07E285D9" w14:textId="77777777" w:rsidR="00BF4C8E" w:rsidRPr="002D21DA" w:rsidRDefault="00BF4C8E" w:rsidP="006C6E40">
            <w:pPr>
              <w:keepNext/>
              <w:suppressLineNumbers/>
              <w:suppressAutoHyphens/>
              <w:kinsoku w:val="0"/>
              <w:overflowPunct w:val="0"/>
              <w:autoSpaceDE w:val="0"/>
              <w:autoSpaceDN w:val="0"/>
              <w:adjustRightInd w:val="0"/>
              <w:snapToGrid w:val="0"/>
              <w:rPr>
                <w:snapToGrid w:val="0"/>
                <w:kern w:val="22"/>
                <w:szCs w:val="22"/>
              </w:rPr>
            </w:pPr>
            <w:r w:rsidRPr="006C6E40">
              <w:rPr>
                <w:snapToGrid w:val="0"/>
                <w:kern w:val="22"/>
                <w:szCs w:val="22"/>
              </w:rPr>
              <w:t>Non-DAC members</w:t>
            </w:r>
          </w:p>
        </w:tc>
        <w:tc>
          <w:tcPr>
            <w:tcW w:w="1170" w:type="dxa"/>
            <w:shd w:val="clear" w:color="auto" w:fill="auto"/>
          </w:tcPr>
          <w:p w14:paraId="18359899" w14:textId="2A8ED432" w:rsidR="00BF4C8E" w:rsidRPr="00B0436C" w:rsidRDefault="00245C0E" w:rsidP="00332F88">
            <w:pPr>
              <w:keepNext/>
              <w:suppressLineNumbers/>
              <w:suppressAutoHyphens/>
              <w:kinsoku w:val="0"/>
              <w:overflowPunct w:val="0"/>
              <w:autoSpaceDE w:val="0"/>
              <w:autoSpaceDN w:val="0"/>
              <w:adjustRightInd w:val="0"/>
              <w:snapToGrid w:val="0"/>
              <w:ind w:left="360"/>
              <w:jc w:val="center"/>
              <w:rPr>
                <w:snapToGrid w:val="0"/>
                <w:kern w:val="22"/>
                <w:szCs w:val="22"/>
              </w:rPr>
            </w:pPr>
            <w:r w:rsidRPr="00332F88">
              <w:rPr>
                <w:snapToGrid w:val="0"/>
                <w:kern w:val="22"/>
                <w:szCs w:val="22"/>
              </w:rPr>
              <w:t>2</w:t>
            </w:r>
            <w:r w:rsidR="002D6FF3" w:rsidRPr="0011290F">
              <w:rPr>
                <w:snapToGrid w:val="0"/>
                <w:kern w:val="22"/>
                <w:szCs w:val="22"/>
              </w:rPr>
              <w:t>1</w:t>
            </w:r>
          </w:p>
        </w:tc>
        <w:tc>
          <w:tcPr>
            <w:tcW w:w="1080" w:type="dxa"/>
            <w:shd w:val="clear" w:color="auto" w:fill="auto"/>
          </w:tcPr>
          <w:p w14:paraId="5B2BD2FD" w14:textId="446F5EC7" w:rsidR="00BF4C8E" w:rsidRPr="006C6E40" w:rsidRDefault="00245C0E" w:rsidP="0011290F">
            <w:pPr>
              <w:keepNext/>
              <w:suppressLineNumbers/>
              <w:suppressAutoHyphens/>
              <w:kinsoku w:val="0"/>
              <w:overflowPunct w:val="0"/>
              <w:autoSpaceDE w:val="0"/>
              <w:autoSpaceDN w:val="0"/>
              <w:adjustRightInd w:val="0"/>
              <w:snapToGrid w:val="0"/>
              <w:ind w:left="360"/>
              <w:jc w:val="center"/>
              <w:rPr>
                <w:snapToGrid w:val="0"/>
                <w:kern w:val="22"/>
                <w:szCs w:val="22"/>
              </w:rPr>
            </w:pPr>
            <w:r w:rsidRPr="006C6E40">
              <w:rPr>
                <w:snapToGrid w:val="0"/>
                <w:kern w:val="22"/>
                <w:szCs w:val="22"/>
              </w:rPr>
              <w:t>7</w:t>
            </w:r>
          </w:p>
        </w:tc>
        <w:tc>
          <w:tcPr>
            <w:tcW w:w="1080" w:type="dxa"/>
            <w:shd w:val="clear" w:color="auto" w:fill="auto"/>
          </w:tcPr>
          <w:p w14:paraId="3B4A1099" w14:textId="7F93BF3F" w:rsidR="00BF4C8E" w:rsidRPr="006C6E40" w:rsidRDefault="00245C0E">
            <w:pPr>
              <w:keepNext/>
              <w:suppressLineNumbers/>
              <w:suppressAutoHyphens/>
              <w:kinsoku w:val="0"/>
              <w:overflowPunct w:val="0"/>
              <w:autoSpaceDE w:val="0"/>
              <w:autoSpaceDN w:val="0"/>
              <w:adjustRightInd w:val="0"/>
              <w:snapToGrid w:val="0"/>
              <w:ind w:left="360"/>
              <w:jc w:val="center"/>
              <w:rPr>
                <w:snapToGrid w:val="0"/>
                <w:kern w:val="22"/>
                <w:szCs w:val="22"/>
              </w:rPr>
            </w:pPr>
            <w:r w:rsidRPr="006C6E40">
              <w:rPr>
                <w:snapToGrid w:val="0"/>
                <w:kern w:val="22"/>
                <w:szCs w:val="22"/>
              </w:rPr>
              <w:t>17</w:t>
            </w:r>
          </w:p>
        </w:tc>
        <w:tc>
          <w:tcPr>
            <w:tcW w:w="900" w:type="dxa"/>
            <w:shd w:val="clear" w:color="auto" w:fill="auto"/>
          </w:tcPr>
          <w:p w14:paraId="236B8B82" w14:textId="621CD49D" w:rsidR="00BF4C8E" w:rsidRPr="006C6E40" w:rsidRDefault="00245C0E">
            <w:pPr>
              <w:keepNext/>
              <w:suppressLineNumbers/>
              <w:suppressAutoHyphens/>
              <w:kinsoku w:val="0"/>
              <w:overflowPunct w:val="0"/>
              <w:autoSpaceDE w:val="0"/>
              <w:autoSpaceDN w:val="0"/>
              <w:adjustRightInd w:val="0"/>
              <w:snapToGrid w:val="0"/>
              <w:ind w:left="360"/>
              <w:jc w:val="center"/>
              <w:rPr>
                <w:snapToGrid w:val="0"/>
                <w:kern w:val="22"/>
                <w:szCs w:val="22"/>
              </w:rPr>
            </w:pPr>
            <w:r w:rsidRPr="006C6E40">
              <w:rPr>
                <w:snapToGrid w:val="0"/>
                <w:kern w:val="22"/>
                <w:szCs w:val="22"/>
              </w:rPr>
              <w:t>10</w:t>
            </w:r>
          </w:p>
        </w:tc>
        <w:tc>
          <w:tcPr>
            <w:tcW w:w="1022" w:type="dxa"/>
            <w:shd w:val="clear" w:color="auto" w:fill="auto"/>
          </w:tcPr>
          <w:p w14:paraId="6FD3D077" w14:textId="07156747" w:rsidR="00BF4C8E" w:rsidRPr="006C6E40" w:rsidRDefault="00245C0E">
            <w:pPr>
              <w:keepNext/>
              <w:suppressLineNumbers/>
              <w:suppressAutoHyphens/>
              <w:kinsoku w:val="0"/>
              <w:overflowPunct w:val="0"/>
              <w:autoSpaceDE w:val="0"/>
              <w:autoSpaceDN w:val="0"/>
              <w:adjustRightInd w:val="0"/>
              <w:snapToGrid w:val="0"/>
              <w:ind w:left="360"/>
              <w:jc w:val="center"/>
              <w:rPr>
                <w:snapToGrid w:val="0"/>
                <w:kern w:val="22"/>
                <w:szCs w:val="22"/>
              </w:rPr>
            </w:pPr>
            <w:r w:rsidRPr="006C6E40">
              <w:rPr>
                <w:snapToGrid w:val="0"/>
                <w:kern w:val="22"/>
                <w:szCs w:val="22"/>
              </w:rPr>
              <w:t>55</w:t>
            </w:r>
          </w:p>
        </w:tc>
      </w:tr>
      <w:tr w:rsidR="00245C0E" w:rsidRPr="006C6E40" w14:paraId="40CDC3B0" w14:textId="77777777" w:rsidTr="00AB466F">
        <w:trPr>
          <w:cantSplit/>
          <w:jc w:val="center"/>
        </w:trPr>
        <w:tc>
          <w:tcPr>
            <w:tcW w:w="4248" w:type="dxa"/>
            <w:shd w:val="clear" w:color="auto" w:fill="auto"/>
          </w:tcPr>
          <w:p w14:paraId="0AE549F9" w14:textId="2B1FED30" w:rsidR="00245C0E" w:rsidRPr="002D21DA" w:rsidRDefault="00245C0E" w:rsidP="006C6E40">
            <w:pPr>
              <w:keepNext/>
              <w:suppressLineNumbers/>
              <w:suppressAutoHyphens/>
              <w:kinsoku w:val="0"/>
              <w:overflowPunct w:val="0"/>
              <w:autoSpaceDE w:val="0"/>
              <w:autoSpaceDN w:val="0"/>
              <w:adjustRightInd w:val="0"/>
              <w:snapToGrid w:val="0"/>
              <w:rPr>
                <w:snapToGrid w:val="0"/>
                <w:kern w:val="22"/>
                <w:szCs w:val="22"/>
              </w:rPr>
            </w:pPr>
            <w:r w:rsidRPr="006C6E40">
              <w:rPr>
                <w:snapToGrid w:val="0"/>
                <w:kern w:val="22"/>
                <w:szCs w:val="22"/>
              </w:rPr>
              <w:t>All countries</w:t>
            </w:r>
          </w:p>
        </w:tc>
        <w:tc>
          <w:tcPr>
            <w:tcW w:w="1170" w:type="dxa"/>
            <w:shd w:val="clear" w:color="auto" w:fill="auto"/>
          </w:tcPr>
          <w:p w14:paraId="19539646" w14:textId="27DE3993" w:rsidR="00245C0E" w:rsidRPr="006C6E40" w:rsidRDefault="00245C0E">
            <w:pPr>
              <w:keepNext/>
              <w:suppressLineNumbers/>
              <w:suppressAutoHyphens/>
              <w:kinsoku w:val="0"/>
              <w:overflowPunct w:val="0"/>
              <w:autoSpaceDE w:val="0"/>
              <w:autoSpaceDN w:val="0"/>
              <w:adjustRightInd w:val="0"/>
              <w:snapToGrid w:val="0"/>
              <w:ind w:left="360"/>
              <w:jc w:val="center"/>
              <w:rPr>
                <w:snapToGrid w:val="0"/>
                <w:kern w:val="22"/>
                <w:szCs w:val="22"/>
              </w:rPr>
            </w:pPr>
            <w:r w:rsidRPr="006C6E40">
              <w:rPr>
                <w:snapToGrid w:val="0"/>
                <w:kern w:val="22"/>
                <w:szCs w:val="22"/>
              </w:rPr>
              <w:t>28</w:t>
            </w:r>
          </w:p>
        </w:tc>
        <w:tc>
          <w:tcPr>
            <w:tcW w:w="1080" w:type="dxa"/>
            <w:shd w:val="clear" w:color="auto" w:fill="auto"/>
          </w:tcPr>
          <w:p w14:paraId="36B8B37A" w14:textId="086CF490" w:rsidR="00245C0E" w:rsidRPr="006C6E40" w:rsidRDefault="00245C0E">
            <w:pPr>
              <w:keepNext/>
              <w:suppressLineNumbers/>
              <w:suppressAutoHyphens/>
              <w:kinsoku w:val="0"/>
              <w:overflowPunct w:val="0"/>
              <w:autoSpaceDE w:val="0"/>
              <w:autoSpaceDN w:val="0"/>
              <w:adjustRightInd w:val="0"/>
              <w:snapToGrid w:val="0"/>
              <w:ind w:left="360"/>
              <w:jc w:val="center"/>
              <w:rPr>
                <w:snapToGrid w:val="0"/>
                <w:kern w:val="22"/>
                <w:szCs w:val="22"/>
              </w:rPr>
            </w:pPr>
            <w:r w:rsidRPr="006C6E40">
              <w:rPr>
                <w:snapToGrid w:val="0"/>
                <w:kern w:val="22"/>
                <w:szCs w:val="22"/>
              </w:rPr>
              <w:t>13</w:t>
            </w:r>
          </w:p>
        </w:tc>
        <w:tc>
          <w:tcPr>
            <w:tcW w:w="1080" w:type="dxa"/>
            <w:shd w:val="clear" w:color="auto" w:fill="auto"/>
          </w:tcPr>
          <w:p w14:paraId="66CA2410" w14:textId="18B70F1F" w:rsidR="00245C0E" w:rsidRPr="006C6E40" w:rsidRDefault="00245C0E">
            <w:pPr>
              <w:keepNext/>
              <w:suppressLineNumbers/>
              <w:suppressAutoHyphens/>
              <w:kinsoku w:val="0"/>
              <w:overflowPunct w:val="0"/>
              <w:autoSpaceDE w:val="0"/>
              <w:autoSpaceDN w:val="0"/>
              <w:adjustRightInd w:val="0"/>
              <w:snapToGrid w:val="0"/>
              <w:ind w:left="360"/>
              <w:jc w:val="center"/>
              <w:rPr>
                <w:snapToGrid w:val="0"/>
                <w:kern w:val="22"/>
                <w:szCs w:val="22"/>
              </w:rPr>
            </w:pPr>
            <w:r w:rsidRPr="006C6E40">
              <w:rPr>
                <w:snapToGrid w:val="0"/>
                <w:kern w:val="22"/>
                <w:szCs w:val="22"/>
              </w:rPr>
              <w:t>24</w:t>
            </w:r>
          </w:p>
        </w:tc>
        <w:tc>
          <w:tcPr>
            <w:tcW w:w="900" w:type="dxa"/>
            <w:shd w:val="clear" w:color="auto" w:fill="auto"/>
          </w:tcPr>
          <w:p w14:paraId="73D6645C" w14:textId="427381E9" w:rsidR="00245C0E" w:rsidRPr="006C6E40" w:rsidRDefault="00245C0E">
            <w:pPr>
              <w:keepNext/>
              <w:suppressLineNumbers/>
              <w:suppressAutoHyphens/>
              <w:kinsoku w:val="0"/>
              <w:overflowPunct w:val="0"/>
              <w:autoSpaceDE w:val="0"/>
              <w:autoSpaceDN w:val="0"/>
              <w:adjustRightInd w:val="0"/>
              <w:snapToGrid w:val="0"/>
              <w:ind w:left="360"/>
              <w:jc w:val="center"/>
              <w:rPr>
                <w:snapToGrid w:val="0"/>
                <w:kern w:val="22"/>
                <w:szCs w:val="22"/>
              </w:rPr>
            </w:pPr>
            <w:r w:rsidRPr="006C6E40">
              <w:rPr>
                <w:snapToGrid w:val="0"/>
                <w:kern w:val="22"/>
                <w:szCs w:val="22"/>
              </w:rPr>
              <w:t>13</w:t>
            </w:r>
          </w:p>
        </w:tc>
        <w:tc>
          <w:tcPr>
            <w:tcW w:w="1022" w:type="dxa"/>
            <w:shd w:val="clear" w:color="auto" w:fill="auto"/>
          </w:tcPr>
          <w:p w14:paraId="02D50281" w14:textId="43625086" w:rsidR="00245C0E" w:rsidRPr="006C6E40" w:rsidRDefault="00245C0E">
            <w:pPr>
              <w:keepNext/>
              <w:suppressLineNumbers/>
              <w:suppressAutoHyphens/>
              <w:kinsoku w:val="0"/>
              <w:overflowPunct w:val="0"/>
              <w:autoSpaceDE w:val="0"/>
              <w:autoSpaceDN w:val="0"/>
              <w:adjustRightInd w:val="0"/>
              <w:snapToGrid w:val="0"/>
              <w:ind w:left="360"/>
              <w:jc w:val="center"/>
              <w:rPr>
                <w:snapToGrid w:val="0"/>
                <w:kern w:val="22"/>
                <w:szCs w:val="22"/>
              </w:rPr>
            </w:pPr>
            <w:r w:rsidRPr="006C6E40">
              <w:rPr>
                <w:snapToGrid w:val="0"/>
                <w:kern w:val="22"/>
                <w:szCs w:val="22"/>
              </w:rPr>
              <w:t>78</w:t>
            </w:r>
          </w:p>
        </w:tc>
      </w:tr>
      <w:tr w:rsidR="00BF4C8E" w:rsidRPr="006C6E40" w14:paraId="2E253555" w14:textId="77777777" w:rsidTr="00AB466F">
        <w:trPr>
          <w:cantSplit/>
          <w:jc w:val="center"/>
        </w:trPr>
        <w:tc>
          <w:tcPr>
            <w:tcW w:w="4248" w:type="dxa"/>
            <w:shd w:val="clear" w:color="auto" w:fill="auto"/>
          </w:tcPr>
          <w:p w14:paraId="6731C09E" w14:textId="77777777" w:rsidR="00BF4C8E" w:rsidRPr="002D21DA" w:rsidRDefault="00BF4C8E" w:rsidP="006C6E40">
            <w:pPr>
              <w:suppressLineNumbers/>
              <w:suppressAutoHyphens/>
              <w:kinsoku w:val="0"/>
              <w:overflowPunct w:val="0"/>
              <w:autoSpaceDE w:val="0"/>
              <w:autoSpaceDN w:val="0"/>
              <w:adjustRightInd w:val="0"/>
              <w:snapToGrid w:val="0"/>
              <w:rPr>
                <w:snapToGrid w:val="0"/>
                <w:kern w:val="22"/>
                <w:szCs w:val="22"/>
              </w:rPr>
            </w:pPr>
            <w:r w:rsidRPr="006C6E40">
              <w:rPr>
                <w:snapToGrid w:val="0"/>
                <w:kern w:val="22"/>
                <w:szCs w:val="22"/>
              </w:rPr>
              <w:t>Megadiverse countries</w:t>
            </w:r>
          </w:p>
        </w:tc>
        <w:tc>
          <w:tcPr>
            <w:tcW w:w="1170" w:type="dxa"/>
            <w:shd w:val="clear" w:color="auto" w:fill="auto"/>
          </w:tcPr>
          <w:p w14:paraId="7AB75DF0" w14:textId="77777777" w:rsidR="00BF4C8E" w:rsidRPr="006C6E40" w:rsidRDefault="00BF4C8E">
            <w:pPr>
              <w:suppressLineNumbers/>
              <w:suppressAutoHyphens/>
              <w:kinsoku w:val="0"/>
              <w:overflowPunct w:val="0"/>
              <w:autoSpaceDE w:val="0"/>
              <w:autoSpaceDN w:val="0"/>
              <w:adjustRightInd w:val="0"/>
              <w:snapToGrid w:val="0"/>
              <w:ind w:left="360"/>
              <w:jc w:val="center"/>
              <w:rPr>
                <w:snapToGrid w:val="0"/>
                <w:kern w:val="22"/>
                <w:szCs w:val="22"/>
              </w:rPr>
            </w:pPr>
            <w:r w:rsidRPr="006C6E40">
              <w:rPr>
                <w:snapToGrid w:val="0"/>
                <w:kern w:val="22"/>
                <w:szCs w:val="22"/>
              </w:rPr>
              <w:t>5</w:t>
            </w:r>
          </w:p>
        </w:tc>
        <w:tc>
          <w:tcPr>
            <w:tcW w:w="1080" w:type="dxa"/>
            <w:shd w:val="clear" w:color="auto" w:fill="auto"/>
          </w:tcPr>
          <w:p w14:paraId="679BB9A5" w14:textId="5B27B2E8" w:rsidR="00BF4C8E" w:rsidRPr="006C6E40" w:rsidRDefault="00245C0E">
            <w:pPr>
              <w:suppressLineNumbers/>
              <w:suppressAutoHyphens/>
              <w:kinsoku w:val="0"/>
              <w:overflowPunct w:val="0"/>
              <w:autoSpaceDE w:val="0"/>
              <w:autoSpaceDN w:val="0"/>
              <w:adjustRightInd w:val="0"/>
              <w:snapToGrid w:val="0"/>
              <w:ind w:left="360"/>
              <w:jc w:val="center"/>
              <w:rPr>
                <w:snapToGrid w:val="0"/>
                <w:kern w:val="22"/>
                <w:szCs w:val="22"/>
              </w:rPr>
            </w:pPr>
            <w:r w:rsidRPr="006C6E40">
              <w:rPr>
                <w:snapToGrid w:val="0"/>
                <w:kern w:val="22"/>
                <w:szCs w:val="22"/>
              </w:rPr>
              <w:t>3</w:t>
            </w:r>
          </w:p>
        </w:tc>
        <w:tc>
          <w:tcPr>
            <w:tcW w:w="1080" w:type="dxa"/>
            <w:shd w:val="clear" w:color="auto" w:fill="auto"/>
          </w:tcPr>
          <w:p w14:paraId="5C2DD9B6" w14:textId="1D075D41" w:rsidR="00BF4C8E" w:rsidRPr="006C6E40" w:rsidRDefault="00245C0E">
            <w:pPr>
              <w:suppressLineNumbers/>
              <w:suppressAutoHyphens/>
              <w:kinsoku w:val="0"/>
              <w:overflowPunct w:val="0"/>
              <w:autoSpaceDE w:val="0"/>
              <w:autoSpaceDN w:val="0"/>
              <w:adjustRightInd w:val="0"/>
              <w:snapToGrid w:val="0"/>
              <w:ind w:left="360"/>
              <w:jc w:val="center"/>
              <w:rPr>
                <w:snapToGrid w:val="0"/>
                <w:kern w:val="22"/>
                <w:szCs w:val="22"/>
              </w:rPr>
            </w:pPr>
            <w:r w:rsidRPr="006C6E40">
              <w:rPr>
                <w:snapToGrid w:val="0"/>
                <w:kern w:val="22"/>
                <w:szCs w:val="22"/>
              </w:rPr>
              <w:t>3</w:t>
            </w:r>
          </w:p>
        </w:tc>
        <w:tc>
          <w:tcPr>
            <w:tcW w:w="900" w:type="dxa"/>
            <w:shd w:val="clear" w:color="auto" w:fill="auto"/>
          </w:tcPr>
          <w:p w14:paraId="66061519" w14:textId="3E913A77" w:rsidR="00BF4C8E" w:rsidRPr="006C6E40" w:rsidRDefault="00245C0E">
            <w:pPr>
              <w:suppressLineNumbers/>
              <w:suppressAutoHyphens/>
              <w:kinsoku w:val="0"/>
              <w:overflowPunct w:val="0"/>
              <w:autoSpaceDE w:val="0"/>
              <w:autoSpaceDN w:val="0"/>
              <w:adjustRightInd w:val="0"/>
              <w:snapToGrid w:val="0"/>
              <w:ind w:left="360"/>
              <w:jc w:val="center"/>
              <w:rPr>
                <w:snapToGrid w:val="0"/>
                <w:kern w:val="22"/>
                <w:szCs w:val="22"/>
              </w:rPr>
            </w:pPr>
            <w:r w:rsidRPr="006C6E40">
              <w:rPr>
                <w:snapToGrid w:val="0"/>
                <w:kern w:val="22"/>
                <w:szCs w:val="22"/>
              </w:rPr>
              <w:t>1</w:t>
            </w:r>
          </w:p>
        </w:tc>
        <w:tc>
          <w:tcPr>
            <w:tcW w:w="1022" w:type="dxa"/>
            <w:shd w:val="clear" w:color="auto" w:fill="auto"/>
          </w:tcPr>
          <w:p w14:paraId="12645533" w14:textId="647CB561" w:rsidR="00BF4C8E" w:rsidRPr="006C6E40" w:rsidRDefault="00245C0E">
            <w:pPr>
              <w:suppressLineNumbers/>
              <w:suppressAutoHyphens/>
              <w:kinsoku w:val="0"/>
              <w:overflowPunct w:val="0"/>
              <w:autoSpaceDE w:val="0"/>
              <w:autoSpaceDN w:val="0"/>
              <w:adjustRightInd w:val="0"/>
              <w:snapToGrid w:val="0"/>
              <w:ind w:left="360"/>
              <w:jc w:val="center"/>
              <w:rPr>
                <w:snapToGrid w:val="0"/>
                <w:kern w:val="22"/>
                <w:szCs w:val="22"/>
              </w:rPr>
            </w:pPr>
            <w:r w:rsidRPr="006C6E40">
              <w:rPr>
                <w:snapToGrid w:val="0"/>
                <w:kern w:val="22"/>
                <w:szCs w:val="22"/>
              </w:rPr>
              <w:t>12</w:t>
            </w:r>
          </w:p>
        </w:tc>
      </w:tr>
    </w:tbl>
    <w:p w14:paraId="7B701247" w14:textId="1F473563" w:rsidR="00F53E2F" w:rsidRPr="009654F0" w:rsidRDefault="005B224F" w:rsidP="006C6E40">
      <w:pPr>
        <w:pStyle w:val="Para1"/>
        <w:suppressLineNumbers/>
        <w:tabs>
          <w:tab w:val="clear" w:pos="360"/>
        </w:tabs>
        <w:suppressAutoHyphens/>
        <w:rPr>
          <w:spacing w:val="-4"/>
          <w:kern w:val="22"/>
        </w:rPr>
      </w:pPr>
      <w:r w:rsidRPr="009654F0">
        <w:rPr>
          <w:spacing w:val="-4"/>
          <w:kern w:val="22"/>
        </w:rPr>
        <w:t xml:space="preserve">The </w:t>
      </w:r>
      <w:r w:rsidR="00F53E2F" w:rsidRPr="009654F0">
        <w:rPr>
          <w:spacing w:val="-4"/>
          <w:kern w:val="22"/>
        </w:rPr>
        <w:t xml:space="preserve">BIOFIN initiative </w:t>
      </w:r>
      <w:r w:rsidRPr="009654F0">
        <w:rPr>
          <w:spacing w:val="-4"/>
          <w:kern w:val="22"/>
        </w:rPr>
        <w:t xml:space="preserve">of UNDP </w:t>
      </w:r>
      <w:r w:rsidR="00F53E2F" w:rsidRPr="009654F0">
        <w:rPr>
          <w:spacing w:val="-4"/>
          <w:kern w:val="22"/>
        </w:rPr>
        <w:t xml:space="preserve">is the most significant, and </w:t>
      </w:r>
      <w:r w:rsidR="00F14EBA" w:rsidRPr="009654F0">
        <w:rPr>
          <w:spacing w:val="-4"/>
          <w:kern w:val="22"/>
        </w:rPr>
        <w:t xml:space="preserve">the </w:t>
      </w:r>
      <w:r w:rsidR="00F53E2F" w:rsidRPr="009654F0">
        <w:rPr>
          <w:spacing w:val="-4"/>
          <w:kern w:val="22"/>
        </w:rPr>
        <w:t xml:space="preserve">most successful, initiative to have addressed the need for developing countries to incorporate biodiversity </w:t>
      </w:r>
      <w:r w:rsidR="00703099" w:rsidRPr="009654F0">
        <w:rPr>
          <w:spacing w:val="-4"/>
          <w:kern w:val="22"/>
        </w:rPr>
        <w:t xml:space="preserve">comprehensively </w:t>
      </w:r>
      <w:r w:rsidR="00F53E2F" w:rsidRPr="009654F0">
        <w:rPr>
          <w:spacing w:val="-4"/>
          <w:kern w:val="22"/>
        </w:rPr>
        <w:t>into their national development planning and financial strategies, including their NBSAPs. BIOFIN was launched in 2012 and is now supporting 35 countries</w:t>
      </w:r>
      <w:r w:rsidR="003A070A" w:rsidRPr="009654F0">
        <w:rPr>
          <w:spacing w:val="-4"/>
          <w:kern w:val="22"/>
        </w:rPr>
        <w:t xml:space="preserve"> </w:t>
      </w:r>
      <w:r w:rsidR="003E262F" w:rsidRPr="009654F0">
        <w:rPr>
          <w:spacing w:val="-4"/>
          <w:kern w:val="22"/>
        </w:rPr>
        <w:t>–</w:t>
      </w:r>
      <w:r w:rsidR="00F53E2F" w:rsidRPr="009654F0">
        <w:rPr>
          <w:spacing w:val="-4"/>
          <w:kern w:val="22"/>
        </w:rPr>
        <w:t xml:space="preserve"> of which 11 are megadiverse</w:t>
      </w:r>
      <w:r w:rsidR="00724740" w:rsidRPr="009654F0">
        <w:rPr>
          <w:spacing w:val="-4"/>
          <w:kern w:val="22"/>
        </w:rPr>
        <w:t xml:space="preserve"> –</w:t>
      </w:r>
      <w:r w:rsidR="00F53E2F" w:rsidRPr="009654F0">
        <w:rPr>
          <w:spacing w:val="-4"/>
          <w:kern w:val="22"/>
        </w:rPr>
        <w:t xml:space="preserve"> 15 in Asia, and 10 each </w:t>
      </w:r>
      <w:r w:rsidR="00D73AA7" w:rsidRPr="009654F0">
        <w:rPr>
          <w:spacing w:val="-4"/>
          <w:kern w:val="22"/>
        </w:rPr>
        <w:t>in</w:t>
      </w:r>
      <w:r w:rsidR="00F53E2F" w:rsidRPr="009654F0">
        <w:rPr>
          <w:spacing w:val="-4"/>
          <w:kern w:val="22"/>
        </w:rPr>
        <w:t xml:space="preserve"> Africa and Latin America.</w:t>
      </w:r>
    </w:p>
    <w:p w14:paraId="22F22AE3" w14:textId="101B5E3B" w:rsidR="00F53E2F" w:rsidRPr="009654F0" w:rsidRDefault="00F53E2F">
      <w:pPr>
        <w:pStyle w:val="Para1"/>
        <w:suppressLineNumbers/>
        <w:tabs>
          <w:tab w:val="clear" w:pos="360"/>
        </w:tabs>
        <w:suppressAutoHyphens/>
        <w:rPr>
          <w:kern w:val="22"/>
        </w:rPr>
      </w:pPr>
      <w:r w:rsidRPr="009654F0">
        <w:rPr>
          <w:kern w:val="22"/>
        </w:rPr>
        <w:t>Efforts have</w:t>
      </w:r>
      <w:r w:rsidR="00A83CAF" w:rsidRPr="009654F0">
        <w:rPr>
          <w:kern w:val="22"/>
        </w:rPr>
        <w:t>,</w:t>
      </w:r>
      <w:r w:rsidRPr="009654F0">
        <w:rPr>
          <w:kern w:val="22"/>
        </w:rPr>
        <w:t xml:space="preserve"> however</w:t>
      </w:r>
      <w:r w:rsidR="00A83CAF" w:rsidRPr="009654F0">
        <w:rPr>
          <w:kern w:val="22"/>
        </w:rPr>
        <w:t>,</w:t>
      </w:r>
      <w:r w:rsidRPr="009654F0">
        <w:rPr>
          <w:kern w:val="22"/>
        </w:rPr>
        <w:t xml:space="preserve"> been made to strengthen national capacity for resource mobilization and Norway, for instance, has supported TEEB, BIOFIN, WAVES</w:t>
      </w:r>
      <w:r w:rsidR="00953088" w:rsidRPr="009654F0">
        <w:rPr>
          <w:kern w:val="22"/>
        </w:rPr>
        <w:t>,</w:t>
      </w:r>
      <w:r w:rsidR="00677B38" w:rsidRPr="009654F0">
        <w:rPr>
          <w:rStyle w:val="FootnoteReference"/>
          <w:kern w:val="22"/>
        </w:rPr>
        <w:footnoteReference w:id="10"/>
      </w:r>
      <w:r w:rsidRPr="009654F0">
        <w:rPr>
          <w:kern w:val="22"/>
        </w:rPr>
        <w:t xml:space="preserve"> and the establishment of a Centre for Biodiversity Policy and Law in Chennai, India.</w:t>
      </w:r>
    </w:p>
    <w:p w14:paraId="7B15B7D5" w14:textId="7C7CA78C" w:rsidR="00F53E2F" w:rsidRPr="009654F0" w:rsidRDefault="00F53E2F">
      <w:pPr>
        <w:pStyle w:val="Para1"/>
        <w:suppressLineNumbers/>
        <w:tabs>
          <w:tab w:val="clear" w:pos="360"/>
        </w:tabs>
        <w:suppressAutoHyphens/>
        <w:rPr>
          <w:spacing w:val="-2"/>
          <w:kern w:val="22"/>
        </w:rPr>
      </w:pPr>
      <w:proofErr w:type="gramStart"/>
      <w:r w:rsidRPr="009654F0">
        <w:rPr>
          <w:spacing w:val="-2"/>
          <w:kern w:val="22"/>
        </w:rPr>
        <w:t>A number of</w:t>
      </w:r>
      <w:proofErr w:type="gramEnd"/>
      <w:r w:rsidRPr="009654F0">
        <w:rPr>
          <w:spacing w:val="-2"/>
          <w:kern w:val="22"/>
        </w:rPr>
        <w:t xml:space="preserve"> examples of progress in this area in developed countries</w:t>
      </w:r>
      <w:r w:rsidR="00EF3EBB" w:rsidRPr="009654F0">
        <w:rPr>
          <w:spacing w:val="-2"/>
          <w:kern w:val="22"/>
        </w:rPr>
        <w:t xml:space="preserve"> are worthy of mention</w:t>
      </w:r>
      <w:r w:rsidRPr="009654F0">
        <w:rPr>
          <w:spacing w:val="-2"/>
          <w:kern w:val="22"/>
        </w:rPr>
        <w:t>. For instance, in 2014, the European Commission published a practical common framework</w:t>
      </w:r>
      <w:r w:rsidRPr="009654F0">
        <w:rPr>
          <w:spacing w:val="-2"/>
          <w:kern w:val="22"/>
          <w:vertAlign w:val="superscript"/>
        </w:rPr>
        <w:footnoteReference w:id="11"/>
      </w:r>
      <w:r w:rsidRPr="009654F0">
        <w:rPr>
          <w:spacing w:val="-2"/>
          <w:kern w:val="22"/>
        </w:rPr>
        <w:t xml:space="preserve"> for biodiversity-proofing the </w:t>
      </w:r>
      <w:r w:rsidR="008C3DB9" w:rsidRPr="009654F0">
        <w:rPr>
          <w:spacing w:val="-2"/>
          <w:kern w:val="22"/>
        </w:rPr>
        <w:t>European Union</w:t>
      </w:r>
      <w:r w:rsidRPr="009654F0">
        <w:rPr>
          <w:spacing w:val="-2"/>
          <w:kern w:val="22"/>
        </w:rPr>
        <w:t xml:space="preserve"> budget, which includes general guidelines for national and regional authorities and for European Commission services, in order to ensure that spending has no negative impacts but supports biodiversity objectives. Subsequently, biodiversity was integrated in</w:t>
      </w:r>
      <w:r w:rsidR="00CB4842" w:rsidRPr="009654F0">
        <w:rPr>
          <w:spacing w:val="-2"/>
          <w:kern w:val="22"/>
        </w:rPr>
        <w:t>to</w:t>
      </w:r>
      <w:r w:rsidRPr="009654F0">
        <w:rPr>
          <w:spacing w:val="-2"/>
          <w:kern w:val="22"/>
        </w:rPr>
        <w:t xml:space="preserve"> </w:t>
      </w:r>
      <w:r w:rsidR="00575640" w:rsidRPr="009654F0">
        <w:rPr>
          <w:spacing w:val="-2"/>
          <w:kern w:val="22"/>
        </w:rPr>
        <w:t xml:space="preserve">the </w:t>
      </w:r>
      <w:r w:rsidRPr="009654F0">
        <w:rPr>
          <w:spacing w:val="-2"/>
          <w:kern w:val="22"/>
        </w:rPr>
        <w:t xml:space="preserve">European Commission’s proposals for the </w:t>
      </w:r>
      <w:r w:rsidR="008C3DB9" w:rsidRPr="009654F0">
        <w:rPr>
          <w:spacing w:val="-2"/>
          <w:kern w:val="22"/>
        </w:rPr>
        <w:t xml:space="preserve">European Union </w:t>
      </w:r>
      <w:r w:rsidRPr="009654F0">
        <w:rPr>
          <w:spacing w:val="-2"/>
          <w:kern w:val="22"/>
        </w:rPr>
        <w:t xml:space="preserve">budget (Multiannual Financial Framework) for 2021-2027, and for related </w:t>
      </w:r>
      <w:r w:rsidR="005F6F08" w:rsidRPr="009654F0">
        <w:rPr>
          <w:spacing w:val="-2"/>
          <w:kern w:val="22"/>
        </w:rPr>
        <w:t xml:space="preserve">European Union </w:t>
      </w:r>
      <w:r w:rsidRPr="009654F0">
        <w:rPr>
          <w:spacing w:val="-2"/>
          <w:kern w:val="22"/>
        </w:rPr>
        <w:t xml:space="preserve">funding instruments, including a significant increase of the proposed budget for the LIFE </w:t>
      </w:r>
      <w:r w:rsidR="00EF41BF" w:rsidRPr="009654F0">
        <w:rPr>
          <w:spacing w:val="-2"/>
          <w:kern w:val="22"/>
        </w:rPr>
        <w:t>p</w:t>
      </w:r>
      <w:r w:rsidRPr="009654F0">
        <w:rPr>
          <w:spacing w:val="-2"/>
          <w:kern w:val="22"/>
        </w:rPr>
        <w:t xml:space="preserve">rogramme, the dedicated instrument for catalysing implementation of </w:t>
      </w:r>
      <w:r w:rsidR="002E1394" w:rsidRPr="009654F0">
        <w:rPr>
          <w:spacing w:val="-2"/>
          <w:kern w:val="22"/>
        </w:rPr>
        <w:t xml:space="preserve">European Union </w:t>
      </w:r>
      <w:r w:rsidRPr="009654F0">
        <w:rPr>
          <w:spacing w:val="-2"/>
          <w:kern w:val="22"/>
        </w:rPr>
        <w:t>environment and climate objectives.</w:t>
      </w:r>
    </w:p>
    <w:p w14:paraId="4A8B3510" w14:textId="77777777" w:rsidR="009F6C39" w:rsidRPr="009654F0" w:rsidRDefault="009F6C39">
      <w:pPr>
        <w:pStyle w:val="Heading4"/>
        <w:suppressLineNumbers/>
        <w:suppressAutoHyphens/>
        <w:rPr>
          <w:i w:val="0"/>
          <w:kern w:val="22"/>
        </w:rPr>
      </w:pPr>
      <w:r w:rsidRPr="009654F0">
        <w:rPr>
          <w:i w:val="0"/>
          <w:kern w:val="22"/>
        </w:rPr>
        <w:t>Goal 3: Strengthen existing financial institutions and promote replication and scaling-up of successful financial mechanisms and instruments</w:t>
      </w:r>
    </w:p>
    <w:p w14:paraId="219A915F" w14:textId="5534AF6D" w:rsidR="00116340" w:rsidRPr="009654F0" w:rsidRDefault="00116340">
      <w:pPr>
        <w:pStyle w:val="Para1"/>
        <w:suppressLineNumbers/>
        <w:tabs>
          <w:tab w:val="clear" w:pos="360"/>
        </w:tabs>
        <w:suppressAutoHyphens/>
        <w:rPr>
          <w:kern w:val="22"/>
        </w:rPr>
      </w:pPr>
      <w:r w:rsidRPr="009654F0">
        <w:rPr>
          <w:kern w:val="22"/>
        </w:rPr>
        <w:t xml:space="preserve">Several diverse </w:t>
      </w:r>
      <w:r w:rsidR="00FE6F58" w:rsidRPr="009654F0">
        <w:rPr>
          <w:kern w:val="22"/>
        </w:rPr>
        <w:t>s</w:t>
      </w:r>
      <w:r w:rsidRPr="009654F0">
        <w:rPr>
          <w:kern w:val="22"/>
        </w:rPr>
        <w:t>ub-</w:t>
      </w:r>
      <w:r w:rsidR="00FE6F58" w:rsidRPr="009654F0">
        <w:rPr>
          <w:kern w:val="22"/>
        </w:rPr>
        <w:t>g</w:t>
      </w:r>
      <w:r w:rsidRPr="009654F0">
        <w:rPr>
          <w:kern w:val="22"/>
        </w:rPr>
        <w:t xml:space="preserve">oals form part of </w:t>
      </w:r>
      <w:r w:rsidR="00FE6F58" w:rsidRPr="009654F0">
        <w:rPr>
          <w:kern w:val="22"/>
        </w:rPr>
        <w:t>g</w:t>
      </w:r>
      <w:r w:rsidRPr="009654F0">
        <w:rPr>
          <w:kern w:val="22"/>
        </w:rPr>
        <w:t>oal 3, including mobili</w:t>
      </w:r>
      <w:r w:rsidR="00FE6F58" w:rsidRPr="009654F0">
        <w:rPr>
          <w:kern w:val="22"/>
        </w:rPr>
        <w:t>z</w:t>
      </w:r>
      <w:r w:rsidRPr="009654F0">
        <w:rPr>
          <w:kern w:val="22"/>
        </w:rPr>
        <w:t xml:space="preserve">ation of co-financing, increasing official development assistance for biodiversity (both bilateral and multilateral), </w:t>
      </w:r>
      <w:r w:rsidR="00661E57" w:rsidRPr="009654F0">
        <w:rPr>
          <w:kern w:val="22"/>
        </w:rPr>
        <w:t xml:space="preserve">mobilizing </w:t>
      </w:r>
      <w:r w:rsidRPr="009654F0">
        <w:rPr>
          <w:kern w:val="22"/>
        </w:rPr>
        <w:t xml:space="preserve">both public and private sector investments in biodiversity and ecosystem services, </w:t>
      </w:r>
      <w:r w:rsidR="006E77E4" w:rsidRPr="009654F0">
        <w:rPr>
          <w:kern w:val="22"/>
        </w:rPr>
        <w:t xml:space="preserve">and </w:t>
      </w:r>
      <w:r w:rsidRPr="009654F0">
        <w:rPr>
          <w:kern w:val="22"/>
        </w:rPr>
        <w:t>development of domestic environmental funds</w:t>
      </w:r>
      <w:r w:rsidR="006E77E4" w:rsidRPr="009654F0">
        <w:rPr>
          <w:kern w:val="22"/>
        </w:rPr>
        <w:t>.</w:t>
      </w:r>
    </w:p>
    <w:p w14:paraId="58568CEC" w14:textId="308F2544" w:rsidR="00FA1934" w:rsidRPr="009654F0" w:rsidRDefault="00116340">
      <w:pPr>
        <w:pStyle w:val="Para1"/>
        <w:suppressLineNumbers/>
        <w:tabs>
          <w:tab w:val="clear" w:pos="360"/>
        </w:tabs>
        <w:suppressAutoHyphens/>
        <w:rPr>
          <w:kern w:val="22"/>
        </w:rPr>
      </w:pPr>
      <w:r w:rsidRPr="009654F0">
        <w:rPr>
          <w:kern w:val="22"/>
        </w:rPr>
        <w:t>As the financial mechanism</w:t>
      </w:r>
      <w:r w:rsidR="00841E57" w:rsidRPr="009654F0">
        <w:rPr>
          <w:kern w:val="22"/>
        </w:rPr>
        <w:t xml:space="preserve"> of the Convention</w:t>
      </w:r>
      <w:r w:rsidRPr="009654F0">
        <w:rPr>
          <w:kern w:val="22"/>
        </w:rPr>
        <w:t xml:space="preserve">, </w:t>
      </w:r>
      <w:r w:rsidR="009F6C39" w:rsidRPr="009654F0">
        <w:rPr>
          <w:kern w:val="22"/>
        </w:rPr>
        <w:t xml:space="preserve">GEF has played a </w:t>
      </w:r>
      <w:r w:rsidRPr="009654F0">
        <w:rPr>
          <w:kern w:val="22"/>
        </w:rPr>
        <w:t>key</w:t>
      </w:r>
      <w:r w:rsidR="009F6C39" w:rsidRPr="009654F0">
        <w:rPr>
          <w:kern w:val="22"/>
        </w:rPr>
        <w:t xml:space="preserve"> part in mobili</w:t>
      </w:r>
      <w:r w:rsidR="00661E57" w:rsidRPr="009654F0">
        <w:rPr>
          <w:kern w:val="22"/>
        </w:rPr>
        <w:t>z</w:t>
      </w:r>
      <w:r w:rsidR="009F6C39" w:rsidRPr="009654F0">
        <w:rPr>
          <w:kern w:val="22"/>
        </w:rPr>
        <w:t xml:space="preserve">ing resources for implementation of the Convention, with biodiversity-related GEF funding increasing by </w:t>
      </w:r>
      <w:r w:rsidR="0049205D">
        <w:rPr>
          <w:kern w:val="22"/>
        </w:rPr>
        <w:t>about</w:t>
      </w:r>
      <w:r w:rsidR="0049205D" w:rsidRPr="009654F0">
        <w:rPr>
          <w:kern w:val="22"/>
        </w:rPr>
        <w:t xml:space="preserve"> </w:t>
      </w:r>
      <w:r w:rsidR="009F6C39" w:rsidRPr="009654F0">
        <w:rPr>
          <w:kern w:val="22"/>
        </w:rPr>
        <w:t>30</w:t>
      </w:r>
      <w:r w:rsidR="00CB4842" w:rsidRPr="009654F0">
        <w:rPr>
          <w:kern w:val="22"/>
        </w:rPr>
        <w:t> </w:t>
      </w:r>
      <w:r w:rsidR="00FE6F58" w:rsidRPr="009654F0">
        <w:rPr>
          <w:kern w:val="22"/>
        </w:rPr>
        <w:t>per cent</w:t>
      </w:r>
      <w:r w:rsidR="009F6C39" w:rsidRPr="009654F0">
        <w:rPr>
          <w:kern w:val="22"/>
        </w:rPr>
        <w:t xml:space="preserve"> between GEF-4 (2006-2010) and GEF-7 (2018-2022). </w:t>
      </w:r>
      <w:r w:rsidR="00FA1934" w:rsidRPr="009654F0">
        <w:rPr>
          <w:kern w:val="22"/>
        </w:rPr>
        <w:t>In total, GEF has invested more than US$</w:t>
      </w:r>
      <w:r w:rsidR="00E84E47">
        <w:rPr>
          <w:kern w:val="22"/>
        </w:rPr>
        <w:t> </w:t>
      </w:r>
      <w:r w:rsidR="00FA1934" w:rsidRPr="009654F0">
        <w:rPr>
          <w:kern w:val="22"/>
        </w:rPr>
        <w:t>3.5 billion to conserve</w:t>
      </w:r>
      <w:r w:rsidR="00E84E47">
        <w:rPr>
          <w:kern w:val="22"/>
        </w:rPr>
        <w:t xml:space="preserve"> </w:t>
      </w:r>
      <w:r w:rsidR="00FA1934" w:rsidRPr="009654F0">
        <w:rPr>
          <w:kern w:val="22"/>
        </w:rPr>
        <w:t>biodiversity</w:t>
      </w:r>
      <w:r w:rsidR="00DC5DF1" w:rsidRPr="009654F0">
        <w:rPr>
          <w:kern w:val="22"/>
        </w:rPr>
        <w:t xml:space="preserve"> </w:t>
      </w:r>
      <w:r w:rsidR="00FA1934" w:rsidRPr="009654F0">
        <w:rPr>
          <w:kern w:val="22"/>
        </w:rPr>
        <w:t>and</w:t>
      </w:r>
      <w:r w:rsidR="00E84E47">
        <w:rPr>
          <w:kern w:val="22"/>
        </w:rPr>
        <w:t xml:space="preserve"> </w:t>
      </w:r>
      <w:r w:rsidR="00FA1934" w:rsidRPr="009654F0">
        <w:rPr>
          <w:kern w:val="22"/>
        </w:rPr>
        <w:t>use it sustainably. This investment has leveraged over US$</w:t>
      </w:r>
      <w:r w:rsidR="00CB4842" w:rsidRPr="009654F0">
        <w:rPr>
          <w:kern w:val="22"/>
        </w:rPr>
        <w:t> </w:t>
      </w:r>
      <w:r w:rsidR="00FA1934" w:rsidRPr="009654F0">
        <w:rPr>
          <w:kern w:val="22"/>
        </w:rPr>
        <w:t>10 billion in additional funds, supporting 1,300 projects in more than 155 countries</w:t>
      </w:r>
      <w:r w:rsidR="00FE6F58" w:rsidRPr="009654F0">
        <w:rPr>
          <w:kern w:val="22"/>
        </w:rPr>
        <w:t>.</w:t>
      </w:r>
      <w:r w:rsidR="00FA1934" w:rsidRPr="009654F0">
        <w:rPr>
          <w:rStyle w:val="FootnoteReference"/>
          <w:kern w:val="22"/>
        </w:rPr>
        <w:footnoteReference w:id="12"/>
      </w:r>
    </w:p>
    <w:p w14:paraId="583C4110" w14:textId="7E956AE8" w:rsidR="009F6C39" w:rsidRPr="009654F0" w:rsidRDefault="00FA1934">
      <w:pPr>
        <w:pStyle w:val="Para1"/>
        <w:suppressLineNumbers/>
        <w:tabs>
          <w:tab w:val="clear" w:pos="360"/>
        </w:tabs>
        <w:suppressAutoHyphens/>
        <w:rPr>
          <w:kern w:val="22"/>
        </w:rPr>
      </w:pPr>
      <w:r w:rsidRPr="009654F0">
        <w:rPr>
          <w:kern w:val="22"/>
        </w:rPr>
        <w:t xml:space="preserve"> </w:t>
      </w:r>
      <w:r w:rsidR="009F6C39" w:rsidRPr="009654F0">
        <w:rPr>
          <w:kern w:val="22"/>
        </w:rPr>
        <w:t xml:space="preserve">In addition to the biodiversity focal area, several other GEF focal areas </w:t>
      </w:r>
      <w:r w:rsidR="00181E69">
        <w:rPr>
          <w:kern w:val="22"/>
        </w:rPr>
        <w:t>–</w:t>
      </w:r>
      <w:r w:rsidR="0091306D" w:rsidRPr="009654F0">
        <w:rPr>
          <w:kern w:val="22"/>
        </w:rPr>
        <w:t xml:space="preserve"> sustainable forest management, climate change, international waters </w:t>
      </w:r>
      <w:r w:rsidR="005C26FE" w:rsidRPr="009654F0">
        <w:rPr>
          <w:kern w:val="22"/>
        </w:rPr>
        <w:t>–</w:t>
      </w:r>
      <w:r w:rsidR="0091306D" w:rsidRPr="009654F0">
        <w:rPr>
          <w:kern w:val="22"/>
        </w:rPr>
        <w:t xml:space="preserve"> </w:t>
      </w:r>
      <w:r w:rsidR="005C26FE" w:rsidRPr="009654F0">
        <w:rPr>
          <w:kern w:val="22"/>
        </w:rPr>
        <w:t xml:space="preserve">also </w:t>
      </w:r>
      <w:r w:rsidR="009F6C39" w:rsidRPr="009654F0">
        <w:rPr>
          <w:kern w:val="22"/>
        </w:rPr>
        <w:t xml:space="preserve">contribute to Aichi </w:t>
      </w:r>
      <w:r w:rsidR="00E62FE7" w:rsidRPr="009654F0">
        <w:rPr>
          <w:kern w:val="22"/>
        </w:rPr>
        <w:t>T</w:t>
      </w:r>
      <w:r w:rsidR="009F6C39" w:rsidRPr="009654F0">
        <w:rPr>
          <w:kern w:val="22"/>
        </w:rPr>
        <w:t xml:space="preserve">argets, </w:t>
      </w:r>
      <w:r w:rsidR="0091306D" w:rsidRPr="009654F0">
        <w:rPr>
          <w:kern w:val="22"/>
        </w:rPr>
        <w:t xml:space="preserve">as do </w:t>
      </w:r>
      <w:r w:rsidR="00174DDC" w:rsidRPr="009654F0">
        <w:rPr>
          <w:kern w:val="22"/>
        </w:rPr>
        <w:t xml:space="preserve">several </w:t>
      </w:r>
      <w:r w:rsidR="00DC5DF1" w:rsidRPr="009654F0">
        <w:rPr>
          <w:kern w:val="22"/>
        </w:rPr>
        <w:t xml:space="preserve">specific impact and other </w:t>
      </w:r>
      <w:r w:rsidR="009F6C39" w:rsidRPr="009654F0">
        <w:rPr>
          <w:kern w:val="22"/>
        </w:rPr>
        <w:t>program</w:t>
      </w:r>
      <w:r w:rsidR="00174DDC" w:rsidRPr="009654F0">
        <w:rPr>
          <w:kern w:val="22"/>
        </w:rPr>
        <w:t>me</w:t>
      </w:r>
      <w:r w:rsidR="009F6C39" w:rsidRPr="009654F0">
        <w:rPr>
          <w:kern w:val="22"/>
        </w:rPr>
        <w:t>s</w:t>
      </w:r>
      <w:r w:rsidR="00DC5DF1" w:rsidRPr="009654F0">
        <w:rPr>
          <w:kern w:val="22"/>
        </w:rPr>
        <w:t>, for instance the Global Wildlife Program, the</w:t>
      </w:r>
      <w:r w:rsidR="009F6C39" w:rsidRPr="009654F0">
        <w:rPr>
          <w:kern w:val="22"/>
        </w:rPr>
        <w:t xml:space="preserve"> L</w:t>
      </w:r>
      <w:r w:rsidR="00DC5DF1" w:rsidRPr="009654F0">
        <w:rPr>
          <w:kern w:val="22"/>
        </w:rPr>
        <w:t xml:space="preserve">east </w:t>
      </w:r>
      <w:r w:rsidR="009F6C39" w:rsidRPr="009654F0">
        <w:rPr>
          <w:kern w:val="22"/>
        </w:rPr>
        <w:t>D</w:t>
      </w:r>
      <w:r w:rsidR="00DC5DF1" w:rsidRPr="009654F0">
        <w:rPr>
          <w:kern w:val="22"/>
        </w:rPr>
        <w:t xml:space="preserve">eveloped </w:t>
      </w:r>
      <w:r w:rsidR="009F6C39" w:rsidRPr="009654F0">
        <w:rPr>
          <w:kern w:val="22"/>
        </w:rPr>
        <w:t>C</w:t>
      </w:r>
      <w:r w:rsidR="00DC5DF1" w:rsidRPr="009654F0">
        <w:rPr>
          <w:kern w:val="22"/>
        </w:rPr>
        <w:t>ountries</w:t>
      </w:r>
      <w:r w:rsidR="009F6C39" w:rsidRPr="009654F0">
        <w:rPr>
          <w:kern w:val="22"/>
        </w:rPr>
        <w:t xml:space="preserve"> </w:t>
      </w:r>
      <w:r w:rsidR="00DC5DF1" w:rsidRPr="009654F0">
        <w:rPr>
          <w:kern w:val="22"/>
        </w:rPr>
        <w:t>F</w:t>
      </w:r>
      <w:r w:rsidR="009F6C39" w:rsidRPr="009654F0">
        <w:rPr>
          <w:kern w:val="22"/>
        </w:rPr>
        <w:t>und</w:t>
      </w:r>
      <w:r w:rsidR="00DC5DF1" w:rsidRPr="009654F0">
        <w:rPr>
          <w:kern w:val="22"/>
        </w:rPr>
        <w:t xml:space="preserve"> with its primary focus on climate change adaptation but considerable relevance for biodiversity</w:t>
      </w:r>
      <w:r w:rsidR="009F6C39" w:rsidRPr="009654F0">
        <w:rPr>
          <w:kern w:val="22"/>
        </w:rPr>
        <w:t xml:space="preserve">, </w:t>
      </w:r>
      <w:r w:rsidR="00DC5DF1" w:rsidRPr="009654F0">
        <w:rPr>
          <w:kern w:val="22"/>
        </w:rPr>
        <w:t xml:space="preserve">and the </w:t>
      </w:r>
      <w:r w:rsidR="009F6C39" w:rsidRPr="009654F0">
        <w:rPr>
          <w:kern w:val="22"/>
        </w:rPr>
        <w:t>small grants programme.</w:t>
      </w:r>
    </w:p>
    <w:p w14:paraId="4FBA9FE9" w14:textId="4E3B3FE1" w:rsidR="00AA5F43" w:rsidRPr="009654F0" w:rsidRDefault="00181E69">
      <w:pPr>
        <w:pStyle w:val="Para1"/>
        <w:suppressLineNumbers/>
        <w:tabs>
          <w:tab w:val="clear" w:pos="360"/>
        </w:tabs>
        <w:suppressAutoHyphens/>
        <w:rPr>
          <w:kern w:val="22"/>
        </w:rPr>
      </w:pPr>
      <w:r>
        <w:rPr>
          <w:kern w:val="22"/>
        </w:rPr>
        <w:t xml:space="preserve">The </w:t>
      </w:r>
      <w:r w:rsidR="00AA5F43" w:rsidRPr="009654F0">
        <w:rPr>
          <w:kern w:val="22"/>
        </w:rPr>
        <w:t xml:space="preserve">GEF Sixth Comprehensive Evaluation (OPS6), undertaken </w:t>
      </w:r>
      <w:r w:rsidR="00595793">
        <w:rPr>
          <w:kern w:val="22"/>
        </w:rPr>
        <w:t xml:space="preserve">prior </w:t>
      </w:r>
      <w:r w:rsidR="00AA5F43" w:rsidRPr="009654F0">
        <w:rPr>
          <w:kern w:val="22"/>
        </w:rPr>
        <w:t xml:space="preserve">to GEF-7, highlights the close alignment between the GEF Biodiversity Focal Area Strategy and </w:t>
      </w:r>
      <w:r w:rsidR="00174DDC" w:rsidRPr="009654F0">
        <w:rPr>
          <w:kern w:val="22"/>
        </w:rPr>
        <w:t xml:space="preserve">the </w:t>
      </w:r>
      <w:r w:rsidR="00AA5F43" w:rsidRPr="009654F0">
        <w:rPr>
          <w:kern w:val="22"/>
        </w:rPr>
        <w:t>CBD guidance. The OPS6</w:t>
      </w:r>
      <w:r w:rsidR="00AA5F43" w:rsidRPr="009654F0">
        <w:rPr>
          <w:rStyle w:val="FootnoteReference"/>
          <w:kern w:val="22"/>
          <w:szCs w:val="22"/>
        </w:rPr>
        <w:footnoteReference w:id="13"/>
      </w:r>
      <w:r w:rsidR="00AA5F43" w:rsidRPr="009654F0">
        <w:rPr>
          <w:kern w:val="22"/>
        </w:rPr>
        <w:t xml:space="preserve"> concludes that “</w:t>
      </w:r>
      <w:r w:rsidR="00337C74" w:rsidRPr="009654F0">
        <w:rPr>
          <w:kern w:val="22"/>
        </w:rPr>
        <w:t>t</w:t>
      </w:r>
      <w:r w:rsidR="00AA5F43" w:rsidRPr="009654F0">
        <w:rPr>
          <w:kern w:val="22"/>
        </w:rPr>
        <w:t xml:space="preserve">he GEF biodiversity focal area strategies have responded well to CBD guidance and direction </w:t>
      </w:r>
      <w:r w:rsidR="00F85601" w:rsidRPr="009654F0">
        <w:rPr>
          <w:kern w:val="22"/>
        </w:rPr>
        <w:t>...</w:t>
      </w:r>
      <w:r w:rsidR="00CB4842" w:rsidRPr="009654F0">
        <w:rPr>
          <w:kern w:val="22"/>
        </w:rPr>
        <w:t xml:space="preserve"> </w:t>
      </w:r>
      <w:r w:rsidR="00AA5F43" w:rsidRPr="009654F0">
        <w:rPr>
          <w:kern w:val="22"/>
        </w:rPr>
        <w:t>GEF support has enabled 189 of 196 (96</w:t>
      </w:r>
      <w:r w:rsidR="00124F1F" w:rsidRPr="009654F0">
        <w:rPr>
          <w:kern w:val="22"/>
        </w:rPr>
        <w:t> per cent</w:t>
      </w:r>
      <w:r w:rsidR="00AA5F43" w:rsidRPr="009654F0">
        <w:rPr>
          <w:kern w:val="22"/>
        </w:rPr>
        <w:t xml:space="preserve">) </w:t>
      </w:r>
      <w:r w:rsidR="00E5035F" w:rsidRPr="009654F0">
        <w:rPr>
          <w:kern w:val="22"/>
        </w:rPr>
        <w:t>P</w:t>
      </w:r>
      <w:r w:rsidR="00AA5F43" w:rsidRPr="009654F0">
        <w:rPr>
          <w:kern w:val="22"/>
        </w:rPr>
        <w:t xml:space="preserve">arties </w:t>
      </w:r>
      <w:r w:rsidR="005926BE">
        <w:rPr>
          <w:kern w:val="22"/>
        </w:rPr>
        <w:t xml:space="preserve">to the Convention </w:t>
      </w:r>
      <w:r w:rsidR="00AA5F43" w:rsidRPr="009654F0">
        <w:rPr>
          <w:kern w:val="22"/>
        </w:rPr>
        <w:t xml:space="preserve">to submit national reports to the </w:t>
      </w:r>
      <w:r w:rsidR="00AA5F43" w:rsidRPr="009654F0">
        <w:rPr>
          <w:kern w:val="22"/>
        </w:rPr>
        <w:lastRenderedPageBreak/>
        <w:t xml:space="preserve">Secretariat </w:t>
      </w:r>
      <w:r w:rsidR="00F85601" w:rsidRPr="009654F0">
        <w:rPr>
          <w:kern w:val="22"/>
        </w:rPr>
        <w:t>...</w:t>
      </w:r>
      <w:r w:rsidR="00CB4842" w:rsidRPr="009654F0">
        <w:rPr>
          <w:kern w:val="22"/>
        </w:rPr>
        <w:t xml:space="preserve"> </w:t>
      </w:r>
      <w:r w:rsidR="00B04C75" w:rsidRPr="009654F0">
        <w:rPr>
          <w:kern w:val="22"/>
        </w:rPr>
        <w:t>T</w:t>
      </w:r>
      <w:r w:rsidR="00AA5F43" w:rsidRPr="009654F0">
        <w:rPr>
          <w:kern w:val="22"/>
        </w:rPr>
        <w:t>he outcome performance of the biodiversity portfolio is comparable to that of the GEF overall, but sustainability remains a challenge</w:t>
      </w:r>
      <w:r w:rsidR="00F85601" w:rsidRPr="009654F0">
        <w:rPr>
          <w:kern w:val="22"/>
        </w:rPr>
        <w:t>”</w:t>
      </w:r>
      <w:r w:rsidR="00AA5F43" w:rsidRPr="009654F0">
        <w:rPr>
          <w:kern w:val="22"/>
        </w:rPr>
        <w:t xml:space="preserve"> (i.e., </w:t>
      </w:r>
      <w:r w:rsidR="00A35AC4" w:rsidRPr="009654F0">
        <w:rPr>
          <w:kern w:val="22"/>
        </w:rPr>
        <w:t xml:space="preserve">sustainability or </w:t>
      </w:r>
      <w:r w:rsidR="00AA5F43" w:rsidRPr="009654F0">
        <w:rPr>
          <w:kern w:val="22"/>
        </w:rPr>
        <w:t>uptake/continuation of the work by countries after GEF project completion).</w:t>
      </w:r>
    </w:p>
    <w:p w14:paraId="5F2C2BAD" w14:textId="2256EB25" w:rsidR="00AA5F43" w:rsidRPr="009654F0" w:rsidRDefault="00A56819">
      <w:pPr>
        <w:pStyle w:val="Para1"/>
        <w:suppressLineNumbers/>
        <w:tabs>
          <w:tab w:val="clear" w:pos="360"/>
        </w:tabs>
        <w:suppressAutoHyphens/>
        <w:rPr>
          <w:kern w:val="22"/>
        </w:rPr>
      </w:pPr>
      <w:r w:rsidRPr="009654F0">
        <w:rPr>
          <w:kern w:val="22"/>
        </w:rPr>
        <w:t xml:space="preserve">A number of </w:t>
      </w:r>
      <w:r w:rsidR="00AA5F43" w:rsidRPr="009654F0">
        <w:rPr>
          <w:kern w:val="22"/>
          <w:szCs w:val="22"/>
        </w:rPr>
        <w:t>Parties</w:t>
      </w:r>
      <w:r w:rsidR="00487D80" w:rsidRPr="009654F0">
        <w:rPr>
          <w:kern w:val="22"/>
          <w:szCs w:val="22"/>
        </w:rPr>
        <w:t>,</w:t>
      </w:r>
      <w:r w:rsidR="00AA5F43" w:rsidRPr="009654F0">
        <w:rPr>
          <w:kern w:val="22"/>
          <w:szCs w:val="22"/>
        </w:rPr>
        <w:t xml:space="preserve"> </w:t>
      </w:r>
      <w:r w:rsidRPr="009654F0">
        <w:rPr>
          <w:kern w:val="22"/>
          <w:szCs w:val="22"/>
        </w:rPr>
        <w:t>including</w:t>
      </w:r>
      <w:r w:rsidR="00AA5F43" w:rsidRPr="009654F0">
        <w:rPr>
          <w:kern w:val="22"/>
          <w:szCs w:val="22"/>
        </w:rPr>
        <w:t xml:space="preserve"> the </w:t>
      </w:r>
      <w:r w:rsidR="00EC0370" w:rsidRPr="009654F0">
        <w:rPr>
          <w:kern w:val="22"/>
          <w:szCs w:val="22"/>
        </w:rPr>
        <w:t>European Union</w:t>
      </w:r>
      <w:r w:rsidR="00487D80" w:rsidRPr="009654F0">
        <w:rPr>
          <w:kern w:val="22"/>
          <w:szCs w:val="22"/>
        </w:rPr>
        <w:t>,</w:t>
      </w:r>
      <w:r w:rsidR="00AA5F43" w:rsidRPr="009654F0">
        <w:rPr>
          <w:kern w:val="22"/>
          <w:szCs w:val="22"/>
        </w:rPr>
        <w:t xml:space="preserve"> highlighted a number of gaps in the </w:t>
      </w:r>
      <w:r w:rsidR="002B2E58" w:rsidRPr="009654F0">
        <w:rPr>
          <w:kern w:val="22"/>
        </w:rPr>
        <w:t>strategy for resource mobilization</w:t>
      </w:r>
      <w:r w:rsidR="00AA5F43" w:rsidRPr="009654F0">
        <w:rPr>
          <w:kern w:val="22"/>
          <w:szCs w:val="22"/>
        </w:rPr>
        <w:t xml:space="preserve"> </w:t>
      </w:r>
      <w:r w:rsidRPr="009654F0">
        <w:rPr>
          <w:kern w:val="22"/>
          <w:szCs w:val="22"/>
        </w:rPr>
        <w:t>in relation</w:t>
      </w:r>
      <w:r w:rsidR="00AA5F43" w:rsidRPr="009654F0">
        <w:rPr>
          <w:kern w:val="22"/>
          <w:szCs w:val="22"/>
        </w:rPr>
        <w:t xml:space="preserve"> to this goal, </w:t>
      </w:r>
      <w:r w:rsidRPr="009654F0">
        <w:rPr>
          <w:kern w:val="22"/>
          <w:szCs w:val="22"/>
        </w:rPr>
        <w:t>including</w:t>
      </w:r>
      <w:r w:rsidR="00AA5F43" w:rsidRPr="009654F0">
        <w:rPr>
          <w:kern w:val="22"/>
          <w:szCs w:val="22"/>
        </w:rPr>
        <w:t>:</w:t>
      </w:r>
      <w:r w:rsidRPr="009654F0">
        <w:rPr>
          <w:kern w:val="22"/>
          <w:szCs w:val="22"/>
        </w:rPr>
        <w:t xml:space="preserve"> </w:t>
      </w:r>
      <w:r w:rsidR="00F33395">
        <w:rPr>
          <w:kern w:val="22"/>
          <w:szCs w:val="22"/>
        </w:rPr>
        <w:t>(a) </w:t>
      </w:r>
      <w:r w:rsidRPr="009654F0">
        <w:rPr>
          <w:kern w:val="22"/>
          <w:szCs w:val="22"/>
        </w:rPr>
        <w:t>t</w:t>
      </w:r>
      <w:r w:rsidR="00AA5F43" w:rsidRPr="009654F0">
        <w:rPr>
          <w:kern w:val="22"/>
          <w:szCs w:val="22"/>
        </w:rPr>
        <w:t xml:space="preserve">he importance of promoting natural capital accounting; </w:t>
      </w:r>
      <w:r w:rsidR="00F33395">
        <w:rPr>
          <w:kern w:val="22"/>
          <w:szCs w:val="22"/>
        </w:rPr>
        <w:t>(b) </w:t>
      </w:r>
      <w:r w:rsidR="00E907C1" w:rsidRPr="009654F0">
        <w:rPr>
          <w:kern w:val="22"/>
          <w:szCs w:val="22"/>
        </w:rPr>
        <w:t>f</w:t>
      </w:r>
      <w:r w:rsidR="00AA5F43" w:rsidRPr="009654F0">
        <w:rPr>
          <w:kern w:val="22"/>
          <w:szCs w:val="22"/>
        </w:rPr>
        <w:t xml:space="preserve">urther promotion of sustainable financing to reflect the real value and collective returns of investments in nature and biodiversity; </w:t>
      </w:r>
      <w:r w:rsidR="00B70F80">
        <w:rPr>
          <w:kern w:val="22"/>
          <w:szCs w:val="22"/>
        </w:rPr>
        <w:t>(c) </w:t>
      </w:r>
      <w:r w:rsidR="00E907C1" w:rsidRPr="009654F0">
        <w:rPr>
          <w:kern w:val="22"/>
          <w:szCs w:val="22"/>
        </w:rPr>
        <w:t>t</w:t>
      </w:r>
      <w:r w:rsidR="00AA5F43" w:rsidRPr="009654F0">
        <w:rPr>
          <w:kern w:val="22"/>
          <w:szCs w:val="22"/>
        </w:rPr>
        <w:t xml:space="preserve">he role of multinational as well as national development banks; </w:t>
      </w:r>
      <w:r w:rsidR="00B70F80">
        <w:rPr>
          <w:kern w:val="22"/>
          <w:szCs w:val="22"/>
        </w:rPr>
        <w:t>(d) </w:t>
      </w:r>
      <w:r w:rsidR="00F85601" w:rsidRPr="009654F0">
        <w:rPr>
          <w:kern w:val="22"/>
          <w:szCs w:val="22"/>
        </w:rPr>
        <w:t>i</w:t>
      </w:r>
      <w:r w:rsidR="00AA5F43" w:rsidRPr="009654F0">
        <w:rPr>
          <w:kern w:val="22"/>
          <w:szCs w:val="22"/>
        </w:rPr>
        <w:t xml:space="preserve">nsufficient recognition of biodiversity and ecosystems as key enablers for </w:t>
      </w:r>
      <w:r w:rsidR="00487D80" w:rsidRPr="009654F0">
        <w:rPr>
          <w:kern w:val="22"/>
          <w:szCs w:val="22"/>
        </w:rPr>
        <w:t xml:space="preserve">the majority of the </w:t>
      </w:r>
      <w:r w:rsidR="00D47FC1" w:rsidRPr="009654F0">
        <w:rPr>
          <w:kern w:val="22"/>
        </w:rPr>
        <w:t>Sustainable Development Goal</w:t>
      </w:r>
      <w:r w:rsidR="00AA5F43" w:rsidRPr="009654F0">
        <w:rPr>
          <w:kern w:val="22"/>
          <w:szCs w:val="22"/>
        </w:rPr>
        <w:t>s;</w:t>
      </w:r>
      <w:r w:rsidRPr="009654F0">
        <w:rPr>
          <w:kern w:val="22"/>
          <w:szCs w:val="22"/>
        </w:rPr>
        <w:t xml:space="preserve"> </w:t>
      </w:r>
      <w:r w:rsidR="00B70F80">
        <w:rPr>
          <w:kern w:val="22"/>
          <w:szCs w:val="22"/>
        </w:rPr>
        <w:t>(e) </w:t>
      </w:r>
      <w:r w:rsidR="00E907C1" w:rsidRPr="009654F0">
        <w:rPr>
          <w:kern w:val="22"/>
          <w:szCs w:val="22"/>
        </w:rPr>
        <w:t>t</w:t>
      </w:r>
      <w:r w:rsidR="00AA5F43" w:rsidRPr="009654F0">
        <w:rPr>
          <w:kern w:val="22"/>
          <w:szCs w:val="22"/>
        </w:rPr>
        <w:t>he need to provide information for investors on biodiversity impact/companies’ performance and to link this with better</w:t>
      </w:r>
      <w:r w:rsidR="006047C1" w:rsidRPr="009654F0">
        <w:rPr>
          <w:kern w:val="22"/>
          <w:szCs w:val="22"/>
        </w:rPr>
        <w:t>-</w:t>
      </w:r>
      <w:r w:rsidR="00AA5F43" w:rsidRPr="009654F0">
        <w:rPr>
          <w:kern w:val="22"/>
          <w:szCs w:val="22"/>
        </w:rPr>
        <w:t>know</w:t>
      </w:r>
      <w:r w:rsidR="00487D80" w:rsidRPr="009654F0">
        <w:rPr>
          <w:kern w:val="22"/>
          <w:szCs w:val="22"/>
        </w:rPr>
        <w:t>n</w:t>
      </w:r>
      <w:r w:rsidR="00AA5F43" w:rsidRPr="009654F0">
        <w:rPr>
          <w:kern w:val="22"/>
          <w:szCs w:val="22"/>
        </w:rPr>
        <w:t xml:space="preserve"> </w:t>
      </w:r>
      <w:r w:rsidR="00AB5E36" w:rsidRPr="009654F0">
        <w:rPr>
          <w:kern w:val="22"/>
          <w:szCs w:val="22"/>
        </w:rPr>
        <w:t>environmental, social and governance (</w:t>
      </w:r>
      <w:r w:rsidR="00AA5F43" w:rsidRPr="009654F0">
        <w:rPr>
          <w:kern w:val="22"/>
          <w:szCs w:val="22"/>
        </w:rPr>
        <w:t>ESG</w:t>
      </w:r>
      <w:r w:rsidR="00AB5E36" w:rsidRPr="009654F0">
        <w:rPr>
          <w:kern w:val="22"/>
          <w:szCs w:val="22"/>
        </w:rPr>
        <w:t>)</w:t>
      </w:r>
      <w:r w:rsidR="00AA5F43" w:rsidRPr="009654F0">
        <w:rPr>
          <w:kern w:val="22"/>
          <w:szCs w:val="22"/>
        </w:rPr>
        <w:t xml:space="preserve"> and climate issues; </w:t>
      </w:r>
      <w:r w:rsidR="00E907C1" w:rsidRPr="009654F0">
        <w:rPr>
          <w:kern w:val="22"/>
          <w:szCs w:val="22"/>
        </w:rPr>
        <w:t xml:space="preserve">and </w:t>
      </w:r>
      <w:r w:rsidR="00753E30">
        <w:rPr>
          <w:kern w:val="22"/>
          <w:szCs w:val="22"/>
        </w:rPr>
        <w:t>(f) </w:t>
      </w:r>
      <w:r w:rsidR="00E907C1" w:rsidRPr="009654F0">
        <w:rPr>
          <w:kern w:val="22"/>
          <w:szCs w:val="22"/>
        </w:rPr>
        <w:t>t</w:t>
      </w:r>
      <w:r w:rsidR="00AA5F43" w:rsidRPr="009654F0">
        <w:rPr>
          <w:kern w:val="22"/>
          <w:szCs w:val="22"/>
        </w:rPr>
        <w:t>he limitations of GEF to provide non-grant financing.</w:t>
      </w:r>
    </w:p>
    <w:p w14:paraId="5E9B101B" w14:textId="0462225A" w:rsidR="000D3BCF" w:rsidRPr="009654F0" w:rsidRDefault="001F1CCC">
      <w:pPr>
        <w:pStyle w:val="Heading4"/>
        <w:suppressLineNumbers/>
        <w:suppressAutoHyphens/>
        <w:rPr>
          <w:i w:val="0"/>
          <w:kern w:val="22"/>
        </w:rPr>
      </w:pPr>
      <w:r w:rsidRPr="009654F0">
        <w:rPr>
          <w:i w:val="0"/>
          <w:kern w:val="22"/>
        </w:rPr>
        <w:t>Goal 4: Explore new and innovative financial mechanisms at all levels with a view to increasing funding to support the three objectives of the Convention</w:t>
      </w:r>
    </w:p>
    <w:p w14:paraId="4FD8047B" w14:textId="520E77B9" w:rsidR="001F1CCC" w:rsidRPr="009654F0" w:rsidRDefault="006E77E4">
      <w:pPr>
        <w:pStyle w:val="Para1"/>
        <w:suppressLineNumbers/>
        <w:tabs>
          <w:tab w:val="clear" w:pos="360"/>
        </w:tabs>
        <w:suppressAutoHyphens/>
        <w:rPr>
          <w:kern w:val="22"/>
          <w:szCs w:val="22"/>
        </w:rPr>
      </w:pPr>
      <w:r w:rsidRPr="009654F0">
        <w:rPr>
          <w:kern w:val="22"/>
        </w:rPr>
        <w:t xml:space="preserve">The </w:t>
      </w:r>
      <w:r w:rsidR="001F1CCC" w:rsidRPr="009654F0">
        <w:rPr>
          <w:kern w:val="22"/>
        </w:rPr>
        <w:t xml:space="preserve">topic </w:t>
      </w:r>
      <w:r w:rsidRPr="009654F0">
        <w:rPr>
          <w:kern w:val="22"/>
        </w:rPr>
        <w:t xml:space="preserve">of </w:t>
      </w:r>
      <w:r w:rsidR="00966BC9" w:rsidRPr="009654F0">
        <w:rPr>
          <w:kern w:val="22"/>
        </w:rPr>
        <w:t>“</w:t>
      </w:r>
      <w:r w:rsidRPr="009654F0">
        <w:rPr>
          <w:kern w:val="22"/>
        </w:rPr>
        <w:t>innovative financial mechanisms</w:t>
      </w:r>
      <w:r w:rsidR="00966BC9" w:rsidRPr="009654F0">
        <w:rPr>
          <w:kern w:val="22"/>
        </w:rPr>
        <w:t>”</w:t>
      </w:r>
      <w:r w:rsidRPr="009654F0">
        <w:rPr>
          <w:kern w:val="22"/>
        </w:rPr>
        <w:t xml:space="preserve"> </w:t>
      </w:r>
      <w:r w:rsidR="001F1CCC" w:rsidRPr="009654F0">
        <w:rPr>
          <w:kern w:val="22"/>
        </w:rPr>
        <w:t xml:space="preserve">proved </w:t>
      </w:r>
      <w:r w:rsidR="00E907C1" w:rsidRPr="009654F0">
        <w:rPr>
          <w:kern w:val="22"/>
        </w:rPr>
        <w:t>contentious</w:t>
      </w:r>
      <w:r w:rsidR="001F1CCC" w:rsidRPr="009654F0">
        <w:rPr>
          <w:kern w:val="22"/>
        </w:rPr>
        <w:t xml:space="preserve"> at </w:t>
      </w:r>
      <w:r w:rsidR="00C146A0" w:rsidRPr="009654F0">
        <w:rPr>
          <w:kern w:val="22"/>
        </w:rPr>
        <w:t xml:space="preserve">the tenth meeting of </w:t>
      </w:r>
      <w:r w:rsidR="00AA1AF9" w:rsidRPr="009654F0">
        <w:rPr>
          <w:kern w:val="22"/>
        </w:rPr>
        <w:t>the Conference of the Parties</w:t>
      </w:r>
      <w:r w:rsidR="001F1CCC" w:rsidRPr="009654F0">
        <w:rPr>
          <w:kern w:val="22"/>
        </w:rPr>
        <w:t>, and</w:t>
      </w:r>
      <w:r w:rsidR="00C41F9D">
        <w:rPr>
          <w:kern w:val="22"/>
        </w:rPr>
        <w:t>,</w:t>
      </w:r>
      <w:r w:rsidR="001F1CCC" w:rsidRPr="009654F0">
        <w:rPr>
          <w:kern w:val="22"/>
        </w:rPr>
        <w:t xml:space="preserve"> in March 2012, the Governments of </w:t>
      </w:r>
      <w:r w:rsidR="00AA1AF9" w:rsidRPr="009654F0">
        <w:rPr>
          <w:kern w:val="22"/>
        </w:rPr>
        <w:t xml:space="preserve">Ecuador, </w:t>
      </w:r>
      <w:r w:rsidR="001F1CCC" w:rsidRPr="009654F0">
        <w:rPr>
          <w:kern w:val="22"/>
        </w:rPr>
        <w:t>India</w:t>
      </w:r>
      <w:r w:rsidR="00CA7B4B" w:rsidRPr="009654F0">
        <w:rPr>
          <w:kern w:val="22"/>
        </w:rPr>
        <w:t>,</w:t>
      </w:r>
      <w:r w:rsidR="001F1CCC" w:rsidRPr="009654F0">
        <w:rPr>
          <w:kern w:val="22"/>
        </w:rPr>
        <w:t xml:space="preserve"> Japan, </w:t>
      </w:r>
      <w:r w:rsidR="00CA7B4B" w:rsidRPr="009654F0">
        <w:rPr>
          <w:kern w:val="22"/>
        </w:rPr>
        <w:t xml:space="preserve">Norway and Sweden </w:t>
      </w:r>
      <w:r w:rsidR="00E907C1" w:rsidRPr="009654F0">
        <w:rPr>
          <w:kern w:val="22"/>
        </w:rPr>
        <w:t>and</w:t>
      </w:r>
      <w:r w:rsidR="001F1CCC" w:rsidRPr="009654F0">
        <w:rPr>
          <w:kern w:val="22"/>
        </w:rPr>
        <w:t xml:space="preserve"> the Secretariat</w:t>
      </w:r>
      <w:r w:rsidR="00CA7B4B" w:rsidRPr="009654F0">
        <w:rPr>
          <w:kern w:val="22"/>
        </w:rPr>
        <w:t xml:space="preserve"> of the Convention</w:t>
      </w:r>
      <w:r w:rsidR="001F1CCC" w:rsidRPr="009654F0">
        <w:rPr>
          <w:kern w:val="22"/>
        </w:rPr>
        <w:t xml:space="preserve"> </w:t>
      </w:r>
      <w:r w:rsidR="00A2265D" w:rsidRPr="009654F0">
        <w:rPr>
          <w:kern w:val="22"/>
        </w:rPr>
        <w:t>convened</w:t>
      </w:r>
      <w:r w:rsidR="006B0F31" w:rsidRPr="009654F0">
        <w:rPr>
          <w:kern w:val="22"/>
        </w:rPr>
        <w:t>,</w:t>
      </w:r>
      <w:r w:rsidR="001F1CCC" w:rsidRPr="009654F0">
        <w:rPr>
          <w:kern w:val="22"/>
        </w:rPr>
        <w:t xml:space="preserve"> </w:t>
      </w:r>
      <w:r w:rsidR="00082606" w:rsidRPr="009654F0">
        <w:rPr>
          <w:kern w:val="22"/>
        </w:rPr>
        <w:t xml:space="preserve">in Quito, </w:t>
      </w:r>
      <w:r w:rsidR="001F1CCC" w:rsidRPr="009654F0">
        <w:rPr>
          <w:kern w:val="22"/>
        </w:rPr>
        <w:t xml:space="preserve">a </w:t>
      </w:r>
      <w:r w:rsidR="00FD5BE3" w:rsidRPr="009654F0">
        <w:rPr>
          <w:kern w:val="22"/>
        </w:rPr>
        <w:t>d</w:t>
      </w:r>
      <w:r w:rsidR="001F1CCC" w:rsidRPr="009654F0">
        <w:rPr>
          <w:kern w:val="22"/>
        </w:rPr>
        <w:t xml:space="preserve">ialogue </w:t>
      </w:r>
      <w:r w:rsidR="00FD5BE3" w:rsidRPr="009654F0">
        <w:rPr>
          <w:kern w:val="22"/>
        </w:rPr>
        <w:t>seminar</w:t>
      </w:r>
      <w:r w:rsidR="001570B4" w:rsidRPr="009654F0">
        <w:rPr>
          <w:kern w:val="22"/>
        </w:rPr>
        <w:t xml:space="preserve"> </w:t>
      </w:r>
      <w:r w:rsidR="001F1CCC" w:rsidRPr="009654F0">
        <w:rPr>
          <w:kern w:val="22"/>
        </w:rPr>
        <w:t xml:space="preserve">on </w:t>
      </w:r>
      <w:r w:rsidR="00FD5BE3" w:rsidRPr="009654F0">
        <w:rPr>
          <w:kern w:val="22"/>
        </w:rPr>
        <w:t>s</w:t>
      </w:r>
      <w:r w:rsidR="001F1CCC" w:rsidRPr="009654F0">
        <w:rPr>
          <w:kern w:val="22"/>
        </w:rPr>
        <w:t xml:space="preserve">caling up </w:t>
      </w:r>
      <w:r w:rsidR="00FD5BE3" w:rsidRPr="009654F0">
        <w:rPr>
          <w:kern w:val="22"/>
        </w:rPr>
        <w:t>finance for b</w:t>
      </w:r>
      <w:r w:rsidR="001F1CCC" w:rsidRPr="009654F0">
        <w:rPr>
          <w:kern w:val="22"/>
        </w:rPr>
        <w:t>iodiversity</w:t>
      </w:r>
      <w:r w:rsidR="00CA7B4B" w:rsidRPr="009654F0">
        <w:rPr>
          <w:kern w:val="22"/>
        </w:rPr>
        <w:t>.</w:t>
      </w:r>
      <w:r w:rsidR="001F1CCC" w:rsidRPr="009654F0">
        <w:rPr>
          <w:kern w:val="22"/>
        </w:rPr>
        <w:t xml:space="preserve"> A second </w:t>
      </w:r>
      <w:r w:rsidR="006629EA" w:rsidRPr="009654F0">
        <w:rPr>
          <w:kern w:val="22"/>
        </w:rPr>
        <w:t>“</w:t>
      </w:r>
      <w:r w:rsidR="001F1CCC" w:rsidRPr="009654F0">
        <w:rPr>
          <w:kern w:val="22"/>
        </w:rPr>
        <w:t>Quito Dialogue</w:t>
      </w:r>
      <w:r w:rsidR="006629EA" w:rsidRPr="009654F0">
        <w:rPr>
          <w:kern w:val="22"/>
        </w:rPr>
        <w:t>”</w:t>
      </w:r>
      <w:r w:rsidR="001F1CCC" w:rsidRPr="009654F0">
        <w:rPr>
          <w:kern w:val="22"/>
        </w:rPr>
        <w:t xml:space="preserve"> was held in April 2014, ahead of </w:t>
      </w:r>
      <w:r w:rsidR="00CA4284" w:rsidRPr="009654F0">
        <w:rPr>
          <w:kern w:val="22"/>
        </w:rPr>
        <w:t>the twelfth meeting of the Conference of the Parties</w:t>
      </w:r>
      <w:r w:rsidR="001F1CCC" w:rsidRPr="009654F0">
        <w:rPr>
          <w:kern w:val="22"/>
        </w:rPr>
        <w:t>.</w:t>
      </w:r>
      <w:r w:rsidR="00E907C1" w:rsidRPr="009654F0">
        <w:rPr>
          <w:kern w:val="22"/>
        </w:rPr>
        <w:t xml:space="preserve"> I</w:t>
      </w:r>
      <w:r w:rsidR="001F1CCC" w:rsidRPr="009654F0">
        <w:rPr>
          <w:kern w:val="22"/>
        </w:rPr>
        <w:t xml:space="preserve">t is evident that the number of mechanisms available has </w:t>
      </w:r>
      <w:r w:rsidR="00FC7BD5" w:rsidRPr="009654F0">
        <w:rPr>
          <w:kern w:val="22"/>
        </w:rPr>
        <w:t xml:space="preserve">grown enormously </w:t>
      </w:r>
      <w:r w:rsidR="001F1CCC" w:rsidRPr="009654F0">
        <w:rPr>
          <w:kern w:val="22"/>
        </w:rPr>
        <w:t xml:space="preserve">in the </w:t>
      </w:r>
      <w:r w:rsidR="00E907C1" w:rsidRPr="009654F0">
        <w:rPr>
          <w:kern w:val="22"/>
        </w:rPr>
        <w:t xml:space="preserve">years since the </w:t>
      </w:r>
      <w:r w:rsidR="002B2E58" w:rsidRPr="009654F0">
        <w:rPr>
          <w:kern w:val="22"/>
        </w:rPr>
        <w:t>strategy for resource mobilization</w:t>
      </w:r>
      <w:r w:rsidR="00E907C1" w:rsidRPr="009654F0">
        <w:rPr>
          <w:kern w:val="22"/>
        </w:rPr>
        <w:t xml:space="preserve"> was agreed</w:t>
      </w:r>
      <w:r w:rsidR="001F1CCC" w:rsidRPr="009654F0">
        <w:rPr>
          <w:kern w:val="22"/>
        </w:rPr>
        <w:t>, as have the lessons learned from their implementation both in the biodiversity field but also, importantly, in the climate finance field, including through REDD+ programmes.</w:t>
      </w:r>
      <w:r w:rsidR="0010243F" w:rsidRPr="009654F0">
        <w:rPr>
          <w:i/>
          <w:kern w:val="22"/>
          <w:szCs w:val="22"/>
        </w:rPr>
        <w:t xml:space="preserve"> </w:t>
      </w:r>
      <w:r w:rsidR="0010243F" w:rsidRPr="009654F0">
        <w:rPr>
          <w:kern w:val="22"/>
          <w:szCs w:val="22"/>
        </w:rPr>
        <w:t xml:space="preserve">The recent </w:t>
      </w:r>
      <w:r w:rsidR="00886DC8" w:rsidRPr="009654F0">
        <w:rPr>
          <w:kern w:val="22"/>
          <w:szCs w:val="22"/>
        </w:rPr>
        <w:t xml:space="preserve">OECD </w:t>
      </w:r>
      <w:r w:rsidR="0010243F" w:rsidRPr="009654F0">
        <w:rPr>
          <w:kern w:val="22"/>
          <w:szCs w:val="22"/>
        </w:rPr>
        <w:t xml:space="preserve">report, </w:t>
      </w:r>
      <w:r w:rsidR="00F14EBA" w:rsidRPr="009654F0">
        <w:rPr>
          <w:i/>
          <w:kern w:val="22"/>
          <w:szCs w:val="22"/>
        </w:rPr>
        <w:t>A</w:t>
      </w:r>
      <w:r w:rsidR="0010243F" w:rsidRPr="009654F0">
        <w:rPr>
          <w:i/>
          <w:kern w:val="22"/>
          <w:szCs w:val="22"/>
        </w:rPr>
        <w:t xml:space="preserve"> Comprehensive Overview of Global Biodiversity Finance</w:t>
      </w:r>
      <w:r w:rsidR="00F85601" w:rsidRPr="009654F0">
        <w:rPr>
          <w:iCs/>
          <w:kern w:val="22"/>
          <w:szCs w:val="22"/>
        </w:rPr>
        <w:t>,</w:t>
      </w:r>
      <w:r w:rsidR="0010243F" w:rsidRPr="009654F0">
        <w:rPr>
          <w:rStyle w:val="FootnoteReference"/>
          <w:iCs/>
          <w:kern w:val="22"/>
          <w:szCs w:val="22"/>
        </w:rPr>
        <w:footnoteReference w:id="14"/>
      </w:r>
      <w:r w:rsidR="0010243F" w:rsidRPr="009654F0">
        <w:rPr>
          <w:iCs/>
          <w:kern w:val="22"/>
          <w:szCs w:val="22"/>
        </w:rPr>
        <w:t xml:space="preserve"> </w:t>
      </w:r>
      <w:r w:rsidR="0010243F" w:rsidRPr="009654F0">
        <w:rPr>
          <w:kern w:val="22"/>
          <w:szCs w:val="22"/>
        </w:rPr>
        <w:t>provides a useful overview of economic and other finance instruments, investment approaches and investment structures that are currently being deployed in the biodiversity area, as well as an estimate of the total resources being mobili</w:t>
      </w:r>
      <w:r w:rsidR="0083731C" w:rsidRPr="009654F0">
        <w:rPr>
          <w:kern w:val="22"/>
          <w:szCs w:val="22"/>
        </w:rPr>
        <w:t>z</w:t>
      </w:r>
      <w:r w:rsidR="0010243F" w:rsidRPr="009654F0">
        <w:rPr>
          <w:kern w:val="22"/>
          <w:szCs w:val="22"/>
        </w:rPr>
        <w:t xml:space="preserve">ed by each for biodiversity (see </w:t>
      </w:r>
      <w:r w:rsidR="00F85601" w:rsidRPr="009654F0">
        <w:rPr>
          <w:kern w:val="22"/>
          <w:szCs w:val="22"/>
        </w:rPr>
        <w:t>a</w:t>
      </w:r>
      <w:r w:rsidR="0010243F" w:rsidRPr="009654F0">
        <w:rPr>
          <w:kern w:val="22"/>
          <w:szCs w:val="22"/>
        </w:rPr>
        <w:t xml:space="preserve">nnex </w:t>
      </w:r>
      <w:r w:rsidR="0083731C" w:rsidRPr="009654F0">
        <w:rPr>
          <w:kern w:val="22"/>
          <w:szCs w:val="22"/>
        </w:rPr>
        <w:t>VI</w:t>
      </w:r>
      <w:r w:rsidR="00E907C1" w:rsidRPr="009654F0">
        <w:rPr>
          <w:kern w:val="22"/>
          <w:szCs w:val="22"/>
        </w:rPr>
        <w:t xml:space="preserve"> </w:t>
      </w:r>
      <w:r w:rsidR="00F85601" w:rsidRPr="009654F0">
        <w:rPr>
          <w:kern w:val="22"/>
          <w:szCs w:val="22"/>
        </w:rPr>
        <w:t>to</w:t>
      </w:r>
      <w:r w:rsidR="00E907C1" w:rsidRPr="009654F0">
        <w:rPr>
          <w:kern w:val="22"/>
          <w:szCs w:val="22"/>
        </w:rPr>
        <w:t xml:space="preserve"> the full version of </w:t>
      </w:r>
      <w:r w:rsidR="00EA37E9" w:rsidRPr="009654F0">
        <w:rPr>
          <w:kern w:val="22"/>
          <w:szCs w:val="22"/>
        </w:rPr>
        <w:t xml:space="preserve">the present </w:t>
      </w:r>
      <w:r w:rsidR="00E11FA5" w:rsidRPr="009654F0">
        <w:rPr>
          <w:kern w:val="22"/>
          <w:szCs w:val="22"/>
        </w:rPr>
        <w:t>r</w:t>
      </w:r>
      <w:r w:rsidR="00E907C1" w:rsidRPr="009654F0">
        <w:rPr>
          <w:kern w:val="22"/>
          <w:szCs w:val="22"/>
        </w:rPr>
        <w:t>eport</w:t>
      </w:r>
      <w:r w:rsidR="0010243F" w:rsidRPr="009654F0">
        <w:rPr>
          <w:kern w:val="22"/>
          <w:szCs w:val="22"/>
        </w:rPr>
        <w:t>)</w:t>
      </w:r>
      <w:r w:rsidR="00986764" w:rsidRPr="009654F0">
        <w:rPr>
          <w:kern w:val="22"/>
          <w:szCs w:val="22"/>
        </w:rPr>
        <w:t>.</w:t>
      </w:r>
    </w:p>
    <w:p w14:paraId="0C13E7EA" w14:textId="41EC5D06" w:rsidR="00FC7BD5" w:rsidRPr="009654F0" w:rsidRDefault="00FC7BD5">
      <w:pPr>
        <w:pStyle w:val="Para1"/>
        <w:suppressLineNumbers/>
        <w:tabs>
          <w:tab w:val="clear" w:pos="360"/>
        </w:tabs>
        <w:suppressAutoHyphens/>
        <w:rPr>
          <w:kern w:val="22"/>
          <w:szCs w:val="22"/>
        </w:rPr>
      </w:pPr>
      <w:r w:rsidRPr="009654F0">
        <w:rPr>
          <w:kern w:val="22"/>
          <w:szCs w:val="22"/>
        </w:rPr>
        <w:t xml:space="preserve">A group of academic researchers from the University of British Columbia and elsewhere (hereinafter referred to as </w:t>
      </w:r>
      <w:r w:rsidR="00C9388F" w:rsidRPr="009654F0">
        <w:rPr>
          <w:kern w:val="22"/>
          <w:szCs w:val="22"/>
        </w:rPr>
        <w:t xml:space="preserve">the </w:t>
      </w:r>
      <w:r w:rsidR="00966BC9" w:rsidRPr="009654F0">
        <w:rPr>
          <w:kern w:val="22"/>
          <w:szCs w:val="22"/>
        </w:rPr>
        <w:t>“</w:t>
      </w:r>
      <w:r w:rsidRPr="009654F0">
        <w:rPr>
          <w:kern w:val="22"/>
          <w:szCs w:val="22"/>
        </w:rPr>
        <w:t>UBC</w:t>
      </w:r>
      <w:r w:rsidR="00C9388F" w:rsidRPr="009654F0">
        <w:rPr>
          <w:kern w:val="22"/>
          <w:szCs w:val="22"/>
        </w:rPr>
        <w:t xml:space="preserve"> group</w:t>
      </w:r>
      <w:r w:rsidR="00966BC9" w:rsidRPr="009654F0">
        <w:rPr>
          <w:kern w:val="22"/>
          <w:szCs w:val="22"/>
        </w:rPr>
        <w:t>”</w:t>
      </w:r>
      <w:r w:rsidRPr="009654F0">
        <w:rPr>
          <w:kern w:val="22"/>
          <w:szCs w:val="22"/>
        </w:rPr>
        <w:t>) has found evidence</w:t>
      </w:r>
      <w:r w:rsidR="002D7CE3" w:rsidRPr="00D223BE">
        <w:rPr>
          <w:kern w:val="22"/>
          <w:szCs w:val="22"/>
        </w:rPr>
        <w:t>, however,</w:t>
      </w:r>
      <w:r w:rsidRPr="009654F0">
        <w:rPr>
          <w:kern w:val="22"/>
          <w:szCs w:val="22"/>
        </w:rPr>
        <w:t xml:space="preserve"> that claims about the increase in private sector finance for biodiversity are considerably overstated. In the case of private capital flows into avoided deforestation and ecosystem restoration, for example, </w:t>
      </w:r>
      <w:r w:rsidR="00C9388F" w:rsidRPr="009654F0">
        <w:rPr>
          <w:kern w:val="22"/>
          <w:szCs w:val="22"/>
        </w:rPr>
        <w:t xml:space="preserve">the </w:t>
      </w:r>
      <w:r w:rsidRPr="009654F0">
        <w:rPr>
          <w:kern w:val="22"/>
          <w:szCs w:val="22"/>
        </w:rPr>
        <w:t xml:space="preserve">UBC </w:t>
      </w:r>
      <w:r w:rsidR="00C9388F" w:rsidRPr="009654F0">
        <w:rPr>
          <w:kern w:val="22"/>
          <w:szCs w:val="22"/>
        </w:rPr>
        <w:t xml:space="preserve">group </w:t>
      </w:r>
      <w:r w:rsidRPr="009654F0">
        <w:rPr>
          <w:kern w:val="22"/>
          <w:szCs w:val="22"/>
        </w:rPr>
        <w:t>note</w:t>
      </w:r>
      <w:r w:rsidR="00EF1F7D">
        <w:rPr>
          <w:kern w:val="22"/>
          <w:szCs w:val="22"/>
        </w:rPr>
        <w:t>s</w:t>
      </w:r>
      <w:r w:rsidRPr="009654F0">
        <w:rPr>
          <w:kern w:val="22"/>
          <w:szCs w:val="22"/>
        </w:rPr>
        <w:t xml:space="preserve"> that</w:t>
      </w:r>
      <w:r w:rsidR="00EF1F7D">
        <w:rPr>
          <w:kern w:val="22"/>
          <w:szCs w:val="22"/>
        </w:rPr>
        <w:t>,</w:t>
      </w:r>
      <w:r w:rsidRPr="009654F0">
        <w:rPr>
          <w:kern w:val="22"/>
          <w:szCs w:val="22"/>
        </w:rPr>
        <w:t xml:space="preserve"> </w:t>
      </w:r>
      <w:r w:rsidRPr="009654F0">
        <w:rPr>
          <w:bCs/>
          <w:kern w:val="22"/>
          <w:szCs w:val="22"/>
        </w:rPr>
        <w:t>under one scenario modelled by the Eliasch review in 2008</w:t>
      </w:r>
      <w:r w:rsidR="00EF1F7D">
        <w:rPr>
          <w:bCs/>
          <w:kern w:val="22"/>
          <w:szCs w:val="22"/>
        </w:rPr>
        <w:t>,</w:t>
      </w:r>
      <w:r w:rsidRPr="009654F0">
        <w:rPr>
          <w:bCs/>
          <w:kern w:val="22"/>
          <w:szCs w:val="22"/>
        </w:rPr>
        <w:t xml:space="preserve"> </w:t>
      </w:r>
      <w:r w:rsidR="003939FC" w:rsidRPr="009654F0">
        <w:rPr>
          <w:bCs/>
          <w:kern w:val="22"/>
          <w:szCs w:val="22"/>
        </w:rPr>
        <w:t xml:space="preserve">it was </w:t>
      </w:r>
      <w:r w:rsidRPr="009654F0">
        <w:rPr>
          <w:bCs/>
          <w:kern w:val="22"/>
          <w:szCs w:val="22"/>
        </w:rPr>
        <w:t>predicted that US$ 7 billion could be generated by carbon markets by 2020.</w:t>
      </w:r>
      <w:r w:rsidRPr="009654F0">
        <w:rPr>
          <w:bCs/>
          <w:kern w:val="22"/>
          <w:szCs w:val="22"/>
          <w:vertAlign w:val="superscript"/>
        </w:rPr>
        <w:footnoteReference w:id="15"/>
      </w:r>
      <w:r w:rsidRPr="009654F0">
        <w:rPr>
          <w:bCs/>
          <w:kern w:val="22"/>
          <w:szCs w:val="22"/>
        </w:rPr>
        <w:t xml:space="preserve"> In reality, according to the most recent Ecosystem Marketplace </w:t>
      </w:r>
      <w:r w:rsidRPr="009654F0">
        <w:rPr>
          <w:bCs/>
          <w:i/>
          <w:iCs/>
          <w:kern w:val="22"/>
          <w:szCs w:val="22"/>
        </w:rPr>
        <w:t>State of the Forest Carbon Market</w:t>
      </w:r>
      <w:r w:rsidRPr="009654F0">
        <w:rPr>
          <w:bCs/>
          <w:kern w:val="22"/>
          <w:szCs w:val="22"/>
        </w:rPr>
        <w:t xml:space="preserve"> report, the forest-based emission reduction market peaked in 2014 with US$ 257 million in value, and fell </w:t>
      </w:r>
      <w:r w:rsidR="00C9388F" w:rsidRPr="009654F0">
        <w:rPr>
          <w:bCs/>
          <w:kern w:val="22"/>
          <w:szCs w:val="22"/>
        </w:rPr>
        <w:t xml:space="preserve">back </w:t>
      </w:r>
      <w:r w:rsidRPr="009654F0">
        <w:rPr>
          <w:bCs/>
          <w:kern w:val="22"/>
          <w:szCs w:val="22"/>
        </w:rPr>
        <w:t xml:space="preserve">to </w:t>
      </w:r>
      <w:r w:rsidR="00C9388F" w:rsidRPr="009654F0">
        <w:rPr>
          <w:bCs/>
          <w:kern w:val="22"/>
          <w:szCs w:val="22"/>
        </w:rPr>
        <w:t xml:space="preserve">only </w:t>
      </w:r>
      <w:r w:rsidRPr="009654F0">
        <w:rPr>
          <w:bCs/>
          <w:kern w:val="22"/>
          <w:szCs w:val="22"/>
        </w:rPr>
        <w:t>US$</w:t>
      </w:r>
      <w:r w:rsidR="00A0185A">
        <w:rPr>
          <w:bCs/>
          <w:kern w:val="22"/>
          <w:szCs w:val="22"/>
        </w:rPr>
        <w:t> </w:t>
      </w:r>
      <w:r w:rsidRPr="009654F0">
        <w:rPr>
          <w:bCs/>
          <w:kern w:val="22"/>
          <w:szCs w:val="22"/>
        </w:rPr>
        <w:t>120 million in 2016.</w:t>
      </w:r>
      <w:r w:rsidRPr="009654F0">
        <w:rPr>
          <w:bCs/>
          <w:kern w:val="22"/>
          <w:szCs w:val="22"/>
          <w:vertAlign w:val="superscript"/>
        </w:rPr>
        <w:footnoteReference w:id="16"/>
      </w:r>
    </w:p>
    <w:p w14:paraId="4ACE3B41" w14:textId="23B98C18" w:rsidR="00FC7BD5" w:rsidRPr="009654F0" w:rsidRDefault="00FC7BD5">
      <w:pPr>
        <w:pStyle w:val="Para1"/>
        <w:suppressLineNumbers/>
        <w:tabs>
          <w:tab w:val="clear" w:pos="360"/>
        </w:tabs>
        <w:suppressAutoHyphens/>
        <w:rPr>
          <w:kern w:val="22"/>
          <w:szCs w:val="22"/>
        </w:rPr>
      </w:pPr>
      <w:r w:rsidRPr="009654F0">
        <w:rPr>
          <w:bCs/>
          <w:kern w:val="22"/>
          <w:szCs w:val="22"/>
        </w:rPr>
        <w:t xml:space="preserve">Similarly, </w:t>
      </w:r>
      <w:r w:rsidR="00492902" w:rsidRPr="009654F0">
        <w:rPr>
          <w:bCs/>
          <w:kern w:val="22"/>
          <w:szCs w:val="22"/>
        </w:rPr>
        <w:t>great expectations voiced in the past about the ability of genetic resources, particularly in forests, to generate huge financial in</w:t>
      </w:r>
      <w:r w:rsidR="00C9388F" w:rsidRPr="009654F0">
        <w:rPr>
          <w:bCs/>
          <w:kern w:val="22"/>
          <w:szCs w:val="22"/>
        </w:rPr>
        <w:t xml:space="preserve">vestments in </w:t>
      </w:r>
      <w:r w:rsidR="00492902" w:rsidRPr="009654F0">
        <w:rPr>
          <w:bCs/>
          <w:kern w:val="22"/>
          <w:szCs w:val="22"/>
        </w:rPr>
        <w:t xml:space="preserve">biodiversity conservation through bioprospecting, have generally </w:t>
      </w:r>
      <w:r w:rsidR="007447C9" w:rsidRPr="009654F0">
        <w:rPr>
          <w:bCs/>
          <w:kern w:val="22"/>
          <w:szCs w:val="22"/>
        </w:rPr>
        <w:t>proved</w:t>
      </w:r>
      <w:r w:rsidR="00EE2618" w:rsidRPr="009654F0">
        <w:rPr>
          <w:bCs/>
          <w:kern w:val="22"/>
          <w:szCs w:val="22"/>
        </w:rPr>
        <w:t xml:space="preserve"> too optimistic</w:t>
      </w:r>
      <w:r w:rsidR="00492902" w:rsidRPr="009654F0">
        <w:rPr>
          <w:bCs/>
          <w:kern w:val="22"/>
          <w:szCs w:val="22"/>
        </w:rPr>
        <w:t>: one recent estimate found bioprospecting generating only US$ 50 million in finance for conservation.</w:t>
      </w:r>
      <w:r w:rsidR="00492902" w:rsidRPr="009654F0">
        <w:rPr>
          <w:bCs/>
          <w:kern w:val="22"/>
          <w:szCs w:val="22"/>
          <w:vertAlign w:val="superscript"/>
        </w:rPr>
        <w:footnoteReference w:id="17"/>
      </w:r>
      <w:r w:rsidR="00A93CC3" w:rsidRPr="009654F0">
        <w:rPr>
          <w:bCs/>
          <w:kern w:val="22"/>
          <w:szCs w:val="22"/>
        </w:rPr>
        <w:t xml:space="preserve"> </w:t>
      </w:r>
      <w:r w:rsidR="003763A7" w:rsidRPr="009654F0">
        <w:rPr>
          <w:bCs/>
          <w:kern w:val="22"/>
          <w:szCs w:val="22"/>
        </w:rPr>
        <w:t>A degree of realism is therefore needed</w:t>
      </w:r>
      <w:r w:rsidR="00A93CC3" w:rsidRPr="009654F0">
        <w:rPr>
          <w:bCs/>
          <w:kern w:val="22"/>
          <w:szCs w:val="22"/>
        </w:rPr>
        <w:t xml:space="preserve"> about the limitations – under current economic and regulatory frameworks at least – of private sector finance to fill the gaps in funding for biodiversity and ecosystem conservation left by the public sector.</w:t>
      </w:r>
      <w:r w:rsidR="007B7082" w:rsidRPr="009654F0">
        <w:rPr>
          <w:bCs/>
          <w:kern w:val="22"/>
          <w:szCs w:val="22"/>
        </w:rPr>
        <w:t xml:space="preserve"> As the Conservation Finance Alliance concludes, “</w:t>
      </w:r>
      <w:proofErr w:type="gramStart"/>
      <w:r w:rsidR="007D56BA">
        <w:rPr>
          <w:bCs/>
          <w:kern w:val="22"/>
          <w:szCs w:val="22"/>
        </w:rPr>
        <w:t>t</w:t>
      </w:r>
      <w:r w:rsidR="007B7082" w:rsidRPr="009654F0">
        <w:rPr>
          <w:bCs/>
          <w:kern w:val="22"/>
          <w:szCs w:val="22"/>
        </w:rPr>
        <w:t>he overwhelming majority of</w:t>
      </w:r>
      <w:proofErr w:type="gramEnd"/>
      <w:r w:rsidR="007B7082" w:rsidRPr="009654F0">
        <w:rPr>
          <w:bCs/>
          <w:kern w:val="22"/>
          <w:szCs w:val="22"/>
        </w:rPr>
        <w:t xml:space="preserve"> the financial sector has yet to show interest in biodiversity </w:t>
      </w:r>
      <w:r w:rsidR="007B7082" w:rsidRPr="009654F0">
        <w:rPr>
          <w:bCs/>
          <w:kern w:val="22"/>
          <w:szCs w:val="22"/>
        </w:rPr>
        <w:lastRenderedPageBreak/>
        <w:t>conservation”.</w:t>
      </w:r>
      <w:r w:rsidR="007B7082" w:rsidRPr="009654F0">
        <w:rPr>
          <w:bCs/>
          <w:kern w:val="22"/>
          <w:szCs w:val="22"/>
          <w:vertAlign w:val="superscript"/>
        </w:rPr>
        <w:footnoteReference w:id="18"/>
      </w:r>
      <w:r w:rsidR="007B7082" w:rsidRPr="009654F0">
        <w:rPr>
          <w:bCs/>
          <w:kern w:val="22"/>
          <w:szCs w:val="22"/>
        </w:rPr>
        <w:t xml:space="preserve"> Or, as </w:t>
      </w:r>
      <w:proofErr w:type="spellStart"/>
      <w:r w:rsidR="007B7082" w:rsidRPr="009654F0">
        <w:rPr>
          <w:bCs/>
          <w:kern w:val="22"/>
          <w:szCs w:val="22"/>
        </w:rPr>
        <w:t>NatureVest</w:t>
      </w:r>
      <w:proofErr w:type="spellEnd"/>
      <w:r w:rsidR="007B7082" w:rsidRPr="009654F0">
        <w:rPr>
          <w:bCs/>
          <w:kern w:val="22"/>
          <w:szCs w:val="22"/>
        </w:rPr>
        <w:t xml:space="preserve"> and their co-authors plainly state, conservation investments are much “less competitive compared to competing market opportunities.”</w:t>
      </w:r>
      <w:r w:rsidR="007B7082" w:rsidRPr="009654F0">
        <w:rPr>
          <w:bCs/>
          <w:kern w:val="22"/>
          <w:szCs w:val="22"/>
          <w:vertAlign w:val="superscript"/>
        </w:rPr>
        <w:footnoteReference w:id="19"/>
      </w:r>
    </w:p>
    <w:p w14:paraId="7095EC5A" w14:textId="59ABC851" w:rsidR="00D210A1" w:rsidRPr="009654F0" w:rsidRDefault="003763A7">
      <w:pPr>
        <w:pStyle w:val="Para1"/>
        <w:suppressLineNumbers/>
        <w:tabs>
          <w:tab w:val="clear" w:pos="360"/>
        </w:tabs>
        <w:suppressAutoHyphens/>
        <w:rPr>
          <w:kern w:val="22"/>
        </w:rPr>
      </w:pPr>
      <w:r w:rsidRPr="009654F0">
        <w:rPr>
          <w:kern w:val="22"/>
        </w:rPr>
        <w:t>S</w:t>
      </w:r>
      <w:r w:rsidR="00525A27" w:rsidRPr="009654F0">
        <w:rPr>
          <w:kern w:val="22"/>
        </w:rPr>
        <w:t xml:space="preserve">ignificant efforts </w:t>
      </w:r>
      <w:r w:rsidRPr="009654F0">
        <w:rPr>
          <w:kern w:val="22"/>
        </w:rPr>
        <w:t xml:space="preserve">have been </w:t>
      </w:r>
      <w:r w:rsidR="00525A27" w:rsidRPr="009654F0">
        <w:rPr>
          <w:kern w:val="22"/>
        </w:rPr>
        <w:t>made</w:t>
      </w:r>
      <w:r w:rsidR="0000352E">
        <w:rPr>
          <w:kern w:val="22"/>
        </w:rPr>
        <w:t>,</w:t>
      </w:r>
      <w:r w:rsidR="00525A27" w:rsidRPr="009654F0">
        <w:rPr>
          <w:kern w:val="22"/>
        </w:rPr>
        <w:t xml:space="preserve"> </w:t>
      </w:r>
      <w:r w:rsidR="0000352E" w:rsidRPr="007364F3">
        <w:rPr>
          <w:kern w:val="22"/>
        </w:rPr>
        <w:t>however</w:t>
      </w:r>
      <w:r w:rsidR="0000352E">
        <w:rPr>
          <w:kern w:val="22"/>
        </w:rPr>
        <w:t>,</w:t>
      </w:r>
      <w:r w:rsidR="0000352E" w:rsidRPr="007364F3">
        <w:rPr>
          <w:kern w:val="22"/>
        </w:rPr>
        <w:t xml:space="preserve"> </w:t>
      </w:r>
      <w:r w:rsidR="00525A27" w:rsidRPr="009654F0">
        <w:rPr>
          <w:kern w:val="22"/>
        </w:rPr>
        <w:t xml:space="preserve">by some Parties, such as the </w:t>
      </w:r>
      <w:r w:rsidR="00D12980" w:rsidRPr="009654F0">
        <w:rPr>
          <w:kern w:val="22"/>
        </w:rPr>
        <w:t>European Union</w:t>
      </w:r>
      <w:r w:rsidR="00525A27" w:rsidRPr="009654F0">
        <w:rPr>
          <w:kern w:val="22"/>
        </w:rPr>
        <w:t>,</w:t>
      </w:r>
      <w:r w:rsidR="00D210A1" w:rsidRPr="009654F0">
        <w:rPr>
          <w:kern w:val="22"/>
        </w:rPr>
        <w:t xml:space="preserve"> to encourage greater private sector financial contributions for biodiversity. The Business and Biodiversity Platform</w:t>
      </w:r>
      <w:r w:rsidR="00D210A1" w:rsidRPr="009654F0">
        <w:rPr>
          <w:kern w:val="22"/>
          <w:vertAlign w:val="superscript"/>
        </w:rPr>
        <w:footnoteReference w:id="20"/>
      </w:r>
      <w:r w:rsidR="00D210A1" w:rsidRPr="009654F0">
        <w:rPr>
          <w:kern w:val="22"/>
        </w:rPr>
        <w:t xml:space="preserve"> provides </w:t>
      </w:r>
      <w:r w:rsidR="00402E99" w:rsidRPr="009654F0">
        <w:rPr>
          <w:kern w:val="22"/>
        </w:rPr>
        <w:t>a</w:t>
      </w:r>
      <w:r w:rsidR="00D210A1" w:rsidRPr="009654F0">
        <w:rPr>
          <w:kern w:val="22"/>
        </w:rPr>
        <w:t xml:space="preserve"> forum </w:t>
      </w:r>
      <w:r w:rsidR="00402E99" w:rsidRPr="009654F0">
        <w:rPr>
          <w:kern w:val="22"/>
        </w:rPr>
        <w:t xml:space="preserve">at </w:t>
      </w:r>
      <w:r w:rsidR="00967031">
        <w:rPr>
          <w:kern w:val="22"/>
        </w:rPr>
        <w:t xml:space="preserve">the </w:t>
      </w:r>
      <w:r w:rsidR="00967031" w:rsidRPr="00D223BE">
        <w:rPr>
          <w:kern w:val="22"/>
        </w:rPr>
        <w:t xml:space="preserve">level </w:t>
      </w:r>
      <w:r w:rsidR="00967031">
        <w:rPr>
          <w:kern w:val="22"/>
        </w:rPr>
        <w:t xml:space="preserve">of the </w:t>
      </w:r>
      <w:r w:rsidR="00402E99" w:rsidRPr="009654F0">
        <w:rPr>
          <w:kern w:val="22"/>
        </w:rPr>
        <w:t xml:space="preserve">European Union </w:t>
      </w:r>
      <w:r w:rsidR="00D210A1" w:rsidRPr="009654F0">
        <w:rPr>
          <w:kern w:val="22"/>
        </w:rPr>
        <w:t xml:space="preserve">for sustained and strategic dialogue about the links between business and biodiversity. The Platform’s third workstream </w:t>
      </w:r>
      <w:r w:rsidR="00CC1B1B" w:rsidRPr="009654F0">
        <w:rPr>
          <w:bCs/>
          <w:kern w:val="22"/>
          <w:szCs w:val="22"/>
        </w:rPr>
        <w:t>–</w:t>
      </w:r>
      <w:r w:rsidR="00D210A1" w:rsidRPr="009654F0">
        <w:rPr>
          <w:kern w:val="22"/>
        </w:rPr>
        <w:t xml:space="preserve"> on access to finance and innovative finance mechanisms </w:t>
      </w:r>
      <w:r w:rsidR="00CC1B1B" w:rsidRPr="009654F0">
        <w:rPr>
          <w:bCs/>
          <w:kern w:val="22"/>
          <w:szCs w:val="22"/>
        </w:rPr>
        <w:t>–</w:t>
      </w:r>
      <w:r w:rsidR="00D210A1" w:rsidRPr="009654F0">
        <w:rPr>
          <w:kern w:val="22"/>
        </w:rPr>
        <w:t xml:space="preserve"> focuses on demonstrating the benefits to business, including </w:t>
      </w:r>
      <w:r w:rsidR="00D607A5" w:rsidRPr="009654F0">
        <w:rPr>
          <w:kern w:val="22"/>
        </w:rPr>
        <w:t>small and medium-sized enterprises (</w:t>
      </w:r>
      <w:r w:rsidR="00D210A1" w:rsidRPr="009654F0">
        <w:rPr>
          <w:kern w:val="22"/>
        </w:rPr>
        <w:t>SMEs</w:t>
      </w:r>
      <w:r w:rsidR="00D607A5" w:rsidRPr="009654F0">
        <w:rPr>
          <w:kern w:val="22"/>
        </w:rPr>
        <w:t>)</w:t>
      </w:r>
      <w:r w:rsidR="00D210A1" w:rsidRPr="009654F0">
        <w:rPr>
          <w:kern w:val="22"/>
        </w:rPr>
        <w:t>, of biodiversity-related investments.</w:t>
      </w:r>
    </w:p>
    <w:p w14:paraId="321C19CA" w14:textId="71DD7BA6" w:rsidR="006409E9" w:rsidRPr="009654F0" w:rsidRDefault="003763A7">
      <w:pPr>
        <w:pStyle w:val="Para1"/>
        <w:suppressLineNumbers/>
        <w:tabs>
          <w:tab w:val="clear" w:pos="360"/>
        </w:tabs>
        <w:suppressAutoHyphens/>
        <w:rPr>
          <w:kern w:val="22"/>
        </w:rPr>
      </w:pPr>
      <w:r w:rsidRPr="009654F0">
        <w:rPr>
          <w:kern w:val="22"/>
        </w:rPr>
        <w:t xml:space="preserve">In the light of these conclusions, some Parties have suggested that there </w:t>
      </w:r>
      <w:r w:rsidR="0038426E" w:rsidRPr="009654F0">
        <w:rPr>
          <w:kern w:val="22"/>
        </w:rPr>
        <w:t>would</w:t>
      </w:r>
      <w:r w:rsidRPr="009654F0">
        <w:rPr>
          <w:kern w:val="22"/>
        </w:rPr>
        <w:t xml:space="preserve"> be real value </w:t>
      </w:r>
      <w:r w:rsidR="003939FC" w:rsidRPr="009654F0">
        <w:rPr>
          <w:kern w:val="22"/>
        </w:rPr>
        <w:t xml:space="preserve">in </w:t>
      </w:r>
      <w:r w:rsidRPr="009654F0">
        <w:rPr>
          <w:kern w:val="22"/>
        </w:rPr>
        <w:t>u</w:t>
      </w:r>
      <w:r w:rsidR="001D3CB8" w:rsidRPr="009654F0">
        <w:rPr>
          <w:kern w:val="22"/>
        </w:rPr>
        <w:t>ndertaking a</w:t>
      </w:r>
      <w:r w:rsidR="00863852" w:rsidRPr="009654F0">
        <w:rPr>
          <w:kern w:val="22"/>
        </w:rPr>
        <w:t xml:space="preserve"> major programme of work to explore options for introducing and/or scaling up finance for biodiversity in each of the six </w:t>
      </w:r>
      <w:r w:rsidR="00966BC9" w:rsidRPr="009654F0">
        <w:rPr>
          <w:kern w:val="22"/>
        </w:rPr>
        <w:t>“</w:t>
      </w:r>
      <w:r w:rsidR="00863852" w:rsidRPr="009654F0">
        <w:rPr>
          <w:kern w:val="22"/>
        </w:rPr>
        <w:t>innovative financial mechanisms</w:t>
      </w:r>
      <w:r w:rsidR="00966BC9" w:rsidRPr="009654F0">
        <w:rPr>
          <w:kern w:val="22"/>
        </w:rPr>
        <w:t>”</w:t>
      </w:r>
      <w:r w:rsidR="00863852" w:rsidRPr="009654F0">
        <w:rPr>
          <w:kern w:val="22"/>
        </w:rPr>
        <w:t xml:space="preserve"> identified </w:t>
      </w:r>
      <w:r w:rsidR="00016DF3" w:rsidRPr="009654F0">
        <w:rPr>
          <w:kern w:val="22"/>
        </w:rPr>
        <w:t>under the Convention</w:t>
      </w:r>
      <w:r w:rsidR="00863852" w:rsidRPr="009654F0">
        <w:rPr>
          <w:kern w:val="22"/>
        </w:rPr>
        <w:t>:</w:t>
      </w:r>
      <w:r w:rsidR="001E4A9E" w:rsidRPr="009654F0">
        <w:rPr>
          <w:rStyle w:val="FootnoteReference"/>
          <w:kern w:val="22"/>
        </w:rPr>
        <w:footnoteReference w:id="21"/>
      </w:r>
      <w:r w:rsidR="0038426E" w:rsidRPr="009654F0">
        <w:rPr>
          <w:kern w:val="22"/>
        </w:rPr>
        <w:t xml:space="preserve"> (</w:t>
      </w:r>
      <w:r w:rsidR="00451483" w:rsidRPr="009654F0">
        <w:rPr>
          <w:kern w:val="22"/>
        </w:rPr>
        <w:t>a</w:t>
      </w:r>
      <w:r w:rsidR="0038426E" w:rsidRPr="009654F0">
        <w:rPr>
          <w:kern w:val="22"/>
        </w:rPr>
        <w:t>)</w:t>
      </w:r>
      <w:r w:rsidR="00016DF3" w:rsidRPr="009654F0">
        <w:rPr>
          <w:kern w:val="22"/>
        </w:rPr>
        <w:t> </w:t>
      </w:r>
      <w:r w:rsidR="00451483" w:rsidRPr="009654F0">
        <w:rPr>
          <w:kern w:val="22"/>
        </w:rPr>
        <w:t>e</w:t>
      </w:r>
      <w:r w:rsidR="00863852" w:rsidRPr="009654F0">
        <w:rPr>
          <w:kern w:val="22"/>
          <w:szCs w:val="22"/>
        </w:rPr>
        <w:t xml:space="preserve">nvironmental </w:t>
      </w:r>
      <w:r w:rsidR="00451483" w:rsidRPr="009654F0">
        <w:rPr>
          <w:kern w:val="22"/>
          <w:szCs w:val="22"/>
        </w:rPr>
        <w:t>f</w:t>
      </w:r>
      <w:r w:rsidR="00863852" w:rsidRPr="009654F0">
        <w:rPr>
          <w:kern w:val="22"/>
          <w:szCs w:val="22"/>
        </w:rPr>
        <w:t xml:space="preserve">iscal </w:t>
      </w:r>
      <w:r w:rsidR="00451483" w:rsidRPr="009654F0">
        <w:rPr>
          <w:kern w:val="22"/>
          <w:szCs w:val="22"/>
        </w:rPr>
        <w:t>r</w:t>
      </w:r>
      <w:r w:rsidR="00863852" w:rsidRPr="009654F0">
        <w:rPr>
          <w:kern w:val="22"/>
          <w:szCs w:val="22"/>
        </w:rPr>
        <w:t>eform</w:t>
      </w:r>
      <w:r w:rsidR="009B1111" w:rsidRPr="009654F0">
        <w:rPr>
          <w:kern w:val="22"/>
          <w:szCs w:val="22"/>
        </w:rPr>
        <w:t>;</w:t>
      </w:r>
      <w:r w:rsidR="0038426E" w:rsidRPr="009654F0">
        <w:rPr>
          <w:kern w:val="22"/>
          <w:szCs w:val="22"/>
        </w:rPr>
        <w:t xml:space="preserve"> (</w:t>
      </w:r>
      <w:r w:rsidR="00451483" w:rsidRPr="009654F0">
        <w:rPr>
          <w:kern w:val="22"/>
          <w:szCs w:val="22"/>
        </w:rPr>
        <w:t>b</w:t>
      </w:r>
      <w:r w:rsidR="0038426E" w:rsidRPr="009654F0">
        <w:rPr>
          <w:kern w:val="22"/>
          <w:szCs w:val="22"/>
        </w:rPr>
        <w:t>)</w:t>
      </w:r>
      <w:r w:rsidR="00016DF3" w:rsidRPr="009654F0">
        <w:rPr>
          <w:kern w:val="22"/>
          <w:szCs w:val="22"/>
        </w:rPr>
        <w:t> </w:t>
      </w:r>
      <w:r w:rsidR="00451483" w:rsidRPr="009654F0">
        <w:rPr>
          <w:kern w:val="22"/>
          <w:szCs w:val="22"/>
        </w:rPr>
        <w:t>p</w:t>
      </w:r>
      <w:r w:rsidR="00863852" w:rsidRPr="009654F0">
        <w:rPr>
          <w:kern w:val="22"/>
          <w:szCs w:val="22"/>
        </w:rPr>
        <w:t xml:space="preserve">ayments for </w:t>
      </w:r>
      <w:r w:rsidR="00451483" w:rsidRPr="009654F0">
        <w:rPr>
          <w:kern w:val="22"/>
          <w:szCs w:val="22"/>
        </w:rPr>
        <w:t>e</w:t>
      </w:r>
      <w:r w:rsidR="00863852" w:rsidRPr="009654F0">
        <w:rPr>
          <w:kern w:val="22"/>
          <w:szCs w:val="22"/>
        </w:rPr>
        <w:t xml:space="preserve">cosystem </w:t>
      </w:r>
      <w:r w:rsidR="00451483" w:rsidRPr="009654F0">
        <w:rPr>
          <w:kern w:val="22"/>
          <w:szCs w:val="22"/>
        </w:rPr>
        <w:t>s</w:t>
      </w:r>
      <w:r w:rsidR="00863852" w:rsidRPr="009654F0">
        <w:rPr>
          <w:kern w:val="22"/>
          <w:szCs w:val="22"/>
        </w:rPr>
        <w:t>ervices (PES)</w:t>
      </w:r>
      <w:r w:rsidR="009B1111" w:rsidRPr="009654F0">
        <w:rPr>
          <w:kern w:val="22"/>
          <w:szCs w:val="22"/>
        </w:rPr>
        <w:t>;</w:t>
      </w:r>
      <w:r w:rsidR="0038426E" w:rsidRPr="009654F0">
        <w:rPr>
          <w:kern w:val="22"/>
          <w:szCs w:val="22"/>
        </w:rPr>
        <w:t xml:space="preserve"> (</w:t>
      </w:r>
      <w:r w:rsidR="00451483" w:rsidRPr="009654F0">
        <w:rPr>
          <w:kern w:val="22"/>
          <w:szCs w:val="22"/>
        </w:rPr>
        <w:t>c</w:t>
      </w:r>
      <w:r w:rsidR="0038426E" w:rsidRPr="009654F0">
        <w:rPr>
          <w:kern w:val="22"/>
          <w:szCs w:val="22"/>
        </w:rPr>
        <w:t>)</w:t>
      </w:r>
      <w:r w:rsidR="00016DF3" w:rsidRPr="009654F0">
        <w:rPr>
          <w:kern w:val="22"/>
          <w:szCs w:val="22"/>
        </w:rPr>
        <w:t> </w:t>
      </w:r>
      <w:r w:rsidR="00451483" w:rsidRPr="009654F0">
        <w:rPr>
          <w:kern w:val="22"/>
          <w:szCs w:val="22"/>
        </w:rPr>
        <w:t>b</w:t>
      </w:r>
      <w:r w:rsidR="00863852" w:rsidRPr="009654F0">
        <w:rPr>
          <w:kern w:val="22"/>
          <w:szCs w:val="22"/>
        </w:rPr>
        <w:t xml:space="preserve">iodiversity </w:t>
      </w:r>
      <w:r w:rsidR="00451483" w:rsidRPr="009654F0">
        <w:rPr>
          <w:kern w:val="22"/>
          <w:szCs w:val="22"/>
        </w:rPr>
        <w:t>o</w:t>
      </w:r>
      <w:r w:rsidR="00863852" w:rsidRPr="009654F0">
        <w:rPr>
          <w:kern w:val="22"/>
          <w:szCs w:val="22"/>
        </w:rPr>
        <w:t>ffsets</w:t>
      </w:r>
      <w:r w:rsidR="009B1111" w:rsidRPr="009654F0">
        <w:rPr>
          <w:kern w:val="22"/>
          <w:szCs w:val="22"/>
        </w:rPr>
        <w:t>;</w:t>
      </w:r>
      <w:r w:rsidR="0038426E" w:rsidRPr="009654F0">
        <w:rPr>
          <w:kern w:val="22"/>
          <w:szCs w:val="22"/>
        </w:rPr>
        <w:t xml:space="preserve"> (</w:t>
      </w:r>
      <w:r w:rsidR="00451483" w:rsidRPr="009654F0">
        <w:rPr>
          <w:kern w:val="22"/>
          <w:szCs w:val="22"/>
        </w:rPr>
        <w:t>d</w:t>
      </w:r>
      <w:r w:rsidR="0038426E" w:rsidRPr="009654F0">
        <w:rPr>
          <w:kern w:val="22"/>
          <w:szCs w:val="22"/>
        </w:rPr>
        <w:t>)</w:t>
      </w:r>
      <w:r w:rsidR="00016DF3" w:rsidRPr="009654F0">
        <w:rPr>
          <w:kern w:val="22"/>
          <w:szCs w:val="22"/>
        </w:rPr>
        <w:t> </w:t>
      </w:r>
      <w:r w:rsidR="00451483" w:rsidRPr="009654F0">
        <w:rPr>
          <w:kern w:val="22"/>
          <w:szCs w:val="22"/>
        </w:rPr>
        <w:t>m</w:t>
      </w:r>
      <w:r w:rsidR="00863852" w:rsidRPr="009654F0">
        <w:rPr>
          <w:kern w:val="22"/>
          <w:szCs w:val="22"/>
        </w:rPr>
        <w:t xml:space="preserve">arkets for </w:t>
      </w:r>
      <w:r w:rsidR="00451483" w:rsidRPr="009654F0">
        <w:rPr>
          <w:kern w:val="22"/>
          <w:szCs w:val="22"/>
        </w:rPr>
        <w:t>g</w:t>
      </w:r>
      <w:r w:rsidR="00863852" w:rsidRPr="009654F0">
        <w:rPr>
          <w:kern w:val="22"/>
          <w:szCs w:val="22"/>
        </w:rPr>
        <w:t xml:space="preserve">reen </w:t>
      </w:r>
      <w:r w:rsidR="00451483" w:rsidRPr="009654F0">
        <w:rPr>
          <w:kern w:val="22"/>
          <w:szCs w:val="22"/>
        </w:rPr>
        <w:t>p</w:t>
      </w:r>
      <w:r w:rsidR="00863852" w:rsidRPr="009654F0">
        <w:rPr>
          <w:kern w:val="22"/>
          <w:szCs w:val="22"/>
        </w:rPr>
        <w:t>roducts</w:t>
      </w:r>
      <w:r w:rsidR="009B1111" w:rsidRPr="009654F0">
        <w:rPr>
          <w:kern w:val="22"/>
          <w:szCs w:val="22"/>
        </w:rPr>
        <w:t>;</w:t>
      </w:r>
      <w:r w:rsidR="0038426E" w:rsidRPr="009654F0">
        <w:rPr>
          <w:kern w:val="22"/>
          <w:szCs w:val="22"/>
        </w:rPr>
        <w:t xml:space="preserve"> (</w:t>
      </w:r>
      <w:r w:rsidR="00451483" w:rsidRPr="009654F0">
        <w:rPr>
          <w:kern w:val="22"/>
          <w:szCs w:val="22"/>
        </w:rPr>
        <w:t>e</w:t>
      </w:r>
      <w:r w:rsidR="0038426E" w:rsidRPr="009654F0">
        <w:rPr>
          <w:kern w:val="22"/>
          <w:szCs w:val="22"/>
        </w:rPr>
        <w:t>)</w:t>
      </w:r>
      <w:r w:rsidR="00016DF3" w:rsidRPr="009654F0">
        <w:rPr>
          <w:kern w:val="22"/>
          <w:szCs w:val="22"/>
        </w:rPr>
        <w:t> </w:t>
      </w:r>
      <w:r w:rsidR="00451483" w:rsidRPr="009654F0">
        <w:rPr>
          <w:kern w:val="22"/>
          <w:szCs w:val="22"/>
        </w:rPr>
        <w:t>b</w:t>
      </w:r>
      <w:r w:rsidR="00863852" w:rsidRPr="009654F0">
        <w:rPr>
          <w:kern w:val="22"/>
          <w:szCs w:val="22"/>
        </w:rPr>
        <w:t xml:space="preserve">iodiversity in </w:t>
      </w:r>
      <w:r w:rsidR="00451483" w:rsidRPr="009654F0">
        <w:rPr>
          <w:kern w:val="22"/>
          <w:szCs w:val="22"/>
        </w:rPr>
        <w:t>c</w:t>
      </w:r>
      <w:r w:rsidR="00863852" w:rsidRPr="009654F0">
        <w:rPr>
          <w:kern w:val="22"/>
          <w:szCs w:val="22"/>
        </w:rPr>
        <w:t xml:space="preserve">limate </w:t>
      </w:r>
      <w:r w:rsidR="00451483" w:rsidRPr="009654F0">
        <w:rPr>
          <w:kern w:val="22"/>
          <w:szCs w:val="22"/>
        </w:rPr>
        <w:t>c</w:t>
      </w:r>
      <w:r w:rsidR="00863852" w:rsidRPr="009654F0">
        <w:rPr>
          <w:kern w:val="22"/>
          <w:szCs w:val="22"/>
        </w:rPr>
        <w:t xml:space="preserve">hange </w:t>
      </w:r>
      <w:r w:rsidR="00451483" w:rsidRPr="009654F0">
        <w:rPr>
          <w:kern w:val="22"/>
          <w:szCs w:val="22"/>
        </w:rPr>
        <w:t>f</w:t>
      </w:r>
      <w:r w:rsidR="00863852" w:rsidRPr="009654F0">
        <w:rPr>
          <w:kern w:val="22"/>
          <w:szCs w:val="22"/>
        </w:rPr>
        <w:t xml:space="preserve">unding, including through </w:t>
      </w:r>
      <w:r w:rsidR="00451483" w:rsidRPr="009654F0">
        <w:rPr>
          <w:kern w:val="22"/>
          <w:szCs w:val="22"/>
        </w:rPr>
        <w:t>n</w:t>
      </w:r>
      <w:r w:rsidR="00863852" w:rsidRPr="009654F0">
        <w:rPr>
          <w:kern w:val="22"/>
          <w:szCs w:val="22"/>
        </w:rPr>
        <w:t>ature</w:t>
      </w:r>
      <w:r w:rsidR="00451483" w:rsidRPr="009654F0">
        <w:rPr>
          <w:kern w:val="22"/>
          <w:szCs w:val="22"/>
        </w:rPr>
        <w:t>-b</w:t>
      </w:r>
      <w:r w:rsidR="00863852" w:rsidRPr="009654F0">
        <w:rPr>
          <w:kern w:val="22"/>
          <w:szCs w:val="22"/>
        </w:rPr>
        <w:t xml:space="preserve">ased </w:t>
      </w:r>
      <w:r w:rsidR="00451483" w:rsidRPr="009654F0">
        <w:rPr>
          <w:kern w:val="22"/>
          <w:szCs w:val="22"/>
        </w:rPr>
        <w:t>s</w:t>
      </w:r>
      <w:r w:rsidR="00863852" w:rsidRPr="009654F0">
        <w:rPr>
          <w:kern w:val="22"/>
          <w:szCs w:val="22"/>
        </w:rPr>
        <w:t>olutions</w:t>
      </w:r>
      <w:r w:rsidR="00337C74" w:rsidRPr="009654F0">
        <w:rPr>
          <w:kern w:val="22"/>
          <w:szCs w:val="22"/>
        </w:rPr>
        <w:t xml:space="preserve"> </w:t>
      </w:r>
      <w:r w:rsidR="00863852" w:rsidRPr="009654F0">
        <w:rPr>
          <w:kern w:val="22"/>
          <w:szCs w:val="22"/>
        </w:rPr>
        <w:t>(NBS)</w:t>
      </w:r>
      <w:r w:rsidR="009B1111" w:rsidRPr="009654F0">
        <w:rPr>
          <w:kern w:val="22"/>
          <w:szCs w:val="22"/>
        </w:rPr>
        <w:t>;</w:t>
      </w:r>
      <w:r w:rsidR="0038426E" w:rsidRPr="009654F0">
        <w:rPr>
          <w:kern w:val="22"/>
          <w:szCs w:val="22"/>
        </w:rPr>
        <w:t xml:space="preserve"> and (</w:t>
      </w:r>
      <w:r w:rsidR="00451483" w:rsidRPr="009654F0">
        <w:rPr>
          <w:kern w:val="22"/>
          <w:szCs w:val="22"/>
        </w:rPr>
        <w:t>f</w:t>
      </w:r>
      <w:r w:rsidR="0038426E" w:rsidRPr="009654F0">
        <w:rPr>
          <w:kern w:val="22"/>
          <w:szCs w:val="22"/>
        </w:rPr>
        <w:t>)</w:t>
      </w:r>
      <w:r w:rsidR="00016DF3" w:rsidRPr="009654F0">
        <w:rPr>
          <w:kern w:val="22"/>
          <w:szCs w:val="22"/>
        </w:rPr>
        <w:t> </w:t>
      </w:r>
      <w:r w:rsidR="00451483" w:rsidRPr="009654F0">
        <w:rPr>
          <w:kern w:val="22"/>
          <w:szCs w:val="22"/>
        </w:rPr>
        <w:t>b</w:t>
      </w:r>
      <w:r w:rsidR="00863852" w:rsidRPr="009654F0">
        <w:rPr>
          <w:kern w:val="22"/>
          <w:szCs w:val="22"/>
        </w:rPr>
        <w:t xml:space="preserve">iodiversity in </w:t>
      </w:r>
      <w:r w:rsidR="00451483" w:rsidRPr="009654F0">
        <w:rPr>
          <w:kern w:val="22"/>
          <w:szCs w:val="22"/>
        </w:rPr>
        <w:t>i</w:t>
      </w:r>
      <w:r w:rsidR="00863852" w:rsidRPr="009654F0">
        <w:rPr>
          <w:kern w:val="22"/>
          <w:szCs w:val="22"/>
        </w:rPr>
        <w:t xml:space="preserve">nternational </w:t>
      </w:r>
      <w:r w:rsidR="00451483" w:rsidRPr="009654F0">
        <w:rPr>
          <w:kern w:val="22"/>
          <w:szCs w:val="22"/>
        </w:rPr>
        <w:t>d</w:t>
      </w:r>
      <w:r w:rsidR="00863852" w:rsidRPr="009654F0">
        <w:rPr>
          <w:kern w:val="22"/>
          <w:szCs w:val="22"/>
        </w:rPr>
        <w:t xml:space="preserve">evelopment </w:t>
      </w:r>
      <w:r w:rsidR="00451483" w:rsidRPr="009654F0">
        <w:rPr>
          <w:kern w:val="22"/>
          <w:szCs w:val="22"/>
        </w:rPr>
        <w:t>f</w:t>
      </w:r>
      <w:r w:rsidR="00863852" w:rsidRPr="009654F0">
        <w:rPr>
          <w:kern w:val="22"/>
          <w:szCs w:val="22"/>
        </w:rPr>
        <w:t>inance</w:t>
      </w:r>
      <w:r w:rsidR="009B1111" w:rsidRPr="009654F0">
        <w:rPr>
          <w:kern w:val="22"/>
          <w:szCs w:val="22"/>
        </w:rPr>
        <w:t>.</w:t>
      </w:r>
    </w:p>
    <w:p w14:paraId="5CB23081" w14:textId="783F3B83" w:rsidR="001D3CB8" w:rsidRPr="009654F0" w:rsidRDefault="001D3CB8">
      <w:pPr>
        <w:pStyle w:val="Heading4"/>
        <w:suppressLineNumbers/>
        <w:suppressAutoHyphens/>
        <w:rPr>
          <w:i w:val="0"/>
          <w:kern w:val="22"/>
        </w:rPr>
      </w:pPr>
      <w:r w:rsidRPr="009654F0">
        <w:rPr>
          <w:i w:val="0"/>
          <w:kern w:val="22"/>
        </w:rPr>
        <w:t>Goal 5: Mainstream biological diversity and its associated ecosystem services in development cooperation plans and priorities including the linkage between Convention’s work programmes and Millennium Development Goals</w:t>
      </w:r>
    </w:p>
    <w:p w14:paraId="6BCB7C55" w14:textId="2E30A903" w:rsidR="00C0141A" w:rsidRPr="009654F0" w:rsidRDefault="003314D3">
      <w:pPr>
        <w:pStyle w:val="Para1"/>
        <w:suppressLineNumbers/>
        <w:tabs>
          <w:tab w:val="clear" w:pos="360"/>
        </w:tabs>
        <w:suppressAutoHyphens/>
        <w:rPr>
          <w:kern w:val="22"/>
        </w:rPr>
      </w:pPr>
      <w:r w:rsidRPr="009654F0">
        <w:rPr>
          <w:color w:val="000000" w:themeColor="text1"/>
          <w:kern w:val="22"/>
          <w:szCs w:val="22"/>
        </w:rPr>
        <w:t xml:space="preserve">Effective mainstreaming of biodiversity into the investments and other actions </w:t>
      </w:r>
      <w:r w:rsidR="003939FC" w:rsidRPr="009654F0">
        <w:rPr>
          <w:color w:val="000000" w:themeColor="text1"/>
          <w:kern w:val="22"/>
          <w:szCs w:val="22"/>
        </w:rPr>
        <w:t xml:space="preserve">of </w:t>
      </w:r>
      <w:r w:rsidRPr="009654F0">
        <w:rPr>
          <w:color w:val="000000" w:themeColor="text1"/>
          <w:kern w:val="22"/>
          <w:szCs w:val="22"/>
        </w:rPr>
        <w:t xml:space="preserve">Government, the private sector, and individuals is an important prerequisite for </w:t>
      </w:r>
      <w:r w:rsidR="00AD2AEA" w:rsidRPr="009654F0">
        <w:rPr>
          <w:color w:val="000000" w:themeColor="text1"/>
          <w:kern w:val="22"/>
          <w:szCs w:val="22"/>
        </w:rPr>
        <w:t xml:space="preserve">successful </w:t>
      </w:r>
      <w:r w:rsidR="00D45CF4" w:rsidRPr="009654F0">
        <w:rPr>
          <w:color w:val="000000" w:themeColor="text1"/>
          <w:kern w:val="22"/>
          <w:szCs w:val="22"/>
        </w:rPr>
        <w:t>resource mobili</w:t>
      </w:r>
      <w:r w:rsidR="00387B0B" w:rsidRPr="009654F0">
        <w:rPr>
          <w:color w:val="000000" w:themeColor="text1"/>
          <w:kern w:val="22"/>
          <w:szCs w:val="22"/>
        </w:rPr>
        <w:t>z</w:t>
      </w:r>
      <w:r w:rsidR="00D45CF4" w:rsidRPr="009654F0">
        <w:rPr>
          <w:color w:val="000000" w:themeColor="text1"/>
          <w:kern w:val="22"/>
          <w:szCs w:val="22"/>
        </w:rPr>
        <w:t>ation in the future</w:t>
      </w:r>
      <w:r w:rsidR="00AD2AEA" w:rsidRPr="009654F0">
        <w:rPr>
          <w:color w:val="000000" w:themeColor="text1"/>
          <w:kern w:val="22"/>
          <w:szCs w:val="22"/>
        </w:rPr>
        <w:t xml:space="preserve">, and is being addressed by an </w:t>
      </w:r>
      <w:r w:rsidR="00AD2AEA" w:rsidRPr="009654F0">
        <w:rPr>
          <w:kern w:val="22"/>
          <w:szCs w:val="22"/>
        </w:rPr>
        <w:t xml:space="preserve">Informal Advisory Group on Mainstreaming of Biodiversity, which is currently developing a </w:t>
      </w:r>
      <w:r w:rsidR="00135F6B" w:rsidRPr="009654F0">
        <w:rPr>
          <w:kern w:val="22"/>
          <w:szCs w:val="22"/>
        </w:rPr>
        <w:t>l</w:t>
      </w:r>
      <w:r w:rsidR="00AD2AEA" w:rsidRPr="009654F0">
        <w:rPr>
          <w:kern w:val="22"/>
          <w:szCs w:val="22"/>
        </w:rPr>
        <w:t>ong-</w:t>
      </w:r>
      <w:r w:rsidR="00135F6B" w:rsidRPr="009654F0">
        <w:rPr>
          <w:kern w:val="22"/>
          <w:szCs w:val="22"/>
        </w:rPr>
        <w:t>t</w:t>
      </w:r>
      <w:r w:rsidR="00AD2AEA" w:rsidRPr="009654F0">
        <w:rPr>
          <w:kern w:val="22"/>
          <w:szCs w:val="22"/>
        </w:rPr>
        <w:t xml:space="preserve">erm </w:t>
      </w:r>
      <w:r w:rsidR="00135F6B" w:rsidRPr="009654F0">
        <w:rPr>
          <w:kern w:val="22"/>
          <w:szCs w:val="22"/>
        </w:rPr>
        <w:t>a</w:t>
      </w:r>
      <w:r w:rsidR="00AD2AEA" w:rsidRPr="009654F0">
        <w:rPr>
          <w:kern w:val="22"/>
          <w:szCs w:val="22"/>
        </w:rPr>
        <w:t xml:space="preserve">pproach to </w:t>
      </w:r>
      <w:r w:rsidR="00135F6B" w:rsidRPr="009654F0">
        <w:rPr>
          <w:kern w:val="22"/>
          <w:szCs w:val="22"/>
        </w:rPr>
        <w:t>m</w:t>
      </w:r>
      <w:r w:rsidR="00AD2AEA" w:rsidRPr="009654F0">
        <w:rPr>
          <w:kern w:val="22"/>
          <w:szCs w:val="22"/>
        </w:rPr>
        <w:t xml:space="preserve">ainstreaming </w:t>
      </w:r>
      <w:r w:rsidR="00135F6B" w:rsidRPr="009654F0">
        <w:rPr>
          <w:kern w:val="22"/>
          <w:szCs w:val="22"/>
        </w:rPr>
        <w:t>b</w:t>
      </w:r>
      <w:r w:rsidR="00AD2AEA" w:rsidRPr="009654F0">
        <w:rPr>
          <w:kern w:val="22"/>
          <w:szCs w:val="22"/>
        </w:rPr>
        <w:t>iodiversity (LTAM).</w:t>
      </w:r>
      <w:r w:rsidR="00D45CF4" w:rsidRPr="009654F0">
        <w:rPr>
          <w:color w:val="000000" w:themeColor="text1"/>
          <w:kern w:val="22"/>
          <w:szCs w:val="22"/>
        </w:rPr>
        <w:t xml:space="preserve"> Both </w:t>
      </w:r>
      <w:r w:rsidR="00AC4FBD" w:rsidRPr="009654F0">
        <w:rPr>
          <w:kern w:val="22"/>
        </w:rPr>
        <w:t>aid donors and aid recipients need to recogni</w:t>
      </w:r>
      <w:r w:rsidR="00CE42C8" w:rsidRPr="009654F0">
        <w:rPr>
          <w:kern w:val="22"/>
        </w:rPr>
        <w:t>z</w:t>
      </w:r>
      <w:r w:rsidR="00AC4FBD" w:rsidRPr="009654F0">
        <w:rPr>
          <w:kern w:val="22"/>
        </w:rPr>
        <w:t xml:space="preserve">e the importance of fully integrating biodiversity and ecosystem services into their priorities, strategies, programmes and plans. </w:t>
      </w:r>
      <w:proofErr w:type="gramStart"/>
      <w:r w:rsidR="00C0141A" w:rsidRPr="009654F0">
        <w:rPr>
          <w:kern w:val="22"/>
        </w:rPr>
        <w:t>A number of</w:t>
      </w:r>
      <w:proofErr w:type="gramEnd"/>
      <w:r w:rsidR="00C0141A" w:rsidRPr="009654F0">
        <w:rPr>
          <w:kern w:val="22"/>
        </w:rPr>
        <w:t xml:space="preserve"> Parties have started to make stronger efforts to integrate biodiversity into aid strategies. The European Commission’s Biodiversity for Life (B4Life)</w:t>
      </w:r>
      <w:r w:rsidR="00C0141A" w:rsidRPr="009654F0">
        <w:rPr>
          <w:kern w:val="22"/>
          <w:vertAlign w:val="superscript"/>
        </w:rPr>
        <w:footnoteReference w:id="22"/>
      </w:r>
      <w:r w:rsidR="00C0141A" w:rsidRPr="009654F0">
        <w:rPr>
          <w:kern w:val="22"/>
        </w:rPr>
        <w:t xml:space="preserve"> initiative</w:t>
      </w:r>
      <w:r w:rsidR="00D23CEF" w:rsidRPr="009654F0">
        <w:rPr>
          <w:kern w:val="22"/>
        </w:rPr>
        <w:t xml:space="preserve">, for instance, </w:t>
      </w:r>
      <w:r w:rsidR="00C0141A" w:rsidRPr="009654F0">
        <w:rPr>
          <w:kern w:val="22"/>
        </w:rPr>
        <w:t>was created to support developing countries</w:t>
      </w:r>
      <w:r w:rsidR="00D23CEF" w:rsidRPr="009654F0">
        <w:rPr>
          <w:kern w:val="22"/>
        </w:rPr>
        <w:t xml:space="preserve">’ </w:t>
      </w:r>
      <w:r w:rsidR="00C0141A" w:rsidRPr="009654F0">
        <w:rPr>
          <w:kern w:val="22"/>
        </w:rPr>
        <w:t xml:space="preserve">efforts to halt biodiversity loss and address its drivers, </w:t>
      </w:r>
      <w:proofErr w:type="gramStart"/>
      <w:r w:rsidR="00C0141A" w:rsidRPr="009654F0">
        <w:rPr>
          <w:kern w:val="22"/>
        </w:rPr>
        <w:t>in particular by</w:t>
      </w:r>
      <w:proofErr w:type="gramEnd"/>
      <w:r w:rsidR="00C0141A" w:rsidRPr="009654F0">
        <w:rPr>
          <w:kern w:val="22"/>
        </w:rPr>
        <w:t xml:space="preserve"> connecting conservation with sustainable use, development, security and the fight against wildlife and forest crime. B4Life brings together under the same umbrella framework all EU-funded development cooperation projects and programmes that target biodiversity as a principal objective, with the aim of ensuring better coherence and coordination.</w:t>
      </w:r>
    </w:p>
    <w:p w14:paraId="7D2BB441" w14:textId="754B139C" w:rsidR="00A00AE1" w:rsidRPr="009654F0" w:rsidRDefault="00A00AE1">
      <w:pPr>
        <w:pStyle w:val="Para1"/>
        <w:suppressLineNumbers/>
        <w:tabs>
          <w:tab w:val="clear" w:pos="360"/>
        </w:tabs>
        <w:suppressAutoHyphens/>
        <w:rPr>
          <w:kern w:val="22"/>
        </w:rPr>
      </w:pPr>
      <w:r w:rsidRPr="009654F0">
        <w:rPr>
          <w:kern w:val="22"/>
        </w:rPr>
        <w:t>Biodiversity-proofing of development cooperation is also vital</w:t>
      </w:r>
      <w:r w:rsidR="001D0E48">
        <w:rPr>
          <w:kern w:val="22"/>
        </w:rPr>
        <w:t>,</w:t>
      </w:r>
      <w:r w:rsidRPr="009654F0">
        <w:rPr>
          <w:kern w:val="22"/>
        </w:rPr>
        <w:t xml:space="preserve"> and this has been addressed in the </w:t>
      </w:r>
      <w:r w:rsidR="007E5501" w:rsidRPr="009654F0">
        <w:rPr>
          <w:kern w:val="22"/>
        </w:rPr>
        <w:t xml:space="preserve">European Union </w:t>
      </w:r>
      <w:r w:rsidRPr="009654F0">
        <w:rPr>
          <w:kern w:val="22"/>
        </w:rPr>
        <w:t>through the mainstreaming of environment and climate change. A compulsory environmental screening for any new development cooperation action addresses potential impacts on protected or vulnerable areas, ecosystem services, the introduction of alien species, and the use of fertili</w:t>
      </w:r>
      <w:r w:rsidR="00387B0B" w:rsidRPr="009654F0">
        <w:rPr>
          <w:kern w:val="22"/>
        </w:rPr>
        <w:t>z</w:t>
      </w:r>
      <w:r w:rsidRPr="009654F0">
        <w:rPr>
          <w:kern w:val="22"/>
        </w:rPr>
        <w:t>ers, pesticides or other chemicals.</w:t>
      </w:r>
    </w:p>
    <w:p w14:paraId="572E9A24" w14:textId="1BD0ACE9" w:rsidR="00A00AE1" w:rsidRPr="009654F0" w:rsidRDefault="00A00AE1">
      <w:pPr>
        <w:pStyle w:val="Para1"/>
        <w:suppressLineNumbers/>
        <w:tabs>
          <w:tab w:val="clear" w:pos="360"/>
        </w:tabs>
        <w:suppressAutoHyphens/>
        <w:rPr>
          <w:kern w:val="22"/>
        </w:rPr>
      </w:pPr>
      <w:r w:rsidRPr="009654F0">
        <w:rPr>
          <w:kern w:val="22"/>
        </w:rPr>
        <w:t xml:space="preserve">In terms of further action that could be taken in relation to </w:t>
      </w:r>
      <w:r w:rsidR="00DC25F9" w:rsidRPr="009654F0">
        <w:rPr>
          <w:kern w:val="22"/>
        </w:rPr>
        <w:t>g</w:t>
      </w:r>
      <w:r w:rsidRPr="009654F0">
        <w:rPr>
          <w:kern w:val="22"/>
        </w:rPr>
        <w:t xml:space="preserve">oal 5, while there has been progress in mainstreaming biological diversity and its associated ecosystem services in development cooperation plans and priorities, there remains a </w:t>
      </w:r>
      <w:r w:rsidR="00D23CEF" w:rsidRPr="009654F0">
        <w:rPr>
          <w:kern w:val="22"/>
        </w:rPr>
        <w:t xml:space="preserve">need </w:t>
      </w:r>
      <w:r w:rsidRPr="009654F0">
        <w:rPr>
          <w:kern w:val="22"/>
        </w:rPr>
        <w:t xml:space="preserve">to better link the biodiversity agenda </w:t>
      </w:r>
      <w:r w:rsidR="00D23CEF" w:rsidRPr="009654F0">
        <w:rPr>
          <w:kern w:val="22"/>
        </w:rPr>
        <w:t xml:space="preserve">with the climate change </w:t>
      </w:r>
      <w:r w:rsidR="006F4D23" w:rsidRPr="009654F0">
        <w:rPr>
          <w:kern w:val="22"/>
        </w:rPr>
        <w:t xml:space="preserve">agenda </w:t>
      </w:r>
      <w:r w:rsidR="00D23CEF" w:rsidRPr="009654F0">
        <w:rPr>
          <w:kern w:val="22"/>
        </w:rPr>
        <w:t xml:space="preserve">and </w:t>
      </w:r>
      <w:r w:rsidR="006F4D23" w:rsidRPr="009654F0">
        <w:rPr>
          <w:kern w:val="22"/>
        </w:rPr>
        <w:t xml:space="preserve">the </w:t>
      </w:r>
      <w:r w:rsidR="00D23CEF" w:rsidRPr="009654F0">
        <w:rPr>
          <w:kern w:val="22"/>
        </w:rPr>
        <w:t xml:space="preserve">broader </w:t>
      </w:r>
      <w:r w:rsidRPr="009654F0">
        <w:rPr>
          <w:kern w:val="22"/>
        </w:rPr>
        <w:t>development agenda</w:t>
      </w:r>
      <w:r w:rsidR="00D23CEF" w:rsidRPr="009654F0">
        <w:rPr>
          <w:kern w:val="22"/>
        </w:rPr>
        <w:t xml:space="preserve"> of the </w:t>
      </w:r>
      <w:r w:rsidR="00D47FC1" w:rsidRPr="009654F0">
        <w:rPr>
          <w:kern w:val="22"/>
        </w:rPr>
        <w:t>Sustainable Development Goal</w:t>
      </w:r>
      <w:r w:rsidRPr="009654F0">
        <w:rPr>
          <w:kern w:val="22"/>
        </w:rPr>
        <w:t>s</w:t>
      </w:r>
      <w:r w:rsidR="006B7F44" w:rsidRPr="009654F0">
        <w:rPr>
          <w:kern w:val="22"/>
        </w:rPr>
        <w:t>.</w:t>
      </w:r>
      <w:r w:rsidRPr="009654F0">
        <w:rPr>
          <w:kern w:val="22"/>
        </w:rPr>
        <w:t xml:space="preserve"> Capital flows and overall resource mobili</w:t>
      </w:r>
      <w:r w:rsidR="00DC25F9" w:rsidRPr="009654F0">
        <w:rPr>
          <w:kern w:val="22"/>
        </w:rPr>
        <w:t>z</w:t>
      </w:r>
      <w:r w:rsidRPr="009654F0">
        <w:rPr>
          <w:kern w:val="22"/>
        </w:rPr>
        <w:t xml:space="preserve">ation </w:t>
      </w:r>
      <w:r w:rsidR="00D23CEF" w:rsidRPr="009654F0">
        <w:rPr>
          <w:kern w:val="22"/>
        </w:rPr>
        <w:t xml:space="preserve">do not yet reflect </w:t>
      </w:r>
      <w:r w:rsidRPr="009654F0">
        <w:rPr>
          <w:kern w:val="22"/>
        </w:rPr>
        <w:t xml:space="preserve">the relevance of biodiversity for </w:t>
      </w:r>
      <w:r w:rsidR="00D23CEF" w:rsidRPr="009654F0">
        <w:rPr>
          <w:kern w:val="22"/>
        </w:rPr>
        <w:t>achieving</w:t>
      </w:r>
      <w:r w:rsidR="006B7F44" w:rsidRPr="009654F0">
        <w:rPr>
          <w:kern w:val="22"/>
        </w:rPr>
        <w:t xml:space="preserve"> a wide range of the </w:t>
      </w:r>
      <w:r w:rsidR="00D47FC1" w:rsidRPr="009654F0">
        <w:rPr>
          <w:kern w:val="22"/>
        </w:rPr>
        <w:t>Sustainable Development Goal</w:t>
      </w:r>
      <w:r w:rsidRPr="009654F0">
        <w:rPr>
          <w:kern w:val="22"/>
        </w:rPr>
        <w:t>s, climate change, risk and disaster prevention and social and economic priorities</w:t>
      </w:r>
      <w:r w:rsidR="00D23CEF" w:rsidRPr="009654F0">
        <w:rPr>
          <w:kern w:val="22"/>
        </w:rPr>
        <w:t>,</w:t>
      </w:r>
      <w:r w:rsidRPr="009654F0">
        <w:rPr>
          <w:kern w:val="22"/>
        </w:rPr>
        <w:t xml:space="preserve"> at all levels, </w:t>
      </w:r>
      <w:r w:rsidR="00D23CEF" w:rsidRPr="009654F0">
        <w:rPr>
          <w:kern w:val="22"/>
        </w:rPr>
        <w:t>nor</w:t>
      </w:r>
      <w:r w:rsidRPr="009654F0">
        <w:rPr>
          <w:kern w:val="22"/>
        </w:rPr>
        <w:t xml:space="preserve"> the importance of positive externalities of investments in nature, especially in the long term. </w:t>
      </w:r>
      <w:proofErr w:type="gramStart"/>
      <w:r w:rsidR="003B276C" w:rsidRPr="009654F0">
        <w:rPr>
          <w:kern w:val="22"/>
        </w:rPr>
        <w:t>A number of</w:t>
      </w:r>
      <w:proofErr w:type="gramEnd"/>
      <w:r w:rsidR="003B276C" w:rsidRPr="009654F0">
        <w:rPr>
          <w:kern w:val="22"/>
        </w:rPr>
        <w:t xml:space="preserve"> organi</w:t>
      </w:r>
      <w:r w:rsidR="00943A4E" w:rsidRPr="009654F0">
        <w:rPr>
          <w:kern w:val="22"/>
        </w:rPr>
        <w:t>z</w:t>
      </w:r>
      <w:r w:rsidR="003B276C" w:rsidRPr="009654F0">
        <w:rPr>
          <w:kern w:val="22"/>
        </w:rPr>
        <w:t xml:space="preserve">ations have undertaken useful work to demonstrate these linkages, including the Secretariat </w:t>
      </w:r>
      <w:r w:rsidR="00A80E2E" w:rsidRPr="009654F0">
        <w:rPr>
          <w:kern w:val="22"/>
        </w:rPr>
        <w:lastRenderedPageBreak/>
        <w:t xml:space="preserve">of the Convention on Biological Diversity </w:t>
      </w:r>
      <w:r w:rsidR="003B276C" w:rsidRPr="009654F0">
        <w:rPr>
          <w:kern w:val="22"/>
        </w:rPr>
        <w:t xml:space="preserve">in collaboration with UNEP, UNDP, </w:t>
      </w:r>
      <w:r w:rsidR="00A80E2E" w:rsidRPr="009654F0">
        <w:rPr>
          <w:kern w:val="22"/>
        </w:rPr>
        <w:t>the Food and Agriculture Organization of the United Nations (</w:t>
      </w:r>
      <w:r w:rsidR="003B276C" w:rsidRPr="009654F0">
        <w:rPr>
          <w:kern w:val="22"/>
        </w:rPr>
        <w:t>FAO</w:t>
      </w:r>
      <w:r w:rsidR="00A80E2E" w:rsidRPr="009654F0">
        <w:rPr>
          <w:kern w:val="22"/>
        </w:rPr>
        <w:t>)</w:t>
      </w:r>
      <w:r w:rsidR="003B276C" w:rsidRPr="009654F0">
        <w:rPr>
          <w:kern w:val="22"/>
        </w:rPr>
        <w:t xml:space="preserve"> and the World Bank</w:t>
      </w:r>
      <w:r w:rsidR="00A80E2E" w:rsidRPr="009654F0">
        <w:rPr>
          <w:kern w:val="22"/>
        </w:rPr>
        <w:t>.</w:t>
      </w:r>
      <w:r w:rsidR="003B276C" w:rsidRPr="009654F0">
        <w:rPr>
          <w:rStyle w:val="FootnoteReference"/>
          <w:kern w:val="22"/>
        </w:rPr>
        <w:footnoteReference w:id="23"/>
      </w:r>
    </w:p>
    <w:p w14:paraId="2809D1CF" w14:textId="03F582F7" w:rsidR="00BA4B3F" w:rsidRPr="009654F0" w:rsidRDefault="00BA4B3F">
      <w:pPr>
        <w:pStyle w:val="Heading4"/>
        <w:suppressLineNumbers/>
        <w:suppressAutoHyphens/>
        <w:rPr>
          <w:rFonts w:ascii="Times New Roman" w:hAnsi="Times New Roman" w:cs="Times New Roman"/>
          <w:i w:val="0"/>
          <w:kern w:val="22"/>
        </w:rPr>
      </w:pPr>
      <w:r w:rsidRPr="009654F0">
        <w:rPr>
          <w:rFonts w:ascii="Times New Roman" w:hAnsi="Times New Roman" w:cs="Times New Roman"/>
          <w:i w:val="0"/>
          <w:kern w:val="22"/>
        </w:rPr>
        <w:t>Goal 6: Build capacity for resource mobilization and utilization and promote South-South cooperation as a complement to necessary North-South cooperation</w:t>
      </w:r>
    </w:p>
    <w:p w14:paraId="104DCBDE" w14:textId="148C69F2" w:rsidR="00BA4B3F" w:rsidRPr="009654F0" w:rsidRDefault="00BA4B3F">
      <w:pPr>
        <w:pStyle w:val="Para1"/>
        <w:suppressLineNumbers/>
        <w:tabs>
          <w:tab w:val="clear" w:pos="360"/>
        </w:tabs>
        <w:suppressAutoHyphens/>
        <w:rPr>
          <w:kern w:val="22"/>
        </w:rPr>
      </w:pPr>
      <w:r w:rsidRPr="009654F0">
        <w:rPr>
          <w:kern w:val="22"/>
        </w:rPr>
        <w:t xml:space="preserve">In relation to </w:t>
      </w:r>
      <w:r w:rsidR="006A25AA" w:rsidRPr="009654F0">
        <w:rPr>
          <w:kern w:val="22"/>
        </w:rPr>
        <w:t>S</w:t>
      </w:r>
      <w:r w:rsidRPr="009654F0">
        <w:rPr>
          <w:kern w:val="22"/>
        </w:rPr>
        <w:t>outh-</w:t>
      </w:r>
      <w:r w:rsidR="006A25AA" w:rsidRPr="009654F0">
        <w:rPr>
          <w:kern w:val="22"/>
        </w:rPr>
        <w:t>S</w:t>
      </w:r>
      <w:r w:rsidRPr="009654F0">
        <w:rPr>
          <w:kern w:val="22"/>
        </w:rPr>
        <w:t>outh financial flows for biodiversity, a number of non-DAC countries reported</w:t>
      </w:r>
      <w:r w:rsidR="0068234A" w:rsidRPr="009654F0">
        <w:rPr>
          <w:kern w:val="22"/>
        </w:rPr>
        <w:t xml:space="preserve"> against their relevant flows in the financial reporting framework</w:t>
      </w:r>
      <w:r w:rsidRPr="009654F0">
        <w:rPr>
          <w:kern w:val="22"/>
        </w:rPr>
        <w:t xml:space="preserve">, including </w:t>
      </w:r>
      <w:r w:rsidRPr="002D21DA">
        <w:rPr>
          <w:kern w:val="22"/>
          <w:szCs w:val="22"/>
        </w:rPr>
        <w:t>China, India and Mexico, although the latter two only qualitatively, making a reference to their development cooperation programmes and noting methodological constraints in identifying biodiversity-related flows.</w:t>
      </w:r>
    </w:p>
    <w:p w14:paraId="6660301B" w14:textId="662A3947" w:rsidR="00A00AE1" w:rsidRPr="009654F0" w:rsidRDefault="00BA4B3F">
      <w:pPr>
        <w:pStyle w:val="Para1"/>
        <w:suppressLineNumbers/>
        <w:tabs>
          <w:tab w:val="clear" w:pos="360"/>
        </w:tabs>
        <w:suppressAutoHyphens/>
        <w:rPr>
          <w:kern w:val="22"/>
        </w:rPr>
      </w:pPr>
      <w:r w:rsidRPr="002D21DA">
        <w:rPr>
          <w:kern w:val="22"/>
          <w:szCs w:val="22"/>
        </w:rPr>
        <w:t xml:space="preserve">China was among the Parties reporting 2015 data that at least doubled their international financial flows, in line with </w:t>
      </w:r>
      <w:r w:rsidR="00D41A09" w:rsidRPr="006C6E40">
        <w:rPr>
          <w:kern w:val="22"/>
          <w:szCs w:val="22"/>
        </w:rPr>
        <w:t>t</w:t>
      </w:r>
      <w:r w:rsidRPr="006C6E40">
        <w:rPr>
          <w:kern w:val="22"/>
          <w:szCs w:val="22"/>
        </w:rPr>
        <w:t>arget</w:t>
      </w:r>
      <w:r w:rsidR="00D41A09" w:rsidRPr="006C6E40">
        <w:rPr>
          <w:kern w:val="22"/>
          <w:szCs w:val="22"/>
        </w:rPr>
        <w:t> </w:t>
      </w:r>
      <w:r w:rsidRPr="006C6E40">
        <w:rPr>
          <w:kern w:val="22"/>
          <w:szCs w:val="22"/>
        </w:rPr>
        <w:t>1</w:t>
      </w:r>
      <w:r w:rsidR="00D41A09" w:rsidRPr="006C6E40">
        <w:rPr>
          <w:kern w:val="22"/>
          <w:szCs w:val="22"/>
        </w:rPr>
        <w:t xml:space="preserve"> </w:t>
      </w:r>
      <w:r w:rsidRPr="006C6E40">
        <w:rPr>
          <w:kern w:val="22"/>
          <w:szCs w:val="22"/>
        </w:rPr>
        <w:t>(a). China also reported that it employs a series of standards and voluntary guidelines for international investments and operations of Chinese companies and enterprises, with a view to supporting compliance with their environmental responsibilities, including biodiversity conservation.</w:t>
      </w:r>
    </w:p>
    <w:p w14:paraId="2AF66FD6" w14:textId="4B3BF39C" w:rsidR="009D2041" w:rsidRPr="009654F0" w:rsidRDefault="009D2041">
      <w:pPr>
        <w:pStyle w:val="Para1"/>
        <w:suppressLineNumbers/>
        <w:tabs>
          <w:tab w:val="clear" w:pos="360"/>
        </w:tabs>
        <w:suppressAutoHyphens/>
        <w:rPr>
          <w:kern w:val="22"/>
        </w:rPr>
      </w:pPr>
      <w:r w:rsidRPr="009654F0">
        <w:rPr>
          <w:kern w:val="22"/>
        </w:rPr>
        <w:t xml:space="preserve">While excellent practices and programmes have been developed, action in this area is not yet at scale, and domestic resource mobilization very often does not reflect the economic and social importance of investing in biodiversity and nature. </w:t>
      </w:r>
      <w:r w:rsidR="00D23CEF" w:rsidRPr="009654F0">
        <w:rPr>
          <w:kern w:val="22"/>
        </w:rPr>
        <w:t xml:space="preserve">For instance, the African Union and </w:t>
      </w:r>
      <w:r w:rsidR="00C221AB" w:rsidRPr="009654F0">
        <w:rPr>
          <w:kern w:val="22"/>
        </w:rPr>
        <w:t>the</w:t>
      </w:r>
      <w:r w:rsidR="00921147" w:rsidRPr="009654F0">
        <w:rPr>
          <w:kern w:val="22"/>
        </w:rPr>
        <w:t xml:space="preserve"> </w:t>
      </w:r>
      <w:r w:rsidR="005913E5" w:rsidRPr="009654F0">
        <w:rPr>
          <w:kern w:val="22"/>
        </w:rPr>
        <w:t>New Partnership for Africa</w:t>
      </w:r>
      <w:r w:rsidR="00CB776B" w:rsidRPr="009654F0">
        <w:rPr>
          <w:kern w:val="22"/>
        </w:rPr>
        <w:t>’</w:t>
      </w:r>
      <w:r w:rsidR="005913E5" w:rsidRPr="009654F0">
        <w:rPr>
          <w:kern w:val="22"/>
        </w:rPr>
        <w:t>s Developmen</w:t>
      </w:r>
      <w:r w:rsidR="00921147" w:rsidRPr="009654F0">
        <w:rPr>
          <w:kern w:val="22"/>
        </w:rPr>
        <w:t>t (</w:t>
      </w:r>
      <w:r w:rsidR="00D23CEF" w:rsidRPr="009654F0">
        <w:rPr>
          <w:kern w:val="22"/>
        </w:rPr>
        <w:t>NEPAD</w:t>
      </w:r>
      <w:r w:rsidR="00921147" w:rsidRPr="009654F0">
        <w:rPr>
          <w:kern w:val="22"/>
        </w:rPr>
        <w:t>)</w:t>
      </w:r>
      <w:r w:rsidR="00D23CEF" w:rsidRPr="009654F0">
        <w:rPr>
          <w:kern w:val="22"/>
        </w:rPr>
        <w:t xml:space="preserve"> have invested a </w:t>
      </w:r>
      <w:r w:rsidR="00C25831">
        <w:rPr>
          <w:kern w:val="22"/>
        </w:rPr>
        <w:t>great deal</w:t>
      </w:r>
      <w:r w:rsidR="00C25831" w:rsidRPr="009654F0">
        <w:rPr>
          <w:kern w:val="22"/>
        </w:rPr>
        <w:t xml:space="preserve"> </w:t>
      </w:r>
      <w:r w:rsidR="00D23CEF" w:rsidRPr="009654F0">
        <w:rPr>
          <w:kern w:val="22"/>
        </w:rPr>
        <w:t xml:space="preserve">in this issue at the African level and stressed the importance of this cooperation continuing in order to promote better synergy in conservation actions across Africa. However, </w:t>
      </w:r>
      <w:r w:rsidR="003A7E4C" w:rsidRPr="009420A0">
        <w:rPr>
          <w:kern w:val="22"/>
        </w:rPr>
        <w:t xml:space="preserve">such </w:t>
      </w:r>
      <w:r w:rsidRPr="009654F0">
        <w:rPr>
          <w:kern w:val="22"/>
        </w:rPr>
        <w:t xml:space="preserve">Parties as the </w:t>
      </w:r>
      <w:r w:rsidR="00C77D52" w:rsidRPr="009654F0">
        <w:rPr>
          <w:kern w:val="22"/>
        </w:rPr>
        <w:t>European Union</w:t>
      </w:r>
      <w:r w:rsidRPr="009654F0">
        <w:rPr>
          <w:kern w:val="22"/>
        </w:rPr>
        <w:t xml:space="preserve"> consider that </w:t>
      </w:r>
      <w:r w:rsidR="00D41A09" w:rsidRPr="009654F0">
        <w:rPr>
          <w:kern w:val="22"/>
        </w:rPr>
        <w:t>i</w:t>
      </w:r>
      <w:r w:rsidRPr="009654F0">
        <w:rPr>
          <w:kern w:val="22"/>
        </w:rPr>
        <w:t xml:space="preserve">mplementation of </w:t>
      </w:r>
      <w:r w:rsidR="00B5139D" w:rsidRPr="009654F0">
        <w:rPr>
          <w:kern w:val="22"/>
        </w:rPr>
        <w:t xml:space="preserve">multilateral environmental </w:t>
      </w:r>
      <w:proofErr w:type="gramStart"/>
      <w:r w:rsidR="00B5139D" w:rsidRPr="009654F0">
        <w:rPr>
          <w:kern w:val="22"/>
        </w:rPr>
        <w:t xml:space="preserve">agreements </w:t>
      </w:r>
      <w:r w:rsidRPr="009654F0">
        <w:rPr>
          <w:kern w:val="22"/>
        </w:rPr>
        <w:t xml:space="preserve"> remains</w:t>
      </w:r>
      <w:proofErr w:type="gramEnd"/>
      <w:r w:rsidRPr="009654F0">
        <w:rPr>
          <w:kern w:val="22"/>
        </w:rPr>
        <w:t xml:space="preserve"> insufficient despite significant cooperation programmes and capacity</w:t>
      </w:r>
      <w:r w:rsidR="00B9237B" w:rsidRPr="009654F0">
        <w:rPr>
          <w:kern w:val="22"/>
        </w:rPr>
        <w:t>-</w:t>
      </w:r>
      <w:r w:rsidRPr="009654F0">
        <w:rPr>
          <w:kern w:val="22"/>
        </w:rPr>
        <w:t>building actions in this area.</w:t>
      </w:r>
    </w:p>
    <w:p w14:paraId="25C765F0" w14:textId="3649726F" w:rsidR="009D2041" w:rsidRPr="009654F0" w:rsidRDefault="009D2041">
      <w:pPr>
        <w:pStyle w:val="Para1"/>
        <w:suppressLineNumbers/>
        <w:tabs>
          <w:tab w:val="clear" w:pos="360"/>
        </w:tabs>
        <w:suppressAutoHyphens/>
        <w:rPr>
          <w:kern w:val="22"/>
          <w:szCs w:val="22"/>
        </w:rPr>
      </w:pPr>
      <w:r w:rsidRPr="009654F0">
        <w:rPr>
          <w:kern w:val="22"/>
          <w:szCs w:val="22"/>
        </w:rPr>
        <w:t xml:space="preserve">In terms of further action that could be taken in relation to </w:t>
      </w:r>
      <w:r w:rsidR="00427FB2" w:rsidRPr="009654F0">
        <w:rPr>
          <w:kern w:val="22"/>
          <w:szCs w:val="22"/>
        </w:rPr>
        <w:t>g</w:t>
      </w:r>
      <w:r w:rsidRPr="009654F0">
        <w:rPr>
          <w:kern w:val="22"/>
          <w:szCs w:val="22"/>
        </w:rPr>
        <w:t>oal 6, there may be considerable opportunity for South-South cooperation to complement North-South cooperation, to advance nation</w:t>
      </w:r>
      <w:r w:rsidR="00D23CEF" w:rsidRPr="009654F0">
        <w:rPr>
          <w:kern w:val="22"/>
          <w:szCs w:val="22"/>
        </w:rPr>
        <w:t>al</w:t>
      </w:r>
      <w:r w:rsidR="004733D3" w:rsidRPr="009654F0">
        <w:rPr>
          <w:kern w:val="22"/>
          <w:szCs w:val="22"/>
        </w:rPr>
        <w:t>-</w:t>
      </w:r>
      <w:r w:rsidRPr="009654F0">
        <w:rPr>
          <w:kern w:val="22"/>
          <w:szCs w:val="22"/>
        </w:rPr>
        <w:t>level action on</w:t>
      </w:r>
      <w:r w:rsidR="001D4535" w:rsidRPr="009654F0">
        <w:rPr>
          <w:kern w:val="22"/>
          <w:szCs w:val="22"/>
        </w:rPr>
        <w:t xml:space="preserve"> issues such as n</w:t>
      </w:r>
      <w:r w:rsidRPr="009654F0">
        <w:rPr>
          <w:kern w:val="22"/>
          <w:szCs w:val="22"/>
        </w:rPr>
        <w:t>atural capital accounting, its methods and integration;</w:t>
      </w:r>
      <w:r w:rsidR="001D4535" w:rsidRPr="009654F0">
        <w:rPr>
          <w:kern w:val="22"/>
          <w:szCs w:val="22"/>
        </w:rPr>
        <w:t xml:space="preserve"> d</w:t>
      </w:r>
      <w:r w:rsidRPr="009654F0">
        <w:rPr>
          <w:kern w:val="22"/>
          <w:szCs w:val="22"/>
        </w:rPr>
        <w:t>evelop</w:t>
      </w:r>
      <w:r w:rsidR="001D4535" w:rsidRPr="009654F0">
        <w:rPr>
          <w:kern w:val="22"/>
          <w:szCs w:val="22"/>
        </w:rPr>
        <w:t>ment of</w:t>
      </w:r>
      <w:r w:rsidRPr="009654F0">
        <w:rPr>
          <w:kern w:val="22"/>
          <w:szCs w:val="22"/>
        </w:rPr>
        <w:t xml:space="preserve"> national biodiversity scenarios and their economics and finance;</w:t>
      </w:r>
      <w:r w:rsidR="001D4535" w:rsidRPr="009654F0">
        <w:rPr>
          <w:kern w:val="22"/>
          <w:szCs w:val="22"/>
        </w:rPr>
        <w:t xml:space="preserve"> o</w:t>
      </w:r>
      <w:r w:rsidRPr="009654F0">
        <w:rPr>
          <w:kern w:val="22"/>
          <w:szCs w:val="22"/>
        </w:rPr>
        <w:t>ptimi</w:t>
      </w:r>
      <w:r w:rsidR="00AD4ADB" w:rsidRPr="009654F0">
        <w:rPr>
          <w:kern w:val="22"/>
          <w:szCs w:val="22"/>
        </w:rPr>
        <w:t>z</w:t>
      </w:r>
      <w:r w:rsidRPr="009654F0">
        <w:rPr>
          <w:kern w:val="22"/>
          <w:szCs w:val="22"/>
        </w:rPr>
        <w:t>ing the use of development finance and its leveraging effects;</w:t>
      </w:r>
      <w:r w:rsidR="001D4535" w:rsidRPr="009654F0">
        <w:rPr>
          <w:kern w:val="22"/>
          <w:szCs w:val="22"/>
        </w:rPr>
        <w:t xml:space="preserve"> and e</w:t>
      </w:r>
      <w:r w:rsidRPr="009654F0">
        <w:rPr>
          <w:kern w:val="22"/>
          <w:szCs w:val="22"/>
        </w:rPr>
        <w:t>nforcing national regulations and enforcement to improve the economic sectors’ integration of biodiversity efforts/mainstreaming as a key avenue to reduce pressure on biodiversity and thus protection and restoration costs.</w:t>
      </w:r>
    </w:p>
    <w:p w14:paraId="487E5A9A" w14:textId="48FD9317" w:rsidR="0056566D" w:rsidRPr="009654F0" w:rsidRDefault="0056566D">
      <w:pPr>
        <w:pStyle w:val="Heading4"/>
        <w:suppressLineNumbers/>
        <w:suppressAutoHyphens/>
        <w:rPr>
          <w:i w:val="0"/>
          <w:kern w:val="22"/>
        </w:rPr>
      </w:pPr>
      <w:r w:rsidRPr="009654F0">
        <w:rPr>
          <w:i w:val="0"/>
          <w:kern w:val="22"/>
        </w:rPr>
        <w:t>Goal 7: Enhancing implementation of access and benefit-sharing initiatives and mechanisms in support of resource mobilization</w:t>
      </w:r>
    </w:p>
    <w:p w14:paraId="63FF0B70" w14:textId="386254D5" w:rsidR="00DD5B2F" w:rsidRPr="009654F0" w:rsidRDefault="009D2041">
      <w:pPr>
        <w:pStyle w:val="Para1"/>
        <w:suppressLineNumbers/>
        <w:tabs>
          <w:tab w:val="clear" w:pos="360"/>
        </w:tabs>
        <w:suppressAutoHyphens/>
        <w:rPr>
          <w:kern w:val="22"/>
        </w:rPr>
      </w:pPr>
      <w:r w:rsidRPr="009654F0">
        <w:rPr>
          <w:kern w:val="22"/>
          <w:szCs w:val="22"/>
        </w:rPr>
        <w:t>Benin is of the view that while this is a relevant issue, it needs unpacking so that the operational implications of the goal can be better understood and measured.</w:t>
      </w:r>
      <w:r w:rsidR="00AA14B7" w:rsidRPr="009654F0">
        <w:rPr>
          <w:kern w:val="22"/>
        </w:rPr>
        <w:t xml:space="preserve"> </w:t>
      </w:r>
      <w:r w:rsidR="00DD5B2F" w:rsidRPr="009654F0">
        <w:rPr>
          <w:kern w:val="22"/>
        </w:rPr>
        <w:t>Norway describes the high priority it has given to implementation of access and benefit</w:t>
      </w:r>
      <w:r w:rsidR="00FC502A" w:rsidRPr="009654F0">
        <w:rPr>
          <w:kern w:val="22"/>
        </w:rPr>
        <w:t>-</w:t>
      </w:r>
      <w:r w:rsidR="00DD5B2F" w:rsidRPr="009654F0">
        <w:rPr>
          <w:kern w:val="22"/>
        </w:rPr>
        <w:t xml:space="preserve">sharing initiatives, including the ABS Initiative for Africa, implemented by </w:t>
      </w:r>
      <w:r w:rsidR="003B4921" w:rsidRPr="009654F0">
        <w:rPr>
          <w:kern w:val="22"/>
        </w:rPr>
        <w:t xml:space="preserve">the </w:t>
      </w:r>
      <w:r w:rsidR="003B4921" w:rsidRPr="009654F0">
        <w:rPr>
          <w:color w:val="000000"/>
          <w:kern w:val="22"/>
          <w:szCs w:val="22"/>
          <w:lang w:val="de-DE"/>
        </w:rPr>
        <w:t>Deutsche Gesellschaft für International Zusammenarbeit</w:t>
      </w:r>
      <w:r w:rsidR="003B4921" w:rsidRPr="009654F0">
        <w:rPr>
          <w:color w:val="000000"/>
          <w:kern w:val="22"/>
          <w:szCs w:val="22"/>
        </w:rPr>
        <w:t xml:space="preserve"> (</w:t>
      </w:r>
      <w:r w:rsidR="00DD5B2F" w:rsidRPr="009654F0">
        <w:rPr>
          <w:kern w:val="22"/>
        </w:rPr>
        <w:t>GIZ</w:t>
      </w:r>
      <w:r w:rsidR="003B4921" w:rsidRPr="009654F0">
        <w:rPr>
          <w:kern w:val="22"/>
        </w:rPr>
        <w:t>)</w:t>
      </w:r>
      <w:r w:rsidR="00DD5B2F" w:rsidRPr="009654F0">
        <w:rPr>
          <w:kern w:val="22"/>
          <w:szCs w:val="22"/>
        </w:rPr>
        <w:t>. However, the funding stre</w:t>
      </w:r>
      <w:r w:rsidR="00DD5B2F" w:rsidRPr="009654F0">
        <w:rPr>
          <w:kern w:val="22"/>
        </w:rPr>
        <w:t xml:space="preserve">am for biodiversity from </w:t>
      </w:r>
      <w:r w:rsidR="003939FC" w:rsidRPr="009654F0">
        <w:rPr>
          <w:kern w:val="22"/>
        </w:rPr>
        <w:t xml:space="preserve">access and benefit-sharing </w:t>
      </w:r>
      <w:r w:rsidR="00DD5B2F" w:rsidRPr="009654F0">
        <w:rPr>
          <w:kern w:val="22"/>
        </w:rPr>
        <w:t>as envisaged in 1992 has still not materialized.</w:t>
      </w:r>
    </w:p>
    <w:p w14:paraId="2A87D327" w14:textId="74C1896E" w:rsidR="00DD5B2F" w:rsidRPr="009654F0" w:rsidRDefault="00DD5B2F">
      <w:pPr>
        <w:pStyle w:val="Para1"/>
        <w:suppressLineNumbers/>
        <w:tabs>
          <w:tab w:val="clear" w:pos="360"/>
        </w:tabs>
        <w:suppressAutoHyphens/>
        <w:rPr>
          <w:kern w:val="22"/>
        </w:rPr>
      </w:pPr>
      <w:r w:rsidRPr="009654F0">
        <w:rPr>
          <w:kern w:val="22"/>
        </w:rPr>
        <w:t xml:space="preserve">At present, no clear conclusions can be drawn about whether and to what extent the implementation of </w:t>
      </w:r>
      <w:r w:rsidR="003939FC" w:rsidRPr="009654F0">
        <w:rPr>
          <w:kern w:val="22"/>
        </w:rPr>
        <w:t>access and benefit-sharing</w:t>
      </w:r>
      <w:r w:rsidRPr="009654F0">
        <w:rPr>
          <w:kern w:val="22"/>
        </w:rPr>
        <w:t xml:space="preserve"> </w:t>
      </w:r>
      <w:r w:rsidR="00AA14B7" w:rsidRPr="009654F0">
        <w:rPr>
          <w:kern w:val="22"/>
        </w:rPr>
        <w:t xml:space="preserve">arrangements </w:t>
      </w:r>
      <w:r w:rsidRPr="009654F0">
        <w:rPr>
          <w:kern w:val="22"/>
        </w:rPr>
        <w:t xml:space="preserve">has contributed to </w:t>
      </w:r>
      <w:r w:rsidR="00661E57" w:rsidRPr="009654F0">
        <w:rPr>
          <w:kern w:val="22"/>
        </w:rPr>
        <w:t xml:space="preserve">mobilizing </w:t>
      </w:r>
      <w:r w:rsidRPr="009654F0">
        <w:rPr>
          <w:kern w:val="22"/>
        </w:rPr>
        <w:t xml:space="preserve">resources, as no assessment </w:t>
      </w:r>
      <w:r w:rsidR="00AA14B7" w:rsidRPr="009654F0">
        <w:rPr>
          <w:kern w:val="22"/>
        </w:rPr>
        <w:t xml:space="preserve">has been made </w:t>
      </w:r>
      <w:r w:rsidRPr="009654F0">
        <w:rPr>
          <w:kern w:val="22"/>
        </w:rPr>
        <w:t xml:space="preserve">of the value of the resources mobilized through </w:t>
      </w:r>
      <w:r w:rsidR="003939FC" w:rsidRPr="009654F0">
        <w:rPr>
          <w:kern w:val="22"/>
        </w:rPr>
        <w:t xml:space="preserve">access and benefit-sharing </w:t>
      </w:r>
      <w:r w:rsidRPr="009654F0">
        <w:rPr>
          <w:kern w:val="22"/>
        </w:rPr>
        <w:t xml:space="preserve">initiatives and mechanisms </w:t>
      </w:r>
      <w:r w:rsidR="00750820" w:rsidRPr="009654F0">
        <w:rPr>
          <w:kern w:val="22"/>
        </w:rPr>
        <w:t>to date</w:t>
      </w:r>
      <w:r w:rsidRPr="009654F0">
        <w:rPr>
          <w:kern w:val="22"/>
        </w:rPr>
        <w:t>.</w:t>
      </w:r>
    </w:p>
    <w:p w14:paraId="45707FDA" w14:textId="3FC23433" w:rsidR="00A640BE" w:rsidRPr="009654F0" w:rsidRDefault="00DD5B2F">
      <w:pPr>
        <w:pStyle w:val="Para1"/>
        <w:suppressLineNumbers/>
        <w:tabs>
          <w:tab w:val="clear" w:pos="360"/>
        </w:tabs>
        <w:suppressAutoHyphens/>
        <w:rPr>
          <w:kern w:val="22"/>
        </w:rPr>
      </w:pPr>
      <w:r w:rsidRPr="009654F0">
        <w:rPr>
          <w:kern w:val="22"/>
        </w:rPr>
        <w:t xml:space="preserve">In terms of further action that could be taken in relation to </w:t>
      </w:r>
      <w:r w:rsidR="00FD1872" w:rsidRPr="009654F0">
        <w:rPr>
          <w:kern w:val="22"/>
        </w:rPr>
        <w:t>g</w:t>
      </w:r>
      <w:r w:rsidRPr="009654F0">
        <w:rPr>
          <w:kern w:val="22"/>
        </w:rPr>
        <w:t xml:space="preserve">oal 7, such an assessment could help </w:t>
      </w:r>
      <w:r w:rsidR="00750820" w:rsidRPr="009654F0">
        <w:rPr>
          <w:kern w:val="22"/>
        </w:rPr>
        <w:t xml:space="preserve">with </w:t>
      </w:r>
      <w:r w:rsidRPr="009654F0">
        <w:rPr>
          <w:kern w:val="22"/>
        </w:rPr>
        <w:t xml:space="preserve">identifying </w:t>
      </w:r>
      <w:r w:rsidR="003939FC" w:rsidRPr="009654F0">
        <w:rPr>
          <w:kern w:val="22"/>
        </w:rPr>
        <w:t xml:space="preserve">access and benefit-sharing </w:t>
      </w:r>
      <w:r w:rsidRPr="009654F0">
        <w:rPr>
          <w:kern w:val="22"/>
        </w:rPr>
        <w:t xml:space="preserve">practices that </w:t>
      </w:r>
      <w:r w:rsidR="00750820" w:rsidRPr="009654F0">
        <w:rPr>
          <w:kern w:val="22"/>
        </w:rPr>
        <w:t xml:space="preserve">would be most </w:t>
      </w:r>
      <w:r w:rsidRPr="009654F0">
        <w:rPr>
          <w:kern w:val="22"/>
        </w:rPr>
        <w:t>successful in mobilizing resources in the future</w:t>
      </w:r>
      <w:r w:rsidR="00750820" w:rsidRPr="009654F0">
        <w:rPr>
          <w:kern w:val="22"/>
        </w:rPr>
        <w:t>.</w:t>
      </w:r>
    </w:p>
    <w:p w14:paraId="41FD9AE7" w14:textId="40AA0A81" w:rsidR="00A640BE" w:rsidRPr="009654F0" w:rsidRDefault="00A640BE">
      <w:pPr>
        <w:pStyle w:val="Heading4"/>
        <w:suppressLineNumbers/>
        <w:suppressAutoHyphens/>
        <w:rPr>
          <w:i w:val="0"/>
          <w:kern w:val="22"/>
        </w:rPr>
      </w:pPr>
      <w:r w:rsidRPr="009654F0">
        <w:rPr>
          <w:i w:val="0"/>
          <w:kern w:val="22"/>
        </w:rPr>
        <w:t>Goal 8: Enhance the global engagement for resource mobilization in support of the achievement of the Convention’s three objectives</w:t>
      </w:r>
    </w:p>
    <w:p w14:paraId="3AF81750" w14:textId="128D2077" w:rsidR="00DD5B2F" w:rsidRPr="009654F0" w:rsidRDefault="00D47D3E">
      <w:pPr>
        <w:pStyle w:val="Para1"/>
        <w:suppressLineNumbers/>
        <w:tabs>
          <w:tab w:val="clear" w:pos="360"/>
        </w:tabs>
        <w:suppressAutoHyphens/>
        <w:rPr>
          <w:kern w:val="22"/>
        </w:rPr>
      </w:pPr>
      <w:r w:rsidRPr="009654F0">
        <w:rPr>
          <w:kern w:val="22"/>
        </w:rPr>
        <w:t xml:space="preserve">Since </w:t>
      </w:r>
      <w:r w:rsidR="00DD5B2F" w:rsidRPr="009654F0">
        <w:rPr>
          <w:kern w:val="22"/>
        </w:rPr>
        <w:t xml:space="preserve">the </w:t>
      </w:r>
      <w:r w:rsidR="004B13E7" w:rsidRPr="009654F0">
        <w:rPr>
          <w:kern w:val="22"/>
        </w:rPr>
        <w:t xml:space="preserve">adoption of the </w:t>
      </w:r>
      <w:r w:rsidR="002B2E58" w:rsidRPr="009654F0">
        <w:rPr>
          <w:kern w:val="22"/>
        </w:rPr>
        <w:t>strategy for resource mobilization</w:t>
      </w:r>
      <w:r w:rsidR="00DD5B2F" w:rsidRPr="009654F0">
        <w:rPr>
          <w:kern w:val="22"/>
        </w:rPr>
        <w:t xml:space="preserve"> </w:t>
      </w:r>
      <w:r w:rsidR="004B13E7" w:rsidRPr="009654F0">
        <w:rPr>
          <w:kern w:val="22"/>
        </w:rPr>
        <w:t xml:space="preserve">in </w:t>
      </w:r>
      <w:r w:rsidR="00CC6EBB" w:rsidRPr="009654F0">
        <w:rPr>
          <w:kern w:val="22"/>
        </w:rPr>
        <w:t>2008</w:t>
      </w:r>
      <w:r w:rsidR="00DD5B2F" w:rsidRPr="009654F0">
        <w:rPr>
          <w:kern w:val="22"/>
        </w:rPr>
        <w:t xml:space="preserve">, </w:t>
      </w:r>
      <w:r w:rsidR="004B13E7" w:rsidRPr="009654F0">
        <w:rPr>
          <w:kern w:val="22"/>
        </w:rPr>
        <w:t xml:space="preserve">our </w:t>
      </w:r>
      <w:r w:rsidR="00DD5B2F" w:rsidRPr="009654F0">
        <w:rPr>
          <w:kern w:val="22"/>
        </w:rPr>
        <w:t>understanding of the interrelationship</w:t>
      </w:r>
      <w:r w:rsidR="00A80CE5" w:rsidRPr="009654F0">
        <w:rPr>
          <w:kern w:val="22"/>
        </w:rPr>
        <w:t>s</w:t>
      </w:r>
      <w:r w:rsidR="00DD5B2F" w:rsidRPr="009654F0">
        <w:rPr>
          <w:kern w:val="22"/>
        </w:rPr>
        <w:t xml:space="preserve"> between biodiversity, climate change and other challenges of sustainability</w:t>
      </w:r>
      <w:r w:rsidR="0057279E" w:rsidRPr="009654F0">
        <w:rPr>
          <w:kern w:val="22"/>
        </w:rPr>
        <w:t xml:space="preserve"> has significantly </w:t>
      </w:r>
      <w:r w:rsidR="0057279E" w:rsidRPr="009654F0">
        <w:rPr>
          <w:kern w:val="22"/>
        </w:rPr>
        <w:lastRenderedPageBreak/>
        <w:t>improved, a</w:t>
      </w:r>
      <w:r w:rsidR="00533F1E" w:rsidRPr="009654F0">
        <w:rPr>
          <w:kern w:val="22"/>
        </w:rPr>
        <w:t xml:space="preserve">s has our appreciation of </w:t>
      </w:r>
      <w:r w:rsidR="00A80CE5" w:rsidRPr="009654F0">
        <w:rPr>
          <w:kern w:val="22"/>
        </w:rPr>
        <w:t>the</w:t>
      </w:r>
      <w:r w:rsidR="00533F1E" w:rsidRPr="009654F0">
        <w:rPr>
          <w:kern w:val="22"/>
        </w:rPr>
        <w:t xml:space="preserve"> fundamental importance </w:t>
      </w:r>
      <w:r w:rsidR="00A80CE5" w:rsidRPr="009654F0">
        <w:rPr>
          <w:kern w:val="22"/>
        </w:rPr>
        <w:t xml:space="preserve">of these relationships </w:t>
      </w:r>
      <w:r w:rsidR="00533F1E" w:rsidRPr="009654F0">
        <w:rPr>
          <w:kern w:val="22"/>
        </w:rPr>
        <w:t>for achi</w:t>
      </w:r>
      <w:r w:rsidR="000B3752" w:rsidRPr="009654F0">
        <w:rPr>
          <w:kern w:val="22"/>
        </w:rPr>
        <w:t>e</w:t>
      </w:r>
      <w:r w:rsidR="00533F1E" w:rsidRPr="009654F0">
        <w:rPr>
          <w:kern w:val="22"/>
        </w:rPr>
        <w:t>ving sustainable development</w:t>
      </w:r>
      <w:r w:rsidR="00DD5B2F" w:rsidRPr="009654F0">
        <w:rPr>
          <w:kern w:val="22"/>
        </w:rPr>
        <w:t xml:space="preserve">. </w:t>
      </w:r>
      <w:r w:rsidR="00750820" w:rsidRPr="009654F0">
        <w:rPr>
          <w:kern w:val="22"/>
        </w:rPr>
        <w:t>The</w:t>
      </w:r>
      <w:r w:rsidR="00C34E1E" w:rsidRPr="009654F0">
        <w:rPr>
          <w:kern w:val="22"/>
        </w:rPr>
        <w:t xml:space="preserve"> </w:t>
      </w:r>
      <w:r w:rsidR="00872801" w:rsidRPr="009654F0">
        <w:rPr>
          <w:kern w:val="22"/>
        </w:rPr>
        <w:t>European Union</w:t>
      </w:r>
      <w:r w:rsidR="00750820" w:rsidRPr="009654F0">
        <w:rPr>
          <w:kern w:val="22"/>
        </w:rPr>
        <w:t>, for instance,</w:t>
      </w:r>
      <w:r w:rsidR="00C34E1E" w:rsidRPr="009654F0">
        <w:rPr>
          <w:kern w:val="22"/>
        </w:rPr>
        <w:t xml:space="preserve"> </w:t>
      </w:r>
      <w:r w:rsidR="00DD5B2F" w:rsidRPr="009654F0">
        <w:rPr>
          <w:kern w:val="22"/>
        </w:rPr>
        <w:t>observe</w:t>
      </w:r>
      <w:r w:rsidR="00C34E1E" w:rsidRPr="009654F0">
        <w:rPr>
          <w:kern w:val="22"/>
        </w:rPr>
        <w:t>s</w:t>
      </w:r>
      <w:r w:rsidR="00DD5B2F" w:rsidRPr="009654F0">
        <w:rPr>
          <w:kern w:val="22"/>
        </w:rPr>
        <w:t xml:space="preserve"> that the </w:t>
      </w:r>
      <w:r w:rsidR="002B2E58" w:rsidRPr="009654F0">
        <w:rPr>
          <w:kern w:val="22"/>
        </w:rPr>
        <w:t>strategy for resource mobilization</w:t>
      </w:r>
      <w:r w:rsidR="00DD5B2F" w:rsidRPr="009654F0">
        <w:rPr>
          <w:kern w:val="22"/>
        </w:rPr>
        <w:t xml:space="preserve"> could have been more explicit regarding potential opportunities for synergies with the global climate agenda, the 2030 Agenda </w:t>
      </w:r>
      <w:r w:rsidR="00D423CC" w:rsidRPr="009654F0">
        <w:rPr>
          <w:kern w:val="22"/>
        </w:rPr>
        <w:t>for Sustainable Development,</w:t>
      </w:r>
      <w:r w:rsidR="00D423CC" w:rsidRPr="009654F0">
        <w:rPr>
          <w:rStyle w:val="FootnoteReference"/>
          <w:kern w:val="22"/>
        </w:rPr>
        <w:footnoteReference w:id="24"/>
      </w:r>
      <w:r w:rsidR="00D423CC" w:rsidRPr="009654F0">
        <w:rPr>
          <w:kern w:val="22"/>
        </w:rPr>
        <w:t xml:space="preserve"> </w:t>
      </w:r>
      <w:r w:rsidR="00DD5B2F" w:rsidRPr="009654F0">
        <w:rPr>
          <w:kern w:val="22"/>
        </w:rPr>
        <w:t xml:space="preserve">and resources to support nature-based solutions and their contribution to climate mitigation and adaptation at global level. Both </w:t>
      </w:r>
      <w:r w:rsidR="00874F92" w:rsidRPr="009654F0">
        <w:rPr>
          <w:kern w:val="22"/>
        </w:rPr>
        <w:t xml:space="preserve">the </w:t>
      </w:r>
      <w:r w:rsidR="00874F92" w:rsidRPr="002D21DA">
        <w:rPr>
          <w:kern w:val="22"/>
        </w:rPr>
        <w:t>Intergovernmental Panel on Climate Change</w:t>
      </w:r>
      <w:r w:rsidR="00DD5B2F" w:rsidRPr="009654F0">
        <w:rPr>
          <w:kern w:val="22"/>
        </w:rPr>
        <w:t xml:space="preserve"> and IPBES point out that it is imperative to ensure </w:t>
      </w:r>
      <w:r w:rsidR="008F0336" w:rsidRPr="009654F0">
        <w:rPr>
          <w:kern w:val="22"/>
        </w:rPr>
        <w:t xml:space="preserve">that </w:t>
      </w:r>
      <w:r w:rsidR="00DD5B2F" w:rsidRPr="009654F0">
        <w:rPr>
          <w:kern w:val="22"/>
        </w:rPr>
        <w:t>resources benefit both environment and climate</w:t>
      </w:r>
      <w:r w:rsidR="008F0336" w:rsidRPr="009654F0">
        <w:rPr>
          <w:kern w:val="22"/>
        </w:rPr>
        <w:t>,</w:t>
      </w:r>
      <w:r w:rsidR="00DD5B2F" w:rsidRPr="009654F0">
        <w:rPr>
          <w:kern w:val="22"/>
        </w:rPr>
        <w:t xml:space="preserve"> with a specific effort to minimi</w:t>
      </w:r>
      <w:r w:rsidR="00387B0B" w:rsidRPr="009654F0">
        <w:rPr>
          <w:kern w:val="22"/>
        </w:rPr>
        <w:t>z</w:t>
      </w:r>
      <w:r w:rsidR="00DD5B2F" w:rsidRPr="009654F0">
        <w:rPr>
          <w:kern w:val="22"/>
        </w:rPr>
        <w:t xml:space="preserve">e the trade-offs needed between the two: </w:t>
      </w:r>
      <w:r w:rsidR="005E589B" w:rsidRPr="009654F0">
        <w:rPr>
          <w:kern w:val="22"/>
        </w:rPr>
        <w:t xml:space="preserve">while efforts in this direction are ongoing, for instance via REDD+ and the Green Climate Fund, there is no doubt that much more needs to be done to reinforce the mutual benefits of investment in biodiversity and ecosystems and investments in climate change adaptation and mitigation. </w:t>
      </w:r>
      <w:r w:rsidR="00DD5B2F" w:rsidRPr="009654F0">
        <w:rPr>
          <w:kern w:val="22"/>
        </w:rPr>
        <w:t xml:space="preserve">Climate and biodiversity efforts should not </w:t>
      </w:r>
      <w:proofErr w:type="gramStart"/>
      <w:r w:rsidR="00DD5B2F" w:rsidRPr="009654F0">
        <w:rPr>
          <w:kern w:val="22"/>
        </w:rPr>
        <w:t>be seen as</w:t>
      </w:r>
      <w:proofErr w:type="gramEnd"/>
      <w:r w:rsidR="00DD5B2F" w:rsidRPr="009654F0">
        <w:rPr>
          <w:kern w:val="22"/>
        </w:rPr>
        <w:t xml:space="preserve"> mutually exclusive, but rather </w:t>
      </w:r>
      <w:r w:rsidR="005E589B" w:rsidRPr="009654F0">
        <w:rPr>
          <w:kern w:val="22"/>
        </w:rPr>
        <w:t xml:space="preserve">an opportunity to secure </w:t>
      </w:r>
      <w:r w:rsidR="00DD5B2F" w:rsidRPr="009654F0">
        <w:rPr>
          <w:kern w:val="22"/>
        </w:rPr>
        <w:t>synergies and co-benefits.</w:t>
      </w:r>
    </w:p>
    <w:p w14:paraId="65A70A88" w14:textId="278710EA" w:rsidR="00E35BA4" w:rsidRPr="009654F0" w:rsidRDefault="00E35BA4" w:rsidP="009654F0">
      <w:pPr>
        <w:pStyle w:val="Para1"/>
        <w:keepNext/>
        <w:numPr>
          <w:ilvl w:val="0"/>
          <w:numId w:val="0"/>
        </w:numPr>
        <w:suppressLineNumbers/>
        <w:tabs>
          <w:tab w:val="left" w:pos="426"/>
        </w:tabs>
        <w:suppressAutoHyphens/>
        <w:jc w:val="center"/>
        <w:outlineLvl w:val="0"/>
        <w:rPr>
          <w:b/>
          <w:kern w:val="22"/>
        </w:rPr>
      </w:pPr>
      <w:bookmarkStart w:id="5" w:name="_Hlk41329391"/>
      <w:r w:rsidRPr="009654F0">
        <w:rPr>
          <w:b/>
          <w:kern w:val="22"/>
        </w:rPr>
        <w:t>III</w:t>
      </w:r>
      <w:r w:rsidR="003205BD" w:rsidRPr="009654F0">
        <w:rPr>
          <w:b/>
          <w:kern w:val="22"/>
        </w:rPr>
        <w:t>.</w:t>
      </w:r>
      <w:r w:rsidR="003205BD" w:rsidRPr="009654F0">
        <w:rPr>
          <w:b/>
          <w:kern w:val="22"/>
        </w:rPr>
        <w:tab/>
      </w:r>
      <w:r w:rsidR="001874FC" w:rsidRPr="009654F0">
        <w:rPr>
          <w:b/>
          <w:caps/>
          <w:kern w:val="22"/>
        </w:rPr>
        <w:t xml:space="preserve">Assessment of progress in implementing Aichi Target </w:t>
      </w:r>
      <w:r w:rsidRPr="009654F0">
        <w:rPr>
          <w:b/>
          <w:caps/>
          <w:kern w:val="22"/>
        </w:rPr>
        <w:t>20</w:t>
      </w:r>
    </w:p>
    <w:p w14:paraId="6FBEA49E" w14:textId="4F32BF55" w:rsidR="00A640BE" w:rsidRPr="009654F0" w:rsidRDefault="00A640BE">
      <w:pPr>
        <w:pStyle w:val="Para1"/>
        <w:suppressLineNumbers/>
        <w:tabs>
          <w:tab w:val="clear" w:pos="360"/>
        </w:tabs>
        <w:suppressAutoHyphens/>
        <w:rPr>
          <w:spacing w:val="-2"/>
          <w:kern w:val="22"/>
        </w:rPr>
      </w:pPr>
      <w:r w:rsidRPr="009654F0">
        <w:rPr>
          <w:spacing w:val="-2"/>
          <w:kern w:val="22"/>
        </w:rPr>
        <w:t xml:space="preserve">As explained in </w:t>
      </w:r>
      <w:r w:rsidR="000B1315" w:rsidRPr="009654F0">
        <w:rPr>
          <w:spacing w:val="-2"/>
          <w:kern w:val="22"/>
        </w:rPr>
        <w:t>the introduction</w:t>
      </w:r>
      <w:r w:rsidRPr="009654F0">
        <w:rPr>
          <w:spacing w:val="-2"/>
          <w:kern w:val="22"/>
        </w:rPr>
        <w:t>, a set of targets for resource mobili</w:t>
      </w:r>
      <w:r w:rsidR="00DE0931" w:rsidRPr="009654F0">
        <w:rPr>
          <w:spacing w:val="-2"/>
          <w:kern w:val="22"/>
        </w:rPr>
        <w:t>z</w:t>
      </w:r>
      <w:r w:rsidRPr="009654F0">
        <w:rPr>
          <w:spacing w:val="-2"/>
          <w:kern w:val="22"/>
        </w:rPr>
        <w:t xml:space="preserve">ation (listed in full </w:t>
      </w:r>
      <w:r w:rsidR="00EE146B" w:rsidRPr="009654F0">
        <w:rPr>
          <w:spacing w:val="-2"/>
          <w:kern w:val="22"/>
        </w:rPr>
        <w:t xml:space="preserve">in the </w:t>
      </w:r>
      <w:r w:rsidR="00DE0931" w:rsidRPr="009654F0">
        <w:rPr>
          <w:spacing w:val="-2"/>
          <w:kern w:val="22"/>
        </w:rPr>
        <w:t>a</w:t>
      </w:r>
      <w:r w:rsidRPr="009654F0">
        <w:rPr>
          <w:spacing w:val="-2"/>
          <w:kern w:val="22"/>
        </w:rPr>
        <w:t xml:space="preserve">nnex) was </w:t>
      </w:r>
      <w:r w:rsidR="000C0565" w:rsidRPr="009654F0">
        <w:rPr>
          <w:spacing w:val="-2"/>
          <w:kern w:val="22"/>
        </w:rPr>
        <w:t xml:space="preserve">adopted </w:t>
      </w:r>
      <w:r w:rsidR="00E12492" w:rsidRPr="009654F0">
        <w:rPr>
          <w:spacing w:val="-2"/>
          <w:kern w:val="22"/>
        </w:rPr>
        <w:t>under Aichi Biodiversity Target 20</w:t>
      </w:r>
      <w:r w:rsidR="00F82F50" w:rsidRPr="009654F0">
        <w:rPr>
          <w:spacing w:val="-2"/>
          <w:kern w:val="22"/>
        </w:rPr>
        <w:t xml:space="preserve">, </w:t>
      </w:r>
      <w:r w:rsidR="000C0565" w:rsidRPr="009654F0">
        <w:rPr>
          <w:spacing w:val="-2"/>
          <w:kern w:val="22"/>
        </w:rPr>
        <w:t>a</w:t>
      </w:r>
      <w:r w:rsidRPr="009654F0">
        <w:rPr>
          <w:spacing w:val="-2"/>
          <w:kern w:val="22"/>
        </w:rPr>
        <w:t xml:space="preserve">t </w:t>
      </w:r>
      <w:r w:rsidR="00F4748C" w:rsidRPr="009654F0">
        <w:rPr>
          <w:spacing w:val="-2"/>
          <w:kern w:val="22"/>
        </w:rPr>
        <w:t>the twelfth meeting of the Conference of the Parties</w:t>
      </w:r>
      <w:r w:rsidRPr="009654F0">
        <w:rPr>
          <w:spacing w:val="-2"/>
          <w:kern w:val="22"/>
        </w:rPr>
        <w:t xml:space="preserve"> (</w:t>
      </w:r>
      <w:r w:rsidR="00E12492" w:rsidRPr="009654F0">
        <w:rPr>
          <w:spacing w:val="-2"/>
          <w:kern w:val="22"/>
        </w:rPr>
        <w:t>d</w:t>
      </w:r>
      <w:r w:rsidRPr="009654F0">
        <w:rPr>
          <w:spacing w:val="-2"/>
          <w:kern w:val="22"/>
        </w:rPr>
        <w:t>ecision XII/3</w:t>
      </w:r>
      <w:r w:rsidR="00E12492" w:rsidRPr="009654F0">
        <w:rPr>
          <w:spacing w:val="-2"/>
          <w:kern w:val="22"/>
        </w:rPr>
        <w:t>, para</w:t>
      </w:r>
      <w:r w:rsidR="00371528" w:rsidRPr="009654F0">
        <w:rPr>
          <w:spacing w:val="-2"/>
          <w:kern w:val="22"/>
        </w:rPr>
        <w:t>.</w:t>
      </w:r>
      <w:r w:rsidR="00E12492" w:rsidRPr="009654F0">
        <w:rPr>
          <w:spacing w:val="-2"/>
          <w:kern w:val="22"/>
        </w:rPr>
        <w:t xml:space="preserve"> 1</w:t>
      </w:r>
      <w:r w:rsidRPr="009654F0">
        <w:rPr>
          <w:spacing w:val="-2"/>
          <w:kern w:val="22"/>
        </w:rPr>
        <w:t>)</w:t>
      </w:r>
      <w:r w:rsidR="00E12492" w:rsidRPr="009654F0">
        <w:rPr>
          <w:spacing w:val="-2"/>
          <w:kern w:val="22"/>
        </w:rPr>
        <w:t>,</w:t>
      </w:r>
      <w:r w:rsidRPr="009654F0">
        <w:rPr>
          <w:spacing w:val="-2"/>
          <w:kern w:val="22"/>
        </w:rPr>
        <w:t xml:space="preserve"> as the agreed basis for defining progress towards the achievement of Aichi Biodiversity Target 20.</w:t>
      </w:r>
      <w:r w:rsidR="00F936CA" w:rsidRPr="009654F0">
        <w:rPr>
          <w:spacing w:val="-2"/>
          <w:kern w:val="22"/>
        </w:rPr>
        <w:t xml:space="preserve"> In the same decision, the </w:t>
      </w:r>
      <w:r w:rsidR="00A83CAF" w:rsidRPr="009654F0">
        <w:rPr>
          <w:spacing w:val="-2"/>
          <w:kern w:val="22"/>
        </w:rPr>
        <w:t xml:space="preserve">Conference of the Parties </w:t>
      </w:r>
      <w:r w:rsidR="00F936CA" w:rsidRPr="009654F0">
        <w:rPr>
          <w:spacing w:val="-2"/>
          <w:kern w:val="22"/>
        </w:rPr>
        <w:t xml:space="preserve">also adopted a financial reporting framework and invited Parties </w:t>
      </w:r>
      <w:r w:rsidR="00442F37" w:rsidRPr="009654F0">
        <w:rPr>
          <w:spacing w:val="-2"/>
          <w:kern w:val="22"/>
        </w:rPr>
        <w:t xml:space="preserve">to use </w:t>
      </w:r>
      <w:r w:rsidR="00F936CA" w:rsidRPr="009654F0">
        <w:rPr>
          <w:spacing w:val="-2"/>
          <w:kern w:val="22"/>
        </w:rPr>
        <w:t>it in order to report their progress in achieving the targets for resource mobilization.</w:t>
      </w:r>
    </w:p>
    <w:p w14:paraId="63C57017" w14:textId="5FDE0208" w:rsidR="00F936CA" w:rsidRPr="009654F0" w:rsidRDefault="00F936CA">
      <w:pPr>
        <w:pStyle w:val="Para1"/>
        <w:suppressLineNumbers/>
        <w:tabs>
          <w:tab w:val="clear" w:pos="360"/>
        </w:tabs>
        <w:suppressAutoHyphens/>
        <w:rPr>
          <w:kern w:val="22"/>
        </w:rPr>
      </w:pPr>
      <w:r w:rsidRPr="009654F0">
        <w:rPr>
          <w:kern w:val="22"/>
        </w:rPr>
        <w:t xml:space="preserve">The latest comprehensive analysis of financial reports received was </w:t>
      </w:r>
      <w:r w:rsidR="00F87CBA">
        <w:rPr>
          <w:kern w:val="22"/>
        </w:rPr>
        <w:t>issued for</w:t>
      </w:r>
      <w:r w:rsidRPr="009654F0">
        <w:rPr>
          <w:kern w:val="22"/>
        </w:rPr>
        <w:t xml:space="preserve"> </w:t>
      </w:r>
      <w:r w:rsidR="0074376B">
        <w:rPr>
          <w:kern w:val="22"/>
        </w:rPr>
        <w:t xml:space="preserve">the </w:t>
      </w:r>
      <w:r w:rsidR="00F87CBA" w:rsidRPr="00D223BE">
        <w:rPr>
          <w:kern w:val="22"/>
        </w:rPr>
        <w:t xml:space="preserve">fourteenth meeting </w:t>
      </w:r>
      <w:r w:rsidR="00F87CBA">
        <w:rPr>
          <w:kern w:val="22"/>
        </w:rPr>
        <w:t xml:space="preserve">of </w:t>
      </w:r>
      <w:r w:rsidRPr="009654F0">
        <w:rPr>
          <w:kern w:val="22"/>
        </w:rPr>
        <w:t>the Conference of the Parties (</w:t>
      </w:r>
      <w:hyperlink r:id="rId20" w:history="1">
        <w:r w:rsidRPr="009654F0">
          <w:rPr>
            <w:rStyle w:val="Hyperlink"/>
            <w:kern w:val="22"/>
            <w:sz w:val="22"/>
          </w:rPr>
          <w:t>CBD/COP/14/6</w:t>
        </w:r>
      </w:hyperlink>
      <w:r w:rsidRPr="009654F0">
        <w:rPr>
          <w:kern w:val="22"/>
        </w:rPr>
        <w:t xml:space="preserve">). </w:t>
      </w:r>
      <w:r w:rsidR="00493D32" w:rsidRPr="009654F0">
        <w:rPr>
          <w:kern w:val="22"/>
        </w:rPr>
        <w:t xml:space="preserve">By </w:t>
      </w:r>
      <w:r w:rsidRPr="009654F0">
        <w:rPr>
          <w:kern w:val="22"/>
        </w:rPr>
        <w:t xml:space="preserve">10 March 2020, an additional four </w:t>
      </w:r>
      <w:r w:rsidR="001F22CE" w:rsidRPr="009654F0">
        <w:rPr>
          <w:kern w:val="22"/>
        </w:rPr>
        <w:t>Parties</w:t>
      </w:r>
      <w:r w:rsidRPr="009654F0">
        <w:rPr>
          <w:kern w:val="22"/>
        </w:rPr>
        <w:t xml:space="preserve"> </w:t>
      </w:r>
      <w:r w:rsidR="00493D32" w:rsidRPr="009654F0">
        <w:rPr>
          <w:kern w:val="22"/>
        </w:rPr>
        <w:t xml:space="preserve">had </w:t>
      </w:r>
      <w:r w:rsidRPr="009654F0">
        <w:rPr>
          <w:kern w:val="22"/>
        </w:rPr>
        <w:t xml:space="preserve">provided information on baselines and progress </w:t>
      </w:r>
      <w:r w:rsidR="005F675A" w:rsidRPr="009654F0">
        <w:rPr>
          <w:kern w:val="22"/>
        </w:rPr>
        <w:t xml:space="preserve">up to </w:t>
      </w:r>
      <w:r w:rsidRPr="009654F0">
        <w:rPr>
          <w:kern w:val="22"/>
        </w:rPr>
        <w:t xml:space="preserve">2015, bringing the total of reporting </w:t>
      </w:r>
      <w:r w:rsidR="003541AC" w:rsidRPr="009654F0">
        <w:rPr>
          <w:kern w:val="22"/>
        </w:rPr>
        <w:t>Parties</w:t>
      </w:r>
      <w:r w:rsidRPr="009654F0">
        <w:rPr>
          <w:kern w:val="22"/>
        </w:rPr>
        <w:t xml:space="preserve"> to 81. </w:t>
      </w:r>
      <w:r w:rsidR="00CB3D84" w:rsidRPr="009654F0">
        <w:rPr>
          <w:kern w:val="22"/>
        </w:rPr>
        <w:t>Of these</w:t>
      </w:r>
      <w:r w:rsidRPr="009654F0">
        <w:rPr>
          <w:kern w:val="22"/>
        </w:rPr>
        <w:t xml:space="preserve">, 17 </w:t>
      </w:r>
      <w:r w:rsidR="001F22CE" w:rsidRPr="009654F0">
        <w:rPr>
          <w:kern w:val="22"/>
        </w:rPr>
        <w:t>Parties</w:t>
      </w:r>
      <w:r w:rsidRPr="009654F0">
        <w:rPr>
          <w:kern w:val="22"/>
        </w:rPr>
        <w:t xml:space="preserve"> have provided information on further progress (</w:t>
      </w:r>
      <w:r w:rsidR="00CD025F" w:rsidRPr="009654F0">
        <w:rPr>
          <w:kern w:val="22"/>
        </w:rPr>
        <w:t xml:space="preserve">up to </w:t>
      </w:r>
      <w:r w:rsidRPr="009654F0">
        <w:rPr>
          <w:kern w:val="22"/>
        </w:rPr>
        <w:t>2020). In the light of the limited number of new submissions, the conclusions contained in document CBD/COP/14/6 still apply and are reflected below, while numbers quoted have been updated to reflect the latest submissions received.</w:t>
      </w:r>
    </w:p>
    <w:p w14:paraId="2C9ABC5E" w14:textId="34394C7E" w:rsidR="005D4CBB" w:rsidRPr="009654F0" w:rsidRDefault="00F936CA" w:rsidP="009654F0">
      <w:pPr>
        <w:pStyle w:val="Para1"/>
        <w:suppressLineNumbers/>
        <w:tabs>
          <w:tab w:val="clear" w:pos="360"/>
        </w:tabs>
        <w:suppressAutoHyphens/>
        <w:rPr>
          <w:kern w:val="22"/>
        </w:rPr>
      </w:pPr>
      <w:r w:rsidRPr="009654F0">
        <w:rPr>
          <w:kern w:val="22"/>
        </w:rPr>
        <w:t>In general, reporting against the targets for resource mobilization is progressing but is uneven. On international finance, out of the 31</w:t>
      </w:r>
      <w:r w:rsidR="000A2762" w:rsidRPr="009654F0">
        <w:rPr>
          <w:kern w:val="22"/>
        </w:rPr>
        <w:t> </w:t>
      </w:r>
      <w:r w:rsidRPr="009654F0">
        <w:rPr>
          <w:kern w:val="22"/>
        </w:rPr>
        <w:t>Parties reporting against target 1</w:t>
      </w:r>
      <w:r w:rsidR="00724E53" w:rsidRPr="009654F0">
        <w:rPr>
          <w:kern w:val="22"/>
        </w:rPr>
        <w:t> </w:t>
      </w:r>
      <w:r w:rsidRPr="009654F0">
        <w:rPr>
          <w:kern w:val="22"/>
        </w:rPr>
        <w:t xml:space="preserve">(a), most (but not all) Parties, representing </w:t>
      </w:r>
      <w:r w:rsidR="003541AC" w:rsidRPr="009654F0">
        <w:rPr>
          <w:kern w:val="22"/>
        </w:rPr>
        <w:t>98</w:t>
      </w:r>
      <w:r w:rsidRPr="009654F0">
        <w:rPr>
          <w:kern w:val="22"/>
        </w:rPr>
        <w:t> per cent of the reported baseline, have reported their 2015 data, and 11</w:t>
      </w:r>
      <w:r w:rsidR="000A2762" w:rsidRPr="009654F0">
        <w:rPr>
          <w:kern w:val="22"/>
        </w:rPr>
        <w:t> </w:t>
      </w:r>
      <w:r w:rsidR="001F22CE" w:rsidRPr="009654F0">
        <w:rPr>
          <w:kern w:val="22"/>
        </w:rPr>
        <w:t>Parties</w:t>
      </w:r>
      <w:r w:rsidRPr="009654F0">
        <w:rPr>
          <w:kern w:val="22"/>
        </w:rPr>
        <w:t xml:space="preserve"> have also reported subsequent years. F</w:t>
      </w:r>
      <w:r w:rsidR="00E64623" w:rsidRPr="009654F0">
        <w:rPr>
          <w:kern w:val="22"/>
        </w:rPr>
        <w:t>our</w:t>
      </w:r>
      <w:r w:rsidRPr="009654F0">
        <w:rPr>
          <w:kern w:val="22"/>
        </w:rPr>
        <w:t xml:space="preserve"> DAC members, Parties to the Convention, </w:t>
      </w:r>
      <w:r w:rsidR="00A91624" w:rsidRPr="009654F0">
        <w:rPr>
          <w:kern w:val="22"/>
        </w:rPr>
        <w:t>had</w:t>
      </w:r>
      <w:r w:rsidRPr="009654F0">
        <w:rPr>
          <w:kern w:val="22"/>
        </w:rPr>
        <w:t xml:space="preserve"> not yet reported</w:t>
      </w:r>
      <w:r w:rsidR="00A91624" w:rsidRPr="009654F0">
        <w:rPr>
          <w:kern w:val="22"/>
        </w:rPr>
        <w:t xml:space="preserve"> by the cut-off</w:t>
      </w:r>
      <w:r w:rsidR="00A949FF" w:rsidRPr="009654F0">
        <w:rPr>
          <w:kern w:val="22"/>
        </w:rPr>
        <w:t xml:space="preserve"> </w:t>
      </w:r>
      <w:r w:rsidR="00F12676" w:rsidRPr="009654F0">
        <w:rPr>
          <w:kern w:val="22"/>
        </w:rPr>
        <w:t>date for the present analysis</w:t>
      </w:r>
      <w:r w:rsidRPr="009654F0">
        <w:rPr>
          <w:kern w:val="22"/>
        </w:rPr>
        <w:t>.</w:t>
      </w:r>
      <w:r w:rsidR="00E64623" w:rsidRPr="009654F0">
        <w:rPr>
          <w:rStyle w:val="FootnoteReference"/>
          <w:kern w:val="22"/>
        </w:rPr>
        <w:footnoteReference w:id="25"/>
      </w:r>
      <w:r w:rsidRPr="009654F0">
        <w:rPr>
          <w:kern w:val="22"/>
        </w:rPr>
        <w:t xml:space="preserve"> </w:t>
      </w:r>
      <w:r w:rsidR="005D4CBB" w:rsidRPr="009654F0">
        <w:rPr>
          <w:kern w:val="22"/>
        </w:rPr>
        <w:t>On</w:t>
      </w:r>
      <w:r w:rsidR="000E687F" w:rsidRPr="009654F0">
        <w:rPr>
          <w:kern w:val="22"/>
        </w:rPr>
        <w:t xml:space="preserve"> the other targets, the slow progress </w:t>
      </w:r>
      <w:r w:rsidR="004031EF" w:rsidRPr="009654F0">
        <w:rPr>
          <w:kern w:val="22"/>
        </w:rPr>
        <w:t xml:space="preserve">in reporting </w:t>
      </w:r>
      <w:r w:rsidR="000E687F" w:rsidRPr="009654F0">
        <w:rPr>
          <w:kern w:val="22"/>
        </w:rPr>
        <w:t xml:space="preserve">is likely </w:t>
      </w:r>
      <w:r w:rsidR="004C76B9" w:rsidRPr="009654F0">
        <w:rPr>
          <w:kern w:val="22"/>
        </w:rPr>
        <w:t xml:space="preserve">not </w:t>
      </w:r>
      <w:r w:rsidR="005D4CBB" w:rsidRPr="009654F0">
        <w:rPr>
          <w:kern w:val="22"/>
        </w:rPr>
        <w:t xml:space="preserve">due </w:t>
      </w:r>
      <w:r w:rsidR="003541AC" w:rsidRPr="009654F0">
        <w:rPr>
          <w:kern w:val="22"/>
        </w:rPr>
        <w:t xml:space="preserve">predominantly </w:t>
      </w:r>
      <w:r w:rsidR="000E687F" w:rsidRPr="009654F0">
        <w:rPr>
          <w:kern w:val="22"/>
        </w:rPr>
        <w:t xml:space="preserve">to a reporting gap as such: a comparison with NBSAPs submitted by Parties shows that </w:t>
      </w:r>
      <w:r w:rsidR="00471E17" w:rsidRPr="009654F0">
        <w:rPr>
          <w:kern w:val="22"/>
        </w:rPr>
        <w:t xml:space="preserve">only a few of the </w:t>
      </w:r>
      <w:r w:rsidR="000E687F" w:rsidRPr="009654F0">
        <w:rPr>
          <w:kern w:val="22"/>
        </w:rPr>
        <w:t xml:space="preserve">Parties which prepared, for instance, a costing of their revised NBSAP or elements of a resource mobilization strategy have </w:t>
      </w:r>
      <w:r w:rsidR="00471E17" w:rsidRPr="009654F0">
        <w:rPr>
          <w:kern w:val="22"/>
        </w:rPr>
        <w:t xml:space="preserve">yet to </w:t>
      </w:r>
      <w:r w:rsidR="000E687F" w:rsidRPr="009654F0">
        <w:rPr>
          <w:kern w:val="22"/>
        </w:rPr>
        <w:t>submit their financial reporting framework. In the light of this, an important constraint is seemingly the continuing challenges in implementing some of the targets, in particular targets 1</w:t>
      </w:r>
      <w:r w:rsidR="00841E57" w:rsidRPr="009654F0">
        <w:rPr>
          <w:kern w:val="22"/>
        </w:rPr>
        <w:t> </w:t>
      </w:r>
      <w:r w:rsidR="000E687F" w:rsidRPr="009654F0">
        <w:rPr>
          <w:kern w:val="22"/>
        </w:rPr>
        <w:t>(c) and 1</w:t>
      </w:r>
      <w:r w:rsidR="00841E57" w:rsidRPr="009654F0">
        <w:rPr>
          <w:kern w:val="22"/>
        </w:rPr>
        <w:t> </w:t>
      </w:r>
      <w:r w:rsidR="000E687F" w:rsidRPr="009654F0">
        <w:rPr>
          <w:kern w:val="22"/>
        </w:rPr>
        <w:t>(d), associated with an overall lack of capacity, in particular with regard to countries that do not participate in the BIOFIN initiative. BIOFIN countries are progressing and are now at advanced stages of preparing their national finance plans</w:t>
      </w:r>
      <w:r w:rsidR="005D4CBB" w:rsidRPr="009654F0">
        <w:rPr>
          <w:kern w:val="22"/>
        </w:rPr>
        <w:t xml:space="preserve">. </w:t>
      </w:r>
      <w:r w:rsidR="004031EF" w:rsidRPr="009654F0">
        <w:rPr>
          <w:kern w:val="22"/>
        </w:rPr>
        <w:t>A</w:t>
      </w:r>
      <w:r w:rsidR="005D4CBB" w:rsidRPr="009654F0">
        <w:rPr>
          <w:kern w:val="22"/>
        </w:rPr>
        <w:t>ssessment</w:t>
      </w:r>
      <w:r w:rsidR="00490BEA" w:rsidRPr="009654F0">
        <w:rPr>
          <w:kern w:val="22"/>
        </w:rPr>
        <w:t>s</w:t>
      </w:r>
      <w:r w:rsidR="005D4CBB" w:rsidRPr="009654F0">
        <w:rPr>
          <w:kern w:val="22"/>
        </w:rPr>
        <w:t xml:space="preserve"> of progress against each target </w:t>
      </w:r>
      <w:r w:rsidR="005070F3" w:rsidRPr="009654F0">
        <w:rPr>
          <w:kern w:val="22"/>
        </w:rPr>
        <w:t>are discussed below.</w:t>
      </w:r>
    </w:p>
    <w:p w14:paraId="5477959E" w14:textId="6A4E1D4A" w:rsidR="008F14A9" w:rsidRPr="009654F0" w:rsidRDefault="005D4CBB" w:rsidP="009654F0">
      <w:pPr>
        <w:pStyle w:val="Para1"/>
        <w:keepNext/>
        <w:suppressLineNumbers/>
        <w:tabs>
          <w:tab w:val="clear" w:pos="360"/>
        </w:tabs>
        <w:suppressAutoHyphens/>
        <w:rPr>
          <w:kern w:val="22"/>
        </w:rPr>
      </w:pPr>
      <w:bookmarkStart w:id="6" w:name="_Hlk41326240"/>
      <w:r w:rsidRPr="009654F0">
        <w:rPr>
          <w:i/>
          <w:kern w:val="22"/>
        </w:rPr>
        <w:t>Target 1 (a) of decision XII/3 (doubling international flows by 2015 and maintaining this level until 2020)</w:t>
      </w:r>
      <w:r w:rsidRPr="009654F0">
        <w:rPr>
          <w:kern w:val="22"/>
        </w:rPr>
        <w:t>: Parties that report</w:t>
      </w:r>
      <w:r w:rsidR="00471E17" w:rsidRPr="009654F0">
        <w:rPr>
          <w:kern w:val="22"/>
        </w:rPr>
        <w:t>ed</w:t>
      </w:r>
      <w:r w:rsidRPr="009654F0">
        <w:rPr>
          <w:kern w:val="22"/>
        </w:rPr>
        <w:t xml:space="preserve"> 2015 data </w:t>
      </w:r>
      <w:r w:rsidR="00471E17" w:rsidRPr="009654F0">
        <w:rPr>
          <w:kern w:val="22"/>
        </w:rPr>
        <w:t>in</w:t>
      </w:r>
      <w:r w:rsidRPr="009654F0">
        <w:rPr>
          <w:kern w:val="22"/>
        </w:rPr>
        <w:t xml:space="preserve"> time for the preparation of this report, representing collectively 98 per</w:t>
      </w:r>
      <w:r w:rsidR="00471E17" w:rsidRPr="009654F0">
        <w:rPr>
          <w:kern w:val="22"/>
        </w:rPr>
        <w:t> </w:t>
      </w:r>
      <w:r w:rsidRPr="009654F0">
        <w:rPr>
          <w:kern w:val="22"/>
        </w:rPr>
        <w:t xml:space="preserve">cent of the reported baseline, </w:t>
      </w:r>
      <w:r w:rsidR="00471E17" w:rsidRPr="009654F0">
        <w:rPr>
          <w:kern w:val="22"/>
        </w:rPr>
        <w:t>had by 2015</w:t>
      </w:r>
      <w:r w:rsidRPr="009654F0">
        <w:rPr>
          <w:kern w:val="22"/>
        </w:rPr>
        <w:t xml:space="preserve"> collectively achieved an increase of 104 per cent against their baseline</w:t>
      </w:r>
      <w:r w:rsidR="00427C70" w:rsidRPr="009654F0">
        <w:rPr>
          <w:kern w:val="22"/>
        </w:rPr>
        <w:t xml:space="preserve"> (average annual biodiversity funding </w:t>
      </w:r>
      <w:r w:rsidR="00E65955" w:rsidRPr="009654F0">
        <w:rPr>
          <w:kern w:val="22"/>
        </w:rPr>
        <w:t xml:space="preserve">for </w:t>
      </w:r>
      <w:r w:rsidR="00427C70" w:rsidRPr="009654F0">
        <w:rPr>
          <w:kern w:val="22"/>
        </w:rPr>
        <w:t>the years</w:t>
      </w:r>
      <w:r w:rsidR="00E65955" w:rsidRPr="009654F0">
        <w:rPr>
          <w:kern w:val="22"/>
        </w:rPr>
        <w:t xml:space="preserve"> 2006-2010)</w:t>
      </w:r>
      <w:r w:rsidRPr="009654F0">
        <w:rPr>
          <w:kern w:val="22"/>
        </w:rPr>
        <w:t>, excluding exchange rate effects.</w:t>
      </w:r>
      <w:r w:rsidR="00C60425" w:rsidRPr="009654F0">
        <w:rPr>
          <w:kern w:val="22"/>
        </w:rPr>
        <w:t xml:space="preserve"> </w:t>
      </w:r>
      <w:r w:rsidR="00D611D3" w:rsidRPr="009654F0">
        <w:rPr>
          <w:kern w:val="22"/>
        </w:rPr>
        <w:t>International flows rose to US</w:t>
      </w:r>
      <w:r w:rsidR="00D061DF" w:rsidRPr="009654F0">
        <w:rPr>
          <w:kern w:val="22"/>
        </w:rPr>
        <w:t>$ </w:t>
      </w:r>
      <w:r w:rsidR="00D611D3" w:rsidRPr="009654F0">
        <w:rPr>
          <w:kern w:val="22"/>
        </w:rPr>
        <w:t>5.5</w:t>
      </w:r>
      <w:r w:rsidR="00D061DF" w:rsidRPr="009654F0">
        <w:rPr>
          <w:kern w:val="22"/>
        </w:rPr>
        <w:t> </w:t>
      </w:r>
      <w:r w:rsidR="003651C5" w:rsidRPr="009654F0">
        <w:rPr>
          <w:kern w:val="22"/>
        </w:rPr>
        <w:t>billion</w:t>
      </w:r>
      <w:r w:rsidR="00D611D3" w:rsidRPr="009654F0">
        <w:rPr>
          <w:kern w:val="22"/>
        </w:rPr>
        <w:t xml:space="preserve"> in 2015, compared to 2.7</w:t>
      </w:r>
      <w:r w:rsidR="00D061DF" w:rsidRPr="009654F0">
        <w:rPr>
          <w:kern w:val="22"/>
        </w:rPr>
        <w:t> billion</w:t>
      </w:r>
      <w:r w:rsidR="00D611D3" w:rsidRPr="009654F0">
        <w:rPr>
          <w:kern w:val="22"/>
        </w:rPr>
        <w:t xml:space="preserve"> for the baseline. </w:t>
      </w:r>
      <w:r w:rsidR="001447E1" w:rsidRPr="009654F0">
        <w:rPr>
          <w:kern w:val="22"/>
        </w:rPr>
        <w:t xml:space="preserve">A recent analysis of OECD data by the Worldwide Fund for Nature (WWF Germany), in its </w:t>
      </w:r>
      <w:r w:rsidR="001447E1" w:rsidRPr="009654F0">
        <w:rPr>
          <w:i/>
          <w:iCs/>
          <w:kern w:val="22"/>
        </w:rPr>
        <w:t>Barometer on CBD’s Strategy on Resource Mobilization,</w:t>
      </w:r>
      <w:r w:rsidR="001447E1" w:rsidRPr="009654F0">
        <w:rPr>
          <w:kern w:val="22"/>
        </w:rPr>
        <w:t xml:space="preserve"> corroborates this result.</w:t>
      </w:r>
    </w:p>
    <w:p w14:paraId="257A7E54" w14:textId="0B1F5C25" w:rsidR="005D4CBB" w:rsidRPr="009654F0" w:rsidRDefault="008F14A9" w:rsidP="009654F0">
      <w:pPr>
        <w:pStyle w:val="Para1"/>
        <w:suppressLineNumbers/>
        <w:tabs>
          <w:tab w:val="clear" w:pos="360"/>
        </w:tabs>
        <w:suppressAutoHyphens/>
        <w:rPr>
          <w:kern w:val="22"/>
        </w:rPr>
      </w:pPr>
      <w:bookmarkStart w:id="7" w:name="_Hlk41326193"/>
      <w:r w:rsidRPr="009654F0">
        <w:rPr>
          <w:iCs/>
          <w:kern w:val="22"/>
        </w:rPr>
        <w:t>Moreover, a</w:t>
      </w:r>
      <w:r w:rsidRPr="009654F0">
        <w:rPr>
          <w:kern w:val="22"/>
        </w:rPr>
        <w:t xml:space="preserve"> total of 10 DAC members also reported on progress under this target for years beyond 2015 (13 Parties in total). While this limited number is not yet amenable to a statistical analysis, </w:t>
      </w:r>
      <w:r w:rsidRPr="009654F0" w:rsidDel="00C60425">
        <w:rPr>
          <w:kern w:val="22"/>
        </w:rPr>
        <w:t>some figures reported for 2016 and 2017 showed decreases compared to 2015 data</w:t>
      </w:r>
      <w:r w:rsidRPr="009654F0">
        <w:rPr>
          <w:kern w:val="22"/>
        </w:rPr>
        <w:t xml:space="preserve">. A recent analysis of OECD data, undertaken for </w:t>
      </w:r>
      <w:r w:rsidR="001E4534" w:rsidRPr="009654F0">
        <w:rPr>
          <w:kern w:val="22"/>
        </w:rPr>
        <w:t xml:space="preserve">the fifth edition of the </w:t>
      </w:r>
      <w:r w:rsidR="001E4534" w:rsidRPr="009654F0">
        <w:rPr>
          <w:i/>
          <w:iCs/>
          <w:kern w:val="22"/>
        </w:rPr>
        <w:t>Global Biodiversity Outlook</w:t>
      </w:r>
      <w:r w:rsidRPr="009654F0">
        <w:rPr>
          <w:kern w:val="22"/>
        </w:rPr>
        <w:t xml:space="preserve">, confirms this decline for 2016, but also </w:t>
      </w:r>
      <w:r w:rsidRPr="009654F0">
        <w:rPr>
          <w:kern w:val="22"/>
        </w:rPr>
        <w:lastRenderedPageBreak/>
        <w:t xml:space="preserve">shows that DAC members seem to be on track </w:t>
      </w:r>
      <w:r w:rsidR="002E1C6F" w:rsidRPr="009654F0">
        <w:rPr>
          <w:kern w:val="22"/>
        </w:rPr>
        <w:t xml:space="preserve">overall </w:t>
      </w:r>
      <w:r w:rsidRPr="009654F0">
        <w:rPr>
          <w:kern w:val="22"/>
        </w:rPr>
        <w:t>to maintain, or almost maintain, the doubling of resource flows in 2017 and 2018.</w:t>
      </w:r>
      <w:bookmarkEnd w:id="7"/>
    </w:p>
    <w:bookmarkEnd w:id="6"/>
    <w:p w14:paraId="77D17289" w14:textId="4D1EA9C1" w:rsidR="000E687F" w:rsidRPr="009654F0" w:rsidRDefault="000E687F" w:rsidP="009654F0">
      <w:pPr>
        <w:pStyle w:val="Para1"/>
        <w:suppressLineNumbers/>
        <w:tabs>
          <w:tab w:val="clear" w:pos="360"/>
        </w:tabs>
        <w:suppressAutoHyphens/>
        <w:rPr>
          <w:kern w:val="22"/>
        </w:rPr>
      </w:pPr>
      <w:r w:rsidRPr="009654F0">
        <w:rPr>
          <w:i/>
          <w:kern w:val="22"/>
        </w:rPr>
        <w:t>Target 1 (b) of decision XII/3 (inclusion of biodiversity by 2015):</w:t>
      </w:r>
      <w:r w:rsidRPr="009654F0">
        <w:rPr>
          <w:kern w:val="22"/>
        </w:rPr>
        <w:t xml:space="preserve"> A total of </w:t>
      </w:r>
      <w:r w:rsidR="005D4CBB" w:rsidRPr="009654F0">
        <w:rPr>
          <w:kern w:val="22"/>
        </w:rPr>
        <w:t xml:space="preserve">78 </w:t>
      </w:r>
      <w:r w:rsidRPr="009654F0">
        <w:rPr>
          <w:kern w:val="22"/>
        </w:rPr>
        <w:t xml:space="preserve">Parties responded </w:t>
      </w:r>
      <w:r w:rsidR="00E8054B" w:rsidRPr="009654F0">
        <w:rPr>
          <w:kern w:val="22"/>
        </w:rPr>
        <w:t xml:space="preserve">as </w:t>
      </w:r>
      <w:r w:rsidRPr="009654F0">
        <w:rPr>
          <w:kern w:val="22"/>
        </w:rPr>
        <w:t xml:space="preserve">to whether they included biodiversity in national priorities or development plans, and all of them reported at least some progress: </w:t>
      </w:r>
      <w:r w:rsidR="005D4CBB" w:rsidRPr="009654F0">
        <w:rPr>
          <w:kern w:val="22"/>
        </w:rPr>
        <w:t xml:space="preserve">53 </w:t>
      </w:r>
      <w:r w:rsidRPr="009654F0">
        <w:rPr>
          <w:kern w:val="22"/>
        </w:rPr>
        <w:t>Parties, or 68 per cent</w:t>
      </w:r>
      <w:r w:rsidR="008F0336" w:rsidRPr="009654F0">
        <w:rPr>
          <w:kern w:val="22"/>
        </w:rPr>
        <w:t xml:space="preserve"> of respondents</w:t>
      </w:r>
      <w:r w:rsidRPr="009654F0">
        <w:rPr>
          <w:kern w:val="22"/>
        </w:rPr>
        <w:t xml:space="preserve">, indicated that some inclusion had been achieved, while </w:t>
      </w:r>
      <w:r w:rsidR="005D4CBB" w:rsidRPr="009654F0">
        <w:rPr>
          <w:kern w:val="22"/>
        </w:rPr>
        <w:t xml:space="preserve">25 </w:t>
      </w:r>
      <w:r w:rsidR="00B1555C" w:rsidRPr="009654F0">
        <w:rPr>
          <w:kern w:val="22"/>
        </w:rPr>
        <w:t>Parties</w:t>
      </w:r>
      <w:r w:rsidRPr="009654F0">
        <w:rPr>
          <w:kern w:val="22"/>
        </w:rPr>
        <w:t>, or 32 per cent</w:t>
      </w:r>
      <w:r w:rsidR="008F0336" w:rsidRPr="009654F0">
        <w:rPr>
          <w:kern w:val="22"/>
        </w:rPr>
        <w:t xml:space="preserve"> of respondents</w:t>
      </w:r>
      <w:r w:rsidRPr="009654F0">
        <w:rPr>
          <w:kern w:val="22"/>
        </w:rPr>
        <w:t xml:space="preserve">, indicated that comprehensive inclusion was achieved. Bearing in mind the limited </w:t>
      </w:r>
      <w:r w:rsidR="00D061DF" w:rsidRPr="009654F0">
        <w:rPr>
          <w:kern w:val="22"/>
        </w:rPr>
        <w:t xml:space="preserve">overall </w:t>
      </w:r>
      <w:r w:rsidRPr="009654F0">
        <w:rPr>
          <w:kern w:val="22"/>
        </w:rPr>
        <w:t>number of reports received, progress in achieving this target seems to be encouraging</w:t>
      </w:r>
      <w:r w:rsidR="007518C2" w:rsidRPr="009654F0">
        <w:rPr>
          <w:kern w:val="22"/>
        </w:rPr>
        <w:t>.</w:t>
      </w:r>
    </w:p>
    <w:p w14:paraId="3923F040" w14:textId="3E87464C" w:rsidR="000E687F" w:rsidRPr="009654F0" w:rsidRDefault="000E687F" w:rsidP="009654F0">
      <w:pPr>
        <w:pStyle w:val="Para1"/>
        <w:suppressLineNumbers/>
        <w:tabs>
          <w:tab w:val="clear" w:pos="360"/>
        </w:tabs>
        <w:suppressAutoHyphens/>
        <w:rPr>
          <w:kern w:val="22"/>
        </w:rPr>
      </w:pPr>
      <w:r w:rsidRPr="009654F0">
        <w:rPr>
          <w:i/>
          <w:kern w:val="22"/>
        </w:rPr>
        <w:t>Target 1 (c) of decision XII/3 (reporting by 2015 of domestic biodiversity-related expenditures as well as funding needs, gaps, and priorities):</w:t>
      </w:r>
      <w:r w:rsidRPr="009654F0">
        <w:rPr>
          <w:kern w:val="22"/>
        </w:rPr>
        <w:t xml:space="preserve"> </w:t>
      </w:r>
      <w:r w:rsidR="006C487D" w:rsidRPr="009654F0">
        <w:rPr>
          <w:kern w:val="22"/>
        </w:rPr>
        <w:t>T</w:t>
      </w:r>
      <w:r w:rsidRPr="009654F0">
        <w:rPr>
          <w:kern w:val="22"/>
        </w:rPr>
        <w:t>h</w:t>
      </w:r>
      <w:r w:rsidR="006C487D" w:rsidRPr="009654F0">
        <w:rPr>
          <w:kern w:val="22"/>
        </w:rPr>
        <w:t>is</w:t>
      </w:r>
      <w:r w:rsidRPr="009654F0">
        <w:rPr>
          <w:kern w:val="22"/>
        </w:rPr>
        <w:t xml:space="preserve"> target </w:t>
      </w:r>
      <w:r w:rsidR="000E2B87" w:rsidRPr="009654F0">
        <w:rPr>
          <w:kern w:val="22"/>
        </w:rPr>
        <w:t xml:space="preserve">for 2015 </w:t>
      </w:r>
      <w:r w:rsidRPr="009654F0">
        <w:rPr>
          <w:kern w:val="22"/>
        </w:rPr>
        <w:t xml:space="preserve">has not been met, </w:t>
      </w:r>
      <w:r w:rsidR="006C487D" w:rsidRPr="009654F0">
        <w:rPr>
          <w:kern w:val="22"/>
        </w:rPr>
        <w:t xml:space="preserve">as only 78 Parties have reported domestic biodiversity-related expenditure and 44 Parties have reported funding needs, gaps and priorities, </w:t>
      </w:r>
      <w:r w:rsidR="009B0B47" w:rsidRPr="009654F0">
        <w:rPr>
          <w:kern w:val="22"/>
        </w:rPr>
        <w:t>considerably</w:t>
      </w:r>
      <w:r w:rsidR="006C487D" w:rsidRPr="009654F0">
        <w:rPr>
          <w:kern w:val="22"/>
        </w:rPr>
        <w:t xml:space="preserve"> </w:t>
      </w:r>
      <w:r w:rsidRPr="009654F0">
        <w:rPr>
          <w:kern w:val="22"/>
        </w:rPr>
        <w:t xml:space="preserve">less than </w:t>
      </w:r>
      <w:r w:rsidR="000E2B87" w:rsidRPr="009654F0">
        <w:rPr>
          <w:kern w:val="22"/>
        </w:rPr>
        <w:t xml:space="preserve">the </w:t>
      </w:r>
      <w:r w:rsidRPr="009654F0">
        <w:rPr>
          <w:kern w:val="22"/>
        </w:rPr>
        <w:t>75 per cent of Parties</w:t>
      </w:r>
      <w:r w:rsidR="000E2B87" w:rsidRPr="009654F0">
        <w:rPr>
          <w:kern w:val="22"/>
        </w:rPr>
        <w:t xml:space="preserve"> </w:t>
      </w:r>
      <w:r w:rsidR="006C487D" w:rsidRPr="009654F0">
        <w:rPr>
          <w:kern w:val="22"/>
        </w:rPr>
        <w:t>required by the target</w:t>
      </w:r>
      <w:r w:rsidRPr="009654F0">
        <w:rPr>
          <w:kern w:val="22"/>
        </w:rPr>
        <w:t>. However, progress in reporting domestic biodiversity</w:t>
      </w:r>
      <w:r w:rsidRPr="009654F0">
        <w:rPr>
          <w:kern w:val="22"/>
        </w:rPr>
        <w:noBreakHyphen/>
        <w:t xml:space="preserve">related expenditures </w:t>
      </w:r>
      <w:r w:rsidR="006C487D" w:rsidRPr="009654F0">
        <w:rPr>
          <w:kern w:val="22"/>
        </w:rPr>
        <w:t xml:space="preserve">still </w:t>
      </w:r>
      <w:r w:rsidRPr="009654F0">
        <w:rPr>
          <w:kern w:val="22"/>
        </w:rPr>
        <w:t xml:space="preserve">seems to be encouraging, </w:t>
      </w:r>
      <w:r w:rsidR="009B0B47" w:rsidRPr="009654F0">
        <w:rPr>
          <w:kern w:val="22"/>
        </w:rPr>
        <w:t xml:space="preserve">particularly </w:t>
      </w:r>
      <w:r w:rsidRPr="009654F0">
        <w:rPr>
          <w:kern w:val="22"/>
        </w:rPr>
        <w:t xml:space="preserve">in the light of the fact that half of reporting </w:t>
      </w:r>
      <w:r w:rsidR="00B1555C" w:rsidRPr="009654F0">
        <w:rPr>
          <w:kern w:val="22"/>
        </w:rPr>
        <w:t>Parties</w:t>
      </w:r>
      <w:r w:rsidRPr="009654F0">
        <w:rPr>
          <w:kern w:val="22"/>
        </w:rPr>
        <w:t xml:space="preserve"> indicated </w:t>
      </w:r>
      <w:r w:rsidR="008F691D" w:rsidRPr="009654F0">
        <w:rPr>
          <w:kern w:val="22"/>
        </w:rPr>
        <w:t xml:space="preserve">that they did </w:t>
      </w:r>
      <w:r w:rsidRPr="009654F0">
        <w:rPr>
          <w:kern w:val="22"/>
        </w:rPr>
        <w:t xml:space="preserve">not have adequate financial resources to report domestic biodiversity expenditures. Seven </w:t>
      </w:r>
      <w:r w:rsidR="00B1555C" w:rsidRPr="009654F0">
        <w:rPr>
          <w:kern w:val="22"/>
        </w:rPr>
        <w:t xml:space="preserve">Parties </w:t>
      </w:r>
      <w:r w:rsidRPr="009654F0">
        <w:rPr>
          <w:kern w:val="22"/>
        </w:rPr>
        <w:t xml:space="preserve">reported having undertaken some assessments of the role of collective action. However, the reporting of funding needs, gaps and priorities is seemingly more difficult, with more than half of reporting Parties indicating </w:t>
      </w:r>
      <w:r w:rsidR="0060041C" w:rsidRPr="009654F0">
        <w:rPr>
          <w:kern w:val="22"/>
        </w:rPr>
        <w:t xml:space="preserve">that they did </w:t>
      </w:r>
      <w:r w:rsidRPr="009654F0">
        <w:rPr>
          <w:kern w:val="22"/>
        </w:rPr>
        <w:t>not have adequate financial resources to report funding needs, gaps, and priorities</w:t>
      </w:r>
      <w:r w:rsidR="007518C2" w:rsidRPr="009654F0">
        <w:rPr>
          <w:kern w:val="22"/>
        </w:rPr>
        <w:t>.</w:t>
      </w:r>
    </w:p>
    <w:p w14:paraId="32C4921B" w14:textId="44720781" w:rsidR="000E687F" w:rsidRPr="009654F0" w:rsidRDefault="000E687F" w:rsidP="009654F0">
      <w:pPr>
        <w:pStyle w:val="Para1"/>
        <w:suppressLineNumbers/>
        <w:tabs>
          <w:tab w:val="clear" w:pos="360"/>
        </w:tabs>
        <w:suppressAutoHyphens/>
        <w:rPr>
          <w:kern w:val="22"/>
        </w:rPr>
      </w:pPr>
      <w:r w:rsidRPr="009654F0">
        <w:rPr>
          <w:i/>
          <w:kern w:val="22"/>
        </w:rPr>
        <w:t>Target 1 (d) of decision XII/3 (preparation by 2015 of national financ</w:t>
      </w:r>
      <w:r w:rsidR="00956AD0" w:rsidRPr="009654F0">
        <w:rPr>
          <w:i/>
          <w:kern w:val="22"/>
        </w:rPr>
        <w:t>ial</w:t>
      </w:r>
      <w:r w:rsidRPr="009654F0">
        <w:rPr>
          <w:i/>
          <w:kern w:val="22"/>
        </w:rPr>
        <w:t xml:space="preserve"> plans, and assessment of values):</w:t>
      </w:r>
      <w:r w:rsidRPr="009654F0">
        <w:rPr>
          <w:kern w:val="22"/>
        </w:rPr>
        <w:t xml:space="preserve"> A total of </w:t>
      </w:r>
      <w:r w:rsidR="005D4CBB" w:rsidRPr="009654F0">
        <w:rPr>
          <w:kern w:val="22"/>
        </w:rPr>
        <w:t xml:space="preserve">76 </w:t>
      </w:r>
      <w:r w:rsidRPr="009654F0">
        <w:rPr>
          <w:kern w:val="22"/>
        </w:rPr>
        <w:t xml:space="preserve">Parties responded </w:t>
      </w:r>
      <w:r w:rsidR="0036109B" w:rsidRPr="009654F0">
        <w:rPr>
          <w:kern w:val="22"/>
        </w:rPr>
        <w:t xml:space="preserve">as </w:t>
      </w:r>
      <w:r w:rsidRPr="009654F0">
        <w:rPr>
          <w:kern w:val="22"/>
        </w:rPr>
        <w:t xml:space="preserve">to whether they had assessed and/or evaluated the intrinsic, ecological, genetic, socioeconomic, scientific, educational, cultural, recreational and aesthetic values of biological diversity and its components and, while only four </w:t>
      </w:r>
      <w:r w:rsidR="00425BC0" w:rsidRPr="009654F0">
        <w:rPr>
          <w:kern w:val="22"/>
        </w:rPr>
        <w:t xml:space="preserve">Parties </w:t>
      </w:r>
      <w:r w:rsidRPr="009654F0">
        <w:rPr>
          <w:kern w:val="22"/>
        </w:rPr>
        <w:t xml:space="preserve">indicated that comprehensive assessments had been undertaken, </w:t>
      </w:r>
      <w:r w:rsidR="005D4CBB" w:rsidRPr="009654F0">
        <w:rPr>
          <w:kern w:val="22"/>
        </w:rPr>
        <w:t>83</w:t>
      </w:r>
      <w:r w:rsidR="00CB4842" w:rsidRPr="009654F0">
        <w:rPr>
          <w:kern w:val="22"/>
        </w:rPr>
        <w:t> </w:t>
      </w:r>
      <w:r w:rsidRPr="009654F0">
        <w:rPr>
          <w:kern w:val="22"/>
        </w:rPr>
        <w:t xml:space="preserve">per cent of reporting </w:t>
      </w:r>
      <w:r w:rsidR="00425BC0" w:rsidRPr="009654F0">
        <w:rPr>
          <w:kern w:val="22"/>
        </w:rPr>
        <w:t xml:space="preserve">Parties </w:t>
      </w:r>
      <w:r w:rsidRPr="009654F0">
        <w:rPr>
          <w:kern w:val="22"/>
        </w:rPr>
        <w:t>have undertaken at least some assessments, which seems to indicate rather satisfactory progress with regard to this element of target 1</w:t>
      </w:r>
      <w:r w:rsidR="00D60B2B" w:rsidRPr="009654F0">
        <w:rPr>
          <w:kern w:val="22"/>
        </w:rPr>
        <w:t> </w:t>
      </w:r>
      <w:r w:rsidRPr="009654F0">
        <w:rPr>
          <w:kern w:val="22"/>
        </w:rPr>
        <w:t xml:space="preserve">(d). However, only </w:t>
      </w:r>
      <w:r w:rsidR="005D4CBB" w:rsidRPr="009654F0">
        <w:rPr>
          <w:kern w:val="22"/>
        </w:rPr>
        <w:t xml:space="preserve">23 </w:t>
      </w:r>
      <w:r w:rsidRPr="009654F0">
        <w:rPr>
          <w:kern w:val="22"/>
        </w:rPr>
        <w:t xml:space="preserve">Parties, or </w:t>
      </w:r>
      <w:r w:rsidR="005D4CBB" w:rsidRPr="009654F0">
        <w:rPr>
          <w:kern w:val="22"/>
        </w:rPr>
        <w:t>28 </w:t>
      </w:r>
      <w:r w:rsidRPr="009654F0">
        <w:rPr>
          <w:kern w:val="22"/>
        </w:rPr>
        <w:t>per cent of reporting Parties, provided elements of a finance plan in the pertinent table, mostly by providing aggregated figures on the amount of domestic and international resources they planned to mobilize. Together with the low number of updated and new reports, this seems to indicate persistent difficulties in developing and reporting national finance plans. Correspondingly, two thirds of reporting Parties indicated not having adequate financial resources for preparing finance plans.</w:t>
      </w:r>
      <w:r w:rsidR="005D4CBB" w:rsidRPr="009654F0">
        <w:rPr>
          <w:kern w:val="22"/>
        </w:rPr>
        <w:t xml:space="preserve"> However, only two OECD member countries (Mexico and Switzerland) provided elements </w:t>
      </w:r>
      <w:r w:rsidR="005B01C4" w:rsidRPr="009654F0">
        <w:rPr>
          <w:kern w:val="22"/>
        </w:rPr>
        <w:t>of</w:t>
      </w:r>
      <w:r w:rsidR="005D4CBB" w:rsidRPr="009654F0">
        <w:rPr>
          <w:kern w:val="22"/>
        </w:rPr>
        <w:t xml:space="preserve"> a finance plan in the pertinent table.</w:t>
      </w:r>
    </w:p>
    <w:p w14:paraId="3A25DAE5" w14:textId="7E55F8AA" w:rsidR="000E687F" w:rsidRPr="009654F0" w:rsidRDefault="000E687F" w:rsidP="009654F0">
      <w:pPr>
        <w:pStyle w:val="Para1"/>
        <w:suppressLineNumbers/>
        <w:tabs>
          <w:tab w:val="clear" w:pos="360"/>
        </w:tabs>
        <w:suppressAutoHyphens/>
        <w:rPr>
          <w:kern w:val="22"/>
          <w:szCs w:val="22"/>
        </w:rPr>
      </w:pPr>
      <w:r w:rsidRPr="009654F0">
        <w:rPr>
          <w:i/>
          <w:kern w:val="22"/>
          <w:szCs w:val="22"/>
        </w:rPr>
        <w:t xml:space="preserve">Target 1 (e) of decision XII/3 </w:t>
      </w:r>
      <w:r w:rsidRPr="009654F0">
        <w:rPr>
          <w:i/>
          <w:iCs/>
          <w:kern w:val="22"/>
          <w:szCs w:val="22"/>
        </w:rPr>
        <w:t>(mobilization of domestic financial resources</w:t>
      </w:r>
      <w:r w:rsidRPr="009654F0">
        <w:rPr>
          <w:kern w:val="22"/>
          <w:szCs w:val="22"/>
        </w:rPr>
        <w:t xml:space="preserve">): </w:t>
      </w:r>
      <w:r w:rsidR="00017D6E" w:rsidRPr="009654F0">
        <w:rPr>
          <w:kern w:val="22"/>
          <w:szCs w:val="22"/>
        </w:rPr>
        <w:t xml:space="preserve">Information provided through the financial reporting framework indicates that </w:t>
      </w:r>
      <w:r w:rsidR="00E833D8" w:rsidRPr="009654F0">
        <w:rPr>
          <w:kern w:val="22"/>
          <w:szCs w:val="22"/>
        </w:rPr>
        <w:t>28</w:t>
      </w:r>
      <w:r w:rsidR="00017D6E" w:rsidRPr="009654F0">
        <w:rPr>
          <w:kern w:val="22"/>
          <w:szCs w:val="22"/>
        </w:rPr>
        <w:t xml:space="preserve"> Parties had increasing trends in their domestic biodiversity resources while 2</w:t>
      </w:r>
      <w:r w:rsidR="00E833D8" w:rsidRPr="009654F0">
        <w:rPr>
          <w:kern w:val="22"/>
          <w:szCs w:val="22"/>
        </w:rPr>
        <w:t>4</w:t>
      </w:r>
      <w:r w:rsidR="00017D6E" w:rsidRPr="009654F0">
        <w:rPr>
          <w:kern w:val="22"/>
          <w:szCs w:val="22"/>
        </w:rPr>
        <w:t xml:space="preserve"> had no change and </w:t>
      </w:r>
      <w:r w:rsidR="00E833D8" w:rsidRPr="009654F0">
        <w:rPr>
          <w:kern w:val="22"/>
          <w:szCs w:val="22"/>
        </w:rPr>
        <w:t>13</w:t>
      </w:r>
      <w:r w:rsidR="00017D6E" w:rsidRPr="009654F0">
        <w:rPr>
          <w:kern w:val="22"/>
          <w:szCs w:val="22"/>
        </w:rPr>
        <w:t xml:space="preserve"> had decreasing trends. For 1</w:t>
      </w:r>
      <w:r w:rsidR="00E833D8" w:rsidRPr="009654F0">
        <w:rPr>
          <w:kern w:val="22"/>
          <w:szCs w:val="22"/>
        </w:rPr>
        <w:t>3</w:t>
      </w:r>
      <w:r w:rsidR="00017D6E" w:rsidRPr="009654F0">
        <w:rPr>
          <w:kern w:val="22"/>
          <w:szCs w:val="22"/>
        </w:rPr>
        <w:t xml:space="preserve"> Parties, trends could not be detected or were inconclusive (see </w:t>
      </w:r>
      <w:r w:rsidR="00E833D8" w:rsidRPr="009654F0">
        <w:rPr>
          <w:kern w:val="22"/>
          <w:szCs w:val="22"/>
        </w:rPr>
        <w:t>paragraph 2</w:t>
      </w:r>
      <w:r w:rsidR="001E4534" w:rsidRPr="009654F0">
        <w:rPr>
          <w:kern w:val="22"/>
          <w:szCs w:val="22"/>
        </w:rPr>
        <w:t>2</w:t>
      </w:r>
      <w:r w:rsidR="00E833D8" w:rsidRPr="009654F0">
        <w:rPr>
          <w:kern w:val="22"/>
          <w:szCs w:val="22"/>
        </w:rPr>
        <w:t xml:space="preserve"> above and t</w:t>
      </w:r>
      <w:r w:rsidR="00017D6E" w:rsidRPr="009654F0">
        <w:rPr>
          <w:kern w:val="22"/>
          <w:szCs w:val="22"/>
        </w:rPr>
        <w:t>able 2</w:t>
      </w:r>
      <w:r w:rsidR="00E833D8" w:rsidRPr="009654F0">
        <w:rPr>
          <w:kern w:val="22"/>
          <w:szCs w:val="22"/>
        </w:rPr>
        <w:t>). Thus,</w:t>
      </w:r>
      <w:r w:rsidR="00017D6E" w:rsidRPr="009654F0">
        <w:rPr>
          <w:kern w:val="22"/>
          <w:szCs w:val="22"/>
        </w:rPr>
        <w:t xml:space="preserve"> </w:t>
      </w:r>
      <w:r w:rsidR="00E833D8" w:rsidRPr="009654F0">
        <w:rPr>
          <w:kern w:val="22"/>
          <w:szCs w:val="22"/>
        </w:rPr>
        <w:t xml:space="preserve">trends in biodiversity-related expenditure, as far as detectable, seem to be </w:t>
      </w:r>
      <w:r w:rsidR="00AE6461" w:rsidRPr="009654F0">
        <w:rPr>
          <w:kern w:val="22"/>
          <w:szCs w:val="22"/>
        </w:rPr>
        <w:t xml:space="preserve">positive </w:t>
      </w:r>
      <w:r w:rsidR="00E833D8" w:rsidRPr="009654F0">
        <w:rPr>
          <w:kern w:val="22"/>
          <w:szCs w:val="22"/>
        </w:rPr>
        <w:t xml:space="preserve">overall, </w:t>
      </w:r>
      <w:proofErr w:type="gramStart"/>
      <w:r w:rsidR="00E833D8" w:rsidRPr="009654F0">
        <w:rPr>
          <w:kern w:val="22"/>
          <w:szCs w:val="22"/>
        </w:rPr>
        <w:t>in particular in</w:t>
      </w:r>
      <w:proofErr w:type="gramEnd"/>
      <w:r w:rsidR="00E833D8" w:rsidRPr="009654F0">
        <w:rPr>
          <w:kern w:val="22"/>
          <w:szCs w:val="22"/>
        </w:rPr>
        <w:t xml:space="preserve"> non-DAC members</w:t>
      </w:r>
      <w:r w:rsidR="00AE6461" w:rsidRPr="009654F0">
        <w:rPr>
          <w:kern w:val="22"/>
          <w:szCs w:val="22"/>
        </w:rPr>
        <w:t xml:space="preserve">, </w:t>
      </w:r>
      <w:r w:rsidR="00E833D8" w:rsidRPr="009654F0">
        <w:rPr>
          <w:kern w:val="22"/>
          <w:szCs w:val="22"/>
        </w:rPr>
        <w:t xml:space="preserve">even though expenditure reporting is typically based on only a few years and thus any </w:t>
      </w:r>
      <w:r w:rsidR="001E4534" w:rsidRPr="009654F0">
        <w:rPr>
          <w:kern w:val="22"/>
          <w:szCs w:val="22"/>
        </w:rPr>
        <w:t>apparent</w:t>
      </w:r>
      <w:r w:rsidR="00E833D8" w:rsidRPr="009654F0">
        <w:rPr>
          <w:kern w:val="22"/>
          <w:szCs w:val="22"/>
        </w:rPr>
        <w:t xml:space="preserve"> trend is not necessarily very robust. However, i</w:t>
      </w:r>
      <w:r w:rsidR="00A57E0A" w:rsidRPr="009654F0">
        <w:rPr>
          <w:kern w:val="22"/>
          <w:szCs w:val="22"/>
        </w:rPr>
        <w:t xml:space="preserve">n order to assess whether the finance gap was </w:t>
      </w:r>
      <w:r w:rsidR="00A57E0A" w:rsidRPr="002D21DA">
        <w:rPr>
          <w:kern w:val="22"/>
          <w:szCs w:val="22"/>
        </w:rPr>
        <w:t>reduced</w:t>
      </w:r>
      <w:r w:rsidR="00A57E0A" w:rsidRPr="009654F0">
        <w:rPr>
          <w:kern w:val="22"/>
          <w:szCs w:val="22"/>
        </w:rPr>
        <w:t xml:space="preserve"> by the mobilization of additional financial resources, such a finance gap needs to be established </w:t>
      </w:r>
      <w:proofErr w:type="gramStart"/>
      <w:r w:rsidR="00A57E0A" w:rsidRPr="009654F0">
        <w:rPr>
          <w:kern w:val="22"/>
          <w:szCs w:val="22"/>
        </w:rPr>
        <w:t xml:space="preserve">and </w:t>
      </w:r>
      <w:r w:rsidR="00E833D8" w:rsidRPr="009654F0">
        <w:rPr>
          <w:kern w:val="22"/>
          <w:szCs w:val="22"/>
        </w:rPr>
        <w:t>also</w:t>
      </w:r>
      <w:proofErr w:type="gramEnd"/>
      <w:r w:rsidR="00E833D8" w:rsidRPr="009654F0">
        <w:rPr>
          <w:kern w:val="22"/>
          <w:szCs w:val="22"/>
        </w:rPr>
        <w:t xml:space="preserve"> </w:t>
      </w:r>
      <w:r w:rsidR="00A57E0A" w:rsidRPr="009654F0">
        <w:rPr>
          <w:kern w:val="22"/>
          <w:szCs w:val="22"/>
        </w:rPr>
        <w:t>reported on</w:t>
      </w:r>
      <w:r w:rsidR="00684BBC" w:rsidRPr="009654F0">
        <w:rPr>
          <w:kern w:val="22"/>
          <w:szCs w:val="22"/>
        </w:rPr>
        <w:t>. L</w:t>
      </w:r>
      <w:r w:rsidR="00A57E0A" w:rsidRPr="009654F0">
        <w:rPr>
          <w:kern w:val="22"/>
          <w:szCs w:val="22"/>
        </w:rPr>
        <w:t>imited progress in identifying and reporting on finance gaps</w:t>
      </w:r>
      <w:r w:rsidR="008F0336" w:rsidRPr="009654F0">
        <w:rPr>
          <w:kern w:val="22"/>
          <w:szCs w:val="22"/>
        </w:rPr>
        <w:t>,</w:t>
      </w:r>
      <w:r w:rsidR="00A57E0A" w:rsidRPr="009654F0">
        <w:rPr>
          <w:kern w:val="22"/>
          <w:szCs w:val="22"/>
        </w:rPr>
        <w:t xml:space="preserve"> and on preparing national finance plans, as explained above, has an impact on assessing progress against this target.</w:t>
      </w:r>
    </w:p>
    <w:bookmarkEnd w:id="5"/>
    <w:p w14:paraId="188C4DD0" w14:textId="06791510" w:rsidR="00012146" w:rsidRPr="009654F0" w:rsidRDefault="008E1EC9" w:rsidP="009654F0">
      <w:pPr>
        <w:pStyle w:val="Para1"/>
        <w:suppressLineNumbers/>
        <w:tabs>
          <w:tab w:val="clear" w:pos="360"/>
        </w:tabs>
        <w:suppressAutoHyphens/>
        <w:rPr>
          <w:kern w:val="22"/>
          <w:szCs w:val="22"/>
        </w:rPr>
      </w:pPr>
      <w:r w:rsidRPr="009654F0">
        <w:rPr>
          <w:kern w:val="22"/>
          <w:szCs w:val="22"/>
        </w:rPr>
        <w:t>The</w:t>
      </w:r>
      <w:r w:rsidR="00012146" w:rsidRPr="009654F0">
        <w:rPr>
          <w:kern w:val="22"/>
          <w:szCs w:val="22"/>
        </w:rPr>
        <w:t xml:space="preserve"> most recent report to assess global biodiversity finance</w:t>
      </w:r>
      <w:r w:rsidR="00AC3027" w:rsidRPr="009654F0">
        <w:rPr>
          <w:kern w:val="22"/>
          <w:szCs w:val="22"/>
        </w:rPr>
        <w:t xml:space="preserve">, prepared </w:t>
      </w:r>
      <w:r w:rsidR="00012146" w:rsidRPr="009654F0">
        <w:rPr>
          <w:kern w:val="22"/>
          <w:szCs w:val="22"/>
        </w:rPr>
        <w:t xml:space="preserve">by OECD in response to a request from </w:t>
      </w:r>
      <w:r w:rsidR="00647F51" w:rsidRPr="009654F0">
        <w:rPr>
          <w:kern w:val="22"/>
          <w:szCs w:val="22"/>
        </w:rPr>
        <w:t xml:space="preserve">the </w:t>
      </w:r>
      <w:r w:rsidR="00012146" w:rsidRPr="009654F0">
        <w:rPr>
          <w:kern w:val="22"/>
          <w:szCs w:val="22"/>
        </w:rPr>
        <w:t>G7 Environment Ministers</w:t>
      </w:r>
      <w:r w:rsidR="00BD2036" w:rsidRPr="009654F0">
        <w:rPr>
          <w:kern w:val="22"/>
          <w:szCs w:val="22"/>
        </w:rPr>
        <w:t>’</w:t>
      </w:r>
      <w:r w:rsidR="00012146" w:rsidRPr="009654F0">
        <w:rPr>
          <w:kern w:val="22"/>
          <w:szCs w:val="22"/>
        </w:rPr>
        <w:t xml:space="preserve"> meeting </w:t>
      </w:r>
      <w:r w:rsidR="00BD2036" w:rsidRPr="009654F0">
        <w:rPr>
          <w:kern w:val="22"/>
          <w:szCs w:val="22"/>
        </w:rPr>
        <w:t>of</w:t>
      </w:r>
      <w:r w:rsidR="00012146" w:rsidRPr="009654F0">
        <w:rPr>
          <w:kern w:val="22"/>
          <w:szCs w:val="22"/>
        </w:rPr>
        <w:t xml:space="preserve"> May 2019</w:t>
      </w:r>
      <w:r w:rsidR="007732E8" w:rsidRPr="009654F0">
        <w:rPr>
          <w:kern w:val="22"/>
          <w:szCs w:val="22"/>
        </w:rPr>
        <w:t xml:space="preserve">, was </w:t>
      </w:r>
      <w:r w:rsidRPr="009654F0">
        <w:rPr>
          <w:kern w:val="22"/>
          <w:szCs w:val="22"/>
        </w:rPr>
        <w:t xml:space="preserve">made available in an interim version for the Thematic Workshop on Resource Mobilization for the Post-2020 Global Biodiversity Framework held in January 2020, and was published in final form in April 2020. This </w:t>
      </w:r>
      <w:r w:rsidR="00647F51" w:rsidRPr="009654F0">
        <w:rPr>
          <w:kern w:val="22"/>
          <w:szCs w:val="22"/>
        </w:rPr>
        <w:t>OECD report,</w:t>
      </w:r>
      <w:r w:rsidR="00012146" w:rsidRPr="009654F0">
        <w:rPr>
          <w:kern w:val="22"/>
          <w:szCs w:val="22"/>
        </w:rPr>
        <w:t xml:space="preserve"> </w:t>
      </w:r>
      <w:r w:rsidR="00647F51" w:rsidRPr="009654F0">
        <w:rPr>
          <w:i/>
          <w:kern w:val="22"/>
          <w:szCs w:val="22"/>
        </w:rPr>
        <w:t xml:space="preserve">A </w:t>
      </w:r>
      <w:r w:rsidR="00012146" w:rsidRPr="009654F0">
        <w:rPr>
          <w:i/>
          <w:kern w:val="22"/>
          <w:szCs w:val="22"/>
        </w:rPr>
        <w:t>Comprehensive Overview of Global Biodiversity Finance</w:t>
      </w:r>
      <w:r w:rsidR="00012146" w:rsidRPr="009654F0">
        <w:rPr>
          <w:rStyle w:val="FootnoteReference"/>
          <w:iCs/>
          <w:kern w:val="22"/>
          <w:szCs w:val="22"/>
        </w:rPr>
        <w:footnoteReference w:id="26"/>
      </w:r>
      <w:r w:rsidR="00012146" w:rsidRPr="009654F0">
        <w:rPr>
          <w:iCs/>
          <w:kern w:val="22"/>
          <w:szCs w:val="22"/>
        </w:rPr>
        <w:t xml:space="preserve"> </w:t>
      </w:r>
      <w:r w:rsidR="00012146" w:rsidRPr="009654F0">
        <w:rPr>
          <w:kern w:val="22"/>
          <w:szCs w:val="22"/>
        </w:rPr>
        <w:t>provides important new information on the current situation.</w:t>
      </w:r>
      <w:r w:rsidR="00644CC1" w:rsidRPr="009654F0">
        <w:rPr>
          <w:kern w:val="22"/>
          <w:szCs w:val="22"/>
        </w:rPr>
        <w:t xml:space="preserve"> Some key findings from the report which the Panel of Experts considers important are set out in paragraphs </w:t>
      </w:r>
      <w:r w:rsidR="002E1C6F" w:rsidRPr="009654F0">
        <w:rPr>
          <w:kern w:val="22"/>
          <w:szCs w:val="22"/>
        </w:rPr>
        <w:t>57 to 63</w:t>
      </w:r>
      <w:r w:rsidR="00644CC1" w:rsidRPr="009654F0">
        <w:rPr>
          <w:kern w:val="22"/>
          <w:szCs w:val="22"/>
        </w:rPr>
        <w:t xml:space="preserve"> below.</w:t>
      </w:r>
    </w:p>
    <w:p w14:paraId="4D950CB9" w14:textId="6E29C321" w:rsidR="00012146" w:rsidRPr="009654F0" w:rsidRDefault="00012146" w:rsidP="002D21DA">
      <w:pPr>
        <w:pStyle w:val="Para1"/>
        <w:suppressLineNumbers/>
        <w:tabs>
          <w:tab w:val="clear" w:pos="360"/>
        </w:tabs>
        <w:suppressAutoHyphens/>
        <w:rPr>
          <w:kern w:val="22"/>
          <w:szCs w:val="22"/>
        </w:rPr>
      </w:pPr>
      <w:r w:rsidRPr="009654F0">
        <w:rPr>
          <w:kern w:val="22"/>
          <w:szCs w:val="22"/>
        </w:rPr>
        <w:lastRenderedPageBreak/>
        <w:t xml:space="preserve">Based on available data, </w:t>
      </w:r>
      <w:r w:rsidR="006E45F6">
        <w:rPr>
          <w:kern w:val="22"/>
          <w:szCs w:val="22"/>
        </w:rPr>
        <w:t xml:space="preserve">the </w:t>
      </w:r>
      <w:r w:rsidRPr="009654F0">
        <w:rPr>
          <w:kern w:val="22"/>
          <w:szCs w:val="22"/>
        </w:rPr>
        <w:t>OECD analysis estimates total global biodiversity finance to be US</w:t>
      </w:r>
      <w:r w:rsidR="00C727E6" w:rsidRPr="009654F0">
        <w:rPr>
          <w:kern w:val="22"/>
          <w:szCs w:val="22"/>
        </w:rPr>
        <w:t>$</w:t>
      </w:r>
      <w:r w:rsidRPr="009654F0">
        <w:rPr>
          <w:kern w:val="22"/>
          <w:szCs w:val="22"/>
        </w:rPr>
        <w:t> </w:t>
      </w:r>
      <w:r w:rsidR="00644CC1" w:rsidRPr="009654F0">
        <w:rPr>
          <w:kern w:val="22"/>
          <w:szCs w:val="22"/>
        </w:rPr>
        <w:t>78</w:t>
      </w:r>
      <w:r w:rsidR="00C727E6" w:rsidRPr="009654F0">
        <w:rPr>
          <w:kern w:val="22"/>
          <w:szCs w:val="22"/>
        </w:rPr>
        <w:t xml:space="preserve"> billion to </w:t>
      </w:r>
      <w:r w:rsidR="00AC767A">
        <w:rPr>
          <w:kern w:val="22"/>
          <w:szCs w:val="22"/>
        </w:rPr>
        <w:t>US$ </w:t>
      </w:r>
      <w:r w:rsidR="00644CC1" w:rsidRPr="009654F0">
        <w:rPr>
          <w:kern w:val="22"/>
          <w:szCs w:val="22"/>
        </w:rPr>
        <w:t>91</w:t>
      </w:r>
      <w:r w:rsidR="00C727E6" w:rsidRPr="009654F0">
        <w:rPr>
          <w:kern w:val="22"/>
          <w:szCs w:val="22"/>
        </w:rPr>
        <w:t> </w:t>
      </w:r>
      <w:r w:rsidRPr="009654F0">
        <w:rPr>
          <w:kern w:val="22"/>
          <w:szCs w:val="22"/>
        </w:rPr>
        <w:t>billion per year. This estimate comprises average annual public spending from 2015</w:t>
      </w:r>
      <w:r w:rsidR="00C727E6" w:rsidRPr="009654F0">
        <w:rPr>
          <w:kern w:val="22"/>
          <w:szCs w:val="22"/>
        </w:rPr>
        <w:t xml:space="preserve"> to </w:t>
      </w:r>
      <w:r w:rsidRPr="009654F0">
        <w:rPr>
          <w:kern w:val="22"/>
          <w:szCs w:val="22"/>
        </w:rPr>
        <w:t>2017 and the most recent data available on private spending from the same period.</w:t>
      </w:r>
    </w:p>
    <w:p w14:paraId="06450FF8" w14:textId="532FAB4B" w:rsidR="001408A1" w:rsidRPr="009654F0" w:rsidRDefault="00012146">
      <w:pPr>
        <w:pStyle w:val="Para1"/>
        <w:suppressLineNumbers/>
        <w:tabs>
          <w:tab w:val="clear" w:pos="360"/>
        </w:tabs>
        <w:suppressAutoHyphens/>
        <w:rPr>
          <w:kern w:val="22"/>
          <w:szCs w:val="22"/>
        </w:rPr>
      </w:pPr>
      <w:r w:rsidRPr="009654F0">
        <w:rPr>
          <w:kern w:val="22"/>
          <w:szCs w:val="22"/>
        </w:rPr>
        <w:t xml:space="preserve">International public expenditure on biodiversity, in particular </w:t>
      </w:r>
      <w:r w:rsidR="00755FFA" w:rsidRPr="009654F0">
        <w:rPr>
          <w:kern w:val="22"/>
          <w:szCs w:val="22"/>
        </w:rPr>
        <w:t>o</w:t>
      </w:r>
      <w:r w:rsidRPr="009654F0">
        <w:rPr>
          <w:kern w:val="22"/>
          <w:szCs w:val="22"/>
        </w:rPr>
        <w:t xml:space="preserve">fficial </w:t>
      </w:r>
      <w:r w:rsidR="00755FFA" w:rsidRPr="009654F0">
        <w:rPr>
          <w:kern w:val="22"/>
          <w:szCs w:val="22"/>
        </w:rPr>
        <w:t>d</w:t>
      </w:r>
      <w:r w:rsidRPr="009654F0">
        <w:rPr>
          <w:kern w:val="22"/>
          <w:szCs w:val="22"/>
        </w:rPr>
        <w:t xml:space="preserve">evelopment </w:t>
      </w:r>
      <w:r w:rsidR="00755FFA" w:rsidRPr="009654F0">
        <w:rPr>
          <w:kern w:val="22"/>
          <w:szCs w:val="22"/>
        </w:rPr>
        <w:t>a</w:t>
      </w:r>
      <w:r w:rsidRPr="009654F0">
        <w:rPr>
          <w:kern w:val="22"/>
          <w:szCs w:val="22"/>
        </w:rPr>
        <w:t xml:space="preserve">ssistance (ODA), </w:t>
      </w:r>
      <w:r w:rsidR="000D1951" w:rsidRPr="009654F0">
        <w:rPr>
          <w:kern w:val="22"/>
          <w:szCs w:val="22"/>
        </w:rPr>
        <w:t xml:space="preserve">but also including </w:t>
      </w:r>
      <w:r w:rsidR="00755FFA" w:rsidRPr="009654F0">
        <w:rPr>
          <w:kern w:val="22"/>
          <w:szCs w:val="22"/>
        </w:rPr>
        <w:t>o</w:t>
      </w:r>
      <w:r w:rsidR="000D1951" w:rsidRPr="009654F0">
        <w:rPr>
          <w:kern w:val="22"/>
          <w:szCs w:val="22"/>
        </w:rPr>
        <w:t xml:space="preserve">ther </w:t>
      </w:r>
      <w:r w:rsidR="00755FFA" w:rsidRPr="009654F0">
        <w:rPr>
          <w:kern w:val="22"/>
          <w:szCs w:val="22"/>
        </w:rPr>
        <w:t>o</w:t>
      </w:r>
      <w:r w:rsidR="000D1951" w:rsidRPr="009654F0">
        <w:rPr>
          <w:kern w:val="22"/>
          <w:szCs w:val="22"/>
        </w:rPr>
        <w:t xml:space="preserve">fficial </w:t>
      </w:r>
      <w:r w:rsidR="00755FFA" w:rsidRPr="009654F0">
        <w:rPr>
          <w:kern w:val="22"/>
          <w:szCs w:val="22"/>
        </w:rPr>
        <w:t>f</w:t>
      </w:r>
      <w:r w:rsidR="000D1951" w:rsidRPr="009654F0">
        <w:rPr>
          <w:kern w:val="22"/>
          <w:szCs w:val="22"/>
        </w:rPr>
        <w:t xml:space="preserve">lows (OOF), </w:t>
      </w:r>
      <w:r w:rsidRPr="009654F0">
        <w:rPr>
          <w:kern w:val="22"/>
          <w:szCs w:val="22"/>
        </w:rPr>
        <w:t>forms an important part of global biodiversity finance, and is estimated to range in total from US</w:t>
      </w:r>
      <w:r w:rsidR="00C727E6" w:rsidRPr="009654F0">
        <w:rPr>
          <w:kern w:val="22"/>
          <w:szCs w:val="22"/>
        </w:rPr>
        <w:t>$ </w:t>
      </w:r>
      <w:r w:rsidRPr="009654F0">
        <w:rPr>
          <w:kern w:val="22"/>
          <w:szCs w:val="22"/>
        </w:rPr>
        <w:t>3.9 billion to US</w:t>
      </w:r>
      <w:r w:rsidR="00ED1973">
        <w:rPr>
          <w:kern w:val="22"/>
          <w:szCs w:val="22"/>
        </w:rPr>
        <w:t>$</w:t>
      </w:r>
      <w:r w:rsidR="00C727E6" w:rsidRPr="009654F0">
        <w:rPr>
          <w:kern w:val="22"/>
          <w:szCs w:val="22"/>
        </w:rPr>
        <w:t> </w:t>
      </w:r>
      <w:r w:rsidRPr="009654F0">
        <w:rPr>
          <w:kern w:val="22"/>
          <w:szCs w:val="22"/>
        </w:rPr>
        <w:t>9.3 billion</w:t>
      </w:r>
      <w:r w:rsidR="000D1951" w:rsidRPr="009654F0">
        <w:rPr>
          <w:kern w:val="22"/>
          <w:szCs w:val="22"/>
        </w:rPr>
        <w:t xml:space="preserve"> annually, based on an average of </w:t>
      </w:r>
      <w:r w:rsidR="00062F01" w:rsidRPr="009654F0">
        <w:rPr>
          <w:kern w:val="22"/>
          <w:szCs w:val="22"/>
        </w:rPr>
        <w:t xml:space="preserve">flows from </w:t>
      </w:r>
      <w:r w:rsidR="000D1951" w:rsidRPr="009654F0">
        <w:rPr>
          <w:kern w:val="22"/>
          <w:szCs w:val="22"/>
        </w:rPr>
        <w:t>2015</w:t>
      </w:r>
      <w:r w:rsidR="00C727E6" w:rsidRPr="009654F0">
        <w:rPr>
          <w:kern w:val="22"/>
          <w:szCs w:val="22"/>
        </w:rPr>
        <w:t xml:space="preserve"> to </w:t>
      </w:r>
      <w:r w:rsidR="000D1951" w:rsidRPr="009654F0">
        <w:rPr>
          <w:kern w:val="22"/>
          <w:szCs w:val="22"/>
        </w:rPr>
        <w:t>2017</w:t>
      </w:r>
      <w:r w:rsidRPr="009654F0">
        <w:rPr>
          <w:kern w:val="22"/>
          <w:szCs w:val="22"/>
        </w:rPr>
        <w:t>.</w:t>
      </w:r>
      <w:r w:rsidRPr="009654F0">
        <w:rPr>
          <w:kern w:val="22"/>
          <w:vertAlign w:val="superscript"/>
        </w:rPr>
        <w:footnoteReference w:id="27"/>
      </w:r>
      <w:r w:rsidR="000D1951" w:rsidRPr="009654F0">
        <w:rPr>
          <w:kern w:val="22"/>
          <w:szCs w:val="22"/>
        </w:rPr>
        <w:t xml:space="preserve"> This comprises bilateral flows of </w:t>
      </w:r>
      <w:r w:rsidR="00D37B60" w:rsidRPr="009654F0">
        <w:rPr>
          <w:kern w:val="22"/>
          <w:szCs w:val="22"/>
        </w:rPr>
        <w:t>US</w:t>
      </w:r>
      <w:r w:rsidR="00C727E6" w:rsidRPr="009654F0">
        <w:rPr>
          <w:kern w:val="22"/>
          <w:szCs w:val="22"/>
        </w:rPr>
        <w:t>$ </w:t>
      </w:r>
      <w:r w:rsidR="00D37B60" w:rsidRPr="009654F0">
        <w:rPr>
          <w:kern w:val="22"/>
          <w:szCs w:val="22"/>
        </w:rPr>
        <w:t>3.</w:t>
      </w:r>
      <w:r w:rsidR="00644CC1" w:rsidRPr="009654F0">
        <w:rPr>
          <w:kern w:val="22"/>
          <w:szCs w:val="22"/>
        </w:rPr>
        <w:t>5</w:t>
      </w:r>
      <w:r w:rsidR="00C727E6" w:rsidRPr="009654F0">
        <w:rPr>
          <w:kern w:val="22"/>
          <w:szCs w:val="22"/>
        </w:rPr>
        <w:t> billion</w:t>
      </w:r>
      <w:r w:rsidR="00644CC1" w:rsidRPr="009654F0">
        <w:rPr>
          <w:kern w:val="22"/>
          <w:szCs w:val="22"/>
        </w:rPr>
        <w:t xml:space="preserve"> </w:t>
      </w:r>
      <w:r w:rsidR="00D37B60" w:rsidRPr="009654F0">
        <w:rPr>
          <w:kern w:val="22"/>
          <w:szCs w:val="22"/>
        </w:rPr>
        <w:t xml:space="preserve">to </w:t>
      </w:r>
      <w:r w:rsidR="00644CC1" w:rsidRPr="009654F0">
        <w:rPr>
          <w:kern w:val="22"/>
          <w:szCs w:val="22"/>
        </w:rPr>
        <w:t>8.4</w:t>
      </w:r>
      <w:r w:rsidR="00C727E6" w:rsidRPr="009654F0">
        <w:rPr>
          <w:kern w:val="22"/>
          <w:szCs w:val="22"/>
        </w:rPr>
        <w:t> </w:t>
      </w:r>
      <w:r w:rsidR="00D37B60" w:rsidRPr="009654F0">
        <w:rPr>
          <w:kern w:val="22"/>
          <w:szCs w:val="22"/>
        </w:rPr>
        <w:t>billion, and multilateral flows of US</w:t>
      </w:r>
      <w:r w:rsidR="00C727E6" w:rsidRPr="009654F0">
        <w:rPr>
          <w:kern w:val="22"/>
          <w:szCs w:val="22"/>
        </w:rPr>
        <w:t>$ </w:t>
      </w:r>
      <w:r w:rsidR="00D37B60" w:rsidRPr="009654F0">
        <w:rPr>
          <w:kern w:val="22"/>
          <w:szCs w:val="22"/>
        </w:rPr>
        <w:t>0.</w:t>
      </w:r>
      <w:r w:rsidR="00A13640" w:rsidRPr="009654F0">
        <w:rPr>
          <w:kern w:val="22"/>
          <w:szCs w:val="22"/>
        </w:rPr>
        <w:t>3</w:t>
      </w:r>
      <w:r w:rsidR="00C727E6" w:rsidRPr="009654F0">
        <w:rPr>
          <w:kern w:val="22"/>
          <w:szCs w:val="22"/>
        </w:rPr>
        <w:t> billion</w:t>
      </w:r>
      <w:r w:rsidR="00D37B60" w:rsidRPr="009654F0">
        <w:rPr>
          <w:kern w:val="22"/>
          <w:szCs w:val="22"/>
        </w:rPr>
        <w:t xml:space="preserve"> to </w:t>
      </w:r>
      <w:r w:rsidR="00A13640" w:rsidRPr="009654F0">
        <w:rPr>
          <w:kern w:val="22"/>
          <w:szCs w:val="22"/>
        </w:rPr>
        <w:t>0.9</w:t>
      </w:r>
      <w:r w:rsidR="00C727E6" w:rsidRPr="009654F0">
        <w:rPr>
          <w:kern w:val="22"/>
          <w:szCs w:val="22"/>
        </w:rPr>
        <w:t> </w:t>
      </w:r>
      <w:r w:rsidR="00D37B60" w:rsidRPr="009654F0">
        <w:rPr>
          <w:kern w:val="22"/>
          <w:szCs w:val="22"/>
        </w:rPr>
        <w:t>billion.</w:t>
      </w:r>
    </w:p>
    <w:p w14:paraId="3E080EEC" w14:textId="1EB2A6F9" w:rsidR="00012146" w:rsidRPr="009654F0" w:rsidRDefault="00012146">
      <w:pPr>
        <w:pStyle w:val="Para1"/>
        <w:suppressLineNumbers/>
        <w:tabs>
          <w:tab w:val="clear" w:pos="360"/>
        </w:tabs>
        <w:suppressAutoHyphens/>
        <w:rPr>
          <w:kern w:val="22"/>
          <w:szCs w:val="22"/>
        </w:rPr>
      </w:pPr>
      <w:r w:rsidRPr="009654F0">
        <w:rPr>
          <w:kern w:val="22"/>
          <w:szCs w:val="22"/>
        </w:rPr>
        <w:t>Domestic public expenditure</w:t>
      </w:r>
      <w:r w:rsidR="00D37B60" w:rsidRPr="009654F0">
        <w:rPr>
          <w:kern w:val="22"/>
          <w:szCs w:val="22"/>
        </w:rPr>
        <w:t>, however,</w:t>
      </w:r>
      <w:r w:rsidRPr="009654F0">
        <w:rPr>
          <w:kern w:val="22"/>
          <w:szCs w:val="22"/>
        </w:rPr>
        <w:t xml:space="preserve"> accounts for the lion’s share of global spending on biodiversity. Between 2015 and 2017, </w:t>
      </w:r>
      <w:r w:rsidR="00755FFA" w:rsidRPr="009654F0">
        <w:rPr>
          <w:kern w:val="22"/>
          <w:szCs w:val="22"/>
        </w:rPr>
        <w:t>81</w:t>
      </w:r>
      <w:r w:rsidR="00A13640" w:rsidRPr="009654F0">
        <w:rPr>
          <w:kern w:val="22"/>
          <w:szCs w:val="22"/>
        </w:rPr>
        <w:t xml:space="preserve"> </w:t>
      </w:r>
      <w:r w:rsidRPr="009654F0">
        <w:rPr>
          <w:kern w:val="22"/>
          <w:szCs w:val="22"/>
        </w:rPr>
        <w:t>countries collectively spent an average of US</w:t>
      </w:r>
      <w:r w:rsidR="00C727E6" w:rsidRPr="009654F0">
        <w:rPr>
          <w:kern w:val="22"/>
          <w:szCs w:val="22"/>
        </w:rPr>
        <w:t>$</w:t>
      </w:r>
      <w:r w:rsidRPr="009654F0">
        <w:rPr>
          <w:kern w:val="22"/>
          <w:szCs w:val="22"/>
        </w:rPr>
        <w:t> 67</w:t>
      </w:r>
      <w:r w:rsidR="00A13640" w:rsidRPr="009654F0">
        <w:rPr>
          <w:kern w:val="22"/>
          <w:szCs w:val="22"/>
        </w:rPr>
        <w:t>.8</w:t>
      </w:r>
      <w:r w:rsidRPr="009654F0">
        <w:rPr>
          <w:kern w:val="22"/>
          <w:szCs w:val="22"/>
        </w:rPr>
        <w:t> billion per year domestically on the conservation and sustainable use of biodiversity</w:t>
      </w:r>
      <w:r w:rsidR="00062F01" w:rsidRPr="009654F0">
        <w:rPr>
          <w:kern w:val="22"/>
          <w:szCs w:val="22"/>
        </w:rPr>
        <w:t>.</w:t>
      </w:r>
      <w:r w:rsidR="00A13640" w:rsidRPr="009654F0">
        <w:rPr>
          <w:rStyle w:val="FootnoteReference"/>
          <w:kern w:val="22"/>
          <w:szCs w:val="22"/>
        </w:rPr>
        <w:footnoteReference w:id="28"/>
      </w:r>
      <w:r w:rsidRPr="009654F0">
        <w:rPr>
          <w:kern w:val="22"/>
          <w:szCs w:val="22"/>
        </w:rPr>
        <w:t xml:space="preserve"> This estimate is based predominantly on data from the </w:t>
      </w:r>
      <w:r w:rsidR="00A321C0" w:rsidRPr="009654F0">
        <w:rPr>
          <w:kern w:val="22"/>
          <w:szCs w:val="22"/>
        </w:rPr>
        <w:t>financial reporting framework</w:t>
      </w:r>
      <w:r w:rsidR="00381EC3" w:rsidRPr="00381EC3">
        <w:rPr>
          <w:kern w:val="22"/>
          <w:szCs w:val="22"/>
        </w:rPr>
        <w:t xml:space="preserve"> </w:t>
      </w:r>
      <w:r w:rsidR="00381EC3">
        <w:rPr>
          <w:kern w:val="22"/>
          <w:szCs w:val="22"/>
        </w:rPr>
        <w:t xml:space="preserve">of the </w:t>
      </w:r>
      <w:r w:rsidR="00381EC3" w:rsidRPr="00743164">
        <w:rPr>
          <w:kern w:val="22"/>
          <w:szCs w:val="22"/>
        </w:rPr>
        <w:t>Convention on Biological Diversity</w:t>
      </w:r>
      <w:r w:rsidRPr="009654F0">
        <w:rPr>
          <w:kern w:val="22"/>
          <w:szCs w:val="22"/>
        </w:rPr>
        <w:t xml:space="preserve">, </w:t>
      </w:r>
      <w:r w:rsidR="00A321C0" w:rsidRPr="009654F0">
        <w:rPr>
          <w:kern w:val="22"/>
          <w:szCs w:val="22"/>
        </w:rPr>
        <w:t xml:space="preserve">the </w:t>
      </w:r>
      <w:r w:rsidRPr="009654F0">
        <w:rPr>
          <w:kern w:val="22"/>
          <w:szCs w:val="22"/>
        </w:rPr>
        <w:t>Classifications of the Functions of Government (COFOG)</w:t>
      </w:r>
      <w:r w:rsidRPr="009654F0">
        <w:rPr>
          <w:kern w:val="22"/>
          <w:szCs w:val="22"/>
          <w:vertAlign w:val="superscript"/>
        </w:rPr>
        <w:footnoteReference w:id="29"/>
      </w:r>
      <w:r w:rsidRPr="009654F0">
        <w:rPr>
          <w:kern w:val="22"/>
          <w:szCs w:val="22"/>
        </w:rPr>
        <w:t xml:space="preserve"> and UNDP BIOFIN national biodiversity expenditure reviews. It covers direct and indirect flows for </w:t>
      </w:r>
      <w:r w:rsidR="00A13640" w:rsidRPr="009654F0">
        <w:rPr>
          <w:kern w:val="22"/>
          <w:szCs w:val="22"/>
        </w:rPr>
        <w:t xml:space="preserve">approximately </w:t>
      </w:r>
      <w:r w:rsidRPr="009654F0">
        <w:rPr>
          <w:kern w:val="22"/>
          <w:szCs w:val="22"/>
        </w:rPr>
        <w:t>25 countries and direct flows only for the remaining countries. Subnational government expenditures are only partially covered in this estimate.</w:t>
      </w:r>
    </w:p>
    <w:p w14:paraId="56315344" w14:textId="6003491B" w:rsidR="00012146" w:rsidRPr="009654F0" w:rsidRDefault="00012146">
      <w:pPr>
        <w:pStyle w:val="Para1"/>
        <w:suppressLineNumbers/>
        <w:tabs>
          <w:tab w:val="clear" w:pos="360"/>
        </w:tabs>
        <w:suppressAutoHyphens/>
        <w:rPr>
          <w:kern w:val="22"/>
          <w:szCs w:val="22"/>
        </w:rPr>
      </w:pPr>
      <w:r w:rsidRPr="009654F0">
        <w:rPr>
          <w:kern w:val="22"/>
          <w:szCs w:val="22"/>
        </w:rPr>
        <w:t>The OECD estimates that the private sector spends US</w:t>
      </w:r>
      <w:r w:rsidR="00C727E6" w:rsidRPr="009654F0">
        <w:rPr>
          <w:kern w:val="22"/>
          <w:szCs w:val="22"/>
        </w:rPr>
        <w:t>$</w:t>
      </w:r>
      <w:r w:rsidRPr="009654F0">
        <w:rPr>
          <w:kern w:val="22"/>
          <w:szCs w:val="22"/>
        </w:rPr>
        <w:t> </w:t>
      </w:r>
      <w:r w:rsidR="001134D6" w:rsidRPr="009654F0">
        <w:rPr>
          <w:kern w:val="22"/>
          <w:szCs w:val="22"/>
        </w:rPr>
        <w:t>6.6</w:t>
      </w:r>
      <w:r w:rsidR="00755FFA" w:rsidRPr="009654F0">
        <w:rPr>
          <w:kern w:val="22"/>
          <w:szCs w:val="22"/>
        </w:rPr>
        <w:t xml:space="preserve"> billion to </w:t>
      </w:r>
      <w:r w:rsidR="00342B78">
        <w:rPr>
          <w:kern w:val="22"/>
          <w:szCs w:val="22"/>
        </w:rPr>
        <w:t>US$ </w:t>
      </w:r>
      <w:r w:rsidR="001134D6" w:rsidRPr="009654F0">
        <w:rPr>
          <w:kern w:val="22"/>
          <w:szCs w:val="22"/>
        </w:rPr>
        <w:t>13.6</w:t>
      </w:r>
      <w:r w:rsidRPr="009654F0">
        <w:rPr>
          <w:kern w:val="22"/>
          <w:szCs w:val="22"/>
        </w:rPr>
        <w:t xml:space="preserve"> billion per year for biodiversity. This estimate is derived from different sources of data for the period </w:t>
      </w:r>
      <w:r w:rsidR="00062F01" w:rsidRPr="009654F0">
        <w:rPr>
          <w:kern w:val="22"/>
          <w:szCs w:val="22"/>
        </w:rPr>
        <w:t xml:space="preserve">from </w:t>
      </w:r>
      <w:r w:rsidRPr="009654F0">
        <w:rPr>
          <w:kern w:val="22"/>
          <w:szCs w:val="22"/>
        </w:rPr>
        <w:t>2015</w:t>
      </w:r>
      <w:r w:rsidR="00755FFA" w:rsidRPr="009654F0">
        <w:rPr>
          <w:kern w:val="22"/>
          <w:szCs w:val="22"/>
        </w:rPr>
        <w:t> to </w:t>
      </w:r>
      <w:r w:rsidRPr="009654F0">
        <w:rPr>
          <w:kern w:val="22"/>
          <w:szCs w:val="22"/>
        </w:rPr>
        <w:t xml:space="preserve">2017 on biodiversity offsets, sustainable commodities, forest carbon finance, payments for ecosystem services, </w:t>
      </w:r>
      <w:r w:rsidR="001134D6" w:rsidRPr="009654F0">
        <w:rPr>
          <w:kern w:val="22"/>
          <w:szCs w:val="22"/>
        </w:rPr>
        <w:t xml:space="preserve">water quality trading and offsets, </w:t>
      </w:r>
      <w:r w:rsidRPr="009654F0">
        <w:rPr>
          <w:kern w:val="22"/>
          <w:szCs w:val="22"/>
        </w:rPr>
        <w:t>philanthropic spending</w:t>
      </w:r>
      <w:r w:rsidR="0042784B" w:rsidRPr="009654F0">
        <w:rPr>
          <w:kern w:val="22"/>
          <w:szCs w:val="22"/>
        </w:rPr>
        <w:t>,</w:t>
      </w:r>
      <w:r w:rsidRPr="009654F0">
        <w:rPr>
          <w:kern w:val="22"/>
          <w:szCs w:val="22"/>
        </w:rPr>
        <w:t xml:space="preserve"> </w:t>
      </w:r>
      <w:r w:rsidR="00062F01" w:rsidRPr="009654F0">
        <w:rPr>
          <w:kern w:val="22"/>
          <w:szCs w:val="22"/>
        </w:rPr>
        <w:t xml:space="preserve">and </w:t>
      </w:r>
      <w:r w:rsidRPr="009654F0">
        <w:rPr>
          <w:kern w:val="22"/>
          <w:szCs w:val="22"/>
        </w:rPr>
        <w:t xml:space="preserve">private </w:t>
      </w:r>
      <w:r w:rsidR="001134D6" w:rsidRPr="009654F0">
        <w:rPr>
          <w:kern w:val="22"/>
          <w:szCs w:val="22"/>
        </w:rPr>
        <w:t>finance leveraged by bilateral</w:t>
      </w:r>
      <w:r w:rsidR="00DD08D8" w:rsidRPr="009654F0">
        <w:rPr>
          <w:kern w:val="22"/>
          <w:szCs w:val="22"/>
        </w:rPr>
        <w:t xml:space="preserve"> and multilateral development finance</w:t>
      </w:r>
      <w:r w:rsidRPr="009654F0">
        <w:rPr>
          <w:kern w:val="22"/>
          <w:szCs w:val="22"/>
        </w:rPr>
        <w:t xml:space="preserve">. It is partial (e.g. in terms of </w:t>
      </w:r>
      <w:r w:rsidR="00DD08D8" w:rsidRPr="009654F0">
        <w:rPr>
          <w:kern w:val="22"/>
          <w:szCs w:val="22"/>
        </w:rPr>
        <w:t>sectors, households, corporations and financial organi</w:t>
      </w:r>
      <w:r w:rsidR="00755FFA" w:rsidRPr="009654F0">
        <w:rPr>
          <w:kern w:val="22"/>
          <w:szCs w:val="22"/>
        </w:rPr>
        <w:t>z</w:t>
      </w:r>
      <w:r w:rsidR="00DD08D8" w:rsidRPr="009654F0">
        <w:rPr>
          <w:kern w:val="22"/>
          <w:szCs w:val="22"/>
        </w:rPr>
        <w:t>ations</w:t>
      </w:r>
      <w:r w:rsidRPr="009654F0">
        <w:rPr>
          <w:kern w:val="22"/>
          <w:szCs w:val="22"/>
        </w:rPr>
        <w:t xml:space="preserve"> covered) and therefore conservative. </w:t>
      </w:r>
      <w:r w:rsidR="009C14DE" w:rsidRPr="009654F0">
        <w:rPr>
          <w:kern w:val="22"/>
          <w:szCs w:val="22"/>
        </w:rPr>
        <w:t>The</w:t>
      </w:r>
      <w:r w:rsidR="00AB466F" w:rsidRPr="009654F0">
        <w:rPr>
          <w:kern w:val="22"/>
          <w:szCs w:val="22"/>
        </w:rPr>
        <w:t xml:space="preserve"> OECD report </w:t>
      </w:r>
      <w:r w:rsidR="009C14DE" w:rsidRPr="009654F0">
        <w:rPr>
          <w:kern w:val="22"/>
          <w:szCs w:val="22"/>
        </w:rPr>
        <w:t xml:space="preserve">also </w:t>
      </w:r>
      <w:r w:rsidR="00AB466F" w:rsidRPr="009654F0">
        <w:rPr>
          <w:kern w:val="22"/>
          <w:szCs w:val="22"/>
        </w:rPr>
        <w:t>provides a useful overview of economic and other finance instruments, investment approaches and investment structures that are currently being deployed in the biodiversity area, as well as an estimate of the total resources being mobili</w:t>
      </w:r>
      <w:r w:rsidR="00387B0B" w:rsidRPr="009654F0">
        <w:rPr>
          <w:kern w:val="22"/>
          <w:szCs w:val="22"/>
        </w:rPr>
        <w:t>z</w:t>
      </w:r>
      <w:r w:rsidR="00AB466F" w:rsidRPr="009654F0">
        <w:rPr>
          <w:kern w:val="22"/>
          <w:szCs w:val="22"/>
        </w:rPr>
        <w:t xml:space="preserve">ed by each for biodiversity (see </w:t>
      </w:r>
      <w:r w:rsidR="0067066E" w:rsidRPr="009654F0">
        <w:rPr>
          <w:kern w:val="22"/>
          <w:szCs w:val="22"/>
        </w:rPr>
        <w:t>CBD/SBI/3/INF/2</w:t>
      </w:r>
      <w:r w:rsidR="00342B78">
        <w:rPr>
          <w:kern w:val="22"/>
          <w:szCs w:val="22"/>
        </w:rPr>
        <w:t>,</w:t>
      </w:r>
      <w:r w:rsidR="00342B78" w:rsidRPr="00342B78">
        <w:rPr>
          <w:kern w:val="22"/>
          <w:szCs w:val="22"/>
        </w:rPr>
        <w:t xml:space="preserve"> </w:t>
      </w:r>
      <w:r w:rsidR="00342B78" w:rsidRPr="005202A6">
        <w:rPr>
          <w:kern w:val="22"/>
          <w:szCs w:val="22"/>
        </w:rPr>
        <w:t>annex VI</w:t>
      </w:r>
      <w:r w:rsidR="00AB466F" w:rsidRPr="009654F0">
        <w:rPr>
          <w:kern w:val="22"/>
          <w:szCs w:val="22"/>
        </w:rPr>
        <w:t>).</w:t>
      </w:r>
    </w:p>
    <w:p w14:paraId="65646BFB" w14:textId="45CA6826" w:rsidR="00012146" w:rsidRPr="009654F0" w:rsidRDefault="00012146">
      <w:pPr>
        <w:pStyle w:val="Para1"/>
        <w:suppressLineNumbers/>
        <w:tabs>
          <w:tab w:val="clear" w:pos="360"/>
        </w:tabs>
        <w:suppressAutoHyphens/>
        <w:rPr>
          <w:kern w:val="22"/>
          <w:szCs w:val="22"/>
        </w:rPr>
      </w:pPr>
      <w:r w:rsidRPr="009654F0">
        <w:rPr>
          <w:kern w:val="22"/>
          <w:szCs w:val="22"/>
        </w:rPr>
        <w:t>The OECD report also contains useful information that underlines the importance for resource mobili</w:t>
      </w:r>
      <w:r w:rsidR="00387B0B" w:rsidRPr="009654F0">
        <w:rPr>
          <w:kern w:val="22"/>
          <w:szCs w:val="22"/>
        </w:rPr>
        <w:t>z</w:t>
      </w:r>
      <w:r w:rsidRPr="009654F0">
        <w:rPr>
          <w:kern w:val="22"/>
          <w:szCs w:val="22"/>
        </w:rPr>
        <w:t>ation</w:t>
      </w:r>
      <w:r w:rsidR="009D6C73" w:rsidRPr="009654F0">
        <w:rPr>
          <w:kern w:val="22"/>
          <w:szCs w:val="22"/>
        </w:rPr>
        <w:t>, and for the wider mainstreaming of biodiversity,</w:t>
      </w:r>
      <w:r w:rsidRPr="009654F0">
        <w:rPr>
          <w:kern w:val="22"/>
          <w:szCs w:val="22"/>
        </w:rPr>
        <w:t xml:space="preserve"> of considering Aichi Biodiversity Target 3 (on removal of harmful incentives, including subsidies)</w:t>
      </w:r>
      <w:r w:rsidR="00136BB4" w:rsidRPr="009654F0">
        <w:rPr>
          <w:kern w:val="22"/>
          <w:szCs w:val="22"/>
        </w:rPr>
        <w:t xml:space="preserve">, a topic that </w:t>
      </w:r>
      <w:r w:rsidR="001C295A" w:rsidRPr="009654F0">
        <w:rPr>
          <w:kern w:val="22"/>
          <w:szCs w:val="22"/>
        </w:rPr>
        <w:t>has already been t</w:t>
      </w:r>
      <w:r w:rsidR="00136BB4" w:rsidRPr="009654F0">
        <w:rPr>
          <w:kern w:val="22"/>
          <w:szCs w:val="22"/>
        </w:rPr>
        <w:t xml:space="preserve">he subject of </w:t>
      </w:r>
      <w:r w:rsidR="00D37B60" w:rsidRPr="009654F0">
        <w:rPr>
          <w:kern w:val="22"/>
          <w:szCs w:val="22"/>
        </w:rPr>
        <w:t xml:space="preserve">a good deal of </w:t>
      </w:r>
      <w:r w:rsidR="001C295A" w:rsidRPr="009654F0">
        <w:rPr>
          <w:kern w:val="22"/>
          <w:szCs w:val="22"/>
        </w:rPr>
        <w:t xml:space="preserve">work </w:t>
      </w:r>
      <w:r w:rsidR="00556B71" w:rsidRPr="009654F0">
        <w:rPr>
          <w:kern w:val="22"/>
          <w:szCs w:val="22"/>
        </w:rPr>
        <w:t>under the Convention</w:t>
      </w:r>
      <w:r w:rsidRPr="009654F0">
        <w:rPr>
          <w:kern w:val="22"/>
          <w:szCs w:val="22"/>
        </w:rPr>
        <w:t>.</w:t>
      </w:r>
      <w:r w:rsidR="00556B71" w:rsidRPr="009654F0">
        <w:rPr>
          <w:rStyle w:val="FootnoteReference"/>
          <w:kern w:val="22"/>
          <w:szCs w:val="22"/>
        </w:rPr>
        <w:footnoteReference w:id="30"/>
      </w:r>
      <w:r w:rsidRPr="009654F0">
        <w:rPr>
          <w:kern w:val="22"/>
          <w:szCs w:val="22"/>
        </w:rPr>
        <w:t xml:space="preserve"> The OECD notes that scaling back finance that is harmful to biodiversity is </w:t>
      </w:r>
      <w:r w:rsidR="008162AF" w:rsidRPr="009654F0">
        <w:rPr>
          <w:kern w:val="22"/>
          <w:szCs w:val="22"/>
        </w:rPr>
        <w:t xml:space="preserve">as </w:t>
      </w:r>
      <w:r w:rsidRPr="009654F0">
        <w:rPr>
          <w:kern w:val="22"/>
          <w:szCs w:val="22"/>
        </w:rPr>
        <w:t xml:space="preserve">important </w:t>
      </w:r>
      <w:r w:rsidR="008162AF" w:rsidRPr="009654F0">
        <w:rPr>
          <w:kern w:val="22"/>
          <w:szCs w:val="22"/>
        </w:rPr>
        <w:t>as</w:t>
      </w:r>
      <w:r w:rsidRPr="009654F0">
        <w:rPr>
          <w:kern w:val="22"/>
          <w:szCs w:val="22"/>
        </w:rPr>
        <w:t xml:space="preserve"> scaling up biodiversity finance for positive impact. Governments spend approximately US</w:t>
      </w:r>
      <w:r w:rsidR="00C727E6" w:rsidRPr="009654F0">
        <w:rPr>
          <w:kern w:val="22"/>
          <w:szCs w:val="22"/>
        </w:rPr>
        <w:t>$</w:t>
      </w:r>
      <w:r w:rsidRPr="009654F0">
        <w:rPr>
          <w:kern w:val="22"/>
          <w:szCs w:val="22"/>
        </w:rPr>
        <w:t> 500 billion per year in support that is potentially harmful to biodiversity, i.e. five to six times more than total spending on biodiversity. In 2017, 76 predominantly OECD and G20 economies spent US</w:t>
      </w:r>
      <w:r w:rsidR="00C727E6" w:rsidRPr="009654F0">
        <w:rPr>
          <w:kern w:val="22"/>
          <w:szCs w:val="22"/>
        </w:rPr>
        <w:t>$</w:t>
      </w:r>
      <w:r w:rsidRPr="009654F0">
        <w:rPr>
          <w:kern w:val="22"/>
          <w:szCs w:val="22"/>
        </w:rPr>
        <w:t xml:space="preserve"> 340 billion in fossil fuel support </w:t>
      </w:r>
      <w:r w:rsidR="00755FFA" w:rsidRPr="009654F0">
        <w:rPr>
          <w:kern w:val="22"/>
          <w:szCs w:val="22"/>
        </w:rPr>
        <w:t>(OECD/IEA, 2019)</w:t>
      </w:r>
      <w:r w:rsidRPr="009654F0">
        <w:rPr>
          <w:kern w:val="22"/>
          <w:szCs w:val="22"/>
        </w:rPr>
        <w:t>. The same year, OECD countries alone provided US</w:t>
      </w:r>
      <w:r w:rsidR="00C727E6" w:rsidRPr="009654F0">
        <w:rPr>
          <w:kern w:val="22"/>
          <w:szCs w:val="22"/>
        </w:rPr>
        <w:t>$</w:t>
      </w:r>
      <w:r w:rsidRPr="009654F0">
        <w:rPr>
          <w:kern w:val="22"/>
          <w:szCs w:val="22"/>
        </w:rPr>
        <w:t> 228 billion in support to farmers, of which US</w:t>
      </w:r>
      <w:r w:rsidR="00C727E6" w:rsidRPr="009654F0">
        <w:rPr>
          <w:kern w:val="22"/>
          <w:szCs w:val="22"/>
        </w:rPr>
        <w:t>$</w:t>
      </w:r>
      <w:r w:rsidRPr="009654F0">
        <w:rPr>
          <w:kern w:val="22"/>
          <w:szCs w:val="22"/>
        </w:rPr>
        <w:t> 116 billion (i.e. 51</w:t>
      </w:r>
      <w:r w:rsidR="00124F1F" w:rsidRPr="009654F0">
        <w:rPr>
          <w:kern w:val="22"/>
          <w:szCs w:val="22"/>
        </w:rPr>
        <w:t> per cent</w:t>
      </w:r>
      <w:r w:rsidRPr="009654F0">
        <w:rPr>
          <w:kern w:val="22"/>
          <w:szCs w:val="22"/>
        </w:rPr>
        <w:t>) is</w:t>
      </w:r>
      <w:r w:rsidR="00D00C5C" w:rsidRPr="009654F0">
        <w:rPr>
          <w:kern w:val="22"/>
          <w:szCs w:val="22"/>
        </w:rPr>
        <w:t xml:space="preserve"> considered</w:t>
      </w:r>
      <w:r w:rsidRPr="009654F0">
        <w:rPr>
          <w:kern w:val="22"/>
          <w:szCs w:val="22"/>
        </w:rPr>
        <w:t xml:space="preserve"> potentially most harmful to biodiversity compared to other types of support </w:t>
      </w:r>
      <w:r w:rsidR="008162AF" w:rsidRPr="009654F0">
        <w:rPr>
          <w:kern w:val="22"/>
          <w:szCs w:val="22"/>
        </w:rPr>
        <w:t>(OECD, 2013)</w:t>
      </w:r>
      <w:r w:rsidRPr="009654F0">
        <w:rPr>
          <w:kern w:val="22"/>
          <w:szCs w:val="22"/>
        </w:rPr>
        <w:t xml:space="preserve">. While the percentage of overall support to farmers </w:t>
      </w:r>
      <w:r w:rsidR="00E814F8" w:rsidRPr="009654F0">
        <w:rPr>
          <w:kern w:val="22"/>
          <w:szCs w:val="22"/>
        </w:rPr>
        <w:t>identified as</w:t>
      </w:r>
      <w:r w:rsidRPr="009654F0">
        <w:rPr>
          <w:kern w:val="22"/>
          <w:szCs w:val="22"/>
        </w:rPr>
        <w:t xml:space="preserve"> potentially most environmentally harmful has declined considerably since 1990, it has remained relatively constant over the past decade.</w:t>
      </w:r>
    </w:p>
    <w:p w14:paraId="106AB8C2" w14:textId="3B2FF7EA" w:rsidR="00012146" w:rsidRPr="009654F0" w:rsidRDefault="00012146">
      <w:pPr>
        <w:pStyle w:val="Para1"/>
        <w:suppressLineNumbers/>
        <w:tabs>
          <w:tab w:val="clear" w:pos="360"/>
        </w:tabs>
        <w:suppressAutoHyphens/>
        <w:rPr>
          <w:kern w:val="22"/>
          <w:szCs w:val="22"/>
        </w:rPr>
      </w:pPr>
      <w:r w:rsidRPr="009654F0">
        <w:rPr>
          <w:kern w:val="22"/>
          <w:szCs w:val="22"/>
        </w:rPr>
        <w:t xml:space="preserve">Subsidies in other sectors, such as mining and fishing, may also be harmful to biodiversity. </w:t>
      </w:r>
      <w:r w:rsidR="002C1649" w:rsidRPr="009654F0">
        <w:rPr>
          <w:kern w:val="22"/>
          <w:szCs w:val="22"/>
        </w:rPr>
        <w:t>In 2017, the 27</w:t>
      </w:r>
      <w:r w:rsidR="005B01C4" w:rsidRPr="009654F0">
        <w:rPr>
          <w:kern w:val="22"/>
          <w:szCs w:val="22"/>
        </w:rPr>
        <w:t> </w:t>
      </w:r>
      <w:r w:rsidR="002C1649" w:rsidRPr="009654F0">
        <w:rPr>
          <w:kern w:val="22"/>
          <w:szCs w:val="22"/>
        </w:rPr>
        <w:t xml:space="preserve">OECD countries that report data to </w:t>
      </w:r>
      <w:r w:rsidR="00E03272" w:rsidRPr="00D45C24">
        <w:rPr>
          <w:kern w:val="22"/>
          <w:szCs w:val="22"/>
        </w:rPr>
        <w:t xml:space="preserve">the </w:t>
      </w:r>
      <w:r w:rsidR="002C1649" w:rsidRPr="009654F0">
        <w:rPr>
          <w:kern w:val="22"/>
          <w:szCs w:val="22"/>
        </w:rPr>
        <w:t>OECD Fisheries Support Estimate database provided US</w:t>
      </w:r>
      <w:r w:rsidR="00C727E6" w:rsidRPr="009654F0">
        <w:rPr>
          <w:kern w:val="22"/>
          <w:szCs w:val="22"/>
        </w:rPr>
        <w:t>$ </w:t>
      </w:r>
      <w:r w:rsidR="002C1649" w:rsidRPr="009654F0">
        <w:rPr>
          <w:kern w:val="22"/>
          <w:szCs w:val="22"/>
        </w:rPr>
        <w:t>700</w:t>
      </w:r>
      <w:r w:rsidR="008162AF" w:rsidRPr="009654F0">
        <w:rPr>
          <w:kern w:val="22"/>
          <w:szCs w:val="22"/>
        </w:rPr>
        <w:t> </w:t>
      </w:r>
      <w:r w:rsidR="002C1649" w:rsidRPr="009654F0">
        <w:rPr>
          <w:kern w:val="22"/>
          <w:szCs w:val="22"/>
        </w:rPr>
        <w:t>million of direct support to individuals or companies in fisheries. Redirecting support away from policies that incentivi</w:t>
      </w:r>
      <w:r w:rsidR="00755FFA" w:rsidRPr="009654F0">
        <w:rPr>
          <w:kern w:val="22"/>
          <w:szCs w:val="22"/>
        </w:rPr>
        <w:t>z</w:t>
      </w:r>
      <w:r w:rsidR="002C1649" w:rsidRPr="009654F0">
        <w:rPr>
          <w:kern w:val="22"/>
          <w:szCs w:val="22"/>
        </w:rPr>
        <w:t xml:space="preserve">e more intensive fishing, towards activities that improve the sustainability of fishing </w:t>
      </w:r>
      <w:r w:rsidR="002C1649" w:rsidRPr="009654F0">
        <w:rPr>
          <w:kern w:val="22"/>
          <w:szCs w:val="22"/>
        </w:rPr>
        <w:lastRenderedPageBreak/>
        <w:t>operations, could have significant benefits for the environment as well as for fishers’ livelihoods (Martini and Innes, 2018).</w:t>
      </w:r>
    </w:p>
    <w:p w14:paraId="21331758" w14:textId="031A8275" w:rsidR="00012146" w:rsidRPr="009654F0" w:rsidRDefault="00BE1721">
      <w:pPr>
        <w:pStyle w:val="Para1"/>
        <w:suppressLineNumbers/>
        <w:tabs>
          <w:tab w:val="clear" w:pos="360"/>
        </w:tabs>
        <w:suppressAutoHyphens/>
        <w:rPr>
          <w:spacing w:val="-2"/>
          <w:kern w:val="22"/>
          <w:szCs w:val="22"/>
        </w:rPr>
      </w:pPr>
      <w:r w:rsidRPr="009654F0">
        <w:rPr>
          <w:spacing w:val="-2"/>
          <w:kern w:val="22"/>
          <w:szCs w:val="22"/>
        </w:rPr>
        <w:t xml:space="preserve">Finally, the OECD </w:t>
      </w:r>
      <w:r w:rsidR="00994B0F" w:rsidRPr="009654F0">
        <w:rPr>
          <w:spacing w:val="-2"/>
          <w:kern w:val="22"/>
          <w:szCs w:val="22"/>
        </w:rPr>
        <w:t xml:space="preserve">report </w:t>
      </w:r>
      <w:r w:rsidRPr="009654F0">
        <w:rPr>
          <w:spacing w:val="-2"/>
          <w:kern w:val="22"/>
          <w:szCs w:val="22"/>
        </w:rPr>
        <w:t>emphasi</w:t>
      </w:r>
      <w:r w:rsidR="00755FFA" w:rsidRPr="009654F0">
        <w:rPr>
          <w:spacing w:val="-2"/>
          <w:kern w:val="22"/>
          <w:szCs w:val="22"/>
        </w:rPr>
        <w:t>z</w:t>
      </w:r>
      <w:r w:rsidRPr="009654F0">
        <w:rPr>
          <w:spacing w:val="-2"/>
          <w:kern w:val="22"/>
          <w:szCs w:val="22"/>
        </w:rPr>
        <w:t>es that r</w:t>
      </w:r>
      <w:r w:rsidR="00012146" w:rsidRPr="009654F0">
        <w:rPr>
          <w:spacing w:val="-2"/>
          <w:kern w:val="22"/>
          <w:szCs w:val="22"/>
        </w:rPr>
        <w:t>eforming subsidies harmful to biodiversity would also serve to reduce biodiversity finance needs by reducing the pressures on biodiversity. Biodiversity mainstreaming and resource mobili</w:t>
      </w:r>
      <w:r w:rsidR="00E04BE7" w:rsidRPr="009654F0">
        <w:rPr>
          <w:spacing w:val="-2"/>
          <w:kern w:val="22"/>
          <w:szCs w:val="22"/>
        </w:rPr>
        <w:t>z</w:t>
      </w:r>
      <w:r w:rsidR="00012146" w:rsidRPr="009654F0">
        <w:rPr>
          <w:spacing w:val="-2"/>
          <w:kern w:val="22"/>
          <w:szCs w:val="22"/>
        </w:rPr>
        <w:t xml:space="preserve">ation therefore </w:t>
      </w:r>
      <w:r w:rsidR="00D37B60" w:rsidRPr="009654F0">
        <w:rPr>
          <w:spacing w:val="-2"/>
          <w:kern w:val="22"/>
          <w:szCs w:val="22"/>
        </w:rPr>
        <w:t xml:space="preserve">need to </w:t>
      </w:r>
      <w:proofErr w:type="gramStart"/>
      <w:r w:rsidR="00D37B60" w:rsidRPr="009654F0">
        <w:rPr>
          <w:spacing w:val="-2"/>
          <w:kern w:val="22"/>
          <w:szCs w:val="22"/>
        </w:rPr>
        <w:t xml:space="preserve">be seen </w:t>
      </w:r>
      <w:r w:rsidR="00012146" w:rsidRPr="009654F0">
        <w:rPr>
          <w:spacing w:val="-2"/>
          <w:kern w:val="22"/>
          <w:szCs w:val="22"/>
        </w:rPr>
        <w:t>as</w:t>
      </w:r>
      <w:proofErr w:type="gramEnd"/>
      <w:r w:rsidR="00012146" w:rsidRPr="009654F0">
        <w:rPr>
          <w:spacing w:val="-2"/>
          <w:kern w:val="22"/>
          <w:szCs w:val="22"/>
        </w:rPr>
        <w:t xml:space="preserve"> two interconnected and complementary agendas under the </w:t>
      </w:r>
      <w:r w:rsidR="00E04BE7" w:rsidRPr="009654F0">
        <w:rPr>
          <w:spacing w:val="-2"/>
          <w:kern w:val="22"/>
          <w:szCs w:val="22"/>
        </w:rPr>
        <w:t>Convention on Biological Diversity</w:t>
      </w:r>
      <w:r w:rsidRPr="009654F0">
        <w:rPr>
          <w:spacing w:val="-2"/>
          <w:kern w:val="22"/>
          <w:szCs w:val="22"/>
        </w:rPr>
        <w:t>, a perspective with which the Panel of Experts strongly agrees</w:t>
      </w:r>
      <w:r w:rsidR="002411ED" w:rsidRPr="009654F0">
        <w:rPr>
          <w:spacing w:val="-2"/>
          <w:kern w:val="22"/>
          <w:szCs w:val="22"/>
        </w:rPr>
        <w:t>.</w:t>
      </w:r>
    </w:p>
    <w:p w14:paraId="402A9FA2" w14:textId="417DDCB7" w:rsidR="0050425F" w:rsidRPr="009654F0" w:rsidRDefault="002411ED" w:rsidP="009654F0">
      <w:pPr>
        <w:pStyle w:val="Para1"/>
        <w:keepNext/>
        <w:numPr>
          <w:ilvl w:val="0"/>
          <w:numId w:val="0"/>
        </w:numPr>
        <w:suppressLineNumbers/>
        <w:tabs>
          <w:tab w:val="left" w:pos="426"/>
        </w:tabs>
        <w:suppressAutoHyphens/>
        <w:jc w:val="center"/>
        <w:outlineLvl w:val="0"/>
        <w:rPr>
          <w:rFonts w:ascii="Times New Roman Bold" w:hAnsi="Times New Roman Bold"/>
          <w:b/>
          <w:caps/>
          <w:kern w:val="22"/>
        </w:rPr>
      </w:pPr>
      <w:r w:rsidRPr="009654F0">
        <w:rPr>
          <w:rFonts w:ascii="Times New Roman Bold" w:hAnsi="Times New Roman Bold"/>
          <w:b/>
          <w:caps/>
          <w:kern w:val="22"/>
        </w:rPr>
        <w:t>IV</w:t>
      </w:r>
      <w:r w:rsidR="003205BD" w:rsidRPr="009654F0">
        <w:rPr>
          <w:rFonts w:ascii="Times New Roman Bold" w:hAnsi="Times New Roman Bold"/>
          <w:b/>
          <w:caps/>
          <w:kern w:val="22"/>
        </w:rPr>
        <w:t>.</w:t>
      </w:r>
      <w:r w:rsidR="000760AA" w:rsidRPr="009654F0">
        <w:rPr>
          <w:rFonts w:ascii="Times New Roman Bold" w:hAnsi="Times New Roman Bold"/>
          <w:b/>
          <w:caps/>
          <w:kern w:val="22"/>
        </w:rPr>
        <w:tab/>
      </w:r>
      <w:r w:rsidR="00387B0B" w:rsidRPr="009654F0">
        <w:rPr>
          <w:rFonts w:ascii="Times New Roman Bold" w:hAnsi="Times New Roman Bold"/>
          <w:b/>
          <w:caps/>
          <w:kern w:val="22"/>
        </w:rPr>
        <w:t xml:space="preserve">Need for further action in the </w:t>
      </w:r>
      <w:r w:rsidR="002D4FCD" w:rsidRPr="009654F0">
        <w:rPr>
          <w:rFonts w:ascii="Times New Roman Bold" w:hAnsi="Times New Roman Bold"/>
          <w:b/>
          <w:caps/>
          <w:kern w:val="22"/>
        </w:rPr>
        <w:t>p</w:t>
      </w:r>
      <w:r w:rsidR="00387B0B" w:rsidRPr="009654F0">
        <w:rPr>
          <w:rFonts w:ascii="Times New Roman Bold" w:hAnsi="Times New Roman Bold"/>
          <w:b/>
          <w:caps/>
          <w:kern w:val="22"/>
        </w:rPr>
        <w:t xml:space="preserve">ost-2020 </w:t>
      </w:r>
      <w:r w:rsidR="002D4FCD" w:rsidRPr="009654F0">
        <w:rPr>
          <w:rFonts w:ascii="Times New Roman Bold" w:hAnsi="Times New Roman Bold"/>
          <w:b/>
          <w:caps/>
          <w:kern w:val="22"/>
        </w:rPr>
        <w:t>f</w:t>
      </w:r>
      <w:r w:rsidR="00387B0B" w:rsidRPr="009654F0">
        <w:rPr>
          <w:rFonts w:ascii="Times New Roman Bold" w:hAnsi="Times New Roman Bold"/>
          <w:b/>
          <w:caps/>
          <w:kern w:val="22"/>
        </w:rPr>
        <w:t>ramework</w:t>
      </w:r>
    </w:p>
    <w:p w14:paraId="0ED8A226" w14:textId="5D4195F4" w:rsidR="004C7710" w:rsidRPr="009654F0" w:rsidRDefault="00724C35">
      <w:pPr>
        <w:pStyle w:val="Para1"/>
        <w:suppressLineNumbers/>
        <w:tabs>
          <w:tab w:val="clear" w:pos="360"/>
        </w:tabs>
        <w:suppressAutoHyphens/>
        <w:rPr>
          <w:kern w:val="22"/>
          <w:szCs w:val="22"/>
        </w:rPr>
      </w:pPr>
      <w:r w:rsidRPr="009654F0">
        <w:rPr>
          <w:kern w:val="22"/>
          <w:szCs w:val="22"/>
        </w:rPr>
        <w:t xml:space="preserve">This </w:t>
      </w:r>
      <w:r w:rsidR="00E11FA5" w:rsidRPr="009654F0">
        <w:rPr>
          <w:kern w:val="22"/>
          <w:szCs w:val="22"/>
        </w:rPr>
        <w:t>s</w:t>
      </w:r>
      <w:r w:rsidR="008978CD" w:rsidRPr="009654F0">
        <w:rPr>
          <w:kern w:val="22"/>
          <w:szCs w:val="22"/>
        </w:rPr>
        <w:t xml:space="preserve">ummary </w:t>
      </w:r>
      <w:r w:rsidR="001F2220" w:rsidRPr="009654F0">
        <w:rPr>
          <w:kern w:val="22"/>
          <w:szCs w:val="22"/>
        </w:rPr>
        <w:t xml:space="preserve">of the </w:t>
      </w:r>
      <w:r w:rsidR="00502337" w:rsidRPr="009654F0">
        <w:rPr>
          <w:kern w:val="22"/>
          <w:szCs w:val="22"/>
        </w:rPr>
        <w:t xml:space="preserve">first report of the </w:t>
      </w:r>
      <w:r w:rsidR="001F2220" w:rsidRPr="009654F0">
        <w:rPr>
          <w:kern w:val="22"/>
          <w:szCs w:val="22"/>
        </w:rPr>
        <w:t>Panel of Experts</w:t>
      </w:r>
      <w:r w:rsidR="008978CD" w:rsidRPr="009654F0">
        <w:rPr>
          <w:kern w:val="22"/>
          <w:szCs w:val="22"/>
        </w:rPr>
        <w:t xml:space="preserve"> has highlighted</w:t>
      </w:r>
      <w:r w:rsidR="00B71D0C" w:rsidRPr="009654F0">
        <w:rPr>
          <w:kern w:val="22"/>
          <w:szCs w:val="22"/>
        </w:rPr>
        <w:t>, at appropriate points,</w:t>
      </w:r>
      <w:r w:rsidR="008978CD" w:rsidRPr="009654F0">
        <w:rPr>
          <w:kern w:val="22"/>
          <w:szCs w:val="22"/>
        </w:rPr>
        <w:t xml:space="preserve"> </w:t>
      </w:r>
      <w:r w:rsidR="00B71D0C" w:rsidRPr="009654F0">
        <w:rPr>
          <w:kern w:val="22"/>
          <w:szCs w:val="22"/>
        </w:rPr>
        <w:t xml:space="preserve">further action </w:t>
      </w:r>
      <w:r w:rsidR="005E5AAE" w:rsidRPr="009654F0">
        <w:rPr>
          <w:kern w:val="22"/>
          <w:szCs w:val="22"/>
        </w:rPr>
        <w:t xml:space="preserve">that would help </w:t>
      </w:r>
      <w:r w:rsidR="00B71D0C" w:rsidRPr="009654F0">
        <w:rPr>
          <w:kern w:val="22"/>
          <w:szCs w:val="22"/>
        </w:rPr>
        <w:t xml:space="preserve">to address shortcomings in the </w:t>
      </w:r>
      <w:r w:rsidR="002B2E58" w:rsidRPr="009654F0">
        <w:rPr>
          <w:kern w:val="22"/>
        </w:rPr>
        <w:t>strategy for resource mobilization</w:t>
      </w:r>
      <w:r w:rsidR="00B71D0C" w:rsidRPr="009654F0">
        <w:rPr>
          <w:kern w:val="22"/>
          <w:szCs w:val="22"/>
        </w:rPr>
        <w:t xml:space="preserve"> and the implementation of Aichi Biodiversity Target 20. The full version of </w:t>
      </w:r>
      <w:r w:rsidR="00C21F62" w:rsidRPr="009654F0">
        <w:rPr>
          <w:kern w:val="22"/>
          <w:szCs w:val="22"/>
        </w:rPr>
        <w:t>the</w:t>
      </w:r>
      <w:r w:rsidR="00B71D0C" w:rsidRPr="009654F0">
        <w:rPr>
          <w:kern w:val="22"/>
          <w:szCs w:val="22"/>
        </w:rPr>
        <w:t xml:space="preserve"> </w:t>
      </w:r>
      <w:r w:rsidR="00C21F62" w:rsidRPr="009654F0">
        <w:rPr>
          <w:kern w:val="22"/>
          <w:szCs w:val="22"/>
        </w:rPr>
        <w:t>r</w:t>
      </w:r>
      <w:r w:rsidR="00B71D0C" w:rsidRPr="009654F0">
        <w:rPr>
          <w:kern w:val="22"/>
          <w:szCs w:val="22"/>
        </w:rPr>
        <w:t xml:space="preserve">eport elaborates on these in </w:t>
      </w:r>
      <w:r w:rsidR="002736AB" w:rsidRPr="009654F0">
        <w:rPr>
          <w:kern w:val="22"/>
          <w:szCs w:val="22"/>
        </w:rPr>
        <w:t>its</w:t>
      </w:r>
      <w:r w:rsidR="00B71D0C" w:rsidRPr="009654F0">
        <w:rPr>
          <w:kern w:val="22"/>
          <w:szCs w:val="22"/>
        </w:rPr>
        <w:t xml:space="preserve"> final section, </w:t>
      </w:r>
      <w:r w:rsidR="000132F2" w:rsidRPr="009654F0">
        <w:rPr>
          <w:kern w:val="22"/>
          <w:szCs w:val="22"/>
        </w:rPr>
        <w:t xml:space="preserve">under </w:t>
      </w:r>
      <w:r w:rsidR="00B71D0C" w:rsidRPr="009654F0">
        <w:rPr>
          <w:kern w:val="22"/>
          <w:szCs w:val="22"/>
        </w:rPr>
        <w:t>the following themes:</w:t>
      </w:r>
    </w:p>
    <w:p w14:paraId="64C2D580" w14:textId="6B4A6898" w:rsidR="004C7710" w:rsidRPr="009654F0" w:rsidRDefault="004C7710" w:rsidP="009654F0">
      <w:pPr>
        <w:pStyle w:val="Para1"/>
        <w:numPr>
          <w:ilvl w:val="0"/>
          <w:numId w:val="55"/>
        </w:numPr>
        <w:suppressLineNumbers/>
        <w:suppressAutoHyphens/>
        <w:spacing w:before="0"/>
        <w:ind w:left="0" w:firstLine="720"/>
        <w:rPr>
          <w:kern w:val="22"/>
        </w:rPr>
      </w:pPr>
      <w:r w:rsidRPr="009654F0">
        <w:rPr>
          <w:kern w:val="22"/>
        </w:rPr>
        <w:t xml:space="preserve">Overall approach to resource mobilization in the </w:t>
      </w:r>
      <w:r w:rsidR="00C21F62" w:rsidRPr="009654F0">
        <w:rPr>
          <w:kern w:val="22"/>
        </w:rPr>
        <w:t>p</w:t>
      </w:r>
      <w:r w:rsidRPr="009654F0">
        <w:rPr>
          <w:kern w:val="22"/>
        </w:rPr>
        <w:t xml:space="preserve">ost-2020 </w:t>
      </w:r>
      <w:r w:rsidR="00C21F62" w:rsidRPr="009654F0">
        <w:rPr>
          <w:kern w:val="22"/>
        </w:rPr>
        <w:t>g</w:t>
      </w:r>
      <w:r w:rsidRPr="009654F0">
        <w:rPr>
          <w:kern w:val="22"/>
        </w:rPr>
        <w:t xml:space="preserve">lobal </w:t>
      </w:r>
      <w:r w:rsidR="00C21F62" w:rsidRPr="009654F0">
        <w:rPr>
          <w:kern w:val="22"/>
        </w:rPr>
        <w:t>b</w:t>
      </w:r>
      <w:r w:rsidRPr="009654F0">
        <w:rPr>
          <w:kern w:val="22"/>
        </w:rPr>
        <w:t xml:space="preserve">iodiversity </w:t>
      </w:r>
      <w:r w:rsidR="00C21F62" w:rsidRPr="009654F0">
        <w:rPr>
          <w:kern w:val="22"/>
        </w:rPr>
        <w:t>f</w:t>
      </w:r>
      <w:r w:rsidRPr="009654F0">
        <w:rPr>
          <w:kern w:val="22"/>
        </w:rPr>
        <w:t>ramework;</w:t>
      </w:r>
    </w:p>
    <w:p w14:paraId="218575DB" w14:textId="77777777" w:rsidR="004C7710" w:rsidRPr="009654F0" w:rsidRDefault="004C7710" w:rsidP="009654F0">
      <w:pPr>
        <w:pStyle w:val="Para1"/>
        <w:numPr>
          <w:ilvl w:val="0"/>
          <w:numId w:val="55"/>
        </w:numPr>
        <w:suppressLineNumbers/>
        <w:suppressAutoHyphens/>
        <w:spacing w:before="0"/>
        <w:ind w:left="0" w:firstLine="720"/>
        <w:rPr>
          <w:kern w:val="22"/>
        </w:rPr>
      </w:pPr>
      <w:r w:rsidRPr="009654F0">
        <w:rPr>
          <w:kern w:val="22"/>
        </w:rPr>
        <w:t xml:space="preserve">Mainstreaming </w:t>
      </w:r>
      <w:proofErr w:type="gramStart"/>
      <w:r w:rsidRPr="009654F0">
        <w:rPr>
          <w:kern w:val="22"/>
        </w:rPr>
        <w:t>as a means to</w:t>
      </w:r>
      <w:proofErr w:type="gramEnd"/>
      <w:r w:rsidRPr="009654F0">
        <w:rPr>
          <w:kern w:val="22"/>
        </w:rPr>
        <w:t xml:space="preserve"> improve resource mobilization;</w:t>
      </w:r>
    </w:p>
    <w:p w14:paraId="18070AAF" w14:textId="209B8B87" w:rsidR="004C7710" w:rsidRPr="009654F0" w:rsidRDefault="006500E9" w:rsidP="009654F0">
      <w:pPr>
        <w:pStyle w:val="Para1"/>
        <w:numPr>
          <w:ilvl w:val="0"/>
          <w:numId w:val="55"/>
        </w:numPr>
        <w:suppressLineNumbers/>
        <w:suppressAutoHyphens/>
        <w:spacing w:before="0"/>
        <w:ind w:left="0" w:firstLine="720"/>
        <w:rPr>
          <w:kern w:val="22"/>
        </w:rPr>
      </w:pPr>
      <w:r w:rsidRPr="009654F0">
        <w:rPr>
          <w:kern w:val="22"/>
        </w:rPr>
        <w:t xml:space="preserve">International </w:t>
      </w:r>
      <w:r w:rsidR="00B63AE2" w:rsidRPr="009654F0">
        <w:rPr>
          <w:kern w:val="22"/>
        </w:rPr>
        <w:t xml:space="preserve">development </w:t>
      </w:r>
      <w:r w:rsidRPr="009654F0">
        <w:rPr>
          <w:kern w:val="22"/>
        </w:rPr>
        <w:t>finance</w:t>
      </w:r>
      <w:r w:rsidR="004C7710" w:rsidRPr="009654F0">
        <w:rPr>
          <w:kern w:val="22"/>
        </w:rPr>
        <w:t xml:space="preserve">, the </w:t>
      </w:r>
      <w:r w:rsidR="00C21F62" w:rsidRPr="009654F0">
        <w:rPr>
          <w:kern w:val="22"/>
        </w:rPr>
        <w:t>Convention</w:t>
      </w:r>
      <w:r w:rsidR="00DC220B" w:rsidRPr="009654F0">
        <w:rPr>
          <w:kern w:val="22"/>
        </w:rPr>
        <w:t xml:space="preserve"> on Biological Diversity</w:t>
      </w:r>
      <w:r w:rsidR="004C7710" w:rsidRPr="009654F0">
        <w:rPr>
          <w:kern w:val="22"/>
        </w:rPr>
        <w:t>, and the development and climate agenda;</w:t>
      </w:r>
    </w:p>
    <w:p w14:paraId="613190EC" w14:textId="77777777" w:rsidR="004C7710" w:rsidRPr="009654F0" w:rsidRDefault="004C7710" w:rsidP="009654F0">
      <w:pPr>
        <w:pStyle w:val="Para1"/>
        <w:numPr>
          <w:ilvl w:val="0"/>
          <w:numId w:val="55"/>
        </w:numPr>
        <w:suppressLineNumbers/>
        <w:suppressAutoHyphens/>
        <w:spacing w:before="0"/>
        <w:ind w:left="0" w:firstLine="720"/>
        <w:rPr>
          <w:kern w:val="22"/>
        </w:rPr>
      </w:pPr>
      <w:r w:rsidRPr="009654F0">
        <w:rPr>
          <w:kern w:val="22"/>
        </w:rPr>
        <w:t>Mobilization of domestic financial resources;</w:t>
      </w:r>
    </w:p>
    <w:p w14:paraId="45919429" w14:textId="77777777" w:rsidR="004C7710" w:rsidRPr="009654F0" w:rsidRDefault="004C7710" w:rsidP="009654F0">
      <w:pPr>
        <w:pStyle w:val="Para1"/>
        <w:numPr>
          <w:ilvl w:val="0"/>
          <w:numId w:val="55"/>
        </w:numPr>
        <w:suppressLineNumbers/>
        <w:suppressAutoHyphens/>
        <w:spacing w:before="0"/>
        <w:ind w:left="0" w:firstLine="720"/>
        <w:rPr>
          <w:kern w:val="22"/>
        </w:rPr>
      </w:pPr>
      <w:r w:rsidRPr="009654F0">
        <w:rPr>
          <w:kern w:val="22"/>
        </w:rPr>
        <w:t>The private sector and the finance sector;</w:t>
      </w:r>
    </w:p>
    <w:p w14:paraId="7CEDCE58" w14:textId="77777777" w:rsidR="004C7710" w:rsidRPr="009654F0" w:rsidRDefault="004C7710" w:rsidP="009654F0">
      <w:pPr>
        <w:pStyle w:val="Para1"/>
        <w:numPr>
          <w:ilvl w:val="0"/>
          <w:numId w:val="55"/>
        </w:numPr>
        <w:suppressLineNumbers/>
        <w:suppressAutoHyphens/>
        <w:spacing w:before="0"/>
        <w:ind w:left="0" w:firstLine="720"/>
        <w:rPr>
          <w:kern w:val="22"/>
        </w:rPr>
      </w:pPr>
      <w:r w:rsidRPr="009654F0">
        <w:rPr>
          <w:kern w:val="22"/>
        </w:rPr>
        <w:t>Financial instruments and tools;</w:t>
      </w:r>
    </w:p>
    <w:p w14:paraId="4A1203EC" w14:textId="0A447AB6" w:rsidR="004C7710" w:rsidRPr="009654F0" w:rsidRDefault="004C7710" w:rsidP="009654F0">
      <w:pPr>
        <w:pStyle w:val="Para1"/>
        <w:numPr>
          <w:ilvl w:val="0"/>
          <w:numId w:val="55"/>
        </w:numPr>
        <w:suppressLineNumbers/>
        <w:suppressAutoHyphens/>
        <w:spacing w:before="0"/>
        <w:ind w:left="0" w:firstLine="720"/>
        <w:rPr>
          <w:kern w:val="22"/>
        </w:rPr>
      </w:pPr>
      <w:r w:rsidRPr="009654F0">
        <w:rPr>
          <w:kern w:val="22"/>
        </w:rPr>
        <w:t>Access and benefit</w:t>
      </w:r>
      <w:r w:rsidR="003939FC" w:rsidRPr="009654F0">
        <w:rPr>
          <w:kern w:val="22"/>
        </w:rPr>
        <w:t>-</w:t>
      </w:r>
      <w:r w:rsidRPr="009654F0">
        <w:rPr>
          <w:kern w:val="22"/>
        </w:rPr>
        <w:t>sharing;</w:t>
      </w:r>
    </w:p>
    <w:p w14:paraId="302D5B9D" w14:textId="2599E05E" w:rsidR="004C7710" w:rsidRPr="009654F0" w:rsidRDefault="006500E9" w:rsidP="009654F0">
      <w:pPr>
        <w:pStyle w:val="Para1"/>
        <w:numPr>
          <w:ilvl w:val="0"/>
          <w:numId w:val="55"/>
        </w:numPr>
        <w:suppressLineNumbers/>
        <w:suppressAutoHyphens/>
        <w:spacing w:before="0"/>
        <w:ind w:left="0" w:firstLine="720"/>
        <w:rPr>
          <w:kern w:val="22"/>
        </w:rPr>
      </w:pPr>
      <w:r w:rsidRPr="009654F0">
        <w:rPr>
          <w:kern w:val="22"/>
        </w:rPr>
        <w:t>The role of indigenous peoples and local communities</w:t>
      </w:r>
      <w:r w:rsidR="004C7710" w:rsidRPr="009654F0">
        <w:rPr>
          <w:kern w:val="22"/>
        </w:rPr>
        <w:t>;</w:t>
      </w:r>
    </w:p>
    <w:p w14:paraId="57205892" w14:textId="77777777" w:rsidR="004C7710" w:rsidRPr="009654F0" w:rsidRDefault="004C7710" w:rsidP="009654F0">
      <w:pPr>
        <w:pStyle w:val="Para1"/>
        <w:numPr>
          <w:ilvl w:val="0"/>
          <w:numId w:val="55"/>
        </w:numPr>
        <w:suppressLineNumbers/>
        <w:suppressAutoHyphens/>
        <w:spacing w:before="0"/>
        <w:ind w:left="0" w:firstLine="720"/>
        <w:rPr>
          <w:kern w:val="22"/>
        </w:rPr>
      </w:pPr>
      <w:r w:rsidRPr="009654F0">
        <w:rPr>
          <w:kern w:val="22"/>
        </w:rPr>
        <w:t>Capacity development;</w:t>
      </w:r>
    </w:p>
    <w:p w14:paraId="770573FD" w14:textId="7B00A4B2" w:rsidR="004C7710" w:rsidRPr="009654F0" w:rsidRDefault="004C7710" w:rsidP="009654F0">
      <w:pPr>
        <w:pStyle w:val="Para1"/>
        <w:numPr>
          <w:ilvl w:val="0"/>
          <w:numId w:val="55"/>
        </w:numPr>
        <w:suppressLineNumbers/>
        <w:suppressAutoHyphens/>
        <w:spacing w:before="0"/>
        <w:ind w:left="0" w:firstLine="720"/>
        <w:rPr>
          <w:kern w:val="22"/>
        </w:rPr>
      </w:pPr>
      <w:r w:rsidRPr="009654F0">
        <w:rPr>
          <w:kern w:val="22"/>
        </w:rPr>
        <w:t>Reporting on resource mobilization.</w:t>
      </w:r>
    </w:p>
    <w:p w14:paraId="53E26531" w14:textId="1CFE8FD4" w:rsidR="004C7710" w:rsidRPr="009654F0" w:rsidRDefault="004C7710">
      <w:pPr>
        <w:pStyle w:val="Para1"/>
        <w:keepNext/>
        <w:suppressLineNumbers/>
        <w:tabs>
          <w:tab w:val="clear" w:pos="360"/>
        </w:tabs>
        <w:suppressAutoHyphens/>
        <w:rPr>
          <w:kern w:val="22"/>
          <w:szCs w:val="22"/>
        </w:rPr>
      </w:pPr>
      <w:r w:rsidRPr="009654F0">
        <w:rPr>
          <w:kern w:val="22"/>
          <w:szCs w:val="22"/>
        </w:rPr>
        <w:t xml:space="preserve">As far as </w:t>
      </w:r>
      <w:r w:rsidRPr="009654F0">
        <w:rPr>
          <w:bCs/>
          <w:kern w:val="22"/>
          <w:szCs w:val="22"/>
        </w:rPr>
        <w:t xml:space="preserve">priorities identified for further action in the </w:t>
      </w:r>
      <w:r w:rsidR="00C21F62" w:rsidRPr="009654F0">
        <w:rPr>
          <w:bCs/>
          <w:kern w:val="22"/>
          <w:szCs w:val="22"/>
        </w:rPr>
        <w:t>p</w:t>
      </w:r>
      <w:r w:rsidRPr="009654F0">
        <w:rPr>
          <w:bCs/>
          <w:kern w:val="22"/>
          <w:szCs w:val="22"/>
        </w:rPr>
        <w:t xml:space="preserve">ost-2020 </w:t>
      </w:r>
      <w:r w:rsidR="00C21F62" w:rsidRPr="009654F0">
        <w:rPr>
          <w:bCs/>
          <w:kern w:val="22"/>
          <w:szCs w:val="22"/>
        </w:rPr>
        <w:t>g</w:t>
      </w:r>
      <w:r w:rsidRPr="009654F0">
        <w:rPr>
          <w:bCs/>
          <w:kern w:val="22"/>
          <w:szCs w:val="22"/>
        </w:rPr>
        <w:t xml:space="preserve">lobal </w:t>
      </w:r>
      <w:r w:rsidR="00C21F62" w:rsidRPr="009654F0">
        <w:rPr>
          <w:bCs/>
          <w:kern w:val="22"/>
          <w:szCs w:val="22"/>
        </w:rPr>
        <w:t>b</w:t>
      </w:r>
      <w:r w:rsidRPr="009654F0">
        <w:rPr>
          <w:bCs/>
          <w:kern w:val="22"/>
          <w:szCs w:val="22"/>
        </w:rPr>
        <w:t xml:space="preserve">iodiversity </w:t>
      </w:r>
      <w:r w:rsidR="00C21F62" w:rsidRPr="009654F0">
        <w:rPr>
          <w:bCs/>
          <w:kern w:val="22"/>
          <w:szCs w:val="22"/>
        </w:rPr>
        <w:t>f</w:t>
      </w:r>
      <w:r w:rsidRPr="009654F0">
        <w:rPr>
          <w:bCs/>
          <w:kern w:val="22"/>
          <w:szCs w:val="22"/>
        </w:rPr>
        <w:t>ramework</w:t>
      </w:r>
      <w:r w:rsidRPr="009654F0">
        <w:rPr>
          <w:kern w:val="22"/>
          <w:szCs w:val="22"/>
        </w:rPr>
        <w:t xml:space="preserve"> </w:t>
      </w:r>
      <w:proofErr w:type="gramStart"/>
      <w:r w:rsidR="00956AD0" w:rsidRPr="009654F0">
        <w:rPr>
          <w:kern w:val="22"/>
          <w:szCs w:val="22"/>
        </w:rPr>
        <w:t>are</w:t>
      </w:r>
      <w:proofErr w:type="gramEnd"/>
      <w:r w:rsidRPr="009654F0">
        <w:rPr>
          <w:kern w:val="22"/>
          <w:szCs w:val="22"/>
        </w:rPr>
        <w:t xml:space="preserve"> concerned, a clear message which emerged was that attention is now needed towards three complementary components of resource mobilization:</w:t>
      </w:r>
    </w:p>
    <w:p w14:paraId="6938D258" w14:textId="55E466B2" w:rsidR="004C7710" w:rsidRPr="009654F0" w:rsidRDefault="004C7710" w:rsidP="009654F0">
      <w:pPr>
        <w:pStyle w:val="Para1"/>
        <w:numPr>
          <w:ilvl w:val="0"/>
          <w:numId w:val="66"/>
        </w:numPr>
        <w:suppressLineNumbers/>
        <w:suppressAutoHyphens/>
        <w:ind w:left="0" w:firstLine="720"/>
        <w:rPr>
          <w:kern w:val="22"/>
          <w:szCs w:val="22"/>
        </w:rPr>
      </w:pPr>
      <w:r w:rsidRPr="009654F0">
        <w:rPr>
          <w:kern w:val="22"/>
          <w:szCs w:val="22"/>
        </w:rPr>
        <w:t>Redirecting or reducing resources causing harm to biodiversity</w:t>
      </w:r>
      <w:r w:rsidR="00CD71AC" w:rsidRPr="009654F0">
        <w:rPr>
          <w:kern w:val="22"/>
          <w:szCs w:val="22"/>
        </w:rPr>
        <w:t>;</w:t>
      </w:r>
    </w:p>
    <w:p w14:paraId="43EA7BD2" w14:textId="3EAE9CC0" w:rsidR="004C7710" w:rsidRPr="009654F0" w:rsidRDefault="004C7710" w:rsidP="009654F0">
      <w:pPr>
        <w:pStyle w:val="Para1"/>
        <w:numPr>
          <w:ilvl w:val="0"/>
          <w:numId w:val="66"/>
        </w:numPr>
        <w:suppressLineNumbers/>
        <w:suppressAutoHyphens/>
        <w:ind w:left="0" w:firstLine="720"/>
        <w:rPr>
          <w:kern w:val="22"/>
          <w:szCs w:val="22"/>
        </w:rPr>
      </w:pPr>
      <w:r w:rsidRPr="009654F0">
        <w:rPr>
          <w:kern w:val="22"/>
          <w:szCs w:val="22"/>
        </w:rPr>
        <w:t>Generating additional resources from all sources</w:t>
      </w:r>
      <w:r w:rsidR="00CD71AC" w:rsidRPr="009654F0">
        <w:rPr>
          <w:kern w:val="22"/>
          <w:szCs w:val="22"/>
        </w:rPr>
        <w:t>;</w:t>
      </w:r>
    </w:p>
    <w:p w14:paraId="2AF11CBA" w14:textId="0F2CFA7C" w:rsidR="004C7710" w:rsidRPr="009654F0" w:rsidRDefault="004C7710" w:rsidP="009654F0">
      <w:pPr>
        <w:pStyle w:val="Para1"/>
        <w:numPr>
          <w:ilvl w:val="0"/>
          <w:numId w:val="66"/>
        </w:numPr>
        <w:suppressLineNumbers/>
        <w:suppressAutoHyphens/>
        <w:ind w:left="0" w:firstLine="720"/>
        <w:rPr>
          <w:kern w:val="22"/>
          <w:szCs w:val="22"/>
        </w:rPr>
      </w:pPr>
      <w:r w:rsidRPr="009654F0">
        <w:rPr>
          <w:kern w:val="22"/>
          <w:szCs w:val="22"/>
        </w:rPr>
        <w:t>Enhancing the efficiency and effectiveness of the uptake and use of funds at all leve</w:t>
      </w:r>
      <w:r w:rsidR="00CD71AC" w:rsidRPr="009654F0">
        <w:rPr>
          <w:kern w:val="22"/>
          <w:szCs w:val="22"/>
        </w:rPr>
        <w:t>ls.</w:t>
      </w:r>
    </w:p>
    <w:p w14:paraId="4DAB7816" w14:textId="3427A756" w:rsidR="000132F2" w:rsidRPr="009654F0" w:rsidRDefault="004C7710">
      <w:pPr>
        <w:pStyle w:val="Para1"/>
        <w:suppressLineNumbers/>
        <w:tabs>
          <w:tab w:val="clear" w:pos="360"/>
        </w:tabs>
        <w:suppressAutoHyphens/>
        <w:rPr>
          <w:kern w:val="22"/>
          <w:szCs w:val="22"/>
        </w:rPr>
      </w:pPr>
      <w:r w:rsidRPr="009654F0">
        <w:rPr>
          <w:kern w:val="22"/>
        </w:rPr>
        <w:t xml:space="preserve">There was also a clear </w:t>
      </w:r>
      <w:r w:rsidRPr="009654F0">
        <w:rPr>
          <w:kern w:val="22"/>
          <w:szCs w:val="22"/>
        </w:rPr>
        <w:t>r</w:t>
      </w:r>
      <w:r w:rsidR="000132F2" w:rsidRPr="009654F0">
        <w:rPr>
          <w:kern w:val="22"/>
          <w:szCs w:val="22"/>
        </w:rPr>
        <w:t xml:space="preserve">ecognition of the </w:t>
      </w:r>
      <w:r w:rsidR="00D32E03" w:rsidRPr="009654F0">
        <w:rPr>
          <w:kern w:val="22"/>
          <w:szCs w:val="22"/>
        </w:rPr>
        <w:t xml:space="preserve">need to enhance </w:t>
      </w:r>
      <w:r w:rsidR="000132F2" w:rsidRPr="009654F0">
        <w:rPr>
          <w:kern w:val="22"/>
          <w:szCs w:val="22"/>
        </w:rPr>
        <w:t>synergies between resources being mobili</w:t>
      </w:r>
      <w:r w:rsidR="00661E57" w:rsidRPr="009654F0">
        <w:rPr>
          <w:kern w:val="22"/>
          <w:szCs w:val="22"/>
        </w:rPr>
        <w:t>z</w:t>
      </w:r>
      <w:r w:rsidR="000132F2" w:rsidRPr="009654F0">
        <w:rPr>
          <w:kern w:val="22"/>
          <w:szCs w:val="22"/>
        </w:rPr>
        <w:t>ed for biodiversity and those being mobili</w:t>
      </w:r>
      <w:r w:rsidR="00661E57" w:rsidRPr="009654F0">
        <w:rPr>
          <w:kern w:val="22"/>
          <w:szCs w:val="22"/>
        </w:rPr>
        <w:t>z</w:t>
      </w:r>
      <w:r w:rsidR="000132F2" w:rsidRPr="009654F0">
        <w:rPr>
          <w:kern w:val="22"/>
          <w:szCs w:val="22"/>
        </w:rPr>
        <w:t xml:space="preserve">ed for climate change, and for the </w:t>
      </w:r>
      <w:r w:rsidR="00D47FC1" w:rsidRPr="009654F0">
        <w:rPr>
          <w:kern w:val="22"/>
        </w:rPr>
        <w:t>Sustainable Development Goal</w:t>
      </w:r>
      <w:r w:rsidR="000132F2" w:rsidRPr="009654F0">
        <w:rPr>
          <w:kern w:val="22"/>
          <w:szCs w:val="22"/>
        </w:rPr>
        <w:t>s more broadly, in order to</w:t>
      </w:r>
      <w:r w:rsidRPr="009654F0">
        <w:rPr>
          <w:kern w:val="22"/>
          <w:szCs w:val="22"/>
        </w:rPr>
        <w:t xml:space="preserve"> </w:t>
      </w:r>
      <w:r w:rsidR="000132F2" w:rsidRPr="009654F0">
        <w:rPr>
          <w:kern w:val="22"/>
          <w:szCs w:val="22"/>
        </w:rPr>
        <w:t>avoid expenditure that is harmful to biodiversity</w:t>
      </w:r>
      <w:r w:rsidR="00903827" w:rsidRPr="009654F0">
        <w:rPr>
          <w:kern w:val="22"/>
          <w:szCs w:val="22"/>
        </w:rPr>
        <w:t>,</w:t>
      </w:r>
      <w:r w:rsidRPr="009654F0">
        <w:rPr>
          <w:kern w:val="22"/>
          <w:szCs w:val="22"/>
        </w:rPr>
        <w:t xml:space="preserve"> </w:t>
      </w:r>
      <w:r w:rsidR="00D32E03" w:rsidRPr="009654F0">
        <w:rPr>
          <w:kern w:val="22"/>
          <w:szCs w:val="22"/>
        </w:rPr>
        <w:t>as well as</w:t>
      </w:r>
      <w:r w:rsidRPr="009654F0">
        <w:rPr>
          <w:kern w:val="22"/>
          <w:szCs w:val="22"/>
        </w:rPr>
        <w:t xml:space="preserve"> to </w:t>
      </w:r>
      <w:r w:rsidR="000132F2" w:rsidRPr="009654F0">
        <w:rPr>
          <w:kern w:val="22"/>
          <w:szCs w:val="22"/>
        </w:rPr>
        <w:t>integrate biodiversity finance into the sustainable development finance agenda</w:t>
      </w:r>
      <w:r w:rsidR="00D32E03" w:rsidRPr="009654F0">
        <w:rPr>
          <w:kern w:val="22"/>
          <w:szCs w:val="22"/>
        </w:rPr>
        <w:t xml:space="preserve"> more broadly.</w:t>
      </w:r>
    </w:p>
    <w:p w14:paraId="7CA344A3" w14:textId="614D41E2" w:rsidR="00D32E03" w:rsidRPr="009654F0" w:rsidRDefault="00D32E03">
      <w:pPr>
        <w:pStyle w:val="Para1"/>
        <w:suppressLineNumbers/>
        <w:tabs>
          <w:tab w:val="clear" w:pos="360"/>
        </w:tabs>
        <w:suppressAutoHyphens/>
        <w:rPr>
          <w:kern w:val="22"/>
          <w:szCs w:val="22"/>
        </w:rPr>
      </w:pPr>
      <w:r w:rsidRPr="009654F0">
        <w:rPr>
          <w:kern w:val="22"/>
          <w:szCs w:val="22"/>
        </w:rPr>
        <w:t xml:space="preserve">Mainstreaming of biodiversity into all the plans, budgets and actions of the public and private sectors, both nationally and internationally, </w:t>
      </w:r>
      <w:proofErr w:type="gramStart"/>
      <w:r w:rsidR="00696D15" w:rsidRPr="009654F0">
        <w:rPr>
          <w:kern w:val="22"/>
          <w:szCs w:val="22"/>
        </w:rPr>
        <w:t>was</w:t>
      </w:r>
      <w:r w:rsidRPr="009654F0">
        <w:rPr>
          <w:kern w:val="22"/>
          <w:szCs w:val="22"/>
        </w:rPr>
        <w:t xml:space="preserve"> seen as</w:t>
      </w:r>
      <w:proofErr w:type="gramEnd"/>
      <w:r w:rsidRPr="009654F0">
        <w:rPr>
          <w:kern w:val="22"/>
          <w:szCs w:val="22"/>
        </w:rPr>
        <w:t xml:space="preserve"> a</w:t>
      </w:r>
      <w:r w:rsidR="009B0A78" w:rsidRPr="009654F0">
        <w:rPr>
          <w:kern w:val="22"/>
          <w:szCs w:val="22"/>
        </w:rPr>
        <w:t xml:space="preserve">n essential prerequisite </w:t>
      </w:r>
      <w:r w:rsidRPr="009654F0">
        <w:rPr>
          <w:kern w:val="22"/>
          <w:szCs w:val="22"/>
        </w:rPr>
        <w:t>for successful resource mobilization in the future. This include</w:t>
      </w:r>
      <w:r w:rsidR="00D5657D" w:rsidRPr="009654F0">
        <w:rPr>
          <w:kern w:val="22"/>
          <w:szCs w:val="22"/>
        </w:rPr>
        <w:t>s</w:t>
      </w:r>
      <w:r w:rsidRPr="009654F0">
        <w:rPr>
          <w:kern w:val="22"/>
          <w:szCs w:val="22"/>
        </w:rPr>
        <w:t xml:space="preserve"> mainstreaming into national budgets, development plans, and the investments and activities of the private sector. There are important interlinkages between the work of the CBD’s Informal Advisory Group on Mainstreaming of Biodiversity, which is developing a </w:t>
      </w:r>
      <w:r w:rsidR="00C21F62" w:rsidRPr="009654F0">
        <w:rPr>
          <w:kern w:val="22"/>
          <w:szCs w:val="22"/>
        </w:rPr>
        <w:t>l</w:t>
      </w:r>
      <w:r w:rsidRPr="009654F0">
        <w:rPr>
          <w:kern w:val="22"/>
          <w:szCs w:val="22"/>
        </w:rPr>
        <w:t>ong-</w:t>
      </w:r>
      <w:r w:rsidR="00C21F62" w:rsidRPr="009654F0">
        <w:rPr>
          <w:kern w:val="22"/>
          <w:szCs w:val="22"/>
        </w:rPr>
        <w:t>t</w:t>
      </w:r>
      <w:r w:rsidRPr="009654F0">
        <w:rPr>
          <w:kern w:val="22"/>
          <w:szCs w:val="22"/>
        </w:rPr>
        <w:t xml:space="preserve">erm </w:t>
      </w:r>
      <w:r w:rsidR="00C21F62" w:rsidRPr="009654F0">
        <w:rPr>
          <w:kern w:val="22"/>
          <w:szCs w:val="22"/>
        </w:rPr>
        <w:t>a</w:t>
      </w:r>
      <w:r w:rsidRPr="009654F0">
        <w:rPr>
          <w:kern w:val="22"/>
          <w:szCs w:val="22"/>
        </w:rPr>
        <w:t xml:space="preserve">pproach to </w:t>
      </w:r>
      <w:r w:rsidR="00C21F62" w:rsidRPr="009654F0">
        <w:rPr>
          <w:kern w:val="22"/>
          <w:szCs w:val="22"/>
        </w:rPr>
        <w:t>m</w:t>
      </w:r>
      <w:r w:rsidRPr="009654F0">
        <w:rPr>
          <w:kern w:val="22"/>
          <w:szCs w:val="22"/>
        </w:rPr>
        <w:t xml:space="preserve">ainstreaming (LTAM), and the work of the </w:t>
      </w:r>
      <w:r w:rsidR="00D5657D" w:rsidRPr="009654F0">
        <w:rPr>
          <w:kern w:val="22"/>
          <w:szCs w:val="22"/>
        </w:rPr>
        <w:t xml:space="preserve">Panel, which </w:t>
      </w:r>
      <w:r w:rsidR="000F575F" w:rsidRPr="009654F0">
        <w:rPr>
          <w:kern w:val="22"/>
          <w:szCs w:val="22"/>
        </w:rPr>
        <w:t>is</w:t>
      </w:r>
      <w:r w:rsidR="00D5657D" w:rsidRPr="009654F0">
        <w:rPr>
          <w:kern w:val="22"/>
          <w:szCs w:val="22"/>
        </w:rPr>
        <w:t xml:space="preserve"> explored further in the Panel’s </w:t>
      </w:r>
      <w:r w:rsidR="00E11FA5" w:rsidRPr="009654F0">
        <w:rPr>
          <w:kern w:val="22"/>
          <w:szCs w:val="22"/>
        </w:rPr>
        <w:t>t</w:t>
      </w:r>
      <w:r w:rsidR="00D5657D" w:rsidRPr="009654F0">
        <w:rPr>
          <w:kern w:val="22"/>
          <w:szCs w:val="22"/>
        </w:rPr>
        <w:t xml:space="preserve">hird </w:t>
      </w:r>
      <w:r w:rsidR="00E11FA5" w:rsidRPr="009654F0">
        <w:rPr>
          <w:kern w:val="22"/>
          <w:szCs w:val="22"/>
        </w:rPr>
        <w:t>r</w:t>
      </w:r>
      <w:r w:rsidR="00D5657D" w:rsidRPr="009654F0">
        <w:rPr>
          <w:kern w:val="22"/>
          <w:szCs w:val="22"/>
        </w:rPr>
        <w:t>eport.</w:t>
      </w:r>
    </w:p>
    <w:p w14:paraId="6CD0C217" w14:textId="14892330" w:rsidR="00744485" w:rsidRPr="009654F0" w:rsidRDefault="00744485" w:rsidP="009654F0">
      <w:pPr>
        <w:pStyle w:val="Para1"/>
        <w:suppressLineNumbers/>
        <w:tabs>
          <w:tab w:val="clear" w:pos="360"/>
        </w:tabs>
        <w:suppressAutoHyphens/>
        <w:rPr>
          <w:kern w:val="22"/>
        </w:rPr>
      </w:pPr>
      <w:r w:rsidRPr="009654F0">
        <w:rPr>
          <w:kern w:val="22"/>
        </w:rPr>
        <w:t>Domestic financial resources for biodiversity currently form the lion’s share (over three quarters) of total resources being mobili</w:t>
      </w:r>
      <w:r w:rsidR="00661E57" w:rsidRPr="009654F0">
        <w:rPr>
          <w:kern w:val="22"/>
        </w:rPr>
        <w:t>z</w:t>
      </w:r>
      <w:r w:rsidRPr="009654F0">
        <w:rPr>
          <w:kern w:val="22"/>
        </w:rPr>
        <w:t>ed annually</w:t>
      </w:r>
      <w:r w:rsidR="009B0A78" w:rsidRPr="009654F0">
        <w:rPr>
          <w:kern w:val="22"/>
        </w:rPr>
        <w:t xml:space="preserve"> </w:t>
      </w:r>
      <w:r w:rsidRPr="009654F0">
        <w:rPr>
          <w:kern w:val="22"/>
        </w:rPr>
        <w:t>and will remain vitally important. It will be important to enhance the mainstreaming of biodiversity into national planning and budgets</w:t>
      </w:r>
      <w:r w:rsidR="00903827" w:rsidRPr="009654F0">
        <w:rPr>
          <w:kern w:val="22"/>
        </w:rPr>
        <w:t xml:space="preserve"> and </w:t>
      </w:r>
      <w:r w:rsidRPr="009654F0">
        <w:rPr>
          <w:kern w:val="22"/>
        </w:rPr>
        <w:t>to improve national capacity for the effective and efficient use of resources</w:t>
      </w:r>
      <w:r w:rsidR="00903827" w:rsidRPr="009654F0">
        <w:rPr>
          <w:kern w:val="22"/>
        </w:rPr>
        <w:t>.</w:t>
      </w:r>
    </w:p>
    <w:p w14:paraId="42AC0020" w14:textId="61520B57" w:rsidR="00903827" w:rsidRPr="009654F0" w:rsidRDefault="00303F13" w:rsidP="009654F0">
      <w:pPr>
        <w:pStyle w:val="Para1"/>
        <w:suppressLineNumbers/>
        <w:tabs>
          <w:tab w:val="clear" w:pos="360"/>
        </w:tabs>
        <w:suppressAutoHyphens/>
        <w:rPr>
          <w:kern w:val="22"/>
        </w:rPr>
      </w:pPr>
      <w:r w:rsidRPr="009654F0">
        <w:rPr>
          <w:kern w:val="22"/>
          <w:szCs w:val="22"/>
        </w:rPr>
        <w:lastRenderedPageBreak/>
        <w:t xml:space="preserve">Another key priority for the </w:t>
      </w:r>
      <w:r w:rsidR="00AF464C" w:rsidRPr="009654F0">
        <w:rPr>
          <w:kern w:val="22"/>
          <w:szCs w:val="22"/>
        </w:rPr>
        <w:t>p</w:t>
      </w:r>
      <w:r w:rsidRPr="009654F0">
        <w:rPr>
          <w:kern w:val="22"/>
          <w:szCs w:val="22"/>
        </w:rPr>
        <w:t xml:space="preserve">ost-2020 </w:t>
      </w:r>
      <w:r w:rsidR="00AF464C" w:rsidRPr="009654F0">
        <w:rPr>
          <w:kern w:val="22"/>
          <w:szCs w:val="22"/>
        </w:rPr>
        <w:t xml:space="preserve">global biodiversity framework </w:t>
      </w:r>
      <w:r w:rsidRPr="009654F0">
        <w:rPr>
          <w:kern w:val="22"/>
          <w:szCs w:val="22"/>
        </w:rPr>
        <w:t>will be to c</w:t>
      </w:r>
      <w:r w:rsidR="000132F2" w:rsidRPr="009654F0">
        <w:rPr>
          <w:kern w:val="22"/>
          <w:szCs w:val="22"/>
        </w:rPr>
        <w:t xml:space="preserve">omprehensively address the role of the business sector and financial sector, </w:t>
      </w:r>
      <w:r w:rsidRPr="009654F0">
        <w:rPr>
          <w:kern w:val="22"/>
          <w:szCs w:val="22"/>
        </w:rPr>
        <w:t xml:space="preserve">in order </w:t>
      </w:r>
      <w:r w:rsidR="000132F2" w:rsidRPr="009654F0">
        <w:rPr>
          <w:kern w:val="22"/>
          <w:szCs w:val="22"/>
        </w:rPr>
        <w:t>to</w:t>
      </w:r>
      <w:r w:rsidR="00903827" w:rsidRPr="009654F0">
        <w:rPr>
          <w:kern w:val="22"/>
          <w:szCs w:val="22"/>
        </w:rPr>
        <w:t xml:space="preserve"> </w:t>
      </w:r>
      <w:r w:rsidRPr="009654F0">
        <w:rPr>
          <w:kern w:val="22"/>
          <w:szCs w:val="22"/>
        </w:rPr>
        <w:t>i</w:t>
      </w:r>
      <w:r w:rsidR="000132F2" w:rsidRPr="009654F0">
        <w:rPr>
          <w:kern w:val="22"/>
          <w:szCs w:val="22"/>
        </w:rPr>
        <w:t>ncrease funding flows to achieve the three objectives of the Convention</w:t>
      </w:r>
      <w:r w:rsidR="00903827" w:rsidRPr="009654F0">
        <w:rPr>
          <w:kern w:val="22"/>
          <w:szCs w:val="22"/>
        </w:rPr>
        <w:t xml:space="preserve"> and to </w:t>
      </w:r>
      <w:r w:rsidRPr="009654F0">
        <w:rPr>
          <w:kern w:val="22"/>
          <w:szCs w:val="22"/>
        </w:rPr>
        <w:t>s</w:t>
      </w:r>
      <w:r w:rsidR="000132F2" w:rsidRPr="009654F0">
        <w:rPr>
          <w:kern w:val="22"/>
          <w:szCs w:val="22"/>
        </w:rPr>
        <w:t xml:space="preserve">cale back finance that is harmful to biodiversity </w:t>
      </w:r>
      <w:r w:rsidR="00903827" w:rsidRPr="009654F0">
        <w:rPr>
          <w:kern w:val="22"/>
          <w:szCs w:val="22"/>
        </w:rPr>
        <w:t>(</w:t>
      </w:r>
      <w:r w:rsidR="000132F2" w:rsidRPr="009654F0">
        <w:rPr>
          <w:kern w:val="22"/>
          <w:szCs w:val="22"/>
        </w:rPr>
        <w:t>currently 5-6 times more than finance that is positive for biodiversity</w:t>
      </w:r>
      <w:r w:rsidRPr="009654F0">
        <w:rPr>
          <w:kern w:val="22"/>
          <w:szCs w:val="22"/>
        </w:rPr>
        <w:t>, according to OECD</w:t>
      </w:r>
      <w:r w:rsidR="000132F2" w:rsidRPr="009654F0">
        <w:rPr>
          <w:kern w:val="22"/>
          <w:szCs w:val="22"/>
        </w:rPr>
        <w:t>)</w:t>
      </w:r>
      <w:r w:rsidR="00903827" w:rsidRPr="009654F0">
        <w:rPr>
          <w:kern w:val="22"/>
          <w:szCs w:val="22"/>
        </w:rPr>
        <w:t xml:space="preserve">. This should be underpinned by enhanced efforts to </w:t>
      </w:r>
      <w:r w:rsidR="006D3DA1" w:rsidRPr="009654F0">
        <w:rPr>
          <w:kern w:val="22"/>
          <w:szCs w:val="22"/>
        </w:rPr>
        <w:t>develop mechanisms to measure, manage and report in a standardi</w:t>
      </w:r>
      <w:r w:rsidR="00661E57" w:rsidRPr="009654F0">
        <w:rPr>
          <w:kern w:val="22"/>
          <w:szCs w:val="22"/>
        </w:rPr>
        <w:t>z</w:t>
      </w:r>
      <w:r w:rsidR="006D3DA1" w:rsidRPr="009654F0">
        <w:rPr>
          <w:kern w:val="22"/>
          <w:szCs w:val="22"/>
        </w:rPr>
        <w:t xml:space="preserve">ed way </w:t>
      </w:r>
      <w:r w:rsidR="00903827" w:rsidRPr="009654F0">
        <w:rPr>
          <w:kern w:val="22"/>
          <w:szCs w:val="22"/>
        </w:rPr>
        <w:t>on how far the business sector is reducing expenditure that is harmful to biodiversity and how far it is increasing investments positive for biodiversity.</w:t>
      </w:r>
    </w:p>
    <w:p w14:paraId="2B667E83" w14:textId="2389FE52" w:rsidR="000132F2" w:rsidRPr="009654F0" w:rsidRDefault="00903827" w:rsidP="009654F0">
      <w:pPr>
        <w:pStyle w:val="Para1"/>
        <w:suppressLineNumbers/>
        <w:tabs>
          <w:tab w:val="clear" w:pos="360"/>
        </w:tabs>
        <w:suppressAutoHyphens/>
        <w:rPr>
          <w:kern w:val="22"/>
        </w:rPr>
      </w:pPr>
      <w:r w:rsidRPr="009654F0">
        <w:rPr>
          <w:kern w:val="22"/>
        </w:rPr>
        <w:t>In all of this, there should be a s</w:t>
      </w:r>
      <w:r w:rsidR="000132F2" w:rsidRPr="009654F0">
        <w:rPr>
          <w:kern w:val="22"/>
          <w:szCs w:val="22"/>
        </w:rPr>
        <w:t xml:space="preserve">trong role for </w:t>
      </w:r>
      <w:r w:rsidR="00C939F5" w:rsidRPr="009654F0">
        <w:rPr>
          <w:kern w:val="22"/>
          <w:szCs w:val="22"/>
        </w:rPr>
        <w:t>g</w:t>
      </w:r>
      <w:r w:rsidR="000132F2" w:rsidRPr="009654F0">
        <w:rPr>
          <w:kern w:val="22"/>
          <w:szCs w:val="22"/>
        </w:rPr>
        <w:t xml:space="preserve">overnment to lead by example, </w:t>
      </w:r>
      <w:r w:rsidRPr="009654F0">
        <w:rPr>
          <w:kern w:val="22"/>
          <w:szCs w:val="22"/>
        </w:rPr>
        <w:t xml:space="preserve">to </w:t>
      </w:r>
      <w:r w:rsidR="000132F2" w:rsidRPr="009654F0">
        <w:rPr>
          <w:kern w:val="22"/>
          <w:szCs w:val="22"/>
        </w:rPr>
        <w:t>create an enabling environment for other actors</w:t>
      </w:r>
      <w:r w:rsidRPr="009654F0">
        <w:rPr>
          <w:kern w:val="22"/>
          <w:szCs w:val="22"/>
        </w:rPr>
        <w:t xml:space="preserve">, to ensure that it has the capacity – seeking outside support where needed </w:t>
      </w:r>
      <w:r w:rsidR="00CC1B1B" w:rsidRPr="009654F0">
        <w:rPr>
          <w:bCs/>
          <w:kern w:val="22"/>
          <w:szCs w:val="22"/>
        </w:rPr>
        <w:t>–</w:t>
      </w:r>
      <w:r w:rsidRPr="009654F0">
        <w:rPr>
          <w:kern w:val="22"/>
          <w:szCs w:val="22"/>
        </w:rPr>
        <w:t xml:space="preserve"> </w:t>
      </w:r>
      <w:r w:rsidR="000132F2" w:rsidRPr="009654F0">
        <w:rPr>
          <w:kern w:val="22"/>
          <w:szCs w:val="22"/>
        </w:rPr>
        <w:t>for developing national biodiversity finance plans</w:t>
      </w:r>
      <w:r w:rsidR="009B0A78" w:rsidRPr="009654F0">
        <w:rPr>
          <w:kern w:val="22"/>
          <w:szCs w:val="22"/>
        </w:rPr>
        <w:t>, and to report accurately and consistently on the financial resources being mobilized for biodiversity</w:t>
      </w:r>
      <w:r w:rsidRPr="009654F0">
        <w:rPr>
          <w:kern w:val="22"/>
          <w:szCs w:val="22"/>
        </w:rPr>
        <w:t>.</w:t>
      </w:r>
    </w:p>
    <w:p w14:paraId="61410BDB" w14:textId="73306CD1" w:rsidR="0057317A" w:rsidRPr="009654F0" w:rsidRDefault="00B71D0C" w:rsidP="002D21DA">
      <w:pPr>
        <w:pStyle w:val="Para1"/>
        <w:suppressLineNumbers/>
        <w:tabs>
          <w:tab w:val="clear" w:pos="360"/>
        </w:tabs>
        <w:suppressAutoHyphens/>
        <w:rPr>
          <w:kern w:val="22"/>
        </w:rPr>
      </w:pPr>
      <w:r w:rsidRPr="009654F0">
        <w:rPr>
          <w:kern w:val="22"/>
          <w:szCs w:val="22"/>
        </w:rPr>
        <w:t xml:space="preserve">The Panel’s </w:t>
      </w:r>
      <w:r w:rsidR="00E11FA5" w:rsidRPr="009654F0">
        <w:rPr>
          <w:kern w:val="22"/>
          <w:szCs w:val="22"/>
        </w:rPr>
        <w:t>t</w:t>
      </w:r>
      <w:r w:rsidRPr="009654F0">
        <w:rPr>
          <w:kern w:val="22"/>
          <w:szCs w:val="22"/>
        </w:rPr>
        <w:t xml:space="preserve">hird </w:t>
      </w:r>
      <w:r w:rsidR="00E11FA5" w:rsidRPr="009654F0">
        <w:rPr>
          <w:kern w:val="22"/>
          <w:szCs w:val="22"/>
        </w:rPr>
        <w:t>r</w:t>
      </w:r>
      <w:r w:rsidRPr="009654F0">
        <w:rPr>
          <w:kern w:val="22"/>
          <w:szCs w:val="22"/>
        </w:rPr>
        <w:t>eport build</w:t>
      </w:r>
      <w:r w:rsidR="00C00F8A" w:rsidRPr="009654F0">
        <w:rPr>
          <w:kern w:val="22"/>
          <w:szCs w:val="22"/>
        </w:rPr>
        <w:t>s</w:t>
      </w:r>
      <w:r w:rsidRPr="009654F0">
        <w:rPr>
          <w:kern w:val="22"/>
          <w:szCs w:val="22"/>
        </w:rPr>
        <w:t xml:space="preserve"> </w:t>
      </w:r>
      <w:r w:rsidR="005E5AAE" w:rsidRPr="009654F0">
        <w:rPr>
          <w:kern w:val="22"/>
          <w:szCs w:val="22"/>
        </w:rPr>
        <w:t xml:space="preserve">substantially </w:t>
      </w:r>
      <w:r w:rsidRPr="009654F0">
        <w:rPr>
          <w:kern w:val="22"/>
          <w:szCs w:val="22"/>
        </w:rPr>
        <w:t xml:space="preserve">on this </w:t>
      </w:r>
      <w:r w:rsidR="009B0A78" w:rsidRPr="009654F0">
        <w:rPr>
          <w:kern w:val="22"/>
          <w:szCs w:val="22"/>
        </w:rPr>
        <w:t xml:space="preserve">assessment </w:t>
      </w:r>
      <w:r w:rsidRPr="009654F0">
        <w:rPr>
          <w:kern w:val="22"/>
          <w:szCs w:val="22"/>
        </w:rPr>
        <w:t xml:space="preserve">by setting out in detail the Panel’s </w:t>
      </w:r>
      <w:r w:rsidR="006500E9" w:rsidRPr="009654F0">
        <w:rPr>
          <w:kern w:val="22"/>
          <w:szCs w:val="22"/>
        </w:rPr>
        <w:t xml:space="preserve">contribution to </w:t>
      </w:r>
      <w:r w:rsidR="00F23AF9" w:rsidRPr="009654F0">
        <w:rPr>
          <w:kern w:val="22"/>
          <w:szCs w:val="22"/>
        </w:rPr>
        <w:t>a</w:t>
      </w:r>
      <w:r w:rsidRPr="009654F0">
        <w:rPr>
          <w:kern w:val="22"/>
          <w:szCs w:val="22"/>
        </w:rPr>
        <w:t xml:space="preserve"> </w:t>
      </w:r>
      <w:r w:rsidR="006500E9" w:rsidRPr="009654F0">
        <w:rPr>
          <w:kern w:val="22"/>
          <w:szCs w:val="22"/>
        </w:rPr>
        <w:t xml:space="preserve">draft </w:t>
      </w:r>
      <w:r w:rsidRPr="009654F0">
        <w:rPr>
          <w:kern w:val="22"/>
          <w:szCs w:val="22"/>
        </w:rPr>
        <w:t>resource mobili</w:t>
      </w:r>
      <w:r w:rsidR="00387B0B" w:rsidRPr="009654F0">
        <w:rPr>
          <w:kern w:val="22"/>
          <w:szCs w:val="22"/>
        </w:rPr>
        <w:t>z</w:t>
      </w:r>
      <w:r w:rsidRPr="009654F0">
        <w:rPr>
          <w:kern w:val="22"/>
          <w:szCs w:val="22"/>
        </w:rPr>
        <w:t>ation component</w:t>
      </w:r>
      <w:r w:rsidR="00F23AF9" w:rsidRPr="009654F0">
        <w:rPr>
          <w:kern w:val="22"/>
          <w:szCs w:val="22"/>
        </w:rPr>
        <w:t xml:space="preserve"> of</w:t>
      </w:r>
      <w:r w:rsidRPr="009654F0">
        <w:rPr>
          <w:kern w:val="22"/>
          <w:szCs w:val="22"/>
        </w:rPr>
        <w:t xml:space="preserve"> the post-2020 global biodiversity framework.</w:t>
      </w:r>
    </w:p>
    <w:p w14:paraId="09780B77" w14:textId="77777777" w:rsidR="00BD0533" w:rsidRPr="009654F0" w:rsidRDefault="00BD0533" w:rsidP="009654F0">
      <w:pPr>
        <w:suppressLineNumbers/>
        <w:suppressAutoHyphens/>
        <w:jc w:val="left"/>
        <w:rPr>
          <w:snapToGrid w:val="0"/>
          <w:kern w:val="22"/>
          <w:szCs w:val="22"/>
        </w:rPr>
      </w:pPr>
      <w:r w:rsidRPr="009654F0">
        <w:rPr>
          <w:kern w:val="22"/>
          <w:szCs w:val="22"/>
        </w:rPr>
        <w:br w:type="page"/>
      </w:r>
    </w:p>
    <w:p w14:paraId="5D5C7F76" w14:textId="0CF6DAF6" w:rsidR="00BD0533" w:rsidRPr="009654F0" w:rsidRDefault="00BD0533" w:rsidP="009654F0">
      <w:pPr>
        <w:pStyle w:val="Para1"/>
        <w:keepNext/>
        <w:numPr>
          <w:ilvl w:val="0"/>
          <w:numId w:val="0"/>
        </w:numPr>
        <w:suppressLineNumbers/>
        <w:suppressAutoHyphens/>
        <w:spacing w:before="0"/>
        <w:jc w:val="center"/>
        <w:outlineLvl w:val="2"/>
        <w:rPr>
          <w:bCs/>
          <w:i/>
          <w:iCs/>
          <w:kern w:val="22"/>
        </w:rPr>
      </w:pPr>
      <w:r w:rsidRPr="009654F0">
        <w:rPr>
          <w:bCs/>
          <w:i/>
          <w:iCs/>
          <w:kern w:val="22"/>
        </w:rPr>
        <w:lastRenderedPageBreak/>
        <w:t>Annex</w:t>
      </w:r>
    </w:p>
    <w:p w14:paraId="4092CAA7" w14:textId="57A27C0D" w:rsidR="00BD0533" w:rsidRPr="006C6E40" w:rsidRDefault="00BD0533" w:rsidP="009654F0">
      <w:pPr>
        <w:pStyle w:val="Heading1"/>
        <w:suppressLineNumbers/>
        <w:tabs>
          <w:tab w:val="clear" w:pos="720"/>
        </w:tabs>
        <w:suppressAutoHyphens/>
        <w:kinsoku w:val="0"/>
        <w:overflowPunct w:val="0"/>
        <w:autoSpaceDE w:val="0"/>
        <w:autoSpaceDN w:val="0"/>
        <w:adjustRightInd w:val="0"/>
        <w:snapToGrid w:val="0"/>
        <w:spacing w:before="120"/>
        <w:rPr>
          <w:snapToGrid w:val="0"/>
          <w:kern w:val="22"/>
          <w:szCs w:val="22"/>
        </w:rPr>
      </w:pPr>
      <w:r w:rsidRPr="002D21DA">
        <w:rPr>
          <w:snapToGrid w:val="0"/>
          <w:kern w:val="22"/>
          <w:szCs w:val="22"/>
        </w:rPr>
        <w:t xml:space="preserve">Targets for </w:t>
      </w:r>
      <w:r w:rsidR="00EB268F" w:rsidRPr="002D21DA">
        <w:rPr>
          <w:snapToGrid w:val="0"/>
          <w:kern w:val="22"/>
          <w:szCs w:val="22"/>
        </w:rPr>
        <w:t>r</w:t>
      </w:r>
      <w:r w:rsidRPr="00332F88">
        <w:rPr>
          <w:snapToGrid w:val="0"/>
          <w:kern w:val="22"/>
          <w:szCs w:val="22"/>
        </w:rPr>
        <w:t xml:space="preserve">esource </w:t>
      </w:r>
      <w:r w:rsidR="00EB268F" w:rsidRPr="006C6E40">
        <w:rPr>
          <w:snapToGrid w:val="0"/>
          <w:kern w:val="22"/>
          <w:szCs w:val="22"/>
        </w:rPr>
        <w:t>m</w:t>
      </w:r>
      <w:r w:rsidRPr="006C6E40">
        <w:rPr>
          <w:snapToGrid w:val="0"/>
          <w:kern w:val="22"/>
          <w:szCs w:val="22"/>
        </w:rPr>
        <w:t>obilization</w:t>
      </w:r>
    </w:p>
    <w:p w14:paraId="5A753B03" w14:textId="77777777" w:rsidR="00BD0533" w:rsidRPr="006C6E40" w:rsidRDefault="00BD0533" w:rsidP="00332F88">
      <w:pPr>
        <w:suppressLineNumbers/>
        <w:suppressAutoHyphens/>
        <w:kinsoku w:val="0"/>
        <w:overflowPunct w:val="0"/>
        <w:autoSpaceDE w:val="0"/>
        <w:autoSpaceDN w:val="0"/>
        <w:adjustRightInd w:val="0"/>
        <w:snapToGrid w:val="0"/>
        <w:spacing w:after="120"/>
        <w:rPr>
          <w:snapToGrid w:val="0"/>
          <w:kern w:val="22"/>
          <w:szCs w:val="22"/>
        </w:rPr>
      </w:pPr>
      <w:r w:rsidRPr="006C6E40">
        <w:rPr>
          <w:snapToGrid w:val="0"/>
          <w:kern w:val="22"/>
          <w:szCs w:val="22"/>
        </w:rPr>
        <w:t>1.</w:t>
      </w:r>
      <w:r w:rsidRPr="006C6E40">
        <w:rPr>
          <w:snapToGrid w:val="0"/>
          <w:kern w:val="22"/>
          <w:szCs w:val="22"/>
        </w:rPr>
        <w:tab/>
        <w:t xml:space="preserve">In decision </w:t>
      </w:r>
      <w:hyperlink r:id="rId21" w:history="1">
        <w:r w:rsidRPr="006C6E40">
          <w:rPr>
            <w:rStyle w:val="Hyperlink"/>
            <w:snapToGrid w:val="0"/>
            <w:kern w:val="22"/>
            <w:sz w:val="22"/>
            <w:szCs w:val="22"/>
          </w:rPr>
          <w:t>XII/3</w:t>
        </w:r>
      </w:hyperlink>
      <w:r w:rsidRPr="002D21DA">
        <w:rPr>
          <w:snapToGrid w:val="0"/>
          <w:kern w:val="22"/>
          <w:szCs w:val="22"/>
        </w:rPr>
        <w:t>, paragraph 1, the Conference of the Parties reaffirmed its commitment to an overall substantial increase in total biodiversity-related funding for the implementation of the Strategic Plan for Biodiversity 2011–2020 from a variety of sources, and adopted the following targets for resource mobilization, under Aichi Biodiversity Target 20 of the Strategic Plan, as follows:</w:t>
      </w:r>
    </w:p>
    <w:p w14:paraId="5E65D3D4" w14:textId="77777777" w:rsidR="00BD0533" w:rsidRPr="006C6E40" w:rsidRDefault="00BD0533" w:rsidP="009654F0">
      <w:pPr>
        <w:pStyle w:val="aident"/>
        <w:numPr>
          <w:ilvl w:val="0"/>
          <w:numId w:val="37"/>
        </w:numPr>
        <w:suppressLineNumbers/>
        <w:tabs>
          <w:tab w:val="clear" w:pos="1211"/>
          <w:tab w:val="left" w:pos="720"/>
        </w:tabs>
        <w:suppressAutoHyphens/>
        <w:kinsoku w:val="0"/>
        <w:overflowPunct w:val="0"/>
        <w:adjustRightInd w:val="0"/>
        <w:ind w:left="0" w:firstLine="720"/>
        <w:rPr>
          <w:rFonts w:cs="Times New Roman"/>
          <w:kern w:val="22"/>
          <w:szCs w:val="22"/>
        </w:rPr>
      </w:pPr>
      <w:r w:rsidRPr="006C6E40">
        <w:rPr>
          <w:rFonts w:cs="Times New Roman"/>
          <w:kern w:val="22"/>
          <w:szCs w:val="22"/>
        </w:rPr>
        <w:t>Double total biodiversity-related international financial resource flows to developing countries, in particular least developed countries and small island developing States, as well as countries with economies in transition, using average annual biodiversity funding for the years 2006-2010 as a baseline, by 2015, and at least maintain this level until 2020, in accordance with Article 20 of the Convention, to contribute to the achievement of the Convention’s three objectives, including through a country-driven prioritization of biodiversity within development plans in recipient countries;</w:t>
      </w:r>
    </w:p>
    <w:p w14:paraId="037C61E2" w14:textId="77777777" w:rsidR="00BD0533" w:rsidRPr="006C6E40" w:rsidRDefault="00BD0533" w:rsidP="009654F0">
      <w:pPr>
        <w:pStyle w:val="aident"/>
        <w:numPr>
          <w:ilvl w:val="0"/>
          <w:numId w:val="37"/>
        </w:numPr>
        <w:suppressLineNumbers/>
        <w:tabs>
          <w:tab w:val="clear" w:pos="1211"/>
          <w:tab w:val="left" w:pos="720"/>
        </w:tabs>
        <w:suppressAutoHyphens/>
        <w:kinsoku w:val="0"/>
        <w:overflowPunct w:val="0"/>
        <w:adjustRightInd w:val="0"/>
        <w:ind w:left="0" w:firstLine="720"/>
        <w:rPr>
          <w:rFonts w:cs="Times New Roman"/>
          <w:kern w:val="22"/>
          <w:szCs w:val="22"/>
        </w:rPr>
      </w:pPr>
      <w:r w:rsidRPr="006C6E40">
        <w:rPr>
          <w:rFonts w:cs="Times New Roman"/>
          <w:kern w:val="22"/>
          <w:szCs w:val="22"/>
        </w:rPr>
        <w:t>Endeavour for 100 per cent, but at least 75 per cent, of Parties to have included biodiversity in their national priorities or development plans by 2015, and to have therefore made appropriate domestic financial provisions;</w:t>
      </w:r>
    </w:p>
    <w:p w14:paraId="55C3C3DD" w14:textId="77777777" w:rsidR="00BD0533" w:rsidRPr="006C6E40" w:rsidRDefault="00BD0533" w:rsidP="009654F0">
      <w:pPr>
        <w:pStyle w:val="aident"/>
        <w:numPr>
          <w:ilvl w:val="0"/>
          <w:numId w:val="37"/>
        </w:numPr>
        <w:suppressLineNumbers/>
        <w:tabs>
          <w:tab w:val="clear" w:pos="1211"/>
          <w:tab w:val="left" w:pos="720"/>
        </w:tabs>
        <w:suppressAutoHyphens/>
        <w:kinsoku w:val="0"/>
        <w:overflowPunct w:val="0"/>
        <w:adjustRightInd w:val="0"/>
        <w:ind w:left="0" w:firstLine="720"/>
        <w:rPr>
          <w:rFonts w:cs="Times New Roman"/>
          <w:kern w:val="22"/>
          <w:szCs w:val="22"/>
        </w:rPr>
      </w:pPr>
      <w:r w:rsidRPr="006C6E40">
        <w:rPr>
          <w:rFonts w:cs="Times New Roman"/>
          <w:kern w:val="22"/>
          <w:szCs w:val="22"/>
        </w:rPr>
        <w:t>Endeavour for 100 per cent, but at least 75 per cent, of Parties provided with adequate financial resources to have reported domestic biodiversity expenditures, as well as funding needs, gaps and priorities, by 2015, in order to improve the robustness of the baseline;</w:t>
      </w:r>
    </w:p>
    <w:p w14:paraId="523DC7EE" w14:textId="77777777" w:rsidR="00BD0533" w:rsidRPr="006C6E40" w:rsidRDefault="00BD0533" w:rsidP="009654F0">
      <w:pPr>
        <w:pStyle w:val="aident"/>
        <w:numPr>
          <w:ilvl w:val="0"/>
          <w:numId w:val="37"/>
        </w:numPr>
        <w:suppressLineNumbers/>
        <w:tabs>
          <w:tab w:val="clear" w:pos="1211"/>
          <w:tab w:val="left" w:pos="720"/>
        </w:tabs>
        <w:suppressAutoHyphens/>
        <w:kinsoku w:val="0"/>
        <w:overflowPunct w:val="0"/>
        <w:adjustRightInd w:val="0"/>
        <w:ind w:left="0" w:firstLine="720"/>
        <w:rPr>
          <w:rFonts w:cs="Times New Roman"/>
          <w:kern w:val="22"/>
          <w:szCs w:val="22"/>
        </w:rPr>
      </w:pPr>
      <w:r w:rsidRPr="006C6E40">
        <w:rPr>
          <w:rFonts w:cs="Times New Roman"/>
          <w:kern w:val="22"/>
          <w:szCs w:val="22"/>
        </w:rPr>
        <w:t>Endeavour for 100 per cent, but at least 75 per cent, of Parties provided with adequate financial resources to have prepared national financial plans for biodiversity by 2015, and that 30 per cent of those Parties have assessed and/or evaluated the intrinsic, ecological, genetic, socioeconomic, scientific, educational, cultural, recreational and aesthetic values of biological diversity and its components;</w:t>
      </w:r>
    </w:p>
    <w:p w14:paraId="272BDCB7" w14:textId="7FEE50F9" w:rsidR="00BD0533" w:rsidRPr="006C6E40" w:rsidRDefault="00BD0533" w:rsidP="009654F0">
      <w:pPr>
        <w:pStyle w:val="aident"/>
        <w:numPr>
          <w:ilvl w:val="0"/>
          <w:numId w:val="37"/>
        </w:numPr>
        <w:suppressLineNumbers/>
        <w:tabs>
          <w:tab w:val="clear" w:pos="1211"/>
          <w:tab w:val="left" w:pos="720"/>
        </w:tabs>
        <w:suppressAutoHyphens/>
        <w:kinsoku w:val="0"/>
        <w:overflowPunct w:val="0"/>
        <w:adjustRightInd w:val="0"/>
        <w:ind w:left="0" w:firstLine="720"/>
        <w:rPr>
          <w:rFonts w:cs="Times New Roman"/>
          <w:kern w:val="22"/>
          <w:szCs w:val="22"/>
        </w:rPr>
      </w:pPr>
      <w:r w:rsidRPr="006C6E40">
        <w:rPr>
          <w:rFonts w:cs="Times New Roman"/>
          <w:kern w:val="22"/>
          <w:szCs w:val="22"/>
        </w:rPr>
        <w:t>Mobilize domestic financial resources from all sources to reduce the gap between identified needs and available resources at domestic level, for effectively implementing by 2020 Parties’ national biodiversity strategies and action plans, in accordance with Article</w:t>
      </w:r>
      <w:r w:rsidR="006571DF">
        <w:rPr>
          <w:rFonts w:cs="Times New Roman"/>
          <w:kern w:val="22"/>
          <w:szCs w:val="22"/>
        </w:rPr>
        <w:t> </w:t>
      </w:r>
      <w:r w:rsidRPr="006C6E40">
        <w:rPr>
          <w:rFonts w:cs="Times New Roman"/>
          <w:kern w:val="22"/>
          <w:szCs w:val="22"/>
        </w:rPr>
        <w:t>20.</w:t>
      </w:r>
    </w:p>
    <w:p w14:paraId="58BF177E" w14:textId="07A24356" w:rsidR="00BD0533" w:rsidRPr="006C6E40" w:rsidRDefault="00BD0533">
      <w:pPr>
        <w:suppressLineNumbers/>
        <w:suppressAutoHyphens/>
        <w:kinsoku w:val="0"/>
        <w:overflowPunct w:val="0"/>
        <w:autoSpaceDE w:val="0"/>
        <w:autoSpaceDN w:val="0"/>
        <w:adjustRightInd w:val="0"/>
        <w:snapToGrid w:val="0"/>
        <w:spacing w:after="120"/>
        <w:rPr>
          <w:snapToGrid w:val="0"/>
          <w:kern w:val="22"/>
          <w:szCs w:val="22"/>
        </w:rPr>
      </w:pPr>
      <w:r w:rsidRPr="006C6E40">
        <w:rPr>
          <w:snapToGrid w:val="0"/>
          <w:kern w:val="22"/>
          <w:szCs w:val="22"/>
        </w:rPr>
        <w:t>2.</w:t>
      </w:r>
      <w:r w:rsidRPr="006C6E40">
        <w:rPr>
          <w:snapToGrid w:val="0"/>
          <w:kern w:val="22"/>
          <w:szCs w:val="22"/>
        </w:rPr>
        <w:tab/>
        <w:t xml:space="preserve">In paragraph 2 of the same decision, the Conference of the Parties, recalling Article 20 of the Convention, decided that the targets in subparagraphs (a) to (e) above </w:t>
      </w:r>
      <w:r w:rsidR="00FC2241">
        <w:rPr>
          <w:snapToGrid w:val="0"/>
          <w:kern w:val="22"/>
          <w:szCs w:val="22"/>
        </w:rPr>
        <w:t>were</w:t>
      </w:r>
      <w:r w:rsidR="00FC2241" w:rsidRPr="006C6E40">
        <w:rPr>
          <w:snapToGrid w:val="0"/>
          <w:kern w:val="22"/>
          <w:szCs w:val="22"/>
        </w:rPr>
        <w:t xml:space="preserve"> </w:t>
      </w:r>
      <w:r w:rsidRPr="006C6E40">
        <w:rPr>
          <w:snapToGrid w:val="0"/>
          <w:kern w:val="22"/>
          <w:szCs w:val="22"/>
        </w:rPr>
        <w:t>to be considered mutually supportive</w:t>
      </w:r>
      <w:r w:rsidR="0020747C" w:rsidRPr="006C6E40">
        <w:rPr>
          <w:snapToGrid w:val="0"/>
          <w:kern w:val="22"/>
          <w:szCs w:val="22"/>
        </w:rPr>
        <w:t>;</w:t>
      </w:r>
      <w:r w:rsidRPr="006C6E40">
        <w:rPr>
          <w:snapToGrid w:val="0"/>
          <w:kern w:val="22"/>
          <w:szCs w:val="22"/>
        </w:rPr>
        <w:t xml:space="preserve"> in paragraph 4, </w:t>
      </w:r>
      <w:r w:rsidR="00E724D9" w:rsidRPr="006C6E40">
        <w:rPr>
          <w:snapToGrid w:val="0"/>
          <w:kern w:val="22"/>
          <w:szCs w:val="22"/>
        </w:rPr>
        <w:t xml:space="preserve">it </w:t>
      </w:r>
      <w:r w:rsidRPr="006C6E40">
        <w:rPr>
          <w:snapToGrid w:val="0"/>
          <w:kern w:val="22"/>
          <w:szCs w:val="22"/>
        </w:rPr>
        <w:t>urged Parties and other Governments, with the support of international and regional organizations, to develop their national resource mobilization strategies or finance plans consistent with identified needs and priorities, using the targets for resource mobilization above as a flexible framework.</w:t>
      </w:r>
    </w:p>
    <w:p w14:paraId="67D95180" w14:textId="54154E5A" w:rsidR="00986764" w:rsidRPr="009654F0" w:rsidRDefault="00387B0B" w:rsidP="009654F0">
      <w:pPr>
        <w:pStyle w:val="Para1"/>
        <w:numPr>
          <w:ilvl w:val="0"/>
          <w:numId w:val="0"/>
        </w:numPr>
        <w:suppressLineNumbers/>
        <w:suppressAutoHyphens/>
        <w:jc w:val="center"/>
        <w:rPr>
          <w:kern w:val="22"/>
        </w:rPr>
      </w:pPr>
      <w:r w:rsidRPr="009654F0">
        <w:rPr>
          <w:kern w:val="22"/>
          <w:szCs w:val="22"/>
        </w:rPr>
        <w:t>__________</w:t>
      </w:r>
    </w:p>
    <w:sectPr w:rsidR="00986764" w:rsidRPr="009654F0" w:rsidSect="005F63FF">
      <w:headerReference w:type="even" r:id="rId22"/>
      <w:headerReference w:type="default" r:id="rId23"/>
      <w:type w:val="continuous"/>
      <w:pgSz w:w="12240" w:h="15840"/>
      <w:pgMar w:top="567" w:right="1325" w:bottom="1134" w:left="1389" w:header="563"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62A12" w16cex:dateUtc="2020-06-06T13:43:00Z"/>
  <w16cex:commentExtensible w16cex:durableId="228625EB" w16cex:dateUtc="2020-06-06T13:25:00Z"/>
  <w16cex:commentExtensible w16cex:durableId="228624E7" w16cex:dateUtc="2020-06-06T13:21:00Z"/>
  <w16cex:commentExtensible w16cex:durableId="22862C84" w16cex:dateUtc="2020-06-06T13:53:00Z"/>
  <w16cex:commentExtensible w16cex:durableId="22862CE1" w16cex:dateUtc="2020-06-06T13:55:00Z"/>
  <w16cex:commentExtensible w16cex:durableId="22862D8E" w16cex:dateUtc="2020-06-06T13: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6AD23" w14:textId="77777777" w:rsidR="00595C7C" w:rsidRDefault="00595C7C" w:rsidP="00CF1848">
      <w:r>
        <w:separator/>
      </w:r>
    </w:p>
  </w:endnote>
  <w:endnote w:type="continuationSeparator" w:id="0">
    <w:p w14:paraId="338ABE0E" w14:textId="77777777" w:rsidR="00595C7C" w:rsidRDefault="00595C7C" w:rsidP="00CF1848">
      <w:r>
        <w:continuationSeparator/>
      </w:r>
    </w:p>
  </w:endnote>
  <w:endnote w:type="continuationNotice" w:id="1">
    <w:p w14:paraId="4E553E10" w14:textId="77777777" w:rsidR="00595C7C" w:rsidRDefault="00595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46795" w14:textId="77777777" w:rsidR="00595C7C" w:rsidRDefault="00595C7C" w:rsidP="00CF1848">
      <w:r>
        <w:separator/>
      </w:r>
    </w:p>
  </w:footnote>
  <w:footnote w:type="continuationSeparator" w:id="0">
    <w:p w14:paraId="2F360519" w14:textId="77777777" w:rsidR="00595C7C" w:rsidRDefault="00595C7C" w:rsidP="00CF1848">
      <w:r>
        <w:continuationSeparator/>
      </w:r>
    </w:p>
  </w:footnote>
  <w:footnote w:type="continuationNotice" w:id="1">
    <w:p w14:paraId="1155FD47" w14:textId="77777777" w:rsidR="00595C7C" w:rsidRDefault="00595C7C"/>
  </w:footnote>
  <w:footnote w:id="2">
    <w:p w14:paraId="1C6B30CD" w14:textId="77777777" w:rsidR="00CD6005" w:rsidRPr="005455C2" w:rsidRDefault="00CD6005" w:rsidP="009654F0">
      <w:pPr>
        <w:pStyle w:val="FootnoteText"/>
        <w:suppressLineNumbers/>
        <w:suppressAutoHyphens/>
        <w:ind w:firstLine="0"/>
        <w:jc w:val="left"/>
        <w:rPr>
          <w:kern w:val="18"/>
          <w:szCs w:val="18"/>
        </w:rPr>
      </w:pPr>
      <w:r w:rsidRPr="009654F0">
        <w:rPr>
          <w:rStyle w:val="FootnoteReference"/>
          <w:kern w:val="18"/>
          <w:sz w:val="18"/>
          <w:szCs w:val="18"/>
          <w:vertAlign w:val="baseline"/>
        </w:rPr>
        <w:t>*</w:t>
      </w:r>
      <w:r w:rsidRPr="005455C2">
        <w:rPr>
          <w:kern w:val="18"/>
          <w:szCs w:val="18"/>
        </w:rPr>
        <w:t xml:space="preserve"> CBD/SBI/3/1.</w:t>
      </w:r>
    </w:p>
  </w:footnote>
  <w:footnote w:id="3">
    <w:p w14:paraId="1ED28ACC" w14:textId="2A1C15D8" w:rsidR="00CD6005" w:rsidRPr="009654F0" w:rsidRDefault="00CD6005" w:rsidP="009654F0">
      <w:pPr>
        <w:pStyle w:val="FootnoteText"/>
        <w:suppressLineNumbers/>
        <w:suppressAutoHyphens/>
        <w:ind w:firstLine="0"/>
        <w:jc w:val="left"/>
        <w:rPr>
          <w:kern w:val="18"/>
          <w:szCs w:val="18"/>
        </w:rPr>
      </w:pPr>
      <w:bookmarkStart w:id="4" w:name="_Hlk42532416"/>
      <w:r w:rsidRPr="009654F0">
        <w:rPr>
          <w:rStyle w:val="FootnoteReference"/>
          <w:kern w:val="18"/>
          <w:sz w:val="18"/>
          <w:szCs w:val="18"/>
        </w:rPr>
        <w:footnoteRef/>
      </w:r>
      <w:r w:rsidRPr="009654F0">
        <w:rPr>
          <w:kern w:val="18"/>
          <w:szCs w:val="18"/>
        </w:rPr>
        <w:t xml:space="preserve"> The full first report is provided as an information note, CBD/SBI/3/INF/2.</w:t>
      </w:r>
      <w:bookmarkEnd w:id="4"/>
      <w:r w:rsidR="0050581D" w:rsidRPr="009654F0">
        <w:rPr>
          <w:kern w:val="18"/>
          <w:szCs w:val="18"/>
        </w:rPr>
        <w:t xml:space="preserve"> The panel’s second and third reports will be made available in CBD/SBI/3/5/Add.2 and CBD/SBI/3/5/Add.3.</w:t>
      </w:r>
    </w:p>
  </w:footnote>
  <w:footnote w:id="4">
    <w:p w14:paraId="121A6BB7" w14:textId="04B17EDF" w:rsidR="00CD6005" w:rsidRPr="009654F0" w:rsidRDefault="00CD6005" w:rsidP="009654F0">
      <w:pPr>
        <w:pStyle w:val="FootnoteText"/>
        <w:suppressLineNumbers/>
        <w:suppressAutoHyphens/>
        <w:ind w:firstLine="0"/>
        <w:jc w:val="left"/>
        <w:rPr>
          <w:kern w:val="18"/>
          <w:szCs w:val="18"/>
        </w:rPr>
      </w:pPr>
      <w:r w:rsidRPr="009654F0">
        <w:rPr>
          <w:rStyle w:val="FootnoteReference"/>
          <w:kern w:val="18"/>
          <w:sz w:val="18"/>
          <w:szCs w:val="18"/>
        </w:rPr>
        <w:footnoteRef/>
      </w:r>
      <w:r w:rsidRPr="009654F0">
        <w:rPr>
          <w:kern w:val="18"/>
          <w:szCs w:val="18"/>
        </w:rPr>
        <w:t xml:space="preserve"> Decision IX/11 B.</w:t>
      </w:r>
    </w:p>
  </w:footnote>
  <w:footnote w:id="5">
    <w:p w14:paraId="6611A185" w14:textId="3C7A165F" w:rsidR="00CD6005" w:rsidRPr="009654F0" w:rsidRDefault="00CD6005" w:rsidP="009654F0">
      <w:pPr>
        <w:pStyle w:val="FootnoteText"/>
        <w:suppressLineNumbers/>
        <w:suppressAutoHyphens/>
        <w:ind w:firstLine="0"/>
        <w:jc w:val="left"/>
        <w:rPr>
          <w:kern w:val="18"/>
          <w:szCs w:val="18"/>
        </w:rPr>
      </w:pPr>
      <w:r w:rsidRPr="009654F0">
        <w:rPr>
          <w:rStyle w:val="FootnoteReference"/>
          <w:kern w:val="18"/>
          <w:sz w:val="18"/>
          <w:szCs w:val="18"/>
        </w:rPr>
        <w:footnoteRef/>
      </w:r>
      <w:r w:rsidRPr="009654F0">
        <w:rPr>
          <w:kern w:val="18"/>
          <w:szCs w:val="18"/>
        </w:rPr>
        <w:t xml:space="preserve"> Aichi Biodiversity Target 20 deals with resource mobilization and states: </w:t>
      </w:r>
      <w:r w:rsidRPr="009654F0">
        <w:rPr>
          <w:b/>
          <w:kern w:val="18"/>
          <w:szCs w:val="18"/>
        </w:rPr>
        <w:t>“</w:t>
      </w:r>
      <w:r w:rsidRPr="009654F0">
        <w:rPr>
          <w:kern w:val="18"/>
          <w:szCs w:val="18"/>
        </w:rPr>
        <w:t>By 2020, at the latest, the mobilization of financial resources for effectively implementing the Strategic Plan for Biodiversity 2011-2020 from all sources, and in accordance with the consolidated and agreed process in the strategy for resource mobilization, should increase substantially from the current levels. This target will be subject to changes contingent to resource needs assessments to be developed and reported by Parties”.</w:t>
      </w:r>
    </w:p>
  </w:footnote>
  <w:footnote w:id="6">
    <w:p w14:paraId="7789CF73" w14:textId="50D99A40" w:rsidR="00CD6005" w:rsidRPr="009654F0" w:rsidRDefault="00CD6005" w:rsidP="009654F0">
      <w:pPr>
        <w:pStyle w:val="FootnoteText"/>
        <w:suppressLineNumbers/>
        <w:suppressAutoHyphens/>
        <w:ind w:firstLine="0"/>
        <w:jc w:val="left"/>
        <w:rPr>
          <w:kern w:val="18"/>
          <w:szCs w:val="18"/>
        </w:rPr>
      </w:pPr>
      <w:r w:rsidRPr="009654F0">
        <w:rPr>
          <w:rStyle w:val="FootnoteReference"/>
          <w:kern w:val="18"/>
          <w:sz w:val="18"/>
          <w:szCs w:val="18"/>
        </w:rPr>
        <w:footnoteRef/>
      </w:r>
      <w:r w:rsidRPr="009654F0">
        <w:rPr>
          <w:kern w:val="18"/>
          <w:szCs w:val="18"/>
        </w:rPr>
        <w:t xml:space="preserve"> Decision XII/3.</w:t>
      </w:r>
    </w:p>
  </w:footnote>
  <w:footnote w:id="7">
    <w:p w14:paraId="4CF78EB2" w14:textId="620FC7A5" w:rsidR="00CD6005" w:rsidRPr="005455C2" w:rsidRDefault="00CD6005" w:rsidP="009654F0">
      <w:pPr>
        <w:pStyle w:val="FootnoteText"/>
        <w:suppressLineNumbers/>
        <w:suppressAutoHyphens/>
        <w:ind w:firstLine="0"/>
        <w:jc w:val="left"/>
        <w:rPr>
          <w:kern w:val="18"/>
          <w:szCs w:val="18"/>
        </w:rPr>
      </w:pPr>
      <w:r w:rsidRPr="009654F0">
        <w:rPr>
          <w:rStyle w:val="FootnoteReference"/>
          <w:kern w:val="18"/>
          <w:sz w:val="18"/>
          <w:szCs w:val="18"/>
        </w:rPr>
        <w:footnoteRef/>
      </w:r>
      <w:r w:rsidRPr="009654F0">
        <w:rPr>
          <w:kern w:val="18"/>
          <w:szCs w:val="18"/>
        </w:rPr>
        <w:t xml:space="preserve"> CBD High-Level Panel (2014). </w:t>
      </w:r>
      <w:r w:rsidRPr="005455C2">
        <w:rPr>
          <w:i/>
          <w:kern w:val="18"/>
          <w:szCs w:val="18"/>
        </w:rPr>
        <w:t>Resourcing the Aichi Biodiversity Targets, An Assessment of Benefits, Investments and Resource needs for Implementing the Strategic Plan for Biodiversity 2011-2020.</w:t>
      </w:r>
      <w:r w:rsidRPr="005455C2">
        <w:rPr>
          <w:iCs/>
          <w:kern w:val="18"/>
          <w:szCs w:val="18"/>
        </w:rPr>
        <w:t xml:space="preserve"> Second Report of the High-Level Panel on Global Assessment of Resources for Implementing the Strategic Plan for Biodiversity 2011-2020</w:t>
      </w:r>
      <w:r w:rsidRPr="005455C2">
        <w:rPr>
          <w:kern w:val="18"/>
          <w:szCs w:val="18"/>
        </w:rPr>
        <w:t>. Montreal, Canada.</w:t>
      </w:r>
    </w:p>
    <w:p w14:paraId="6FE059B9" w14:textId="77777777" w:rsidR="00CD6005" w:rsidRPr="009654F0" w:rsidRDefault="00CD6005" w:rsidP="009654F0">
      <w:pPr>
        <w:pStyle w:val="FootnoteText"/>
        <w:suppressLineNumbers/>
        <w:suppressAutoHyphens/>
        <w:ind w:firstLine="0"/>
        <w:jc w:val="left"/>
        <w:rPr>
          <w:kern w:val="18"/>
          <w:szCs w:val="18"/>
        </w:rPr>
      </w:pPr>
    </w:p>
  </w:footnote>
  <w:footnote w:id="8">
    <w:p w14:paraId="4CDDA26C" w14:textId="634650F4" w:rsidR="00CD6005" w:rsidRPr="009654F0" w:rsidRDefault="00CD6005" w:rsidP="009654F0">
      <w:pPr>
        <w:pStyle w:val="FootnoteText"/>
        <w:suppressLineNumbers/>
        <w:suppressAutoHyphens/>
        <w:ind w:firstLine="0"/>
        <w:jc w:val="left"/>
        <w:rPr>
          <w:kern w:val="18"/>
          <w:szCs w:val="18"/>
        </w:rPr>
      </w:pPr>
      <w:r w:rsidRPr="009654F0">
        <w:rPr>
          <w:rStyle w:val="FootnoteReference"/>
          <w:kern w:val="18"/>
          <w:sz w:val="18"/>
          <w:szCs w:val="18"/>
        </w:rPr>
        <w:footnoteRef/>
      </w:r>
      <w:r w:rsidRPr="009654F0">
        <w:rPr>
          <w:kern w:val="18"/>
          <w:szCs w:val="18"/>
        </w:rPr>
        <w:t xml:space="preserve"> Numbers quoted above are taken from the online financial reporting analyser, reflecting recent updates received (</w:t>
      </w:r>
      <w:hyperlink r:id="rId1" w:history="1">
        <w:r w:rsidRPr="009654F0">
          <w:rPr>
            <w:rStyle w:val="Hyperlink"/>
            <w:kern w:val="18"/>
            <w:szCs w:val="18"/>
          </w:rPr>
          <w:t>https://chm.cbd.int/search/financial-analyzer</w:t>
        </w:r>
      </w:hyperlink>
      <w:r w:rsidRPr="009654F0">
        <w:rPr>
          <w:kern w:val="18"/>
          <w:szCs w:val="18"/>
        </w:rPr>
        <w:t>). See discussion below for more information on progress in financial reporting.</w:t>
      </w:r>
    </w:p>
  </w:footnote>
  <w:footnote w:id="9">
    <w:p w14:paraId="18B5BE2F" w14:textId="46FF6496" w:rsidR="00CD6005" w:rsidRPr="005455C2" w:rsidRDefault="00CD6005" w:rsidP="009654F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455C2">
        <w:rPr>
          <w:rStyle w:val="FootnoteReference"/>
          <w:snapToGrid w:val="0"/>
          <w:kern w:val="18"/>
          <w:sz w:val="18"/>
          <w:szCs w:val="18"/>
        </w:rPr>
        <w:footnoteRef/>
      </w:r>
      <w:r w:rsidRPr="005455C2">
        <w:rPr>
          <w:snapToGrid w:val="0"/>
          <w:kern w:val="18"/>
          <w:szCs w:val="18"/>
        </w:rPr>
        <w:t xml:space="preserve"> See </w:t>
      </w:r>
      <w:hyperlink r:id="rId2" w:history="1">
        <w:r w:rsidRPr="005455C2">
          <w:rPr>
            <w:rStyle w:val="Hyperlink"/>
            <w:snapToGrid w:val="0"/>
            <w:kern w:val="18"/>
            <w:szCs w:val="18"/>
          </w:rPr>
          <w:t>CBD/COP/14/5/Add.1</w:t>
        </w:r>
      </w:hyperlink>
      <w:r w:rsidRPr="005455C2">
        <w:rPr>
          <w:snapToGrid w:val="0"/>
          <w:kern w:val="18"/>
          <w:szCs w:val="18"/>
        </w:rPr>
        <w:t xml:space="preserve"> and examples contained therein.</w:t>
      </w:r>
    </w:p>
  </w:footnote>
  <w:footnote w:id="10">
    <w:p w14:paraId="04FAC272" w14:textId="0CF82AEE" w:rsidR="00CD6005" w:rsidRPr="009654F0" w:rsidRDefault="00CD6005" w:rsidP="009654F0">
      <w:pPr>
        <w:pStyle w:val="FootnoteText"/>
        <w:suppressLineNumbers/>
        <w:suppressAutoHyphens/>
        <w:ind w:firstLine="0"/>
        <w:jc w:val="left"/>
        <w:rPr>
          <w:kern w:val="18"/>
          <w:szCs w:val="18"/>
        </w:rPr>
      </w:pPr>
      <w:r w:rsidRPr="009654F0">
        <w:rPr>
          <w:rStyle w:val="FootnoteReference"/>
          <w:kern w:val="18"/>
          <w:sz w:val="18"/>
          <w:szCs w:val="18"/>
        </w:rPr>
        <w:footnoteRef/>
      </w:r>
      <w:r w:rsidRPr="009654F0">
        <w:rPr>
          <w:kern w:val="18"/>
          <w:szCs w:val="18"/>
        </w:rPr>
        <w:t xml:space="preserve"> WAVES (Wealth Accounting and the Valuation of Ecosystem Services) is a World Bank-led global partnership “that aims to promote sustainable development by ensuring that natural resources are mainstreamed in development planning and national economic accounts” (</w:t>
      </w:r>
      <w:hyperlink r:id="rId3" w:history="1">
        <w:r w:rsidRPr="009654F0">
          <w:rPr>
            <w:rStyle w:val="Hyperlink"/>
            <w:kern w:val="18"/>
            <w:szCs w:val="18"/>
          </w:rPr>
          <w:t>https://www.wavespartnership.org/en</w:t>
        </w:r>
      </w:hyperlink>
      <w:r w:rsidRPr="009654F0">
        <w:rPr>
          <w:kern w:val="18"/>
          <w:szCs w:val="18"/>
        </w:rPr>
        <w:t>).</w:t>
      </w:r>
    </w:p>
  </w:footnote>
  <w:footnote w:id="11">
    <w:p w14:paraId="5BD4448F" w14:textId="0157185C" w:rsidR="00CD6005" w:rsidRPr="005455C2" w:rsidRDefault="00CD6005" w:rsidP="00332F88">
      <w:pPr>
        <w:pStyle w:val="FootnoteText"/>
        <w:suppressLineNumbers/>
        <w:suppressAutoHyphens/>
        <w:ind w:firstLine="0"/>
        <w:jc w:val="left"/>
        <w:rPr>
          <w:rFonts w:asciiTheme="minorHAnsi" w:hAnsiTheme="minorHAnsi" w:cstheme="minorBidi"/>
          <w:kern w:val="18"/>
          <w:szCs w:val="18"/>
        </w:rPr>
      </w:pPr>
      <w:r w:rsidRPr="005455C2">
        <w:rPr>
          <w:rStyle w:val="FootnoteReference"/>
          <w:kern w:val="18"/>
          <w:sz w:val="18"/>
          <w:szCs w:val="18"/>
        </w:rPr>
        <w:footnoteRef/>
      </w:r>
      <w:r w:rsidRPr="005455C2">
        <w:rPr>
          <w:kern w:val="18"/>
          <w:szCs w:val="18"/>
        </w:rPr>
        <w:t xml:space="preserve"> </w:t>
      </w:r>
      <w:hyperlink r:id="rId4" w:history="1">
        <w:r w:rsidRPr="005455C2">
          <w:rPr>
            <w:rStyle w:val="Hyperlink"/>
            <w:kern w:val="18"/>
            <w:szCs w:val="18"/>
          </w:rPr>
          <w:t>https://ec.europa.eu/environment/nature/biodiversity/financing_en.htm</w:t>
        </w:r>
      </w:hyperlink>
      <w:r w:rsidRPr="005455C2">
        <w:rPr>
          <w:kern w:val="18"/>
          <w:szCs w:val="18"/>
        </w:rPr>
        <w:t>.</w:t>
      </w:r>
    </w:p>
  </w:footnote>
  <w:footnote w:id="12">
    <w:p w14:paraId="7FEFAF03" w14:textId="054E3760" w:rsidR="00CD6005" w:rsidRPr="005455C2" w:rsidRDefault="00CD6005" w:rsidP="0011290F">
      <w:pPr>
        <w:pStyle w:val="FootnoteText"/>
        <w:suppressLineNumbers/>
        <w:suppressAutoHyphens/>
        <w:ind w:firstLine="0"/>
        <w:jc w:val="left"/>
        <w:rPr>
          <w:kern w:val="18"/>
          <w:szCs w:val="18"/>
        </w:rPr>
      </w:pPr>
      <w:r w:rsidRPr="005455C2">
        <w:rPr>
          <w:rStyle w:val="FootnoteReference"/>
          <w:kern w:val="18"/>
          <w:sz w:val="18"/>
          <w:szCs w:val="18"/>
        </w:rPr>
        <w:footnoteRef/>
      </w:r>
      <w:r w:rsidRPr="005455C2">
        <w:rPr>
          <w:kern w:val="18"/>
          <w:szCs w:val="18"/>
        </w:rPr>
        <w:t xml:space="preserve"> </w:t>
      </w:r>
      <w:hyperlink r:id="rId5" w:history="1">
        <w:r w:rsidRPr="005455C2">
          <w:rPr>
            <w:rStyle w:val="Hyperlink"/>
            <w:kern w:val="18"/>
            <w:szCs w:val="18"/>
          </w:rPr>
          <w:t>https://www.thegef.org/topics/biodiversity</w:t>
        </w:r>
      </w:hyperlink>
      <w:r w:rsidRPr="005455C2">
        <w:rPr>
          <w:kern w:val="18"/>
          <w:szCs w:val="18"/>
        </w:rPr>
        <w:t>.</w:t>
      </w:r>
    </w:p>
  </w:footnote>
  <w:footnote w:id="13">
    <w:p w14:paraId="142DD537" w14:textId="2280040B" w:rsidR="00CD6005" w:rsidRPr="005455C2" w:rsidRDefault="00CD6005" w:rsidP="00B0436C">
      <w:pPr>
        <w:pStyle w:val="FootnoteText"/>
        <w:suppressLineNumbers/>
        <w:suppressAutoHyphens/>
        <w:ind w:firstLine="0"/>
        <w:jc w:val="left"/>
        <w:rPr>
          <w:rFonts w:asciiTheme="minorHAnsi" w:hAnsiTheme="minorHAnsi" w:cstheme="minorBidi"/>
          <w:kern w:val="18"/>
          <w:szCs w:val="18"/>
        </w:rPr>
      </w:pPr>
      <w:r w:rsidRPr="005455C2">
        <w:rPr>
          <w:rStyle w:val="FootnoteReference"/>
          <w:kern w:val="18"/>
          <w:sz w:val="18"/>
          <w:szCs w:val="18"/>
        </w:rPr>
        <w:footnoteRef/>
      </w:r>
      <w:r w:rsidRPr="005455C2">
        <w:rPr>
          <w:kern w:val="18"/>
          <w:szCs w:val="18"/>
        </w:rPr>
        <w:t xml:space="preserve"> </w:t>
      </w:r>
      <w:hyperlink r:id="rId6" w:history="1">
        <w:r w:rsidRPr="005455C2">
          <w:rPr>
            <w:rStyle w:val="Hyperlink"/>
            <w:kern w:val="18"/>
            <w:szCs w:val="18"/>
          </w:rPr>
          <w:t>https://www.thegef.org/sites/default/files/council-meeting-documents/c-53-me-inf-01%20-%20DEC17.pdf</w:t>
        </w:r>
      </w:hyperlink>
      <w:r w:rsidRPr="005455C2">
        <w:rPr>
          <w:kern w:val="18"/>
          <w:szCs w:val="18"/>
        </w:rPr>
        <w:t>.</w:t>
      </w:r>
    </w:p>
  </w:footnote>
  <w:footnote w:id="14">
    <w:p w14:paraId="17642D6C" w14:textId="2D017592" w:rsidR="00CD6005" w:rsidRPr="005455C2" w:rsidRDefault="00CD6005" w:rsidP="006B03D2">
      <w:pPr>
        <w:pStyle w:val="FootnoteText"/>
        <w:suppressLineNumbers/>
        <w:suppressAutoHyphens/>
        <w:ind w:firstLine="0"/>
        <w:jc w:val="left"/>
        <w:rPr>
          <w:rFonts w:asciiTheme="minorHAnsi" w:hAnsiTheme="minorHAnsi" w:cstheme="minorBidi"/>
          <w:kern w:val="18"/>
          <w:szCs w:val="18"/>
        </w:rPr>
      </w:pPr>
      <w:r w:rsidRPr="005455C2">
        <w:rPr>
          <w:rStyle w:val="FootnoteReference"/>
          <w:kern w:val="18"/>
          <w:sz w:val="18"/>
          <w:szCs w:val="18"/>
        </w:rPr>
        <w:footnoteRef/>
      </w:r>
      <w:r w:rsidRPr="005455C2">
        <w:rPr>
          <w:kern w:val="18"/>
          <w:szCs w:val="18"/>
        </w:rPr>
        <w:t xml:space="preserve"> </w:t>
      </w:r>
      <w:hyperlink r:id="rId7" w:history="1">
        <w:r w:rsidRPr="005455C2">
          <w:rPr>
            <w:rStyle w:val="Hyperlink"/>
            <w:kern w:val="18"/>
            <w:szCs w:val="18"/>
          </w:rPr>
          <w:t>https://www.oecd.org/environment/resources/biodiversity/report-a-comprehensive-overview-of-global-biodiversity-finance.pdf</w:t>
        </w:r>
      </w:hyperlink>
      <w:r w:rsidRPr="005455C2">
        <w:rPr>
          <w:kern w:val="18"/>
          <w:szCs w:val="18"/>
        </w:rPr>
        <w:t>.</w:t>
      </w:r>
    </w:p>
  </w:footnote>
  <w:footnote w:id="15">
    <w:p w14:paraId="09130AC3" w14:textId="6711A66F" w:rsidR="00CD6005" w:rsidRPr="005455C2" w:rsidRDefault="00CD6005">
      <w:pPr>
        <w:keepLines/>
        <w:suppressLineNumbers/>
        <w:suppressAutoHyphens/>
        <w:spacing w:after="60"/>
        <w:jc w:val="left"/>
        <w:rPr>
          <w:rFonts w:cs="Calibri"/>
          <w:kern w:val="18"/>
          <w:sz w:val="18"/>
          <w:szCs w:val="18"/>
        </w:rPr>
      </w:pPr>
      <w:r w:rsidRPr="005455C2">
        <w:rPr>
          <w:kern w:val="18"/>
          <w:sz w:val="18"/>
          <w:szCs w:val="18"/>
          <w:vertAlign w:val="superscript"/>
        </w:rPr>
        <w:footnoteRef/>
      </w:r>
      <w:r w:rsidRPr="005455C2">
        <w:rPr>
          <w:rFonts w:cs="Calibri"/>
          <w:kern w:val="18"/>
          <w:sz w:val="18"/>
          <w:szCs w:val="18"/>
        </w:rPr>
        <w:t xml:space="preserve"> Cf. Eliasch (2008). (Reference information for this and the next four footnotes is found in the UBC group’s submission.)</w:t>
      </w:r>
    </w:p>
  </w:footnote>
  <w:footnote w:id="16">
    <w:p w14:paraId="3A90913D" w14:textId="07D868BC" w:rsidR="00CD6005" w:rsidRPr="005455C2" w:rsidRDefault="00CD6005">
      <w:pPr>
        <w:keepLines/>
        <w:suppressLineNumbers/>
        <w:suppressAutoHyphens/>
        <w:spacing w:after="60"/>
        <w:jc w:val="left"/>
        <w:rPr>
          <w:rFonts w:cs="Calibri"/>
          <w:kern w:val="18"/>
          <w:sz w:val="18"/>
          <w:szCs w:val="18"/>
        </w:rPr>
      </w:pPr>
      <w:r w:rsidRPr="005455C2">
        <w:rPr>
          <w:kern w:val="18"/>
          <w:sz w:val="18"/>
          <w:szCs w:val="18"/>
          <w:vertAlign w:val="superscript"/>
        </w:rPr>
        <w:footnoteRef/>
      </w:r>
      <w:r w:rsidRPr="005455C2">
        <w:rPr>
          <w:rFonts w:cs="Calibri"/>
          <w:kern w:val="18"/>
          <w:sz w:val="18"/>
          <w:szCs w:val="18"/>
        </w:rPr>
        <w:t xml:space="preserve"> Cf. Hamrick </w:t>
      </w:r>
      <w:r w:rsidR="005555FA" w:rsidRPr="005455C2">
        <w:rPr>
          <w:rFonts w:cs="Calibri"/>
          <w:kern w:val="18"/>
          <w:sz w:val="18"/>
          <w:szCs w:val="18"/>
        </w:rPr>
        <w:t>and</w:t>
      </w:r>
      <w:r w:rsidRPr="005455C2">
        <w:rPr>
          <w:rFonts w:cs="Calibri"/>
          <w:kern w:val="18"/>
          <w:sz w:val="18"/>
          <w:szCs w:val="18"/>
        </w:rPr>
        <w:t xml:space="preserve"> Grant (2017). This figure cited for 2016 excludes revenue from the Australian Emissions Reduction Fund, which transacted US$ 509.5 million dollars</w:t>
      </w:r>
      <w:r w:rsidR="000D56DC" w:rsidRPr="005455C2">
        <w:rPr>
          <w:rFonts w:cs="Calibri"/>
          <w:kern w:val="18"/>
          <w:sz w:val="18"/>
          <w:szCs w:val="18"/>
        </w:rPr>
        <w:t>,</w:t>
      </w:r>
      <w:r w:rsidRPr="005455C2">
        <w:rPr>
          <w:rFonts w:cs="Calibri"/>
          <w:kern w:val="18"/>
          <w:sz w:val="18"/>
          <w:szCs w:val="18"/>
        </w:rPr>
        <w:t xml:space="preserve"> </w:t>
      </w:r>
      <w:r w:rsidR="000D56DC" w:rsidRPr="005455C2">
        <w:rPr>
          <w:rFonts w:cs="Calibri"/>
          <w:kern w:val="18"/>
          <w:sz w:val="18"/>
          <w:szCs w:val="18"/>
        </w:rPr>
        <w:t>b</w:t>
      </w:r>
      <w:r w:rsidRPr="005455C2">
        <w:rPr>
          <w:rFonts w:cs="Calibri"/>
          <w:kern w:val="18"/>
          <w:sz w:val="18"/>
          <w:szCs w:val="18"/>
        </w:rPr>
        <w:t xml:space="preserve">ut it is a not a traditional market as there is only one buyer, the </w:t>
      </w:r>
      <w:r w:rsidR="005455C2" w:rsidRPr="005455C2">
        <w:rPr>
          <w:rFonts w:cs="Calibri"/>
          <w:kern w:val="18"/>
          <w:sz w:val="18"/>
          <w:szCs w:val="18"/>
        </w:rPr>
        <w:t>G</w:t>
      </w:r>
      <w:r w:rsidRPr="005455C2">
        <w:rPr>
          <w:rFonts w:cs="Calibri"/>
          <w:kern w:val="18"/>
          <w:sz w:val="18"/>
          <w:szCs w:val="18"/>
        </w:rPr>
        <w:t xml:space="preserve">overnment </w:t>
      </w:r>
      <w:r w:rsidR="005455C2" w:rsidRPr="005455C2">
        <w:rPr>
          <w:rFonts w:cs="Calibri"/>
          <w:kern w:val="18"/>
          <w:sz w:val="18"/>
          <w:szCs w:val="18"/>
        </w:rPr>
        <w:t xml:space="preserve">of Australia, </w:t>
      </w:r>
      <w:r w:rsidRPr="005455C2">
        <w:rPr>
          <w:rFonts w:cs="Calibri"/>
          <w:kern w:val="18"/>
          <w:sz w:val="18"/>
          <w:szCs w:val="18"/>
        </w:rPr>
        <w:t>wh</w:t>
      </w:r>
      <w:r w:rsidR="005455C2" w:rsidRPr="005455C2">
        <w:rPr>
          <w:rFonts w:cs="Calibri"/>
          <w:kern w:val="18"/>
          <w:sz w:val="18"/>
          <w:szCs w:val="18"/>
        </w:rPr>
        <w:t>ich</w:t>
      </w:r>
      <w:r w:rsidRPr="005455C2">
        <w:rPr>
          <w:rFonts w:cs="Calibri"/>
          <w:kern w:val="18"/>
          <w:sz w:val="18"/>
          <w:szCs w:val="18"/>
        </w:rPr>
        <w:t xml:space="preserve"> awards emission reduction contracts by reverse auction.</w:t>
      </w:r>
    </w:p>
  </w:footnote>
  <w:footnote w:id="17">
    <w:p w14:paraId="7442A394" w14:textId="1436A993" w:rsidR="00CD6005" w:rsidRPr="00DC5E81" w:rsidRDefault="00CD6005">
      <w:pPr>
        <w:keepLines/>
        <w:suppressLineNumbers/>
        <w:suppressAutoHyphens/>
        <w:spacing w:after="60"/>
        <w:jc w:val="left"/>
        <w:rPr>
          <w:rFonts w:cs="Calibri"/>
          <w:kern w:val="18"/>
          <w:sz w:val="18"/>
          <w:szCs w:val="18"/>
          <w:lang w:val="fr-FR"/>
        </w:rPr>
      </w:pPr>
      <w:r w:rsidRPr="005455C2">
        <w:rPr>
          <w:kern w:val="18"/>
          <w:sz w:val="18"/>
          <w:szCs w:val="18"/>
          <w:vertAlign w:val="superscript"/>
        </w:rPr>
        <w:footnoteRef/>
      </w:r>
      <w:r w:rsidRPr="00DC5E81">
        <w:rPr>
          <w:rFonts w:cs="Calibri"/>
          <w:kern w:val="18"/>
          <w:sz w:val="18"/>
          <w:szCs w:val="18"/>
          <w:lang w:val="fr-FR"/>
        </w:rPr>
        <w:t xml:space="preserve"> Parker, C. et al. (2012).</w:t>
      </w:r>
    </w:p>
  </w:footnote>
  <w:footnote w:id="18">
    <w:p w14:paraId="5CBB1FAE" w14:textId="10142580" w:rsidR="00CD6005" w:rsidRPr="00DC5E81" w:rsidRDefault="00CD6005">
      <w:pPr>
        <w:keepLines/>
        <w:suppressLineNumbers/>
        <w:suppressAutoHyphens/>
        <w:spacing w:after="60"/>
        <w:jc w:val="left"/>
        <w:rPr>
          <w:rFonts w:cs="Calibri"/>
          <w:kern w:val="18"/>
          <w:sz w:val="18"/>
          <w:szCs w:val="18"/>
          <w:lang w:val="fr-FR"/>
        </w:rPr>
      </w:pPr>
      <w:r w:rsidRPr="005455C2">
        <w:rPr>
          <w:kern w:val="18"/>
          <w:sz w:val="18"/>
          <w:szCs w:val="18"/>
          <w:vertAlign w:val="superscript"/>
        </w:rPr>
        <w:footnoteRef/>
      </w:r>
      <w:r w:rsidRPr="00DC5E81">
        <w:rPr>
          <w:rFonts w:cs="Calibri"/>
          <w:kern w:val="18"/>
          <w:sz w:val="18"/>
          <w:szCs w:val="18"/>
          <w:lang w:val="fr-FR"/>
        </w:rPr>
        <w:t xml:space="preserve"> Conservation Finance Alliance (2014),</w:t>
      </w:r>
      <w:r w:rsidRPr="00DC5E81">
        <w:rPr>
          <w:rFonts w:cs="Calibri"/>
          <w:i/>
          <w:kern w:val="18"/>
          <w:sz w:val="18"/>
          <w:szCs w:val="18"/>
          <w:lang w:val="fr-FR"/>
        </w:rPr>
        <w:t xml:space="preserve"> </w:t>
      </w:r>
      <w:r w:rsidRPr="00DC5E81">
        <w:rPr>
          <w:rFonts w:cs="Calibri"/>
          <w:kern w:val="18"/>
          <w:sz w:val="18"/>
          <w:szCs w:val="18"/>
          <w:lang w:val="fr-FR"/>
        </w:rPr>
        <w:t>p.</w:t>
      </w:r>
      <w:r w:rsidR="00696482" w:rsidRPr="00DC5E81">
        <w:rPr>
          <w:rFonts w:cs="Calibri"/>
          <w:kern w:val="18"/>
          <w:sz w:val="18"/>
          <w:szCs w:val="18"/>
          <w:lang w:val="fr-FR"/>
        </w:rPr>
        <w:t> </w:t>
      </w:r>
      <w:r w:rsidRPr="00DC5E81">
        <w:rPr>
          <w:rFonts w:cs="Calibri"/>
          <w:kern w:val="18"/>
          <w:sz w:val="18"/>
          <w:szCs w:val="18"/>
          <w:lang w:val="fr-FR"/>
        </w:rPr>
        <w:t>4.</w:t>
      </w:r>
    </w:p>
  </w:footnote>
  <w:footnote w:id="19">
    <w:p w14:paraId="11BB2CFB" w14:textId="6FEF62B5" w:rsidR="00CD6005" w:rsidRPr="009654F0" w:rsidRDefault="00CD6005">
      <w:pPr>
        <w:keepLines/>
        <w:suppressLineNumbers/>
        <w:suppressAutoHyphens/>
        <w:spacing w:after="60"/>
        <w:jc w:val="left"/>
        <w:rPr>
          <w:rFonts w:cs="Calibri"/>
          <w:kern w:val="18"/>
          <w:sz w:val="18"/>
          <w:szCs w:val="18"/>
        </w:rPr>
      </w:pPr>
      <w:r w:rsidRPr="005455C2">
        <w:rPr>
          <w:kern w:val="18"/>
          <w:sz w:val="18"/>
          <w:szCs w:val="18"/>
          <w:vertAlign w:val="superscript"/>
        </w:rPr>
        <w:footnoteRef/>
      </w:r>
      <w:r w:rsidRPr="009654F0">
        <w:rPr>
          <w:rFonts w:cs="Calibri"/>
          <w:kern w:val="18"/>
          <w:sz w:val="18"/>
          <w:szCs w:val="18"/>
        </w:rPr>
        <w:t xml:space="preserve"> </w:t>
      </w:r>
      <w:proofErr w:type="spellStart"/>
      <w:r w:rsidRPr="009654F0">
        <w:rPr>
          <w:rFonts w:cs="Calibri"/>
          <w:kern w:val="18"/>
          <w:sz w:val="18"/>
          <w:szCs w:val="18"/>
        </w:rPr>
        <w:t>NatureVest</w:t>
      </w:r>
      <w:proofErr w:type="spellEnd"/>
      <w:r w:rsidRPr="009654F0">
        <w:rPr>
          <w:rFonts w:cs="Calibri"/>
          <w:kern w:val="18"/>
          <w:sz w:val="18"/>
          <w:szCs w:val="18"/>
        </w:rPr>
        <w:t xml:space="preserve"> </w:t>
      </w:r>
      <w:r w:rsidR="00CF7C1C" w:rsidRPr="009654F0">
        <w:rPr>
          <w:rFonts w:cs="Calibri"/>
          <w:kern w:val="18"/>
          <w:sz w:val="18"/>
          <w:szCs w:val="18"/>
        </w:rPr>
        <w:t>and</w:t>
      </w:r>
      <w:r w:rsidRPr="009654F0">
        <w:rPr>
          <w:rFonts w:cs="Calibri"/>
          <w:kern w:val="18"/>
          <w:sz w:val="18"/>
          <w:szCs w:val="18"/>
        </w:rPr>
        <w:t xml:space="preserve"> EKO Asset Management Partners (2014), p. 12.</w:t>
      </w:r>
    </w:p>
  </w:footnote>
  <w:footnote w:id="20">
    <w:p w14:paraId="42992F88" w14:textId="4DAAB755" w:rsidR="00CD6005" w:rsidRPr="009654F0" w:rsidRDefault="00CD6005">
      <w:pPr>
        <w:pStyle w:val="FootnoteText"/>
        <w:suppressLineNumbers/>
        <w:suppressAutoHyphens/>
        <w:ind w:firstLine="0"/>
        <w:jc w:val="left"/>
        <w:rPr>
          <w:rFonts w:asciiTheme="minorHAnsi" w:hAnsiTheme="minorHAnsi" w:cstheme="minorBidi"/>
          <w:kern w:val="18"/>
          <w:szCs w:val="18"/>
        </w:rPr>
      </w:pPr>
      <w:r w:rsidRPr="005455C2">
        <w:rPr>
          <w:rStyle w:val="FootnoteReference"/>
          <w:kern w:val="18"/>
          <w:sz w:val="18"/>
          <w:szCs w:val="18"/>
        </w:rPr>
        <w:footnoteRef/>
      </w:r>
      <w:r w:rsidRPr="009654F0">
        <w:rPr>
          <w:kern w:val="18"/>
          <w:szCs w:val="18"/>
        </w:rPr>
        <w:t xml:space="preserve"> </w:t>
      </w:r>
      <w:hyperlink r:id="rId8" w:history="1">
        <w:r w:rsidRPr="009654F0">
          <w:rPr>
            <w:rStyle w:val="Hyperlink"/>
            <w:kern w:val="18"/>
            <w:szCs w:val="18"/>
          </w:rPr>
          <w:t>http://ec.europa.eu/environment/biodiversity/business/index_en.htm</w:t>
        </w:r>
      </w:hyperlink>
      <w:r w:rsidRPr="009654F0">
        <w:rPr>
          <w:kern w:val="18"/>
          <w:szCs w:val="18"/>
        </w:rPr>
        <w:t>.</w:t>
      </w:r>
    </w:p>
  </w:footnote>
  <w:footnote w:id="21">
    <w:p w14:paraId="26231C36" w14:textId="31498E50" w:rsidR="00CD6005" w:rsidRPr="009654F0" w:rsidRDefault="00CD6005" w:rsidP="009654F0">
      <w:pPr>
        <w:pStyle w:val="FootnoteText"/>
        <w:suppressLineNumbers/>
        <w:suppressAutoHyphens/>
        <w:ind w:firstLine="0"/>
        <w:jc w:val="left"/>
        <w:rPr>
          <w:kern w:val="18"/>
          <w:szCs w:val="18"/>
        </w:rPr>
      </w:pPr>
      <w:r w:rsidRPr="009654F0">
        <w:rPr>
          <w:rStyle w:val="FootnoteReference"/>
          <w:kern w:val="18"/>
          <w:sz w:val="18"/>
          <w:szCs w:val="18"/>
        </w:rPr>
        <w:footnoteRef/>
      </w:r>
      <w:r w:rsidRPr="009654F0">
        <w:rPr>
          <w:kern w:val="18"/>
          <w:szCs w:val="18"/>
        </w:rPr>
        <w:t xml:space="preserve"> See decision IX/11 B, annex, goal 4.</w:t>
      </w:r>
    </w:p>
  </w:footnote>
  <w:footnote w:id="22">
    <w:p w14:paraId="786DC6FB" w14:textId="12C90733" w:rsidR="00CD6005" w:rsidRPr="009654F0" w:rsidRDefault="00CD6005" w:rsidP="00332F88">
      <w:pPr>
        <w:pStyle w:val="FootnoteText"/>
        <w:suppressLineNumbers/>
        <w:suppressAutoHyphens/>
        <w:ind w:firstLine="0"/>
        <w:jc w:val="left"/>
        <w:rPr>
          <w:rFonts w:asciiTheme="minorHAnsi" w:hAnsiTheme="minorHAnsi" w:cstheme="minorBidi"/>
          <w:kern w:val="18"/>
          <w:szCs w:val="18"/>
        </w:rPr>
      </w:pPr>
      <w:r w:rsidRPr="005455C2">
        <w:rPr>
          <w:rStyle w:val="FootnoteReference"/>
          <w:kern w:val="18"/>
          <w:sz w:val="18"/>
          <w:szCs w:val="18"/>
        </w:rPr>
        <w:footnoteRef/>
      </w:r>
      <w:r w:rsidRPr="009654F0">
        <w:rPr>
          <w:kern w:val="18"/>
          <w:szCs w:val="18"/>
        </w:rPr>
        <w:t xml:space="preserve"> </w:t>
      </w:r>
      <w:hyperlink r:id="rId9" w:history="1">
        <w:r w:rsidRPr="009654F0">
          <w:rPr>
            <w:rStyle w:val="Hyperlink"/>
            <w:kern w:val="18"/>
            <w:szCs w:val="18"/>
          </w:rPr>
          <w:t>https://europa.eu/capacity4dev/b4life/wiki/biodiversity-life-b4life</w:t>
        </w:r>
      </w:hyperlink>
      <w:r w:rsidRPr="009654F0">
        <w:rPr>
          <w:kern w:val="18"/>
          <w:szCs w:val="18"/>
        </w:rPr>
        <w:t>.</w:t>
      </w:r>
    </w:p>
  </w:footnote>
  <w:footnote w:id="23">
    <w:p w14:paraId="537C5C3A" w14:textId="5ACFE008" w:rsidR="00CD6005" w:rsidRPr="009654F0" w:rsidRDefault="00CD6005" w:rsidP="00332F88">
      <w:pPr>
        <w:pStyle w:val="FootnoteText"/>
        <w:suppressLineNumbers/>
        <w:suppressAutoHyphens/>
        <w:ind w:firstLine="0"/>
        <w:jc w:val="left"/>
        <w:rPr>
          <w:kern w:val="18"/>
          <w:szCs w:val="18"/>
        </w:rPr>
      </w:pPr>
      <w:r w:rsidRPr="005455C2">
        <w:rPr>
          <w:rStyle w:val="FootnoteReference"/>
          <w:kern w:val="18"/>
          <w:sz w:val="18"/>
          <w:szCs w:val="18"/>
        </w:rPr>
        <w:footnoteRef/>
      </w:r>
      <w:r w:rsidRPr="009654F0">
        <w:rPr>
          <w:kern w:val="18"/>
          <w:szCs w:val="18"/>
        </w:rPr>
        <w:t xml:space="preserve"> </w:t>
      </w:r>
      <w:hyperlink r:id="rId10" w:history="1">
        <w:r w:rsidRPr="009654F0">
          <w:rPr>
            <w:rStyle w:val="Hyperlink"/>
            <w:kern w:val="18"/>
            <w:szCs w:val="18"/>
          </w:rPr>
          <w:t>https://www.cbd.int/development/doc/biodiversity-2030-agenda-technical-note-en.pdf</w:t>
        </w:r>
      </w:hyperlink>
      <w:r w:rsidRPr="009654F0">
        <w:rPr>
          <w:kern w:val="18"/>
          <w:szCs w:val="18"/>
        </w:rPr>
        <w:t>.</w:t>
      </w:r>
    </w:p>
  </w:footnote>
  <w:footnote w:id="24">
    <w:p w14:paraId="20DF1EEE" w14:textId="0C18190A" w:rsidR="00CD6005" w:rsidRPr="009654F0" w:rsidRDefault="00CD6005" w:rsidP="009654F0">
      <w:pPr>
        <w:pStyle w:val="FootnoteText"/>
        <w:suppressLineNumbers/>
        <w:suppressAutoHyphens/>
        <w:ind w:firstLine="0"/>
        <w:jc w:val="left"/>
        <w:rPr>
          <w:kern w:val="18"/>
          <w:szCs w:val="18"/>
        </w:rPr>
      </w:pPr>
      <w:r w:rsidRPr="009654F0">
        <w:rPr>
          <w:rStyle w:val="FootnoteReference"/>
          <w:kern w:val="18"/>
          <w:sz w:val="18"/>
          <w:szCs w:val="18"/>
        </w:rPr>
        <w:footnoteRef/>
      </w:r>
      <w:r w:rsidRPr="009654F0">
        <w:rPr>
          <w:kern w:val="18"/>
          <w:szCs w:val="18"/>
        </w:rPr>
        <w:t xml:space="preserve"> </w:t>
      </w:r>
      <w:r w:rsidRPr="005455C2">
        <w:rPr>
          <w:kern w:val="18"/>
          <w:szCs w:val="18"/>
        </w:rPr>
        <w:t xml:space="preserve">General Assembly resolution </w:t>
      </w:r>
      <w:hyperlink r:id="rId11" w:history="1">
        <w:r w:rsidRPr="005455C2">
          <w:rPr>
            <w:rStyle w:val="Hyperlink"/>
            <w:kern w:val="18"/>
            <w:szCs w:val="18"/>
          </w:rPr>
          <w:t>70/1</w:t>
        </w:r>
      </w:hyperlink>
      <w:r w:rsidRPr="005455C2">
        <w:rPr>
          <w:kern w:val="18"/>
          <w:szCs w:val="18"/>
        </w:rPr>
        <w:t xml:space="preserve"> entitled “Transforming our world: the 2030 Agenda for Sustainable Development”.</w:t>
      </w:r>
    </w:p>
  </w:footnote>
  <w:footnote w:id="25">
    <w:p w14:paraId="5B6BA8DD" w14:textId="29482234" w:rsidR="00E64623" w:rsidRPr="009654F0" w:rsidRDefault="00E64623" w:rsidP="009654F0">
      <w:pPr>
        <w:pStyle w:val="FootnoteText"/>
        <w:suppressLineNumbers/>
        <w:suppressAutoHyphens/>
        <w:ind w:firstLine="0"/>
        <w:jc w:val="left"/>
        <w:rPr>
          <w:kern w:val="18"/>
          <w:szCs w:val="18"/>
        </w:rPr>
      </w:pPr>
      <w:r w:rsidRPr="009654F0">
        <w:rPr>
          <w:rStyle w:val="FootnoteReference"/>
          <w:kern w:val="18"/>
          <w:sz w:val="18"/>
          <w:szCs w:val="18"/>
        </w:rPr>
        <w:footnoteRef/>
      </w:r>
      <w:r w:rsidRPr="009654F0">
        <w:rPr>
          <w:kern w:val="18"/>
          <w:szCs w:val="18"/>
        </w:rPr>
        <w:t xml:space="preserve"> Belgium, Iceland and Portugal. Australia reported after the cut-off date.</w:t>
      </w:r>
    </w:p>
  </w:footnote>
  <w:footnote w:id="26">
    <w:p w14:paraId="4B051199" w14:textId="2FDDBB97" w:rsidR="00CD6005" w:rsidRPr="009654F0" w:rsidRDefault="00CD6005" w:rsidP="009654F0">
      <w:pPr>
        <w:pStyle w:val="FootnoteText"/>
        <w:suppressLineNumbers/>
        <w:suppressAutoHyphens/>
        <w:ind w:firstLine="0"/>
        <w:jc w:val="left"/>
        <w:rPr>
          <w:kern w:val="18"/>
          <w:szCs w:val="18"/>
        </w:rPr>
      </w:pPr>
      <w:r w:rsidRPr="005455C2">
        <w:rPr>
          <w:rStyle w:val="FootnoteReference"/>
          <w:kern w:val="18"/>
          <w:sz w:val="18"/>
          <w:szCs w:val="18"/>
        </w:rPr>
        <w:footnoteRef/>
      </w:r>
      <w:r w:rsidRPr="009654F0">
        <w:rPr>
          <w:kern w:val="18"/>
          <w:szCs w:val="18"/>
        </w:rPr>
        <w:t xml:space="preserve"> </w:t>
      </w:r>
      <w:r w:rsidR="00D564AE" w:rsidRPr="00D564AE">
        <w:rPr>
          <w:kern w:val="18"/>
          <w:szCs w:val="18"/>
        </w:rPr>
        <w:t>Organisation for Economic Cooperation and Development</w:t>
      </w:r>
      <w:r w:rsidR="009E33BB">
        <w:rPr>
          <w:kern w:val="18"/>
          <w:szCs w:val="18"/>
        </w:rPr>
        <w:t>, April 2020</w:t>
      </w:r>
      <w:r w:rsidR="00D564AE" w:rsidRPr="00D564AE">
        <w:rPr>
          <w:kern w:val="18"/>
          <w:szCs w:val="18"/>
        </w:rPr>
        <w:t xml:space="preserve"> </w:t>
      </w:r>
      <w:r w:rsidR="009E33BB">
        <w:rPr>
          <w:kern w:val="18"/>
          <w:szCs w:val="18"/>
        </w:rPr>
        <w:t>(</w:t>
      </w:r>
      <w:hyperlink r:id="rId12" w:history="1">
        <w:r w:rsidR="009E33BB" w:rsidRPr="009654F0">
          <w:rPr>
            <w:rStyle w:val="Hyperlink"/>
            <w:kern w:val="18"/>
            <w:szCs w:val="18"/>
          </w:rPr>
          <w:t>https://www.oecd.org/environment/resources/biodiversity/report-a-comprehensive-overview-of-global-biodiversity-finance.pdf</w:t>
        </w:r>
      </w:hyperlink>
      <w:r w:rsidR="009E33BB">
        <w:rPr>
          <w:kern w:val="18"/>
          <w:szCs w:val="18"/>
        </w:rPr>
        <w:t>)</w:t>
      </w:r>
      <w:r w:rsidRPr="009654F0">
        <w:rPr>
          <w:kern w:val="18"/>
          <w:szCs w:val="18"/>
        </w:rPr>
        <w:t>.</w:t>
      </w:r>
    </w:p>
  </w:footnote>
  <w:footnote w:id="27">
    <w:p w14:paraId="1C80E6C9" w14:textId="4212DB8F" w:rsidR="00CD6005" w:rsidRPr="005455C2" w:rsidRDefault="00CD6005" w:rsidP="00332F88">
      <w:pPr>
        <w:pStyle w:val="FootnoteText"/>
        <w:suppressLineNumbers/>
        <w:suppressAutoHyphens/>
        <w:ind w:firstLine="0"/>
        <w:jc w:val="left"/>
        <w:rPr>
          <w:kern w:val="18"/>
          <w:szCs w:val="18"/>
        </w:rPr>
      </w:pPr>
      <w:r w:rsidRPr="005455C2">
        <w:rPr>
          <w:rStyle w:val="FootnoteReference"/>
          <w:kern w:val="18"/>
          <w:sz w:val="18"/>
          <w:szCs w:val="18"/>
        </w:rPr>
        <w:footnoteRef/>
      </w:r>
      <w:r w:rsidRPr="005455C2">
        <w:rPr>
          <w:kern w:val="18"/>
          <w:szCs w:val="18"/>
        </w:rPr>
        <w:t xml:space="preserve"> There is potential overlap between reported domestic biodiversity spending by developing countries and reported ODA from official providers. This is accounted for in the overall estimate of global biodiversity finance.</w:t>
      </w:r>
    </w:p>
  </w:footnote>
  <w:footnote w:id="28">
    <w:p w14:paraId="4D4B72D5" w14:textId="094A4E4B" w:rsidR="00CD6005" w:rsidRPr="009654F0" w:rsidRDefault="00CD6005" w:rsidP="009654F0">
      <w:pPr>
        <w:pStyle w:val="FootnoteText"/>
        <w:suppressLineNumbers/>
        <w:suppressAutoHyphens/>
        <w:ind w:firstLine="0"/>
        <w:jc w:val="left"/>
        <w:rPr>
          <w:kern w:val="18"/>
          <w:szCs w:val="18"/>
        </w:rPr>
      </w:pPr>
      <w:r w:rsidRPr="009654F0">
        <w:rPr>
          <w:rStyle w:val="FootnoteReference"/>
          <w:kern w:val="18"/>
          <w:sz w:val="18"/>
          <w:szCs w:val="18"/>
        </w:rPr>
        <w:footnoteRef/>
      </w:r>
      <w:r w:rsidRPr="009654F0">
        <w:rPr>
          <w:kern w:val="18"/>
          <w:szCs w:val="18"/>
        </w:rPr>
        <w:t xml:space="preserve"> China accounts for more than one third of this estimate.</w:t>
      </w:r>
    </w:p>
  </w:footnote>
  <w:footnote w:id="29">
    <w:p w14:paraId="50695CCE" w14:textId="02AA40CE" w:rsidR="00CD6005" w:rsidRPr="005455C2" w:rsidRDefault="00CD6005" w:rsidP="00332F88">
      <w:pPr>
        <w:pStyle w:val="FootnoteText"/>
        <w:suppressLineNumbers/>
        <w:suppressAutoHyphens/>
        <w:ind w:firstLine="0"/>
        <w:jc w:val="left"/>
        <w:rPr>
          <w:kern w:val="18"/>
          <w:szCs w:val="18"/>
        </w:rPr>
      </w:pPr>
      <w:r w:rsidRPr="005455C2">
        <w:rPr>
          <w:rStyle w:val="FootnoteReference"/>
          <w:kern w:val="18"/>
          <w:sz w:val="18"/>
          <w:szCs w:val="18"/>
        </w:rPr>
        <w:footnoteRef/>
      </w:r>
      <w:r w:rsidRPr="005455C2">
        <w:rPr>
          <w:kern w:val="18"/>
          <w:szCs w:val="18"/>
        </w:rPr>
        <w:t xml:space="preserve"> COFOG was developed in 1999 by OECD and published by the United Nations Statistic</w:t>
      </w:r>
      <w:r w:rsidR="0010769A" w:rsidRPr="005455C2">
        <w:rPr>
          <w:kern w:val="18"/>
          <w:szCs w:val="18"/>
        </w:rPr>
        <w:t>s</w:t>
      </w:r>
      <w:r w:rsidRPr="005455C2">
        <w:rPr>
          <w:kern w:val="18"/>
          <w:szCs w:val="18"/>
        </w:rPr>
        <w:t xml:space="preserve"> Division as a standard for classifying the purposes (functions) of government activities.</w:t>
      </w:r>
    </w:p>
  </w:footnote>
  <w:footnote w:id="30">
    <w:p w14:paraId="4154C146" w14:textId="6697AB82" w:rsidR="00CD6005" w:rsidRPr="009654F0" w:rsidRDefault="00CD6005" w:rsidP="006B03D2">
      <w:pPr>
        <w:pStyle w:val="FootnoteText"/>
        <w:suppressLineNumbers/>
        <w:suppressAutoHyphens/>
        <w:ind w:firstLine="0"/>
        <w:jc w:val="left"/>
        <w:rPr>
          <w:kern w:val="18"/>
          <w:szCs w:val="18"/>
        </w:rPr>
      </w:pPr>
      <w:r w:rsidRPr="005455C2">
        <w:rPr>
          <w:rStyle w:val="FootnoteReference"/>
          <w:kern w:val="18"/>
          <w:sz w:val="18"/>
          <w:szCs w:val="18"/>
        </w:rPr>
        <w:footnoteRef/>
      </w:r>
      <w:r w:rsidRPr="005455C2">
        <w:rPr>
          <w:kern w:val="18"/>
          <w:szCs w:val="18"/>
        </w:rPr>
        <w:t xml:space="preserve"> See the milestones for implementing </w:t>
      </w:r>
      <w:r w:rsidRPr="009654F0">
        <w:rPr>
          <w:kern w:val="18"/>
          <w:szCs w:val="18"/>
        </w:rPr>
        <w:t>Aichi Biodiversity Target</w:t>
      </w:r>
      <w:r w:rsidRPr="005455C2">
        <w:rPr>
          <w:kern w:val="18"/>
          <w:szCs w:val="18"/>
        </w:rPr>
        <w:t xml:space="preserve"> 3 adopted by decision XII/3 on resource mobilization, and the analysis on how </w:t>
      </w:r>
      <w:r w:rsidRPr="009654F0">
        <w:rPr>
          <w:kern w:val="18"/>
          <w:szCs w:val="18"/>
        </w:rPr>
        <w:t>Aichi Biodiversity Target</w:t>
      </w:r>
      <w:r w:rsidRPr="005455C2">
        <w:rPr>
          <w:kern w:val="18"/>
          <w:szCs w:val="18"/>
        </w:rPr>
        <w:t xml:space="preserve"> 3 contributes to the implementation of </w:t>
      </w:r>
      <w:r w:rsidRPr="009654F0">
        <w:rPr>
          <w:kern w:val="18"/>
          <w:szCs w:val="18"/>
        </w:rPr>
        <w:t>Aichi Biodiversity Target</w:t>
      </w:r>
      <w:r w:rsidRPr="005455C2">
        <w:rPr>
          <w:kern w:val="18"/>
          <w:szCs w:val="18"/>
        </w:rPr>
        <w:t xml:space="preserve"> 20, prepared for the Subsidiary Body on Implementation at its second meeting (</w:t>
      </w:r>
      <w:hyperlink r:id="rId13" w:history="1">
        <w:r w:rsidRPr="005455C2">
          <w:rPr>
            <w:rStyle w:val="Hyperlink"/>
            <w:kern w:val="18"/>
            <w:szCs w:val="18"/>
          </w:rPr>
          <w:t>https://www.cbd.int/meetings/SBI-03</w:t>
        </w:r>
      </w:hyperlink>
      <w:r w:rsidRPr="005455C2">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63344" w14:textId="26E06E03" w:rsidR="00CD6005" w:rsidRPr="00367EEE" w:rsidRDefault="00595C7C" w:rsidP="000C46D9">
    <w:pPr>
      <w:pStyle w:val="Header"/>
      <w:keepLines/>
      <w:suppressLineNumbers/>
      <w:tabs>
        <w:tab w:val="clear" w:pos="4320"/>
        <w:tab w:val="clear" w:pos="8640"/>
      </w:tabs>
      <w:suppressAutoHyphens/>
      <w:jc w:val="left"/>
      <w:rPr>
        <w:noProof/>
        <w:kern w:val="22"/>
      </w:rPr>
    </w:pPr>
    <w:sdt>
      <w:sdtPr>
        <w:rPr>
          <w:noProof/>
          <w:kern w:val="22"/>
        </w:rPr>
        <w:alias w:val="Subject"/>
        <w:tag w:val=""/>
        <w:id w:val="587965855"/>
        <w:dataBinding w:prefixMappings="xmlns:ns0='http://purl.org/dc/elements/1.1/' xmlns:ns1='http://schemas.openxmlformats.org/package/2006/metadata/core-properties' " w:xpath="/ns1:coreProperties[1]/ns0:subject[1]" w:storeItemID="{6C3C8BC8-F283-45AE-878A-BAB7291924A1}"/>
        <w:text/>
      </w:sdtPr>
      <w:sdtEndPr/>
      <w:sdtContent>
        <w:r w:rsidR="00CD6005">
          <w:rPr>
            <w:noProof/>
            <w:kern w:val="22"/>
          </w:rPr>
          <w:t>CBD/SBI/3/5/Add.1</w:t>
        </w:r>
      </w:sdtContent>
    </w:sdt>
  </w:p>
  <w:p w14:paraId="40B9B655" w14:textId="1090308A" w:rsidR="00CD6005" w:rsidRPr="00367EEE" w:rsidRDefault="00CD6005" w:rsidP="000C46D9">
    <w:pPr>
      <w:pStyle w:val="Header"/>
      <w:keepLines/>
      <w:suppressLineNumbers/>
      <w:tabs>
        <w:tab w:val="clear" w:pos="4320"/>
        <w:tab w:val="clear" w:pos="8640"/>
      </w:tabs>
      <w:suppressAutoHyphens/>
      <w:jc w:val="left"/>
      <w:rPr>
        <w:noProof/>
        <w:kern w:val="22"/>
      </w:rPr>
    </w:pPr>
    <w:r w:rsidRPr="00367EEE">
      <w:rPr>
        <w:noProof/>
        <w:kern w:val="22"/>
      </w:rPr>
      <w:t xml:space="preserve">Page </w:t>
    </w:r>
    <w:r w:rsidRPr="00367EEE">
      <w:rPr>
        <w:noProof/>
        <w:kern w:val="22"/>
      </w:rPr>
      <w:fldChar w:fldCharType="begin"/>
    </w:r>
    <w:r w:rsidRPr="00367EEE">
      <w:rPr>
        <w:noProof/>
        <w:kern w:val="22"/>
      </w:rPr>
      <w:instrText xml:space="preserve"> PAGE   \* MERGEFORMAT </w:instrText>
    </w:r>
    <w:r w:rsidRPr="00367EEE">
      <w:rPr>
        <w:noProof/>
        <w:kern w:val="22"/>
      </w:rPr>
      <w:fldChar w:fldCharType="separate"/>
    </w:r>
    <w:r>
      <w:rPr>
        <w:noProof/>
        <w:kern w:val="22"/>
      </w:rPr>
      <w:t>12</w:t>
    </w:r>
    <w:r w:rsidRPr="00367EEE">
      <w:rPr>
        <w:noProof/>
        <w:kern w:val="22"/>
      </w:rPr>
      <w:fldChar w:fldCharType="end"/>
    </w:r>
  </w:p>
  <w:p w14:paraId="2F94B3D2" w14:textId="77777777" w:rsidR="00CD6005" w:rsidRPr="00367EEE" w:rsidRDefault="00CD6005" w:rsidP="000C46D9">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D52A8" w14:textId="0AE936DE" w:rsidR="00CD6005" w:rsidRPr="00367EEE" w:rsidRDefault="00595C7C" w:rsidP="000C46D9">
    <w:pPr>
      <w:pStyle w:val="Header"/>
      <w:keepLines/>
      <w:suppressLineNumbers/>
      <w:tabs>
        <w:tab w:val="clear" w:pos="4320"/>
        <w:tab w:val="clear" w:pos="8640"/>
      </w:tabs>
      <w:suppressAutoHyphens/>
      <w:jc w:val="right"/>
      <w:rPr>
        <w:noProof/>
        <w:kern w:val="22"/>
      </w:rPr>
    </w:pPr>
    <w:sdt>
      <w:sdtPr>
        <w:rPr>
          <w:noProof/>
          <w:kern w:val="22"/>
        </w:rPr>
        <w:alias w:val="Subject"/>
        <w:tag w:val=""/>
        <w:id w:val="722414850"/>
        <w:dataBinding w:prefixMappings="xmlns:ns0='http://purl.org/dc/elements/1.1/' xmlns:ns1='http://schemas.openxmlformats.org/package/2006/metadata/core-properties' " w:xpath="/ns1:coreProperties[1]/ns0:subject[1]" w:storeItemID="{6C3C8BC8-F283-45AE-878A-BAB7291924A1}"/>
        <w:text/>
      </w:sdtPr>
      <w:sdtEndPr/>
      <w:sdtContent>
        <w:r w:rsidR="00CD6005">
          <w:rPr>
            <w:noProof/>
            <w:kern w:val="22"/>
          </w:rPr>
          <w:t>CBD/SBI/3/5/Add.1</w:t>
        </w:r>
      </w:sdtContent>
    </w:sdt>
  </w:p>
  <w:p w14:paraId="5D58C0D6" w14:textId="3169A729" w:rsidR="00CD6005" w:rsidRPr="00367EEE" w:rsidRDefault="00CD6005" w:rsidP="000C46D9">
    <w:pPr>
      <w:pStyle w:val="Header"/>
      <w:keepLines/>
      <w:suppressLineNumbers/>
      <w:tabs>
        <w:tab w:val="clear" w:pos="4320"/>
        <w:tab w:val="clear" w:pos="8640"/>
      </w:tabs>
      <w:suppressAutoHyphens/>
      <w:jc w:val="right"/>
      <w:rPr>
        <w:noProof/>
        <w:kern w:val="22"/>
      </w:rPr>
    </w:pPr>
    <w:r w:rsidRPr="00367EEE">
      <w:rPr>
        <w:noProof/>
        <w:kern w:val="22"/>
      </w:rPr>
      <w:t xml:space="preserve">Page </w:t>
    </w:r>
    <w:r w:rsidRPr="00367EEE">
      <w:rPr>
        <w:noProof/>
        <w:kern w:val="22"/>
      </w:rPr>
      <w:fldChar w:fldCharType="begin"/>
    </w:r>
    <w:r w:rsidRPr="00367EEE">
      <w:rPr>
        <w:noProof/>
        <w:kern w:val="22"/>
      </w:rPr>
      <w:instrText xml:space="preserve"> PAGE   \* MERGEFORMAT </w:instrText>
    </w:r>
    <w:r w:rsidRPr="00367EEE">
      <w:rPr>
        <w:noProof/>
        <w:kern w:val="22"/>
      </w:rPr>
      <w:fldChar w:fldCharType="separate"/>
    </w:r>
    <w:r>
      <w:rPr>
        <w:noProof/>
        <w:kern w:val="22"/>
      </w:rPr>
      <w:t>13</w:t>
    </w:r>
    <w:r w:rsidRPr="00367EEE">
      <w:rPr>
        <w:noProof/>
        <w:kern w:val="22"/>
      </w:rPr>
      <w:fldChar w:fldCharType="end"/>
    </w:r>
  </w:p>
  <w:p w14:paraId="30EAA85C" w14:textId="77777777" w:rsidR="00CD6005" w:rsidRPr="00367EEE" w:rsidRDefault="00CD6005" w:rsidP="000C46D9">
    <w:pPr>
      <w:pStyle w:val="Header"/>
      <w:keepLines/>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6F8"/>
    <w:multiLevelType w:val="hybridMultilevel"/>
    <w:tmpl w:val="58F050FA"/>
    <w:lvl w:ilvl="0" w:tplc="C89810BA">
      <w:start w:val="1"/>
      <w:numFmt w:val="lowerLetter"/>
      <w:lvlText w:val="(%1)"/>
      <w:lvlJc w:val="left"/>
      <w:pPr>
        <w:tabs>
          <w:tab w:val="num" w:pos="1211"/>
        </w:tabs>
        <w:ind w:left="1211"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E43B92"/>
    <w:multiLevelType w:val="hybridMultilevel"/>
    <w:tmpl w:val="FB824D0A"/>
    <w:lvl w:ilvl="0" w:tplc="ED6E59FE">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D2DD1"/>
    <w:multiLevelType w:val="hybridMultilevel"/>
    <w:tmpl w:val="CF98B84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69479FF"/>
    <w:multiLevelType w:val="multilevel"/>
    <w:tmpl w:val="0292158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Roman"/>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7810186"/>
    <w:multiLevelType w:val="hybridMultilevel"/>
    <w:tmpl w:val="3B8AA6A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A481FC8"/>
    <w:multiLevelType w:val="hybridMultilevel"/>
    <w:tmpl w:val="D0BA2858"/>
    <w:lvl w:ilvl="0" w:tplc="ED6E59FE">
      <w:start w:val="1"/>
      <w:numFmt w:val="lowerLetter"/>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10B93655"/>
    <w:multiLevelType w:val="hybridMultilevel"/>
    <w:tmpl w:val="25743A1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11791520"/>
    <w:multiLevelType w:val="multilevel"/>
    <w:tmpl w:val="5AD89D2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bullet"/>
      <w:lvlText w:val=""/>
      <w:lvlJc w:val="left"/>
      <w:pPr>
        <w:ind w:left="1080" w:hanging="360"/>
      </w:pPr>
      <w:rPr>
        <w:rFonts w:ascii="Symbol" w:hAnsi="Symbol"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76386C"/>
    <w:multiLevelType w:val="hybridMultilevel"/>
    <w:tmpl w:val="D16EF39C"/>
    <w:lvl w:ilvl="0" w:tplc="354AAFA2">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511634B"/>
    <w:multiLevelType w:val="hybridMultilevel"/>
    <w:tmpl w:val="1A080DFC"/>
    <w:lvl w:ilvl="0" w:tplc="ED6E59FE">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167076AB"/>
    <w:multiLevelType w:val="hybridMultilevel"/>
    <w:tmpl w:val="907A10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18B04F41"/>
    <w:multiLevelType w:val="hybridMultilevel"/>
    <w:tmpl w:val="1A1E338C"/>
    <w:lvl w:ilvl="0" w:tplc="B0C87E50">
      <w:start w:val="1"/>
      <w:numFmt w:val="decimal"/>
      <w:lvlText w:val="%1."/>
      <w:lvlJc w:val="left"/>
      <w:pPr>
        <w:ind w:left="108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19906B9E"/>
    <w:multiLevelType w:val="hybridMultilevel"/>
    <w:tmpl w:val="AF409D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1BB40388"/>
    <w:multiLevelType w:val="hybridMultilevel"/>
    <w:tmpl w:val="5198AB9E"/>
    <w:lvl w:ilvl="0" w:tplc="B37ADBD6">
      <w:numFmt w:val="bullet"/>
      <w:lvlText w:val="-"/>
      <w:lvlJc w:val="left"/>
      <w:pPr>
        <w:ind w:left="1440" w:hanging="360"/>
      </w:pPr>
      <w:rPr>
        <w:rFonts w:ascii="Times New Roman" w:eastAsia="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1EFC71C9"/>
    <w:multiLevelType w:val="hybridMultilevel"/>
    <w:tmpl w:val="FB22E4C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15:restartNumberingAfterBreak="0">
    <w:nsid w:val="211B489F"/>
    <w:multiLevelType w:val="hybridMultilevel"/>
    <w:tmpl w:val="0BFAD42E"/>
    <w:lvl w:ilvl="0" w:tplc="0409000F">
      <w:start w:val="8"/>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7C0340F"/>
    <w:multiLevelType w:val="multilevel"/>
    <w:tmpl w:val="E150764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bullet"/>
      <w:lvlText w:val=""/>
      <w:lvlJc w:val="left"/>
      <w:pPr>
        <w:ind w:left="1080" w:hanging="360"/>
      </w:pPr>
      <w:rPr>
        <w:rFonts w:ascii="Symbol" w:hAnsi="Symbol" w:cs="Symbol"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85F7B6A"/>
    <w:multiLevelType w:val="multilevel"/>
    <w:tmpl w:val="B5C0FAC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ind w:left="1080" w:hanging="36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87849C5"/>
    <w:multiLevelType w:val="hybridMultilevel"/>
    <w:tmpl w:val="8FC2AB6E"/>
    <w:lvl w:ilvl="0" w:tplc="10090001">
      <w:start w:val="1"/>
      <w:numFmt w:val="bullet"/>
      <w:lvlText w:val=""/>
      <w:lvlJc w:val="left"/>
      <w:pPr>
        <w:ind w:left="1444" w:hanging="360"/>
      </w:pPr>
      <w:rPr>
        <w:rFonts w:ascii="Symbol" w:hAnsi="Symbol" w:hint="default"/>
      </w:rPr>
    </w:lvl>
    <w:lvl w:ilvl="1" w:tplc="10090003" w:tentative="1">
      <w:start w:val="1"/>
      <w:numFmt w:val="bullet"/>
      <w:lvlText w:val="o"/>
      <w:lvlJc w:val="left"/>
      <w:pPr>
        <w:ind w:left="2164" w:hanging="360"/>
      </w:pPr>
      <w:rPr>
        <w:rFonts w:ascii="Courier New" w:hAnsi="Courier New" w:cs="Courier New" w:hint="default"/>
      </w:rPr>
    </w:lvl>
    <w:lvl w:ilvl="2" w:tplc="10090005" w:tentative="1">
      <w:start w:val="1"/>
      <w:numFmt w:val="bullet"/>
      <w:lvlText w:val=""/>
      <w:lvlJc w:val="left"/>
      <w:pPr>
        <w:ind w:left="2884" w:hanging="360"/>
      </w:pPr>
      <w:rPr>
        <w:rFonts w:ascii="Wingdings" w:hAnsi="Wingdings" w:hint="default"/>
      </w:rPr>
    </w:lvl>
    <w:lvl w:ilvl="3" w:tplc="10090001" w:tentative="1">
      <w:start w:val="1"/>
      <w:numFmt w:val="bullet"/>
      <w:lvlText w:val=""/>
      <w:lvlJc w:val="left"/>
      <w:pPr>
        <w:ind w:left="3604" w:hanging="360"/>
      </w:pPr>
      <w:rPr>
        <w:rFonts w:ascii="Symbol" w:hAnsi="Symbol" w:hint="default"/>
      </w:rPr>
    </w:lvl>
    <w:lvl w:ilvl="4" w:tplc="10090003" w:tentative="1">
      <w:start w:val="1"/>
      <w:numFmt w:val="bullet"/>
      <w:lvlText w:val="o"/>
      <w:lvlJc w:val="left"/>
      <w:pPr>
        <w:ind w:left="4324" w:hanging="360"/>
      </w:pPr>
      <w:rPr>
        <w:rFonts w:ascii="Courier New" w:hAnsi="Courier New" w:cs="Courier New" w:hint="default"/>
      </w:rPr>
    </w:lvl>
    <w:lvl w:ilvl="5" w:tplc="10090005" w:tentative="1">
      <w:start w:val="1"/>
      <w:numFmt w:val="bullet"/>
      <w:lvlText w:val=""/>
      <w:lvlJc w:val="left"/>
      <w:pPr>
        <w:ind w:left="5044" w:hanging="360"/>
      </w:pPr>
      <w:rPr>
        <w:rFonts w:ascii="Wingdings" w:hAnsi="Wingdings" w:hint="default"/>
      </w:rPr>
    </w:lvl>
    <w:lvl w:ilvl="6" w:tplc="10090001" w:tentative="1">
      <w:start w:val="1"/>
      <w:numFmt w:val="bullet"/>
      <w:lvlText w:val=""/>
      <w:lvlJc w:val="left"/>
      <w:pPr>
        <w:ind w:left="5764" w:hanging="360"/>
      </w:pPr>
      <w:rPr>
        <w:rFonts w:ascii="Symbol" w:hAnsi="Symbol" w:hint="default"/>
      </w:rPr>
    </w:lvl>
    <w:lvl w:ilvl="7" w:tplc="10090003" w:tentative="1">
      <w:start w:val="1"/>
      <w:numFmt w:val="bullet"/>
      <w:lvlText w:val="o"/>
      <w:lvlJc w:val="left"/>
      <w:pPr>
        <w:ind w:left="6484" w:hanging="360"/>
      </w:pPr>
      <w:rPr>
        <w:rFonts w:ascii="Courier New" w:hAnsi="Courier New" w:cs="Courier New" w:hint="default"/>
      </w:rPr>
    </w:lvl>
    <w:lvl w:ilvl="8" w:tplc="10090005" w:tentative="1">
      <w:start w:val="1"/>
      <w:numFmt w:val="bullet"/>
      <w:lvlText w:val=""/>
      <w:lvlJc w:val="left"/>
      <w:pPr>
        <w:ind w:left="7204" w:hanging="360"/>
      </w:pPr>
      <w:rPr>
        <w:rFonts w:ascii="Wingdings" w:hAnsi="Wingdings" w:hint="default"/>
      </w:rPr>
    </w:lvl>
  </w:abstractNum>
  <w:abstractNum w:abstractNumId="19" w15:restartNumberingAfterBreak="0">
    <w:nsid w:val="2B2F6C02"/>
    <w:multiLevelType w:val="hybridMultilevel"/>
    <w:tmpl w:val="2D240454"/>
    <w:lvl w:ilvl="0" w:tplc="3488AC86">
      <w:start w:val="1"/>
      <w:numFmt w:val="upp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2CB42A18"/>
    <w:multiLevelType w:val="hybridMultilevel"/>
    <w:tmpl w:val="6C880258"/>
    <w:lvl w:ilvl="0" w:tplc="625485B6">
      <w:start w:val="1"/>
      <w:numFmt w:val="lowerLetter"/>
      <w:lvlText w:val="(%1)"/>
      <w:lvlJc w:val="left"/>
      <w:pPr>
        <w:ind w:left="1440" w:hanging="360"/>
      </w:pPr>
      <w:rPr>
        <w:rFonts w:ascii="Times New Roman" w:eastAsia="Times New Roman" w:hAnsi="Times New Roman" w:cs="Times New Roman"/>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1" w15:restartNumberingAfterBreak="0">
    <w:nsid w:val="2D9D2BD2"/>
    <w:multiLevelType w:val="multilevel"/>
    <w:tmpl w:val="9D02F1B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Roman"/>
      <w:lvlText w:val="%2."/>
      <w:lvlJc w:val="right"/>
      <w:pPr>
        <w:ind w:left="1080" w:hanging="36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2F1B5116"/>
    <w:multiLevelType w:val="hybridMultilevel"/>
    <w:tmpl w:val="22E05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2F5C141D"/>
    <w:multiLevelType w:val="multilevel"/>
    <w:tmpl w:val="8A5C5B5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ind w:left="1080" w:hanging="36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1734B92"/>
    <w:multiLevelType w:val="hybridMultilevel"/>
    <w:tmpl w:val="54441F24"/>
    <w:lvl w:ilvl="0" w:tplc="B37ADBD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4C2216A"/>
    <w:multiLevelType w:val="hybridMultilevel"/>
    <w:tmpl w:val="3196D43E"/>
    <w:lvl w:ilvl="0" w:tplc="ED6E59FE">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97F0BC8"/>
    <w:multiLevelType w:val="hybridMultilevel"/>
    <w:tmpl w:val="4C387CEC"/>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8" w15:restartNumberingAfterBreak="0">
    <w:nsid w:val="3BC40C79"/>
    <w:multiLevelType w:val="hybridMultilevel"/>
    <w:tmpl w:val="4192F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394FDC"/>
    <w:multiLevelType w:val="hybridMultilevel"/>
    <w:tmpl w:val="B204F8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082053B"/>
    <w:multiLevelType w:val="hybridMultilevel"/>
    <w:tmpl w:val="6C880258"/>
    <w:lvl w:ilvl="0" w:tplc="625485B6">
      <w:start w:val="1"/>
      <w:numFmt w:val="lowerLetter"/>
      <w:lvlText w:val="(%1)"/>
      <w:lvlJc w:val="left"/>
      <w:pPr>
        <w:ind w:left="1440" w:hanging="360"/>
      </w:pPr>
      <w:rPr>
        <w:rFonts w:ascii="Times New Roman" w:eastAsia="Times New Roman" w:hAnsi="Times New Roman" w:cs="Times New Roman"/>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1" w15:restartNumberingAfterBreak="0">
    <w:nsid w:val="44CC7FBB"/>
    <w:multiLevelType w:val="hybridMultilevel"/>
    <w:tmpl w:val="45E4BE68"/>
    <w:lvl w:ilvl="0" w:tplc="F89AE9DE">
      <w:start w:val="1"/>
      <w:numFmt w:val="lowerLetter"/>
      <w:lvlText w:val="(%1)"/>
      <w:lvlJc w:val="left"/>
      <w:pPr>
        <w:tabs>
          <w:tab w:val="num" w:pos="1211"/>
        </w:tabs>
        <w:ind w:left="1211"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9272F32"/>
    <w:multiLevelType w:val="hybridMultilevel"/>
    <w:tmpl w:val="85244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C4B2614"/>
    <w:multiLevelType w:val="hybridMultilevel"/>
    <w:tmpl w:val="00481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58772A"/>
    <w:multiLevelType w:val="hybridMultilevel"/>
    <w:tmpl w:val="8C307D2A"/>
    <w:lvl w:ilvl="0" w:tplc="354AAFA2">
      <w:numFmt w:val="bullet"/>
      <w:lvlText w:val="•"/>
      <w:lvlJc w:val="left"/>
      <w:pPr>
        <w:ind w:left="1800" w:hanging="360"/>
      </w:pPr>
      <w:rPr>
        <w:rFonts w:ascii="Times New Roman" w:eastAsia="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4FE36A7C"/>
    <w:multiLevelType w:val="hybridMultilevel"/>
    <w:tmpl w:val="C64CF6D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8" w15:restartNumberingAfterBreak="0">
    <w:nsid w:val="51C37DE1"/>
    <w:multiLevelType w:val="hybridMultilevel"/>
    <w:tmpl w:val="E7EE34B4"/>
    <w:lvl w:ilvl="0" w:tplc="3E246B58">
      <w:start w:val="1"/>
      <w:numFmt w:val="bullet"/>
      <w:lvlText w:val="Ø"/>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9" w15:restartNumberingAfterBreak="0">
    <w:nsid w:val="53535FD3"/>
    <w:multiLevelType w:val="multilevel"/>
    <w:tmpl w:val="BE14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4AC1F28"/>
    <w:multiLevelType w:val="hybridMultilevel"/>
    <w:tmpl w:val="D916BFA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20D6AEB"/>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689E329C"/>
    <w:multiLevelType w:val="hybridMultilevel"/>
    <w:tmpl w:val="9648AC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68BF41CE"/>
    <w:multiLevelType w:val="hybridMultilevel"/>
    <w:tmpl w:val="9B660B9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4" w15:restartNumberingAfterBreak="0">
    <w:nsid w:val="69325ECF"/>
    <w:multiLevelType w:val="multilevel"/>
    <w:tmpl w:val="CD50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CE0EF7"/>
    <w:multiLevelType w:val="hybridMultilevel"/>
    <w:tmpl w:val="939402F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7" w15:restartNumberingAfterBreak="0">
    <w:nsid w:val="703D20EE"/>
    <w:multiLevelType w:val="hybridMultilevel"/>
    <w:tmpl w:val="F7AAF246"/>
    <w:lvl w:ilvl="0" w:tplc="0409000F">
      <w:start w:val="1"/>
      <w:numFmt w:val="decimal"/>
      <w:lvlText w:val="%1."/>
      <w:lvlJc w:val="left"/>
      <w:pPr>
        <w:ind w:left="720" w:hanging="360"/>
      </w:pPr>
    </w:lvl>
    <w:lvl w:ilvl="1" w:tplc="4BFC5A3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0860CE6"/>
    <w:multiLevelType w:val="hybridMultilevel"/>
    <w:tmpl w:val="141CE188"/>
    <w:lvl w:ilvl="0" w:tplc="0409000F">
      <w:start w:val="1"/>
      <w:numFmt w:val="decimal"/>
      <w:lvlText w:val="%1."/>
      <w:lvlJc w:val="left"/>
      <w:pPr>
        <w:ind w:left="720" w:hanging="360"/>
      </w:pPr>
    </w:lvl>
    <w:lvl w:ilvl="1" w:tplc="4BFC5A3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E6657C8"/>
    <w:multiLevelType w:val="hybridMultilevel"/>
    <w:tmpl w:val="59C657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6"/>
  </w:num>
  <w:num w:numId="3">
    <w:abstractNumId w:val="32"/>
  </w:num>
  <w:num w:numId="4">
    <w:abstractNumId w:val="45"/>
  </w:num>
  <w:num w:numId="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3"/>
  </w:num>
  <w:num w:numId="10">
    <w:abstractNumId w:val="23"/>
  </w:num>
  <w:num w:numId="11">
    <w:abstractNumId w:val="4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num>
  <w:num w:numId="14">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18"/>
  </w:num>
  <w:num w:numId="22">
    <w:abstractNumId w:val="8"/>
  </w:num>
  <w:num w:numId="23">
    <w:abstractNumId w:val="25"/>
  </w:num>
  <w:num w:numId="24">
    <w:abstractNumId w:val="13"/>
  </w:num>
  <w:num w:numId="25">
    <w:abstractNumId w:val="35"/>
  </w:num>
  <w:num w:numId="26">
    <w:abstractNumId w:val="6"/>
  </w:num>
  <w:num w:numId="27">
    <w:abstractNumId w:val="2"/>
  </w:num>
  <w:num w:numId="28">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num>
  <w:num w:numId="30">
    <w:abstractNumId w:val="5"/>
  </w:num>
  <w:num w:numId="31">
    <w:abstractNumId w:val="34"/>
  </w:num>
  <w:num w:numId="32">
    <w:abstractNumId w:val="48"/>
  </w:num>
  <w:num w:numId="33">
    <w:abstractNumId w:val="40"/>
  </w:num>
  <w:num w:numId="34">
    <w:abstractNumId w:val="24"/>
  </w:num>
  <w:num w:numId="35">
    <w:abstractNumId w:val="21"/>
  </w:num>
  <w:num w:numId="36">
    <w:abstractNumId w:val="31"/>
  </w:num>
  <w:num w:numId="37">
    <w:abstractNumId w:val="0"/>
  </w:num>
  <w:num w:numId="38">
    <w:abstractNumId w:val="29"/>
  </w:num>
  <w:num w:numId="39">
    <w:abstractNumId w:val="9"/>
  </w:num>
  <w:num w:numId="40">
    <w:abstractNumId w:val="4"/>
  </w:num>
  <w:num w:numId="41">
    <w:abstractNumId w:val="1"/>
  </w:num>
  <w:num w:numId="42">
    <w:abstractNumId w:val="3"/>
  </w:num>
  <w:num w:numId="43">
    <w:abstractNumId w:val="36"/>
  </w:num>
  <w:num w:numId="44">
    <w:abstractNumId w:val="36"/>
  </w:num>
  <w:num w:numId="45">
    <w:abstractNumId w:val="26"/>
  </w:num>
  <w:num w:numId="46">
    <w:abstractNumId w:val="17"/>
  </w:num>
  <w:num w:numId="47">
    <w:abstractNumId w:val="36"/>
  </w:num>
  <w:num w:numId="48">
    <w:abstractNumId w:val="44"/>
  </w:num>
  <w:num w:numId="49">
    <w:abstractNumId w:val="39"/>
  </w:num>
  <w:num w:numId="50">
    <w:abstractNumId w:val="28"/>
  </w:num>
  <w:num w:numId="51">
    <w:abstractNumId w:val="16"/>
  </w:num>
  <w:num w:numId="52">
    <w:abstractNumId w:val="12"/>
  </w:num>
  <w:num w:numId="53">
    <w:abstractNumId w:val="7"/>
  </w:num>
  <w:num w:numId="54">
    <w:abstractNumId w:val="38"/>
  </w:num>
  <w:num w:numId="55">
    <w:abstractNumId w:val="30"/>
  </w:num>
  <w:num w:numId="56">
    <w:abstractNumId w:val="36"/>
  </w:num>
  <w:num w:numId="57">
    <w:abstractNumId w:val="36"/>
  </w:num>
  <w:num w:numId="58">
    <w:abstractNumId w:val="36"/>
  </w:num>
  <w:num w:numId="59">
    <w:abstractNumId w:val="36"/>
  </w:num>
  <w:num w:numId="60">
    <w:abstractNumId w:val="36"/>
  </w:num>
  <w:num w:numId="61">
    <w:abstractNumId w:val="36"/>
  </w:num>
  <w:num w:numId="62">
    <w:abstractNumId w:val="36"/>
  </w:num>
  <w:num w:numId="63">
    <w:abstractNumId w:val="36"/>
  </w:num>
  <w:num w:numId="64">
    <w:abstractNumId w:val="36"/>
  </w:num>
  <w:num w:numId="65">
    <w:abstractNumId w:val="36"/>
  </w:num>
  <w:num w:numId="66">
    <w:abstractNumId w:val="20"/>
  </w:num>
  <w:num w:numId="67">
    <w:abstractNumId w:val="36"/>
  </w:num>
  <w:num w:numId="68">
    <w:abstractNumId w:val="36"/>
  </w:num>
  <w:num w:numId="69">
    <w:abstractNumId w:val="36"/>
  </w:num>
  <w:num w:numId="70">
    <w:abstractNumId w:val="36"/>
  </w:num>
  <w:num w:numId="71">
    <w:abstractNumId w:val="36"/>
  </w:num>
  <w:num w:numId="72">
    <w:abstractNumId w:val="36"/>
  </w:num>
  <w:num w:numId="73">
    <w:abstractNumId w:val="36"/>
  </w:num>
  <w:num w:numId="74">
    <w:abstractNumId w:val="36"/>
  </w:num>
  <w:num w:numId="75">
    <w:abstractNumId w:val="36"/>
  </w:num>
  <w:num w:numId="76">
    <w:abstractNumId w:val="36"/>
  </w:num>
  <w:num w:numId="77">
    <w:abstractNumId w:val="36"/>
  </w:num>
  <w:num w:numId="78">
    <w:abstractNumId w:val="3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BDB"/>
    <w:rsid w:val="000018AB"/>
    <w:rsid w:val="0000352E"/>
    <w:rsid w:val="000038D4"/>
    <w:rsid w:val="000044F7"/>
    <w:rsid w:val="00006C9D"/>
    <w:rsid w:val="00006D6A"/>
    <w:rsid w:val="00007999"/>
    <w:rsid w:val="00007C20"/>
    <w:rsid w:val="00007E44"/>
    <w:rsid w:val="00007F9F"/>
    <w:rsid w:val="000108A1"/>
    <w:rsid w:val="0001127F"/>
    <w:rsid w:val="000113E0"/>
    <w:rsid w:val="00012146"/>
    <w:rsid w:val="00013098"/>
    <w:rsid w:val="000132F2"/>
    <w:rsid w:val="00013672"/>
    <w:rsid w:val="000145D1"/>
    <w:rsid w:val="00014FAD"/>
    <w:rsid w:val="00016019"/>
    <w:rsid w:val="000169E4"/>
    <w:rsid w:val="00016DF3"/>
    <w:rsid w:val="00017495"/>
    <w:rsid w:val="000177FC"/>
    <w:rsid w:val="00017D6E"/>
    <w:rsid w:val="00017E6E"/>
    <w:rsid w:val="00020FE5"/>
    <w:rsid w:val="0002133D"/>
    <w:rsid w:val="00023F34"/>
    <w:rsid w:val="0002422F"/>
    <w:rsid w:val="00024C09"/>
    <w:rsid w:val="00024FA0"/>
    <w:rsid w:val="0002660A"/>
    <w:rsid w:val="00026BEA"/>
    <w:rsid w:val="00026D18"/>
    <w:rsid w:val="00030209"/>
    <w:rsid w:val="00030301"/>
    <w:rsid w:val="00030584"/>
    <w:rsid w:val="00030784"/>
    <w:rsid w:val="00030CD3"/>
    <w:rsid w:val="00030D28"/>
    <w:rsid w:val="0003178A"/>
    <w:rsid w:val="00031B98"/>
    <w:rsid w:val="000329FC"/>
    <w:rsid w:val="00032DA4"/>
    <w:rsid w:val="00034825"/>
    <w:rsid w:val="00034840"/>
    <w:rsid w:val="00035780"/>
    <w:rsid w:val="00035908"/>
    <w:rsid w:val="00035A03"/>
    <w:rsid w:val="00035C80"/>
    <w:rsid w:val="00036254"/>
    <w:rsid w:val="000368AA"/>
    <w:rsid w:val="00036F0E"/>
    <w:rsid w:val="000372D5"/>
    <w:rsid w:val="000373EF"/>
    <w:rsid w:val="000377BC"/>
    <w:rsid w:val="00037FEB"/>
    <w:rsid w:val="000401FC"/>
    <w:rsid w:val="000409F3"/>
    <w:rsid w:val="00041483"/>
    <w:rsid w:val="000416BC"/>
    <w:rsid w:val="00041FF8"/>
    <w:rsid w:val="00043171"/>
    <w:rsid w:val="000437AF"/>
    <w:rsid w:val="0004393D"/>
    <w:rsid w:val="00044060"/>
    <w:rsid w:val="00045363"/>
    <w:rsid w:val="00047762"/>
    <w:rsid w:val="000477A0"/>
    <w:rsid w:val="0005032B"/>
    <w:rsid w:val="0005034C"/>
    <w:rsid w:val="00050542"/>
    <w:rsid w:val="00050B7A"/>
    <w:rsid w:val="00051D7D"/>
    <w:rsid w:val="00051E45"/>
    <w:rsid w:val="000523EA"/>
    <w:rsid w:val="00053170"/>
    <w:rsid w:val="00053427"/>
    <w:rsid w:val="00054401"/>
    <w:rsid w:val="0005441C"/>
    <w:rsid w:val="00054725"/>
    <w:rsid w:val="00055C88"/>
    <w:rsid w:val="000578FA"/>
    <w:rsid w:val="0006041C"/>
    <w:rsid w:val="00062BE2"/>
    <w:rsid w:val="00062F01"/>
    <w:rsid w:val="0006491F"/>
    <w:rsid w:val="000656D1"/>
    <w:rsid w:val="0006573F"/>
    <w:rsid w:val="000660B1"/>
    <w:rsid w:val="000664D8"/>
    <w:rsid w:val="0006689E"/>
    <w:rsid w:val="00066FB2"/>
    <w:rsid w:val="00067E3C"/>
    <w:rsid w:val="00070B1F"/>
    <w:rsid w:val="0007277B"/>
    <w:rsid w:val="000730E8"/>
    <w:rsid w:val="0007337A"/>
    <w:rsid w:val="00073DED"/>
    <w:rsid w:val="00074025"/>
    <w:rsid w:val="00075178"/>
    <w:rsid w:val="000760AA"/>
    <w:rsid w:val="00076C79"/>
    <w:rsid w:val="00076DE8"/>
    <w:rsid w:val="0008242E"/>
    <w:rsid w:val="00082606"/>
    <w:rsid w:val="00082849"/>
    <w:rsid w:val="000829B1"/>
    <w:rsid w:val="00083C94"/>
    <w:rsid w:val="00083CD8"/>
    <w:rsid w:val="0008408D"/>
    <w:rsid w:val="00084CC5"/>
    <w:rsid w:val="00084EF5"/>
    <w:rsid w:val="00085E68"/>
    <w:rsid w:val="000864A1"/>
    <w:rsid w:val="00086AC2"/>
    <w:rsid w:val="0008784B"/>
    <w:rsid w:val="00087EA4"/>
    <w:rsid w:val="00090948"/>
    <w:rsid w:val="000909A0"/>
    <w:rsid w:val="00091D77"/>
    <w:rsid w:val="00093548"/>
    <w:rsid w:val="00093599"/>
    <w:rsid w:val="000946B9"/>
    <w:rsid w:val="00094D84"/>
    <w:rsid w:val="00094ECA"/>
    <w:rsid w:val="000955EF"/>
    <w:rsid w:val="000960BA"/>
    <w:rsid w:val="00096F36"/>
    <w:rsid w:val="0009706F"/>
    <w:rsid w:val="000976AF"/>
    <w:rsid w:val="00097A7C"/>
    <w:rsid w:val="000A096D"/>
    <w:rsid w:val="000A1ABD"/>
    <w:rsid w:val="000A1B80"/>
    <w:rsid w:val="000A2762"/>
    <w:rsid w:val="000A2A1B"/>
    <w:rsid w:val="000A383A"/>
    <w:rsid w:val="000A4ADA"/>
    <w:rsid w:val="000A569E"/>
    <w:rsid w:val="000A62DA"/>
    <w:rsid w:val="000A6873"/>
    <w:rsid w:val="000A6926"/>
    <w:rsid w:val="000A6F48"/>
    <w:rsid w:val="000A7121"/>
    <w:rsid w:val="000A7C67"/>
    <w:rsid w:val="000A7CD0"/>
    <w:rsid w:val="000B1315"/>
    <w:rsid w:val="000B17E2"/>
    <w:rsid w:val="000B1B1F"/>
    <w:rsid w:val="000B1BF9"/>
    <w:rsid w:val="000B3752"/>
    <w:rsid w:val="000B389B"/>
    <w:rsid w:val="000B3C12"/>
    <w:rsid w:val="000B3CCF"/>
    <w:rsid w:val="000B3DB8"/>
    <w:rsid w:val="000B4156"/>
    <w:rsid w:val="000B487C"/>
    <w:rsid w:val="000B4DA0"/>
    <w:rsid w:val="000B4FD5"/>
    <w:rsid w:val="000B6F07"/>
    <w:rsid w:val="000B7D45"/>
    <w:rsid w:val="000C0565"/>
    <w:rsid w:val="000C0D36"/>
    <w:rsid w:val="000C104E"/>
    <w:rsid w:val="000C1C8B"/>
    <w:rsid w:val="000C2771"/>
    <w:rsid w:val="000C28E6"/>
    <w:rsid w:val="000C3182"/>
    <w:rsid w:val="000C334E"/>
    <w:rsid w:val="000C392A"/>
    <w:rsid w:val="000C46D9"/>
    <w:rsid w:val="000C5366"/>
    <w:rsid w:val="000C6FC9"/>
    <w:rsid w:val="000C74F8"/>
    <w:rsid w:val="000C7BA2"/>
    <w:rsid w:val="000D1171"/>
    <w:rsid w:val="000D1951"/>
    <w:rsid w:val="000D1B36"/>
    <w:rsid w:val="000D24F5"/>
    <w:rsid w:val="000D2CD9"/>
    <w:rsid w:val="000D3546"/>
    <w:rsid w:val="000D3BCF"/>
    <w:rsid w:val="000D3F2A"/>
    <w:rsid w:val="000D4F3B"/>
    <w:rsid w:val="000D56DC"/>
    <w:rsid w:val="000D58FE"/>
    <w:rsid w:val="000D719F"/>
    <w:rsid w:val="000D73E9"/>
    <w:rsid w:val="000D77CA"/>
    <w:rsid w:val="000D7845"/>
    <w:rsid w:val="000D7864"/>
    <w:rsid w:val="000E21A1"/>
    <w:rsid w:val="000E2652"/>
    <w:rsid w:val="000E28E6"/>
    <w:rsid w:val="000E2AFC"/>
    <w:rsid w:val="000E2B54"/>
    <w:rsid w:val="000E2B87"/>
    <w:rsid w:val="000E2DD4"/>
    <w:rsid w:val="000E2E12"/>
    <w:rsid w:val="000E3178"/>
    <w:rsid w:val="000E34B8"/>
    <w:rsid w:val="000E3C84"/>
    <w:rsid w:val="000E48E0"/>
    <w:rsid w:val="000E58B2"/>
    <w:rsid w:val="000E5EA3"/>
    <w:rsid w:val="000E673A"/>
    <w:rsid w:val="000E687F"/>
    <w:rsid w:val="000E69B6"/>
    <w:rsid w:val="000E7836"/>
    <w:rsid w:val="000F056B"/>
    <w:rsid w:val="000F0E88"/>
    <w:rsid w:val="000F1120"/>
    <w:rsid w:val="000F1D07"/>
    <w:rsid w:val="000F1FE7"/>
    <w:rsid w:val="000F22FF"/>
    <w:rsid w:val="000F270B"/>
    <w:rsid w:val="000F27EA"/>
    <w:rsid w:val="000F2A49"/>
    <w:rsid w:val="000F2C59"/>
    <w:rsid w:val="000F3774"/>
    <w:rsid w:val="000F3A3D"/>
    <w:rsid w:val="000F3E71"/>
    <w:rsid w:val="000F50F6"/>
    <w:rsid w:val="000F575F"/>
    <w:rsid w:val="000F5FED"/>
    <w:rsid w:val="000F6C65"/>
    <w:rsid w:val="000F74F5"/>
    <w:rsid w:val="00100288"/>
    <w:rsid w:val="00101A28"/>
    <w:rsid w:val="0010243F"/>
    <w:rsid w:val="001025B3"/>
    <w:rsid w:val="00102C5F"/>
    <w:rsid w:val="00103618"/>
    <w:rsid w:val="00104B57"/>
    <w:rsid w:val="00105372"/>
    <w:rsid w:val="001058A3"/>
    <w:rsid w:val="001064D4"/>
    <w:rsid w:val="00107036"/>
    <w:rsid w:val="0010769A"/>
    <w:rsid w:val="00110811"/>
    <w:rsid w:val="00110DEE"/>
    <w:rsid w:val="00111115"/>
    <w:rsid w:val="00111B1E"/>
    <w:rsid w:val="0011290F"/>
    <w:rsid w:val="00112A42"/>
    <w:rsid w:val="00112EB4"/>
    <w:rsid w:val="001134D6"/>
    <w:rsid w:val="001143B5"/>
    <w:rsid w:val="00115046"/>
    <w:rsid w:val="00116340"/>
    <w:rsid w:val="0011645D"/>
    <w:rsid w:val="0011778B"/>
    <w:rsid w:val="00117862"/>
    <w:rsid w:val="00117B63"/>
    <w:rsid w:val="0012066F"/>
    <w:rsid w:val="00121337"/>
    <w:rsid w:val="001215D5"/>
    <w:rsid w:val="00124236"/>
    <w:rsid w:val="00124985"/>
    <w:rsid w:val="00124F1F"/>
    <w:rsid w:val="00125043"/>
    <w:rsid w:val="0012507C"/>
    <w:rsid w:val="00125604"/>
    <w:rsid w:val="0012581E"/>
    <w:rsid w:val="00127305"/>
    <w:rsid w:val="00130E9F"/>
    <w:rsid w:val="00131E7A"/>
    <w:rsid w:val="0013387A"/>
    <w:rsid w:val="00134028"/>
    <w:rsid w:val="0013407A"/>
    <w:rsid w:val="001345CA"/>
    <w:rsid w:val="00134E96"/>
    <w:rsid w:val="00134F7F"/>
    <w:rsid w:val="00135B06"/>
    <w:rsid w:val="00135B32"/>
    <w:rsid w:val="00135F6B"/>
    <w:rsid w:val="00136BB4"/>
    <w:rsid w:val="00137D95"/>
    <w:rsid w:val="001408A1"/>
    <w:rsid w:val="00141059"/>
    <w:rsid w:val="00141112"/>
    <w:rsid w:val="0014155A"/>
    <w:rsid w:val="00141566"/>
    <w:rsid w:val="00141BC1"/>
    <w:rsid w:val="00142B33"/>
    <w:rsid w:val="00142C8C"/>
    <w:rsid w:val="00142D14"/>
    <w:rsid w:val="00143EDD"/>
    <w:rsid w:val="001447E1"/>
    <w:rsid w:val="001462F8"/>
    <w:rsid w:val="001469C3"/>
    <w:rsid w:val="00146C92"/>
    <w:rsid w:val="00146F42"/>
    <w:rsid w:val="00147B06"/>
    <w:rsid w:val="00147E1E"/>
    <w:rsid w:val="00150599"/>
    <w:rsid w:val="00150F9E"/>
    <w:rsid w:val="001515AE"/>
    <w:rsid w:val="00151677"/>
    <w:rsid w:val="00154D30"/>
    <w:rsid w:val="001558EE"/>
    <w:rsid w:val="0015653E"/>
    <w:rsid w:val="001570B4"/>
    <w:rsid w:val="00157830"/>
    <w:rsid w:val="0016124E"/>
    <w:rsid w:val="0016125A"/>
    <w:rsid w:val="001618FE"/>
    <w:rsid w:val="0016276A"/>
    <w:rsid w:val="00163989"/>
    <w:rsid w:val="00163CBC"/>
    <w:rsid w:val="00164155"/>
    <w:rsid w:val="00164BD9"/>
    <w:rsid w:val="0016543C"/>
    <w:rsid w:val="001661EB"/>
    <w:rsid w:val="00170292"/>
    <w:rsid w:val="001706AE"/>
    <w:rsid w:val="00170A1F"/>
    <w:rsid w:val="00172AF6"/>
    <w:rsid w:val="001733A6"/>
    <w:rsid w:val="001741FE"/>
    <w:rsid w:val="0017454A"/>
    <w:rsid w:val="00174DDC"/>
    <w:rsid w:val="00174E7E"/>
    <w:rsid w:val="00176CEE"/>
    <w:rsid w:val="00176FEF"/>
    <w:rsid w:val="00177124"/>
    <w:rsid w:val="0017732E"/>
    <w:rsid w:val="00180389"/>
    <w:rsid w:val="001810E0"/>
    <w:rsid w:val="001811AC"/>
    <w:rsid w:val="0018199E"/>
    <w:rsid w:val="00181E69"/>
    <w:rsid w:val="00182761"/>
    <w:rsid w:val="00182981"/>
    <w:rsid w:val="00183895"/>
    <w:rsid w:val="00183ACA"/>
    <w:rsid w:val="001845D4"/>
    <w:rsid w:val="001854DD"/>
    <w:rsid w:val="00185C65"/>
    <w:rsid w:val="00186207"/>
    <w:rsid w:val="00186534"/>
    <w:rsid w:val="0018694E"/>
    <w:rsid w:val="0018714B"/>
    <w:rsid w:val="001874FC"/>
    <w:rsid w:val="00187730"/>
    <w:rsid w:val="00187CD8"/>
    <w:rsid w:val="00187E2F"/>
    <w:rsid w:val="00192B70"/>
    <w:rsid w:val="00193119"/>
    <w:rsid w:val="00193BCC"/>
    <w:rsid w:val="00194D44"/>
    <w:rsid w:val="0019501C"/>
    <w:rsid w:val="00195F0A"/>
    <w:rsid w:val="00195FAF"/>
    <w:rsid w:val="00197199"/>
    <w:rsid w:val="00197AB5"/>
    <w:rsid w:val="001A0B2E"/>
    <w:rsid w:val="001A1E0C"/>
    <w:rsid w:val="001A1F90"/>
    <w:rsid w:val="001A2B71"/>
    <w:rsid w:val="001A2EF9"/>
    <w:rsid w:val="001A530C"/>
    <w:rsid w:val="001A6140"/>
    <w:rsid w:val="001A615D"/>
    <w:rsid w:val="001A7132"/>
    <w:rsid w:val="001B0800"/>
    <w:rsid w:val="001B08F3"/>
    <w:rsid w:val="001B1686"/>
    <w:rsid w:val="001B23B3"/>
    <w:rsid w:val="001B52DB"/>
    <w:rsid w:val="001B6A44"/>
    <w:rsid w:val="001B70A9"/>
    <w:rsid w:val="001B70DE"/>
    <w:rsid w:val="001C039F"/>
    <w:rsid w:val="001C0D67"/>
    <w:rsid w:val="001C0D9C"/>
    <w:rsid w:val="001C295A"/>
    <w:rsid w:val="001C2F57"/>
    <w:rsid w:val="001C36CB"/>
    <w:rsid w:val="001C370C"/>
    <w:rsid w:val="001C4E60"/>
    <w:rsid w:val="001C67E4"/>
    <w:rsid w:val="001C7B61"/>
    <w:rsid w:val="001D00CD"/>
    <w:rsid w:val="001D0E39"/>
    <w:rsid w:val="001D0E48"/>
    <w:rsid w:val="001D1228"/>
    <w:rsid w:val="001D1C0D"/>
    <w:rsid w:val="001D28A7"/>
    <w:rsid w:val="001D3336"/>
    <w:rsid w:val="001D3CB8"/>
    <w:rsid w:val="001D4089"/>
    <w:rsid w:val="001D4535"/>
    <w:rsid w:val="001D459E"/>
    <w:rsid w:val="001D600F"/>
    <w:rsid w:val="001D67BA"/>
    <w:rsid w:val="001D6F49"/>
    <w:rsid w:val="001D7F21"/>
    <w:rsid w:val="001E0D95"/>
    <w:rsid w:val="001E23A5"/>
    <w:rsid w:val="001E3BB5"/>
    <w:rsid w:val="001E433D"/>
    <w:rsid w:val="001E4534"/>
    <w:rsid w:val="001E4A9E"/>
    <w:rsid w:val="001E4DD5"/>
    <w:rsid w:val="001E5A7F"/>
    <w:rsid w:val="001E5D55"/>
    <w:rsid w:val="001E77B1"/>
    <w:rsid w:val="001E794D"/>
    <w:rsid w:val="001F0703"/>
    <w:rsid w:val="001F0943"/>
    <w:rsid w:val="001F1BA3"/>
    <w:rsid w:val="001F1CCC"/>
    <w:rsid w:val="001F2220"/>
    <w:rsid w:val="001F22CE"/>
    <w:rsid w:val="001F2657"/>
    <w:rsid w:val="001F2E93"/>
    <w:rsid w:val="001F3850"/>
    <w:rsid w:val="001F3A4E"/>
    <w:rsid w:val="001F3E2D"/>
    <w:rsid w:val="001F457C"/>
    <w:rsid w:val="001F4687"/>
    <w:rsid w:val="001F4B58"/>
    <w:rsid w:val="001F7AC3"/>
    <w:rsid w:val="00200F25"/>
    <w:rsid w:val="00201A66"/>
    <w:rsid w:val="002028D3"/>
    <w:rsid w:val="00202A17"/>
    <w:rsid w:val="00203B57"/>
    <w:rsid w:val="00203D37"/>
    <w:rsid w:val="00204360"/>
    <w:rsid w:val="00205439"/>
    <w:rsid w:val="00205738"/>
    <w:rsid w:val="0020582D"/>
    <w:rsid w:val="002059BB"/>
    <w:rsid w:val="00205C96"/>
    <w:rsid w:val="00206097"/>
    <w:rsid w:val="00206D7E"/>
    <w:rsid w:val="0020747C"/>
    <w:rsid w:val="002077CC"/>
    <w:rsid w:val="002104A3"/>
    <w:rsid w:val="002108F1"/>
    <w:rsid w:val="00210E42"/>
    <w:rsid w:val="00211A81"/>
    <w:rsid w:val="00211DBF"/>
    <w:rsid w:val="002126DB"/>
    <w:rsid w:val="00212C36"/>
    <w:rsid w:val="00212DE7"/>
    <w:rsid w:val="002131AD"/>
    <w:rsid w:val="00213C91"/>
    <w:rsid w:val="0021524C"/>
    <w:rsid w:val="0021552D"/>
    <w:rsid w:val="0021557B"/>
    <w:rsid w:val="00215687"/>
    <w:rsid w:val="002175C2"/>
    <w:rsid w:val="00220C32"/>
    <w:rsid w:val="002214F9"/>
    <w:rsid w:val="002230E3"/>
    <w:rsid w:val="00223C52"/>
    <w:rsid w:val="00224138"/>
    <w:rsid w:val="002245AC"/>
    <w:rsid w:val="002245CC"/>
    <w:rsid w:val="00225170"/>
    <w:rsid w:val="00225683"/>
    <w:rsid w:val="00225911"/>
    <w:rsid w:val="00226AB7"/>
    <w:rsid w:val="00230874"/>
    <w:rsid w:val="00231661"/>
    <w:rsid w:val="00232D45"/>
    <w:rsid w:val="0023458C"/>
    <w:rsid w:val="002353CD"/>
    <w:rsid w:val="00236DC6"/>
    <w:rsid w:val="002411ED"/>
    <w:rsid w:val="00242476"/>
    <w:rsid w:val="002444C6"/>
    <w:rsid w:val="0024594C"/>
    <w:rsid w:val="00245C0E"/>
    <w:rsid w:val="00246243"/>
    <w:rsid w:val="002468B4"/>
    <w:rsid w:val="00246B42"/>
    <w:rsid w:val="00246DAD"/>
    <w:rsid w:val="00246F3E"/>
    <w:rsid w:val="0024707E"/>
    <w:rsid w:val="002470F5"/>
    <w:rsid w:val="0024742B"/>
    <w:rsid w:val="00247E27"/>
    <w:rsid w:val="002501A8"/>
    <w:rsid w:val="002506A0"/>
    <w:rsid w:val="00250713"/>
    <w:rsid w:val="00250722"/>
    <w:rsid w:val="002508B3"/>
    <w:rsid w:val="0025098A"/>
    <w:rsid w:val="0025134D"/>
    <w:rsid w:val="00252793"/>
    <w:rsid w:val="0025345D"/>
    <w:rsid w:val="00253905"/>
    <w:rsid w:val="00253DA0"/>
    <w:rsid w:val="00253F7A"/>
    <w:rsid w:val="0025499B"/>
    <w:rsid w:val="002562C9"/>
    <w:rsid w:val="00256647"/>
    <w:rsid w:val="0025694D"/>
    <w:rsid w:val="00257D28"/>
    <w:rsid w:val="00257FA2"/>
    <w:rsid w:val="002601B5"/>
    <w:rsid w:val="002613A7"/>
    <w:rsid w:val="002619EA"/>
    <w:rsid w:val="00263569"/>
    <w:rsid w:val="00263822"/>
    <w:rsid w:val="00263D69"/>
    <w:rsid w:val="00263E3F"/>
    <w:rsid w:val="00264142"/>
    <w:rsid w:val="002644E4"/>
    <w:rsid w:val="002645B2"/>
    <w:rsid w:val="00264BE6"/>
    <w:rsid w:val="00272F42"/>
    <w:rsid w:val="00273254"/>
    <w:rsid w:val="002736AB"/>
    <w:rsid w:val="00273A3D"/>
    <w:rsid w:val="00274836"/>
    <w:rsid w:val="002754BD"/>
    <w:rsid w:val="002760CA"/>
    <w:rsid w:val="0027621C"/>
    <w:rsid w:val="00276AB2"/>
    <w:rsid w:val="00276BB0"/>
    <w:rsid w:val="00277D70"/>
    <w:rsid w:val="00280254"/>
    <w:rsid w:val="002811E3"/>
    <w:rsid w:val="002817F8"/>
    <w:rsid w:val="0028186D"/>
    <w:rsid w:val="002822D1"/>
    <w:rsid w:val="00282969"/>
    <w:rsid w:val="00282A13"/>
    <w:rsid w:val="00285045"/>
    <w:rsid w:val="002857CC"/>
    <w:rsid w:val="00286F0A"/>
    <w:rsid w:val="0029082A"/>
    <w:rsid w:val="00291B18"/>
    <w:rsid w:val="00291D4D"/>
    <w:rsid w:val="00292B3A"/>
    <w:rsid w:val="00293A1C"/>
    <w:rsid w:val="00295C43"/>
    <w:rsid w:val="00297800"/>
    <w:rsid w:val="00297841"/>
    <w:rsid w:val="002A059E"/>
    <w:rsid w:val="002A0C6C"/>
    <w:rsid w:val="002A0D19"/>
    <w:rsid w:val="002A1E02"/>
    <w:rsid w:val="002A26E9"/>
    <w:rsid w:val="002A29EE"/>
    <w:rsid w:val="002A385F"/>
    <w:rsid w:val="002A3906"/>
    <w:rsid w:val="002A4187"/>
    <w:rsid w:val="002A418F"/>
    <w:rsid w:val="002A4858"/>
    <w:rsid w:val="002A51CC"/>
    <w:rsid w:val="002A5912"/>
    <w:rsid w:val="002A5940"/>
    <w:rsid w:val="002A5ACD"/>
    <w:rsid w:val="002A5B97"/>
    <w:rsid w:val="002A6924"/>
    <w:rsid w:val="002A6C03"/>
    <w:rsid w:val="002A7ECB"/>
    <w:rsid w:val="002B035D"/>
    <w:rsid w:val="002B13E1"/>
    <w:rsid w:val="002B1626"/>
    <w:rsid w:val="002B187F"/>
    <w:rsid w:val="002B1EC8"/>
    <w:rsid w:val="002B249B"/>
    <w:rsid w:val="002B27A0"/>
    <w:rsid w:val="002B2E58"/>
    <w:rsid w:val="002B333B"/>
    <w:rsid w:val="002B418A"/>
    <w:rsid w:val="002B4272"/>
    <w:rsid w:val="002B4C6E"/>
    <w:rsid w:val="002B5980"/>
    <w:rsid w:val="002B5AB8"/>
    <w:rsid w:val="002B636E"/>
    <w:rsid w:val="002B67E0"/>
    <w:rsid w:val="002B6BD9"/>
    <w:rsid w:val="002B7F1D"/>
    <w:rsid w:val="002C1649"/>
    <w:rsid w:val="002C198E"/>
    <w:rsid w:val="002C1B55"/>
    <w:rsid w:val="002C1FF1"/>
    <w:rsid w:val="002C30CC"/>
    <w:rsid w:val="002C3C36"/>
    <w:rsid w:val="002C4190"/>
    <w:rsid w:val="002C506B"/>
    <w:rsid w:val="002C5167"/>
    <w:rsid w:val="002C6BFB"/>
    <w:rsid w:val="002C78F8"/>
    <w:rsid w:val="002C7D36"/>
    <w:rsid w:val="002D0106"/>
    <w:rsid w:val="002D0893"/>
    <w:rsid w:val="002D21DA"/>
    <w:rsid w:val="002D3431"/>
    <w:rsid w:val="002D41A0"/>
    <w:rsid w:val="002D4A22"/>
    <w:rsid w:val="002D4A62"/>
    <w:rsid w:val="002D4FCD"/>
    <w:rsid w:val="002D5AB0"/>
    <w:rsid w:val="002D65E5"/>
    <w:rsid w:val="002D6637"/>
    <w:rsid w:val="002D6FF3"/>
    <w:rsid w:val="002D76C6"/>
    <w:rsid w:val="002D7CE3"/>
    <w:rsid w:val="002E0A60"/>
    <w:rsid w:val="002E0CEF"/>
    <w:rsid w:val="002E1394"/>
    <w:rsid w:val="002E1C6F"/>
    <w:rsid w:val="002E3550"/>
    <w:rsid w:val="002E5414"/>
    <w:rsid w:val="002E6A54"/>
    <w:rsid w:val="002E72A4"/>
    <w:rsid w:val="002E7C95"/>
    <w:rsid w:val="002F2A05"/>
    <w:rsid w:val="002F477B"/>
    <w:rsid w:val="002F4A6C"/>
    <w:rsid w:val="002F56E7"/>
    <w:rsid w:val="002F5BCD"/>
    <w:rsid w:val="002F6EEA"/>
    <w:rsid w:val="002F77FB"/>
    <w:rsid w:val="00300055"/>
    <w:rsid w:val="0030026C"/>
    <w:rsid w:val="00300592"/>
    <w:rsid w:val="00300970"/>
    <w:rsid w:val="00301F39"/>
    <w:rsid w:val="00302848"/>
    <w:rsid w:val="00303090"/>
    <w:rsid w:val="003032D3"/>
    <w:rsid w:val="00303F13"/>
    <w:rsid w:val="003042F7"/>
    <w:rsid w:val="0030452E"/>
    <w:rsid w:val="003045EA"/>
    <w:rsid w:val="00304606"/>
    <w:rsid w:val="0030466D"/>
    <w:rsid w:val="00304AFB"/>
    <w:rsid w:val="00304D9E"/>
    <w:rsid w:val="003053BF"/>
    <w:rsid w:val="003057BC"/>
    <w:rsid w:val="00305A78"/>
    <w:rsid w:val="003061F2"/>
    <w:rsid w:val="00306EDF"/>
    <w:rsid w:val="003075B5"/>
    <w:rsid w:val="00310F36"/>
    <w:rsid w:val="00311A9C"/>
    <w:rsid w:val="003141DC"/>
    <w:rsid w:val="003144AD"/>
    <w:rsid w:val="003156FE"/>
    <w:rsid w:val="00315C25"/>
    <w:rsid w:val="003161F3"/>
    <w:rsid w:val="003163D9"/>
    <w:rsid w:val="003174B7"/>
    <w:rsid w:val="00317A9A"/>
    <w:rsid w:val="003201BC"/>
    <w:rsid w:val="003205BD"/>
    <w:rsid w:val="00320AEF"/>
    <w:rsid w:val="00321C1D"/>
    <w:rsid w:val="00321FA1"/>
    <w:rsid w:val="00322F57"/>
    <w:rsid w:val="003230E7"/>
    <w:rsid w:val="00323521"/>
    <w:rsid w:val="00324BA1"/>
    <w:rsid w:val="00326605"/>
    <w:rsid w:val="0032779A"/>
    <w:rsid w:val="003314D3"/>
    <w:rsid w:val="00332019"/>
    <w:rsid w:val="00332281"/>
    <w:rsid w:val="00332C8A"/>
    <w:rsid w:val="00332E24"/>
    <w:rsid w:val="00332F88"/>
    <w:rsid w:val="003364A0"/>
    <w:rsid w:val="0033750D"/>
    <w:rsid w:val="00337A17"/>
    <w:rsid w:val="00337C74"/>
    <w:rsid w:val="00337E7C"/>
    <w:rsid w:val="00340780"/>
    <w:rsid w:val="00342B19"/>
    <w:rsid w:val="00342B78"/>
    <w:rsid w:val="00343609"/>
    <w:rsid w:val="00343BE9"/>
    <w:rsid w:val="003440C9"/>
    <w:rsid w:val="003443F9"/>
    <w:rsid w:val="0034478F"/>
    <w:rsid w:val="003465D7"/>
    <w:rsid w:val="00346B20"/>
    <w:rsid w:val="00350EB2"/>
    <w:rsid w:val="00350F43"/>
    <w:rsid w:val="00351C30"/>
    <w:rsid w:val="003527A0"/>
    <w:rsid w:val="003528D5"/>
    <w:rsid w:val="00352D1C"/>
    <w:rsid w:val="0035412D"/>
    <w:rsid w:val="003541AC"/>
    <w:rsid w:val="0035462A"/>
    <w:rsid w:val="00355B48"/>
    <w:rsid w:val="003568E6"/>
    <w:rsid w:val="00357138"/>
    <w:rsid w:val="00357A68"/>
    <w:rsid w:val="00357C96"/>
    <w:rsid w:val="003603A4"/>
    <w:rsid w:val="0036109B"/>
    <w:rsid w:val="00362A3B"/>
    <w:rsid w:val="00363013"/>
    <w:rsid w:val="00363A8F"/>
    <w:rsid w:val="00363EC9"/>
    <w:rsid w:val="003643C6"/>
    <w:rsid w:val="003651BA"/>
    <w:rsid w:val="003651C5"/>
    <w:rsid w:val="00365E2E"/>
    <w:rsid w:val="0036618F"/>
    <w:rsid w:val="0036695B"/>
    <w:rsid w:val="00366C76"/>
    <w:rsid w:val="00367072"/>
    <w:rsid w:val="003672A8"/>
    <w:rsid w:val="00367EE0"/>
    <w:rsid w:val="00367EEE"/>
    <w:rsid w:val="00371202"/>
    <w:rsid w:val="0037128D"/>
    <w:rsid w:val="00371528"/>
    <w:rsid w:val="00372F74"/>
    <w:rsid w:val="003759B8"/>
    <w:rsid w:val="00375AEC"/>
    <w:rsid w:val="003763A7"/>
    <w:rsid w:val="003764F7"/>
    <w:rsid w:val="00376872"/>
    <w:rsid w:val="00376D9B"/>
    <w:rsid w:val="00377EC8"/>
    <w:rsid w:val="003805ED"/>
    <w:rsid w:val="00380B83"/>
    <w:rsid w:val="00380DAD"/>
    <w:rsid w:val="00380FA5"/>
    <w:rsid w:val="003816ED"/>
    <w:rsid w:val="00381A85"/>
    <w:rsid w:val="00381EC3"/>
    <w:rsid w:val="00382344"/>
    <w:rsid w:val="00382E55"/>
    <w:rsid w:val="00382E56"/>
    <w:rsid w:val="00383D16"/>
    <w:rsid w:val="0038426E"/>
    <w:rsid w:val="00385855"/>
    <w:rsid w:val="00386502"/>
    <w:rsid w:val="00386B4F"/>
    <w:rsid w:val="00387B0B"/>
    <w:rsid w:val="003907E5"/>
    <w:rsid w:val="00390E1A"/>
    <w:rsid w:val="00390E45"/>
    <w:rsid w:val="00391585"/>
    <w:rsid w:val="00391D28"/>
    <w:rsid w:val="00392956"/>
    <w:rsid w:val="0039337B"/>
    <w:rsid w:val="003934CD"/>
    <w:rsid w:val="003939FC"/>
    <w:rsid w:val="00393C5C"/>
    <w:rsid w:val="0039485C"/>
    <w:rsid w:val="003949F1"/>
    <w:rsid w:val="00396BF3"/>
    <w:rsid w:val="00396CBF"/>
    <w:rsid w:val="00397C95"/>
    <w:rsid w:val="00397D5B"/>
    <w:rsid w:val="003A070A"/>
    <w:rsid w:val="003A3450"/>
    <w:rsid w:val="003A3D2B"/>
    <w:rsid w:val="003A5729"/>
    <w:rsid w:val="003A6B12"/>
    <w:rsid w:val="003A7E4C"/>
    <w:rsid w:val="003B0094"/>
    <w:rsid w:val="003B05A8"/>
    <w:rsid w:val="003B07E7"/>
    <w:rsid w:val="003B0BFC"/>
    <w:rsid w:val="003B0D21"/>
    <w:rsid w:val="003B1F56"/>
    <w:rsid w:val="003B276C"/>
    <w:rsid w:val="003B2DB3"/>
    <w:rsid w:val="003B3F5A"/>
    <w:rsid w:val="003B4446"/>
    <w:rsid w:val="003B47AD"/>
    <w:rsid w:val="003B4921"/>
    <w:rsid w:val="003B5425"/>
    <w:rsid w:val="003C0605"/>
    <w:rsid w:val="003C09F5"/>
    <w:rsid w:val="003C2B0F"/>
    <w:rsid w:val="003C2DCB"/>
    <w:rsid w:val="003C32F6"/>
    <w:rsid w:val="003C3975"/>
    <w:rsid w:val="003C46B0"/>
    <w:rsid w:val="003C5934"/>
    <w:rsid w:val="003C5ECA"/>
    <w:rsid w:val="003C78D6"/>
    <w:rsid w:val="003C7E51"/>
    <w:rsid w:val="003D0BB0"/>
    <w:rsid w:val="003D15FC"/>
    <w:rsid w:val="003D2AC0"/>
    <w:rsid w:val="003D2FE7"/>
    <w:rsid w:val="003D3C56"/>
    <w:rsid w:val="003D6067"/>
    <w:rsid w:val="003D6725"/>
    <w:rsid w:val="003D7B3B"/>
    <w:rsid w:val="003E00AB"/>
    <w:rsid w:val="003E04A5"/>
    <w:rsid w:val="003E070D"/>
    <w:rsid w:val="003E1508"/>
    <w:rsid w:val="003E1511"/>
    <w:rsid w:val="003E1B93"/>
    <w:rsid w:val="003E1D27"/>
    <w:rsid w:val="003E262F"/>
    <w:rsid w:val="003E32A8"/>
    <w:rsid w:val="003E33B5"/>
    <w:rsid w:val="003E4130"/>
    <w:rsid w:val="003E618B"/>
    <w:rsid w:val="003E74E0"/>
    <w:rsid w:val="003F06F8"/>
    <w:rsid w:val="003F2347"/>
    <w:rsid w:val="003F27C1"/>
    <w:rsid w:val="003F41B5"/>
    <w:rsid w:val="003F5524"/>
    <w:rsid w:val="003F6DC6"/>
    <w:rsid w:val="003F6F17"/>
    <w:rsid w:val="003F7224"/>
    <w:rsid w:val="003F78F2"/>
    <w:rsid w:val="00400502"/>
    <w:rsid w:val="0040057A"/>
    <w:rsid w:val="004013FB"/>
    <w:rsid w:val="00402771"/>
    <w:rsid w:val="00402A46"/>
    <w:rsid w:val="00402E99"/>
    <w:rsid w:val="004031EF"/>
    <w:rsid w:val="00403569"/>
    <w:rsid w:val="00405483"/>
    <w:rsid w:val="00405799"/>
    <w:rsid w:val="00405961"/>
    <w:rsid w:val="00405ECB"/>
    <w:rsid w:val="004063DA"/>
    <w:rsid w:val="00406995"/>
    <w:rsid w:val="00406D1B"/>
    <w:rsid w:val="00406DD1"/>
    <w:rsid w:val="004077CD"/>
    <w:rsid w:val="00407E47"/>
    <w:rsid w:val="004107FC"/>
    <w:rsid w:val="0041134B"/>
    <w:rsid w:val="00413C44"/>
    <w:rsid w:val="00413DCF"/>
    <w:rsid w:val="00414E52"/>
    <w:rsid w:val="00414F2C"/>
    <w:rsid w:val="00415114"/>
    <w:rsid w:val="00415215"/>
    <w:rsid w:val="00415987"/>
    <w:rsid w:val="004161D3"/>
    <w:rsid w:val="00417ADA"/>
    <w:rsid w:val="00420FE8"/>
    <w:rsid w:val="004218D4"/>
    <w:rsid w:val="00421C48"/>
    <w:rsid w:val="004238FC"/>
    <w:rsid w:val="00423FEB"/>
    <w:rsid w:val="00424EBE"/>
    <w:rsid w:val="00425518"/>
    <w:rsid w:val="00425926"/>
    <w:rsid w:val="00425BC0"/>
    <w:rsid w:val="0042659F"/>
    <w:rsid w:val="004266F7"/>
    <w:rsid w:val="00426A7B"/>
    <w:rsid w:val="0042749F"/>
    <w:rsid w:val="0042784B"/>
    <w:rsid w:val="00427BDB"/>
    <w:rsid w:val="00427C70"/>
    <w:rsid w:val="00427D21"/>
    <w:rsid w:val="00427FB2"/>
    <w:rsid w:val="0043173D"/>
    <w:rsid w:val="0043175F"/>
    <w:rsid w:val="00431B52"/>
    <w:rsid w:val="00431F11"/>
    <w:rsid w:val="00432208"/>
    <w:rsid w:val="00432952"/>
    <w:rsid w:val="00433330"/>
    <w:rsid w:val="00433860"/>
    <w:rsid w:val="00434FBC"/>
    <w:rsid w:val="00435DF4"/>
    <w:rsid w:val="00441CA7"/>
    <w:rsid w:val="0044236C"/>
    <w:rsid w:val="00442F37"/>
    <w:rsid w:val="00443BDE"/>
    <w:rsid w:val="00443FFF"/>
    <w:rsid w:val="004440C0"/>
    <w:rsid w:val="0044419E"/>
    <w:rsid w:val="00444312"/>
    <w:rsid w:val="004444C9"/>
    <w:rsid w:val="00445C3E"/>
    <w:rsid w:val="004467D1"/>
    <w:rsid w:val="00447291"/>
    <w:rsid w:val="0044737F"/>
    <w:rsid w:val="00447AD9"/>
    <w:rsid w:val="00450F92"/>
    <w:rsid w:val="00451483"/>
    <w:rsid w:val="00451D9F"/>
    <w:rsid w:val="00451FC5"/>
    <w:rsid w:val="00452EE7"/>
    <w:rsid w:val="004541A7"/>
    <w:rsid w:val="00454208"/>
    <w:rsid w:val="00454375"/>
    <w:rsid w:val="00454879"/>
    <w:rsid w:val="00455068"/>
    <w:rsid w:val="0045618A"/>
    <w:rsid w:val="004577C3"/>
    <w:rsid w:val="004607AD"/>
    <w:rsid w:val="00461A51"/>
    <w:rsid w:val="00461CD8"/>
    <w:rsid w:val="00462363"/>
    <w:rsid w:val="004636C3"/>
    <w:rsid w:val="004644C2"/>
    <w:rsid w:val="004648D1"/>
    <w:rsid w:val="00466019"/>
    <w:rsid w:val="00466935"/>
    <w:rsid w:val="00466AFD"/>
    <w:rsid w:val="004677B4"/>
    <w:rsid w:val="00467F9C"/>
    <w:rsid w:val="00470209"/>
    <w:rsid w:val="00471969"/>
    <w:rsid w:val="00471E17"/>
    <w:rsid w:val="00473224"/>
    <w:rsid w:val="004733AF"/>
    <w:rsid w:val="004733D3"/>
    <w:rsid w:val="00473B26"/>
    <w:rsid w:val="00473E2A"/>
    <w:rsid w:val="00474082"/>
    <w:rsid w:val="00475E18"/>
    <w:rsid w:val="004814A3"/>
    <w:rsid w:val="00481DAA"/>
    <w:rsid w:val="004823C5"/>
    <w:rsid w:val="0048417A"/>
    <w:rsid w:val="004853EE"/>
    <w:rsid w:val="004863CF"/>
    <w:rsid w:val="00487306"/>
    <w:rsid w:val="00487475"/>
    <w:rsid w:val="00487A97"/>
    <w:rsid w:val="00487D80"/>
    <w:rsid w:val="00490B5A"/>
    <w:rsid w:val="00490BEA"/>
    <w:rsid w:val="00490D74"/>
    <w:rsid w:val="0049205D"/>
    <w:rsid w:val="0049205F"/>
    <w:rsid w:val="004928C2"/>
    <w:rsid w:val="00492902"/>
    <w:rsid w:val="00492A2F"/>
    <w:rsid w:val="00493D32"/>
    <w:rsid w:val="00493DA8"/>
    <w:rsid w:val="0049451E"/>
    <w:rsid w:val="004977AE"/>
    <w:rsid w:val="004A02EE"/>
    <w:rsid w:val="004A1464"/>
    <w:rsid w:val="004A1B8A"/>
    <w:rsid w:val="004A2752"/>
    <w:rsid w:val="004A2F2F"/>
    <w:rsid w:val="004A3995"/>
    <w:rsid w:val="004A3B07"/>
    <w:rsid w:val="004A4A3C"/>
    <w:rsid w:val="004A4E14"/>
    <w:rsid w:val="004A7213"/>
    <w:rsid w:val="004B0D33"/>
    <w:rsid w:val="004B13E7"/>
    <w:rsid w:val="004B14AC"/>
    <w:rsid w:val="004B18EC"/>
    <w:rsid w:val="004B2800"/>
    <w:rsid w:val="004B2AFC"/>
    <w:rsid w:val="004B3264"/>
    <w:rsid w:val="004B34E4"/>
    <w:rsid w:val="004B383A"/>
    <w:rsid w:val="004B397F"/>
    <w:rsid w:val="004B5B5E"/>
    <w:rsid w:val="004B6104"/>
    <w:rsid w:val="004B6C8C"/>
    <w:rsid w:val="004B6D8B"/>
    <w:rsid w:val="004C0454"/>
    <w:rsid w:val="004C19E4"/>
    <w:rsid w:val="004C31AB"/>
    <w:rsid w:val="004C352F"/>
    <w:rsid w:val="004C3568"/>
    <w:rsid w:val="004C387F"/>
    <w:rsid w:val="004C4A6D"/>
    <w:rsid w:val="004C5D12"/>
    <w:rsid w:val="004C5F21"/>
    <w:rsid w:val="004C6F61"/>
    <w:rsid w:val="004C702C"/>
    <w:rsid w:val="004C76B9"/>
    <w:rsid w:val="004C7710"/>
    <w:rsid w:val="004D0423"/>
    <w:rsid w:val="004D2922"/>
    <w:rsid w:val="004D2C0D"/>
    <w:rsid w:val="004D36FD"/>
    <w:rsid w:val="004D4818"/>
    <w:rsid w:val="004D49A3"/>
    <w:rsid w:val="004D4CE7"/>
    <w:rsid w:val="004D58B7"/>
    <w:rsid w:val="004D5E44"/>
    <w:rsid w:val="004D65BE"/>
    <w:rsid w:val="004D6D72"/>
    <w:rsid w:val="004E0ACA"/>
    <w:rsid w:val="004E0D71"/>
    <w:rsid w:val="004E1795"/>
    <w:rsid w:val="004E4093"/>
    <w:rsid w:val="004F030D"/>
    <w:rsid w:val="004F0C3C"/>
    <w:rsid w:val="004F1C28"/>
    <w:rsid w:val="004F3012"/>
    <w:rsid w:val="004F3B68"/>
    <w:rsid w:val="004F5080"/>
    <w:rsid w:val="00500C13"/>
    <w:rsid w:val="00501002"/>
    <w:rsid w:val="005016CE"/>
    <w:rsid w:val="00502337"/>
    <w:rsid w:val="00503AF7"/>
    <w:rsid w:val="00503F1A"/>
    <w:rsid w:val="0050425F"/>
    <w:rsid w:val="0050466C"/>
    <w:rsid w:val="00505813"/>
    <w:rsid w:val="0050581D"/>
    <w:rsid w:val="00505B93"/>
    <w:rsid w:val="00505F67"/>
    <w:rsid w:val="00506235"/>
    <w:rsid w:val="0050646C"/>
    <w:rsid w:val="005070F3"/>
    <w:rsid w:val="00507C3F"/>
    <w:rsid w:val="00507CEF"/>
    <w:rsid w:val="00510139"/>
    <w:rsid w:val="00511007"/>
    <w:rsid w:val="00512F93"/>
    <w:rsid w:val="0051363A"/>
    <w:rsid w:val="00514161"/>
    <w:rsid w:val="00514BA9"/>
    <w:rsid w:val="00514C07"/>
    <w:rsid w:val="00514ECC"/>
    <w:rsid w:val="0051766B"/>
    <w:rsid w:val="005201E0"/>
    <w:rsid w:val="00520396"/>
    <w:rsid w:val="00520F7B"/>
    <w:rsid w:val="00520FAC"/>
    <w:rsid w:val="00522104"/>
    <w:rsid w:val="0052210C"/>
    <w:rsid w:val="0052216B"/>
    <w:rsid w:val="0052296C"/>
    <w:rsid w:val="005233AD"/>
    <w:rsid w:val="00523589"/>
    <w:rsid w:val="00523EE1"/>
    <w:rsid w:val="00525190"/>
    <w:rsid w:val="00525756"/>
    <w:rsid w:val="00525A27"/>
    <w:rsid w:val="00525FDE"/>
    <w:rsid w:val="00530E0D"/>
    <w:rsid w:val="00530F14"/>
    <w:rsid w:val="00531771"/>
    <w:rsid w:val="005317AE"/>
    <w:rsid w:val="00532C49"/>
    <w:rsid w:val="00532F5C"/>
    <w:rsid w:val="00533665"/>
    <w:rsid w:val="00533F1E"/>
    <w:rsid w:val="00534681"/>
    <w:rsid w:val="00534C03"/>
    <w:rsid w:val="0053549E"/>
    <w:rsid w:val="00536969"/>
    <w:rsid w:val="005375B4"/>
    <w:rsid w:val="00540183"/>
    <w:rsid w:val="00540F60"/>
    <w:rsid w:val="00541D0B"/>
    <w:rsid w:val="0054386A"/>
    <w:rsid w:val="005442AA"/>
    <w:rsid w:val="00544599"/>
    <w:rsid w:val="00544F60"/>
    <w:rsid w:val="00545126"/>
    <w:rsid w:val="005455C2"/>
    <w:rsid w:val="0054674B"/>
    <w:rsid w:val="00547CAA"/>
    <w:rsid w:val="00550169"/>
    <w:rsid w:val="00552DA3"/>
    <w:rsid w:val="00553905"/>
    <w:rsid w:val="00553B2B"/>
    <w:rsid w:val="00553C72"/>
    <w:rsid w:val="00554681"/>
    <w:rsid w:val="005555FA"/>
    <w:rsid w:val="00556B71"/>
    <w:rsid w:val="00557371"/>
    <w:rsid w:val="00557677"/>
    <w:rsid w:val="00557C7E"/>
    <w:rsid w:val="00561E4F"/>
    <w:rsid w:val="005620EA"/>
    <w:rsid w:val="005626D6"/>
    <w:rsid w:val="0056299F"/>
    <w:rsid w:val="00564E10"/>
    <w:rsid w:val="005652D4"/>
    <w:rsid w:val="0056566D"/>
    <w:rsid w:val="00566A74"/>
    <w:rsid w:val="0056716C"/>
    <w:rsid w:val="00567CF6"/>
    <w:rsid w:val="00567F2F"/>
    <w:rsid w:val="00570487"/>
    <w:rsid w:val="00570852"/>
    <w:rsid w:val="00570F55"/>
    <w:rsid w:val="005715A1"/>
    <w:rsid w:val="00571D9B"/>
    <w:rsid w:val="0057279E"/>
    <w:rsid w:val="00572D87"/>
    <w:rsid w:val="0057317A"/>
    <w:rsid w:val="0057373E"/>
    <w:rsid w:val="00573CEF"/>
    <w:rsid w:val="00573E69"/>
    <w:rsid w:val="005744D1"/>
    <w:rsid w:val="00574BA5"/>
    <w:rsid w:val="00574BC5"/>
    <w:rsid w:val="00575640"/>
    <w:rsid w:val="00575E9C"/>
    <w:rsid w:val="00576DC8"/>
    <w:rsid w:val="00577850"/>
    <w:rsid w:val="00580C92"/>
    <w:rsid w:val="00581540"/>
    <w:rsid w:val="00582196"/>
    <w:rsid w:val="00582AB2"/>
    <w:rsid w:val="00582D83"/>
    <w:rsid w:val="005835A4"/>
    <w:rsid w:val="0058411F"/>
    <w:rsid w:val="0058541B"/>
    <w:rsid w:val="00586AB6"/>
    <w:rsid w:val="00587596"/>
    <w:rsid w:val="00587BFC"/>
    <w:rsid w:val="005902FB"/>
    <w:rsid w:val="00590D8C"/>
    <w:rsid w:val="005913E5"/>
    <w:rsid w:val="0059187F"/>
    <w:rsid w:val="005924C7"/>
    <w:rsid w:val="005926BE"/>
    <w:rsid w:val="00592DAA"/>
    <w:rsid w:val="0059342F"/>
    <w:rsid w:val="005947D9"/>
    <w:rsid w:val="00594E6B"/>
    <w:rsid w:val="00595793"/>
    <w:rsid w:val="00595C7C"/>
    <w:rsid w:val="00596900"/>
    <w:rsid w:val="005971EF"/>
    <w:rsid w:val="00597A7C"/>
    <w:rsid w:val="00597AC2"/>
    <w:rsid w:val="005A0174"/>
    <w:rsid w:val="005A0276"/>
    <w:rsid w:val="005A1555"/>
    <w:rsid w:val="005A17F0"/>
    <w:rsid w:val="005A40EE"/>
    <w:rsid w:val="005A4110"/>
    <w:rsid w:val="005A4B90"/>
    <w:rsid w:val="005A4DF8"/>
    <w:rsid w:val="005A5406"/>
    <w:rsid w:val="005A5A10"/>
    <w:rsid w:val="005A6154"/>
    <w:rsid w:val="005A619D"/>
    <w:rsid w:val="005A6804"/>
    <w:rsid w:val="005A6E4F"/>
    <w:rsid w:val="005A715F"/>
    <w:rsid w:val="005A7B5D"/>
    <w:rsid w:val="005B00D7"/>
    <w:rsid w:val="005B01C4"/>
    <w:rsid w:val="005B0579"/>
    <w:rsid w:val="005B1536"/>
    <w:rsid w:val="005B1B2B"/>
    <w:rsid w:val="005B1C43"/>
    <w:rsid w:val="005B224F"/>
    <w:rsid w:val="005B26E3"/>
    <w:rsid w:val="005B271E"/>
    <w:rsid w:val="005B2EE7"/>
    <w:rsid w:val="005B530B"/>
    <w:rsid w:val="005B5633"/>
    <w:rsid w:val="005B56A7"/>
    <w:rsid w:val="005B6A07"/>
    <w:rsid w:val="005B7D3B"/>
    <w:rsid w:val="005C0AC8"/>
    <w:rsid w:val="005C15ED"/>
    <w:rsid w:val="005C183B"/>
    <w:rsid w:val="005C26FE"/>
    <w:rsid w:val="005C331A"/>
    <w:rsid w:val="005C39FD"/>
    <w:rsid w:val="005C3A7D"/>
    <w:rsid w:val="005C5511"/>
    <w:rsid w:val="005C55AC"/>
    <w:rsid w:val="005C729A"/>
    <w:rsid w:val="005C7AC9"/>
    <w:rsid w:val="005D0A3E"/>
    <w:rsid w:val="005D29CD"/>
    <w:rsid w:val="005D30AE"/>
    <w:rsid w:val="005D3F65"/>
    <w:rsid w:val="005D4CBB"/>
    <w:rsid w:val="005D58D7"/>
    <w:rsid w:val="005D6E38"/>
    <w:rsid w:val="005D6E5B"/>
    <w:rsid w:val="005E00C8"/>
    <w:rsid w:val="005E063C"/>
    <w:rsid w:val="005E091A"/>
    <w:rsid w:val="005E172E"/>
    <w:rsid w:val="005E1D62"/>
    <w:rsid w:val="005E37E4"/>
    <w:rsid w:val="005E3B58"/>
    <w:rsid w:val="005E3BF0"/>
    <w:rsid w:val="005E589B"/>
    <w:rsid w:val="005E5AAE"/>
    <w:rsid w:val="005E5DAE"/>
    <w:rsid w:val="005E60C9"/>
    <w:rsid w:val="005E623F"/>
    <w:rsid w:val="005E780D"/>
    <w:rsid w:val="005E7E90"/>
    <w:rsid w:val="005F0B3F"/>
    <w:rsid w:val="005F194D"/>
    <w:rsid w:val="005F2A48"/>
    <w:rsid w:val="005F2D4E"/>
    <w:rsid w:val="005F2E53"/>
    <w:rsid w:val="005F2F6E"/>
    <w:rsid w:val="005F33BE"/>
    <w:rsid w:val="005F34D7"/>
    <w:rsid w:val="005F439B"/>
    <w:rsid w:val="005F43C7"/>
    <w:rsid w:val="005F47B3"/>
    <w:rsid w:val="005F5EEE"/>
    <w:rsid w:val="005F60FF"/>
    <w:rsid w:val="005F63FF"/>
    <w:rsid w:val="005F6494"/>
    <w:rsid w:val="005F668B"/>
    <w:rsid w:val="005F675A"/>
    <w:rsid w:val="005F6EF5"/>
    <w:rsid w:val="005F6F08"/>
    <w:rsid w:val="0060041C"/>
    <w:rsid w:val="00601560"/>
    <w:rsid w:val="006016A2"/>
    <w:rsid w:val="00602773"/>
    <w:rsid w:val="00602D97"/>
    <w:rsid w:val="006047C1"/>
    <w:rsid w:val="00604A4A"/>
    <w:rsid w:val="00606F94"/>
    <w:rsid w:val="00607DE5"/>
    <w:rsid w:val="00610E06"/>
    <w:rsid w:val="0061187A"/>
    <w:rsid w:val="006122BA"/>
    <w:rsid w:val="006134D7"/>
    <w:rsid w:val="0061352B"/>
    <w:rsid w:val="006147B9"/>
    <w:rsid w:val="00614C17"/>
    <w:rsid w:val="006150C8"/>
    <w:rsid w:val="00615865"/>
    <w:rsid w:val="00615E88"/>
    <w:rsid w:val="0061649D"/>
    <w:rsid w:val="006168A7"/>
    <w:rsid w:val="00616C26"/>
    <w:rsid w:val="00617255"/>
    <w:rsid w:val="00617AC5"/>
    <w:rsid w:val="006200BA"/>
    <w:rsid w:val="006202B0"/>
    <w:rsid w:val="00620421"/>
    <w:rsid w:val="00621881"/>
    <w:rsid w:val="00621A95"/>
    <w:rsid w:val="006222F1"/>
    <w:rsid w:val="0062495C"/>
    <w:rsid w:val="006270EC"/>
    <w:rsid w:val="00627A0B"/>
    <w:rsid w:val="00631F3D"/>
    <w:rsid w:val="00632957"/>
    <w:rsid w:val="00632CDD"/>
    <w:rsid w:val="0063364F"/>
    <w:rsid w:val="00634439"/>
    <w:rsid w:val="00635469"/>
    <w:rsid w:val="00636CDF"/>
    <w:rsid w:val="00636EE8"/>
    <w:rsid w:val="00636EF8"/>
    <w:rsid w:val="00636FE2"/>
    <w:rsid w:val="00637F14"/>
    <w:rsid w:val="0064056C"/>
    <w:rsid w:val="006409E9"/>
    <w:rsid w:val="00642476"/>
    <w:rsid w:val="00643DC9"/>
    <w:rsid w:val="0064466D"/>
    <w:rsid w:val="00644CC1"/>
    <w:rsid w:val="00644F4D"/>
    <w:rsid w:val="00646377"/>
    <w:rsid w:val="00646C06"/>
    <w:rsid w:val="006478F0"/>
    <w:rsid w:val="00647F51"/>
    <w:rsid w:val="006500E9"/>
    <w:rsid w:val="00650D15"/>
    <w:rsid w:val="00651253"/>
    <w:rsid w:val="00651A8E"/>
    <w:rsid w:val="00651F80"/>
    <w:rsid w:val="00653EF8"/>
    <w:rsid w:val="00654051"/>
    <w:rsid w:val="006557A5"/>
    <w:rsid w:val="00655FC4"/>
    <w:rsid w:val="006565E3"/>
    <w:rsid w:val="00656694"/>
    <w:rsid w:val="00656D75"/>
    <w:rsid w:val="00656DE2"/>
    <w:rsid w:val="006571DF"/>
    <w:rsid w:val="00657714"/>
    <w:rsid w:val="00657A64"/>
    <w:rsid w:val="006600E9"/>
    <w:rsid w:val="00661913"/>
    <w:rsid w:val="00661E57"/>
    <w:rsid w:val="00662011"/>
    <w:rsid w:val="006629EA"/>
    <w:rsid w:val="00663B24"/>
    <w:rsid w:val="00663BCA"/>
    <w:rsid w:val="00665D6E"/>
    <w:rsid w:val="00666040"/>
    <w:rsid w:val="00666A19"/>
    <w:rsid w:val="00666DAC"/>
    <w:rsid w:val="00667066"/>
    <w:rsid w:val="0066732F"/>
    <w:rsid w:val="00667510"/>
    <w:rsid w:val="00670525"/>
    <w:rsid w:val="0067066E"/>
    <w:rsid w:val="00670ADB"/>
    <w:rsid w:val="00670BB5"/>
    <w:rsid w:val="00670C8C"/>
    <w:rsid w:val="006710E9"/>
    <w:rsid w:val="006711A7"/>
    <w:rsid w:val="006726E9"/>
    <w:rsid w:val="00672758"/>
    <w:rsid w:val="006738DE"/>
    <w:rsid w:val="00673C79"/>
    <w:rsid w:val="00674DDF"/>
    <w:rsid w:val="00675501"/>
    <w:rsid w:val="00676F77"/>
    <w:rsid w:val="00677B38"/>
    <w:rsid w:val="00680D55"/>
    <w:rsid w:val="00681F58"/>
    <w:rsid w:val="0068234A"/>
    <w:rsid w:val="00683DCD"/>
    <w:rsid w:val="00683E0F"/>
    <w:rsid w:val="006845F5"/>
    <w:rsid w:val="00684BBC"/>
    <w:rsid w:val="00685365"/>
    <w:rsid w:val="0068619E"/>
    <w:rsid w:val="00686C9D"/>
    <w:rsid w:val="00686FE1"/>
    <w:rsid w:val="006870AC"/>
    <w:rsid w:val="006872E6"/>
    <w:rsid w:val="0068799C"/>
    <w:rsid w:val="00687D2A"/>
    <w:rsid w:val="00690042"/>
    <w:rsid w:val="0069193D"/>
    <w:rsid w:val="00691F40"/>
    <w:rsid w:val="00693280"/>
    <w:rsid w:val="006932DC"/>
    <w:rsid w:val="00693741"/>
    <w:rsid w:val="00693F93"/>
    <w:rsid w:val="00694029"/>
    <w:rsid w:val="00694702"/>
    <w:rsid w:val="006947C0"/>
    <w:rsid w:val="00694F23"/>
    <w:rsid w:val="00696482"/>
    <w:rsid w:val="00696D15"/>
    <w:rsid w:val="006977FE"/>
    <w:rsid w:val="006A0AAA"/>
    <w:rsid w:val="006A25AA"/>
    <w:rsid w:val="006A2D2F"/>
    <w:rsid w:val="006A3744"/>
    <w:rsid w:val="006A4967"/>
    <w:rsid w:val="006A5E25"/>
    <w:rsid w:val="006A64F2"/>
    <w:rsid w:val="006A6D33"/>
    <w:rsid w:val="006A6E6E"/>
    <w:rsid w:val="006B03D2"/>
    <w:rsid w:val="006B0B2A"/>
    <w:rsid w:val="006B0F31"/>
    <w:rsid w:val="006B145F"/>
    <w:rsid w:val="006B2290"/>
    <w:rsid w:val="006B3EE4"/>
    <w:rsid w:val="006B4C3C"/>
    <w:rsid w:val="006B4EEF"/>
    <w:rsid w:val="006B614A"/>
    <w:rsid w:val="006B7F44"/>
    <w:rsid w:val="006C0283"/>
    <w:rsid w:val="006C0991"/>
    <w:rsid w:val="006C0C9E"/>
    <w:rsid w:val="006C1888"/>
    <w:rsid w:val="006C18BE"/>
    <w:rsid w:val="006C27CA"/>
    <w:rsid w:val="006C2A7C"/>
    <w:rsid w:val="006C2ABE"/>
    <w:rsid w:val="006C3313"/>
    <w:rsid w:val="006C3B42"/>
    <w:rsid w:val="006C3BBF"/>
    <w:rsid w:val="006C487D"/>
    <w:rsid w:val="006C4A8E"/>
    <w:rsid w:val="006C4C4B"/>
    <w:rsid w:val="006C4F30"/>
    <w:rsid w:val="006C50C1"/>
    <w:rsid w:val="006C5291"/>
    <w:rsid w:val="006C5943"/>
    <w:rsid w:val="006C696E"/>
    <w:rsid w:val="006C6E40"/>
    <w:rsid w:val="006C7762"/>
    <w:rsid w:val="006C77B4"/>
    <w:rsid w:val="006D05D4"/>
    <w:rsid w:val="006D084B"/>
    <w:rsid w:val="006D0D6C"/>
    <w:rsid w:val="006D2B18"/>
    <w:rsid w:val="006D2D18"/>
    <w:rsid w:val="006D3ABF"/>
    <w:rsid w:val="006D3AC4"/>
    <w:rsid w:val="006D3DA1"/>
    <w:rsid w:val="006D5438"/>
    <w:rsid w:val="006D6183"/>
    <w:rsid w:val="006D6916"/>
    <w:rsid w:val="006D79B8"/>
    <w:rsid w:val="006D7E87"/>
    <w:rsid w:val="006E0358"/>
    <w:rsid w:val="006E05D9"/>
    <w:rsid w:val="006E2321"/>
    <w:rsid w:val="006E3811"/>
    <w:rsid w:val="006E45F6"/>
    <w:rsid w:val="006E6E07"/>
    <w:rsid w:val="006E77E4"/>
    <w:rsid w:val="006F0C60"/>
    <w:rsid w:val="006F1764"/>
    <w:rsid w:val="006F20BD"/>
    <w:rsid w:val="006F3BD8"/>
    <w:rsid w:val="006F4227"/>
    <w:rsid w:val="006F4C34"/>
    <w:rsid w:val="006F4D23"/>
    <w:rsid w:val="006F5427"/>
    <w:rsid w:val="006F6083"/>
    <w:rsid w:val="006F60EB"/>
    <w:rsid w:val="006F7E92"/>
    <w:rsid w:val="00700490"/>
    <w:rsid w:val="0070075F"/>
    <w:rsid w:val="007014B0"/>
    <w:rsid w:val="00703099"/>
    <w:rsid w:val="007049AA"/>
    <w:rsid w:val="00704DD7"/>
    <w:rsid w:val="0070615F"/>
    <w:rsid w:val="00707DA1"/>
    <w:rsid w:val="00710B92"/>
    <w:rsid w:val="00710DCB"/>
    <w:rsid w:val="007120F6"/>
    <w:rsid w:val="007129BF"/>
    <w:rsid w:val="00713236"/>
    <w:rsid w:val="00716EAB"/>
    <w:rsid w:val="007177DD"/>
    <w:rsid w:val="00717D65"/>
    <w:rsid w:val="00717D88"/>
    <w:rsid w:val="007202DB"/>
    <w:rsid w:val="007211ED"/>
    <w:rsid w:val="0072135C"/>
    <w:rsid w:val="00721F41"/>
    <w:rsid w:val="0072389D"/>
    <w:rsid w:val="00723EF1"/>
    <w:rsid w:val="0072425C"/>
    <w:rsid w:val="00724740"/>
    <w:rsid w:val="00724C35"/>
    <w:rsid w:val="00724E53"/>
    <w:rsid w:val="0072623A"/>
    <w:rsid w:val="0072659D"/>
    <w:rsid w:val="007266FA"/>
    <w:rsid w:val="00730B70"/>
    <w:rsid w:val="00731C43"/>
    <w:rsid w:val="007325F1"/>
    <w:rsid w:val="00732EE1"/>
    <w:rsid w:val="007405A5"/>
    <w:rsid w:val="0074334C"/>
    <w:rsid w:val="0074376B"/>
    <w:rsid w:val="007441F0"/>
    <w:rsid w:val="00744485"/>
    <w:rsid w:val="007447C9"/>
    <w:rsid w:val="0074659E"/>
    <w:rsid w:val="00747421"/>
    <w:rsid w:val="007500E1"/>
    <w:rsid w:val="00750820"/>
    <w:rsid w:val="007518C2"/>
    <w:rsid w:val="007531C9"/>
    <w:rsid w:val="00753249"/>
    <w:rsid w:val="00753E30"/>
    <w:rsid w:val="00754272"/>
    <w:rsid w:val="00754B69"/>
    <w:rsid w:val="00754F85"/>
    <w:rsid w:val="007551CD"/>
    <w:rsid w:val="00755513"/>
    <w:rsid w:val="00755C5A"/>
    <w:rsid w:val="00755FFA"/>
    <w:rsid w:val="007566A1"/>
    <w:rsid w:val="007600AB"/>
    <w:rsid w:val="007611B6"/>
    <w:rsid w:val="0076160B"/>
    <w:rsid w:val="00763339"/>
    <w:rsid w:val="007637A4"/>
    <w:rsid w:val="00763A20"/>
    <w:rsid w:val="00763BDB"/>
    <w:rsid w:val="00764242"/>
    <w:rsid w:val="00764547"/>
    <w:rsid w:val="00764D27"/>
    <w:rsid w:val="00764DA9"/>
    <w:rsid w:val="007655DC"/>
    <w:rsid w:val="007657FE"/>
    <w:rsid w:val="00765A89"/>
    <w:rsid w:val="00765C00"/>
    <w:rsid w:val="00766077"/>
    <w:rsid w:val="00767385"/>
    <w:rsid w:val="00767F70"/>
    <w:rsid w:val="00771653"/>
    <w:rsid w:val="00772A6A"/>
    <w:rsid w:val="007732E8"/>
    <w:rsid w:val="00773511"/>
    <w:rsid w:val="00774A0D"/>
    <w:rsid w:val="00774A15"/>
    <w:rsid w:val="00774C67"/>
    <w:rsid w:val="007762DC"/>
    <w:rsid w:val="00776380"/>
    <w:rsid w:val="007769DC"/>
    <w:rsid w:val="00776B2A"/>
    <w:rsid w:val="007773F0"/>
    <w:rsid w:val="0078139C"/>
    <w:rsid w:val="007825A1"/>
    <w:rsid w:val="007829A3"/>
    <w:rsid w:val="00786A2F"/>
    <w:rsid w:val="0079002D"/>
    <w:rsid w:val="00790576"/>
    <w:rsid w:val="00790F23"/>
    <w:rsid w:val="00791070"/>
    <w:rsid w:val="00791D8A"/>
    <w:rsid w:val="0079259E"/>
    <w:rsid w:val="00792EC1"/>
    <w:rsid w:val="00793A4A"/>
    <w:rsid w:val="00793FCE"/>
    <w:rsid w:val="007942D3"/>
    <w:rsid w:val="00794B4E"/>
    <w:rsid w:val="007957EA"/>
    <w:rsid w:val="007965F0"/>
    <w:rsid w:val="00797177"/>
    <w:rsid w:val="00797265"/>
    <w:rsid w:val="007A1650"/>
    <w:rsid w:val="007A23A7"/>
    <w:rsid w:val="007A2E3D"/>
    <w:rsid w:val="007A2E57"/>
    <w:rsid w:val="007A32CE"/>
    <w:rsid w:val="007A401F"/>
    <w:rsid w:val="007A4519"/>
    <w:rsid w:val="007A48B9"/>
    <w:rsid w:val="007A532C"/>
    <w:rsid w:val="007A53E6"/>
    <w:rsid w:val="007A5A6E"/>
    <w:rsid w:val="007A5D7A"/>
    <w:rsid w:val="007A5E3E"/>
    <w:rsid w:val="007A67D3"/>
    <w:rsid w:val="007B0369"/>
    <w:rsid w:val="007B2E63"/>
    <w:rsid w:val="007B4E3E"/>
    <w:rsid w:val="007B5098"/>
    <w:rsid w:val="007B59D9"/>
    <w:rsid w:val="007B5C8D"/>
    <w:rsid w:val="007B6159"/>
    <w:rsid w:val="007B6C09"/>
    <w:rsid w:val="007B7082"/>
    <w:rsid w:val="007B7797"/>
    <w:rsid w:val="007B79D4"/>
    <w:rsid w:val="007B7A17"/>
    <w:rsid w:val="007C046E"/>
    <w:rsid w:val="007C101E"/>
    <w:rsid w:val="007C10B9"/>
    <w:rsid w:val="007C208B"/>
    <w:rsid w:val="007C2173"/>
    <w:rsid w:val="007C232E"/>
    <w:rsid w:val="007C23E5"/>
    <w:rsid w:val="007C25A3"/>
    <w:rsid w:val="007C3D91"/>
    <w:rsid w:val="007C49A9"/>
    <w:rsid w:val="007C67AF"/>
    <w:rsid w:val="007C7659"/>
    <w:rsid w:val="007C78B5"/>
    <w:rsid w:val="007D03C1"/>
    <w:rsid w:val="007D18BF"/>
    <w:rsid w:val="007D26B4"/>
    <w:rsid w:val="007D3942"/>
    <w:rsid w:val="007D40C6"/>
    <w:rsid w:val="007D430A"/>
    <w:rsid w:val="007D4340"/>
    <w:rsid w:val="007D4BF9"/>
    <w:rsid w:val="007D56BA"/>
    <w:rsid w:val="007D578A"/>
    <w:rsid w:val="007D5A3D"/>
    <w:rsid w:val="007D5DAA"/>
    <w:rsid w:val="007D610E"/>
    <w:rsid w:val="007D643F"/>
    <w:rsid w:val="007D65B0"/>
    <w:rsid w:val="007D7008"/>
    <w:rsid w:val="007E09DA"/>
    <w:rsid w:val="007E0A54"/>
    <w:rsid w:val="007E0A6B"/>
    <w:rsid w:val="007E0F25"/>
    <w:rsid w:val="007E259B"/>
    <w:rsid w:val="007E261B"/>
    <w:rsid w:val="007E3C4E"/>
    <w:rsid w:val="007E3E34"/>
    <w:rsid w:val="007E482E"/>
    <w:rsid w:val="007E530E"/>
    <w:rsid w:val="007E5501"/>
    <w:rsid w:val="007E5514"/>
    <w:rsid w:val="007E621A"/>
    <w:rsid w:val="007E7634"/>
    <w:rsid w:val="007E7C8E"/>
    <w:rsid w:val="007F000F"/>
    <w:rsid w:val="007F028B"/>
    <w:rsid w:val="007F2507"/>
    <w:rsid w:val="007F372F"/>
    <w:rsid w:val="007F3838"/>
    <w:rsid w:val="007F48EF"/>
    <w:rsid w:val="007F76A0"/>
    <w:rsid w:val="00800A21"/>
    <w:rsid w:val="00800A69"/>
    <w:rsid w:val="00801295"/>
    <w:rsid w:val="00801BC4"/>
    <w:rsid w:val="00802A20"/>
    <w:rsid w:val="00803191"/>
    <w:rsid w:val="0080358E"/>
    <w:rsid w:val="00806332"/>
    <w:rsid w:val="00806A19"/>
    <w:rsid w:val="008071BD"/>
    <w:rsid w:val="00810292"/>
    <w:rsid w:val="00811490"/>
    <w:rsid w:val="00812914"/>
    <w:rsid w:val="00812DDC"/>
    <w:rsid w:val="00813063"/>
    <w:rsid w:val="008133E0"/>
    <w:rsid w:val="00813E2F"/>
    <w:rsid w:val="00813FD5"/>
    <w:rsid w:val="0081454F"/>
    <w:rsid w:val="00815048"/>
    <w:rsid w:val="00815A4C"/>
    <w:rsid w:val="00815BC8"/>
    <w:rsid w:val="008162AF"/>
    <w:rsid w:val="008163E4"/>
    <w:rsid w:val="008168AC"/>
    <w:rsid w:val="008171D6"/>
    <w:rsid w:val="008178B6"/>
    <w:rsid w:val="008211FF"/>
    <w:rsid w:val="008216BB"/>
    <w:rsid w:val="008218FE"/>
    <w:rsid w:val="00821E5D"/>
    <w:rsid w:val="00822E21"/>
    <w:rsid w:val="00823C6E"/>
    <w:rsid w:val="00825A91"/>
    <w:rsid w:val="00825B73"/>
    <w:rsid w:val="00827E44"/>
    <w:rsid w:val="00830029"/>
    <w:rsid w:val="0083015F"/>
    <w:rsid w:val="00831E8B"/>
    <w:rsid w:val="00833D58"/>
    <w:rsid w:val="008341D3"/>
    <w:rsid w:val="008356BC"/>
    <w:rsid w:val="008361D3"/>
    <w:rsid w:val="00837045"/>
    <w:rsid w:val="008370B9"/>
    <w:rsid w:val="0083731C"/>
    <w:rsid w:val="00837BA2"/>
    <w:rsid w:val="008400C9"/>
    <w:rsid w:val="00840157"/>
    <w:rsid w:val="0084082B"/>
    <w:rsid w:val="00840B11"/>
    <w:rsid w:val="00840D72"/>
    <w:rsid w:val="0084119D"/>
    <w:rsid w:val="0084173E"/>
    <w:rsid w:val="00841B7C"/>
    <w:rsid w:val="00841E57"/>
    <w:rsid w:val="00842CD0"/>
    <w:rsid w:val="008436DD"/>
    <w:rsid w:val="008438B9"/>
    <w:rsid w:val="00844263"/>
    <w:rsid w:val="0084479A"/>
    <w:rsid w:val="008448B2"/>
    <w:rsid w:val="008452A0"/>
    <w:rsid w:val="0084543B"/>
    <w:rsid w:val="008458C3"/>
    <w:rsid w:val="008462E3"/>
    <w:rsid w:val="00846677"/>
    <w:rsid w:val="00846DB0"/>
    <w:rsid w:val="008477A2"/>
    <w:rsid w:val="00850E65"/>
    <w:rsid w:val="00850FAB"/>
    <w:rsid w:val="008524C8"/>
    <w:rsid w:val="00854DC7"/>
    <w:rsid w:val="00855666"/>
    <w:rsid w:val="008561CF"/>
    <w:rsid w:val="008561FE"/>
    <w:rsid w:val="00857A9A"/>
    <w:rsid w:val="00860955"/>
    <w:rsid w:val="0086139F"/>
    <w:rsid w:val="00861EBF"/>
    <w:rsid w:val="00863852"/>
    <w:rsid w:val="00864217"/>
    <w:rsid w:val="00865832"/>
    <w:rsid w:val="00865AC7"/>
    <w:rsid w:val="00865B74"/>
    <w:rsid w:val="00867B0C"/>
    <w:rsid w:val="00867B7C"/>
    <w:rsid w:val="00870F4C"/>
    <w:rsid w:val="008714D1"/>
    <w:rsid w:val="00871BA4"/>
    <w:rsid w:val="00871C01"/>
    <w:rsid w:val="00872801"/>
    <w:rsid w:val="00873080"/>
    <w:rsid w:val="00873771"/>
    <w:rsid w:val="008737D5"/>
    <w:rsid w:val="00874D77"/>
    <w:rsid w:val="00874F92"/>
    <w:rsid w:val="0087665B"/>
    <w:rsid w:val="00877648"/>
    <w:rsid w:val="00881F47"/>
    <w:rsid w:val="00885D8C"/>
    <w:rsid w:val="00885FC0"/>
    <w:rsid w:val="008866A4"/>
    <w:rsid w:val="00886DC8"/>
    <w:rsid w:val="00887EF9"/>
    <w:rsid w:val="008914EE"/>
    <w:rsid w:val="0089169A"/>
    <w:rsid w:val="00892279"/>
    <w:rsid w:val="008940F0"/>
    <w:rsid w:val="008960DE"/>
    <w:rsid w:val="0089675D"/>
    <w:rsid w:val="008968AB"/>
    <w:rsid w:val="008978CD"/>
    <w:rsid w:val="00897C38"/>
    <w:rsid w:val="008A0685"/>
    <w:rsid w:val="008A11A8"/>
    <w:rsid w:val="008A33F8"/>
    <w:rsid w:val="008A3964"/>
    <w:rsid w:val="008A39D3"/>
    <w:rsid w:val="008A3CB9"/>
    <w:rsid w:val="008A4014"/>
    <w:rsid w:val="008A4397"/>
    <w:rsid w:val="008A642A"/>
    <w:rsid w:val="008A6627"/>
    <w:rsid w:val="008A6841"/>
    <w:rsid w:val="008B016F"/>
    <w:rsid w:val="008B0E67"/>
    <w:rsid w:val="008B0E70"/>
    <w:rsid w:val="008B283E"/>
    <w:rsid w:val="008B3598"/>
    <w:rsid w:val="008B76A4"/>
    <w:rsid w:val="008B78FB"/>
    <w:rsid w:val="008B7B7F"/>
    <w:rsid w:val="008C0634"/>
    <w:rsid w:val="008C0817"/>
    <w:rsid w:val="008C0E94"/>
    <w:rsid w:val="008C2FE3"/>
    <w:rsid w:val="008C3468"/>
    <w:rsid w:val="008C34E0"/>
    <w:rsid w:val="008C379B"/>
    <w:rsid w:val="008C3AE1"/>
    <w:rsid w:val="008C3DB9"/>
    <w:rsid w:val="008C4017"/>
    <w:rsid w:val="008C41E2"/>
    <w:rsid w:val="008C660A"/>
    <w:rsid w:val="008C6F9A"/>
    <w:rsid w:val="008C7270"/>
    <w:rsid w:val="008D1D10"/>
    <w:rsid w:val="008D2299"/>
    <w:rsid w:val="008D22FD"/>
    <w:rsid w:val="008D24ED"/>
    <w:rsid w:val="008D2780"/>
    <w:rsid w:val="008D28D6"/>
    <w:rsid w:val="008D2BEE"/>
    <w:rsid w:val="008D2C01"/>
    <w:rsid w:val="008D2FA2"/>
    <w:rsid w:val="008D5C0C"/>
    <w:rsid w:val="008D7535"/>
    <w:rsid w:val="008D7922"/>
    <w:rsid w:val="008D7965"/>
    <w:rsid w:val="008E11DA"/>
    <w:rsid w:val="008E12C0"/>
    <w:rsid w:val="008E1EC9"/>
    <w:rsid w:val="008E2727"/>
    <w:rsid w:val="008E4134"/>
    <w:rsid w:val="008E45CE"/>
    <w:rsid w:val="008E4635"/>
    <w:rsid w:val="008E4C61"/>
    <w:rsid w:val="008E608F"/>
    <w:rsid w:val="008E6B28"/>
    <w:rsid w:val="008E6EA3"/>
    <w:rsid w:val="008F0336"/>
    <w:rsid w:val="008F037C"/>
    <w:rsid w:val="008F14A9"/>
    <w:rsid w:val="008F1617"/>
    <w:rsid w:val="008F193C"/>
    <w:rsid w:val="008F1DBE"/>
    <w:rsid w:val="008F2151"/>
    <w:rsid w:val="008F249C"/>
    <w:rsid w:val="008F29BD"/>
    <w:rsid w:val="008F43AA"/>
    <w:rsid w:val="008F4922"/>
    <w:rsid w:val="008F4AA0"/>
    <w:rsid w:val="008F4ABD"/>
    <w:rsid w:val="008F5058"/>
    <w:rsid w:val="008F5116"/>
    <w:rsid w:val="008F5156"/>
    <w:rsid w:val="008F532F"/>
    <w:rsid w:val="008F6447"/>
    <w:rsid w:val="008F691D"/>
    <w:rsid w:val="008F6D93"/>
    <w:rsid w:val="008F7A38"/>
    <w:rsid w:val="008F7D0B"/>
    <w:rsid w:val="00901287"/>
    <w:rsid w:val="009012A1"/>
    <w:rsid w:val="009017C7"/>
    <w:rsid w:val="00902549"/>
    <w:rsid w:val="00902A18"/>
    <w:rsid w:val="00902C3B"/>
    <w:rsid w:val="00903485"/>
    <w:rsid w:val="00903827"/>
    <w:rsid w:val="00903E47"/>
    <w:rsid w:val="00904D92"/>
    <w:rsid w:val="0090521A"/>
    <w:rsid w:val="00906A13"/>
    <w:rsid w:val="0090719B"/>
    <w:rsid w:val="00907F35"/>
    <w:rsid w:val="009102DF"/>
    <w:rsid w:val="00910347"/>
    <w:rsid w:val="00910663"/>
    <w:rsid w:val="00911503"/>
    <w:rsid w:val="0091235B"/>
    <w:rsid w:val="0091306D"/>
    <w:rsid w:val="00914248"/>
    <w:rsid w:val="009144CC"/>
    <w:rsid w:val="00915A98"/>
    <w:rsid w:val="00916052"/>
    <w:rsid w:val="009160DF"/>
    <w:rsid w:val="00916325"/>
    <w:rsid w:val="0092054D"/>
    <w:rsid w:val="00920BAA"/>
    <w:rsid w:val="00921147"/>
    <w:rsid w:val="00922D7A"/>
    <w:rsid w:val="0092366A"/>
    <w:rsid w:val="009252CF"/>
    <w:rsid w:val="0092539F"/>
    <w:rsid w:val="009259D0"/>
    <w:rsid w:val="00925B75"/>
    <w:rsid w:val="00926107"/>
    <w:rsid w:val="00926BE9"/>
    <w:rsid w:val="00926EDA"/>
    <w:rsid w:val="00927C4F"/>
    <w:rsid w:val="0093031A"/>
    <w:rsid w:val="00930B7C"/>
    <w:rsid w:val="00930BA1"/>
    <w:rsid w:val="0093169E"/>
    <w:rsid w:val="0093171F"/>
    <w:rsid w:val="00933838"/>
    <w:rsid w:val="00933D01"/>
    <w:rsid w:val="00934C65"/>
    <w:rsid w:val="00935B31"/>
    <w:rsid w:val="00935F48"/>
    <w:rsid w:val="00936F4B"/>
    <w:rsid w:val="00937F99"/>
    <w:rsid w:val="009404EA"/>
    <w:rsid w:val="009413F4"/>
    <w:rsid w:val="009416EA"/>
    <w:rsid w:val="00941BD8"/>
    <w:rsid w:val="00941C00"/>
    <w:rsid w:val="00942295"/>
    <w:rsid w:val="0094389D"/>
    <w:rsid w:val="00943A4E"/>
    <w:rsid w:val="00945778"/>
    <w:rsid w:val="00945D60"/>
    <w:rsid w:val="00946540"/>
    <w:rsid w:val="00947455"/>
    <w:rsid w:val="009505C9"/>
    <w:rsid w:val="00951D15"/>
    <w:rsid w:val="00952E08"/>
    <w:rsid w:val="00953088"/>
    <w:rsid w:val="009544C7"/>
    <w:rsid w:val="00954965"/>
    <w:rsid w:val="00954F42"/>
    <w:rsid w:val="00955136"/>
    <w:rsid w:val="00956231"/>
    <w:rsid w:val="00956AD0"/>
    <w:rsid w:val="00956C91"/>
    <w:rsid w:val="00956F04"/>
    <w:rsid w:val="00957123"/>
    <w:rsid w:val="009578D6"/>
    <w:rsid w:val="00957DB9"/>
    <w:rsid w:val="00957E88"/>
    <w:rsid w:val="009601C3"/>
    <w:rsid w:val="00960336"/>
    <w:rsid w:val="00960419"/>
    <w:rsid w:val="00960A9A"/>
    <w:rsid w:val="009615E2"/>
    <w:rsid w:val="009616D1"/>
    <w:rsid w:val="009648FE"/>
    <w:rsid w:val="009653C9"/>
    <w:rsid w:val="009654F0"/>
    <w:rsid w:val="00965F7C"/>
    <w:rsid w:val="00966767"/>
    <w:rsid w:val="00966BC9"/>
    <w:rsid w:val="00966EB4"/>
    <w:rsid w:val="00967031"/>
    <w:rsid w:val="00967485"/>
    <w:rsid w:val="00967953"/>
    <w:rsid w:val="00967CA6"/>
    <w:rsid w:val="00970410"/>
    <w:rsid w:val="00970BD4"/>
    <w:rsid w:val="00970DD1"/>
    <w:rsid w:val="009717ED"/>
    <w:rsid w:val="0097276D"/>
    <w:rsid w:val="00974999"/>
    <w:rsid w:val="00974BC1"/>
    <w:rsid w:val="00974C85"/>
    <w:rsid w:val="00975CDB"/>
    <w:rsid w:val="00980808"/>
    <w:rsid w:val="00980E54"/>
    <w:rsid w:val="00981962"/>
    <w:rsid w:val="00982283"/>
    <w:rsid w:val="009827BA"/>
    <w:rsid w:val="00983A8C"/>
    <w:rsid w:val="009846DB"/>
    <w:rsid w:val="00984A7D"/>
    <w:rsid w:val="00984EEE"/>
    <w:rsid w:val="009850DB"/>
    <w:rsid w:val="0098587A"/>
    <w:rsid w:val="0098671B"/>
    <w:rsid w:val="00986764"/>
    <w:rsid w:val="00990320"/>
    <w:rsid w:val="009917F9"/>
    <w:rsid w:val="00991C3B"/>
    <w:rsid w:val="00991CC9"/>
    <w:rsid w:val="00992C56"/>
    <w:rsid w:val="00992D86"/>
    <w:rsid w:val="00993093"/>
    <w:rsid w:val="00994B0F"/>
    <w:rsid w:val="0099737A"/>
    <w:rsid w:val="0099739A"/>
    <w:rsid w:val="009975FF"/>
    <w:rsid w:val="009979E9"/>
    <w:rsid w:val="009A019C"/>
    <w:rsid w:val="009A08AC"/>
    <w:rsid w:val="009A0977"/>
    <w:rsid w:val="009A1208"/>
    <w:rsid w:val="009A1608"/>
    <w:rsid w:val="009A2720"/>
    <w:rsid w:val="009A378B"/>
    <w:rsid w:val="009A4500"/>
    <w:rsid w:val="009A4B1C"/>
    <w:rsid w:val="009A4D21"/>
    <w:rsid w:val="009A53B7"/>
    <w:rsid w:val="009A57F0"/>
    <w:rsid w:val="009A7DA5"/>
    <w:rsid w:val="009B0A78"/>
    <w:rsid w:val="009B0B47"/>
    <w:rsid w:val="009B1111"/>
    <w:rsid w:val="009B1920"/>
    <w:rsid w:val="009B1ABB"/>
    <w:rsid w:val="009B221D"/>
    <w:rsid w:val="009B3330"/>
    <w:rsid w:val="009B358E"/>
    <w:rsid w:val="009B3BAC"/>
    <w:rsid w:val="009B418E"/>
    <w:rsid w:val="009B490E"/>
    <w:rsid w:val="009B5572"/>
    <w:rsid w:val="009B5913"/>
    <w:rsid w:val="009B591F"/>
    <w:rsid w:val="009B6883"/>
    <w:rsid w:val="009B75CC"/>
    <w:rsid w:val="009B7F37"/>
    <w:rsid w:val="009C0063"/>
    <w:rsid w:val="009C0487"/>
    <w:rsid w:val="009C0A05"/>
    <w:rsid w:val="009C14DE"/>
    <w:rsid w:val="009C1595"/>
    <w:rsid w:val="009C35E0"/>
    <w:rsid w:val="009C4127"/>
    <w:rsid w:val="009C4B0C"/>
    <w:rsid w:val="009C4B71"/>
    <w:rsid w:val="009C58FD"/>
    <w:rsid w:val="009C5F37"/>
    <w:rsid w:val="009C62C9"/>
    <w:rsid w:val="009C6B93"/>
    <w:rsid w:val="009C7BB4"/>
    <w:rsid w:val="009D075C"/>
    <w:rsid w:val="009D0CFA"/>
    <w:rsid w:val="009D0FF3"/>
    <w:rsid w:val="009D154D"/>
    <w:rsid w:val="009D1769"/>
    <w:rsid w:val="009D1B59"/>
    <w:rsid w:val="009D2041"/>
    <w:rsid w:val="009D29FE"/>
    <w:rsid w:val="009D30DE"/>
    <w:rsid w:val="009D3435"/>
    <w:rsid w:val="009D376C"/>
    <w:rsid w:val="009D42CA"/>
    <w:rsid w:val="009D6222"/>
    <w:rsid w:val="009D6C73"/>
    <w:rsid w:val="009E12E1"/>
    <w:rsid w:val="009E1423"/>
    <w:rsid w:val="009E2851"/>
    <w:rsid w:val="009E2DB2"/>
    <w:rsid w:val="009E2F4F"/>
    <w:rsid w:val="009E3325"/>
    <w:rsid w:val="009E33BB"/>
    <w:rsid w:val="009E3EC8"/>
    <w:rsid w:val="009E50D3"/>
    <w:rsid w:val="009E6687"/>
    <w:rsid w:val="009E6A86"/>
    <w:rsid w:val="009E6D2C"/>
    <w:rsid w:val="009E763C"/>
    <w:rsid w:val="009E7F63"/>
    <w:rsid w:val="009F0E1D"/>
    <w:rsid w:val="009F0E74"/>
    <w:rsid w:val="009F14BF"/>
    <w:rsid w:val="009F17E2"/>
    <w:rsid w:val="009F4DC2"/>
    <w:rsid w:val="009F4F79"/>
    <w:rsid w:val="009F6C39"/>
    <w:rsid w:val="00A00AE1"/>
    <w:rsid w:val="00A016A8"/>
    <w:rsid w:val="00A017BB"/>
    <w:rsid w:val="00A0185A"/>
    <w:rsid w:val="00A01A8E"/>
    <w:rsid w:val="00A01DA2"/>
    <w:rsid w:val="00A02225"/>
    <w:rsid w:val="00A03095"/>
    <w:rsid w:val="00A03320"/>
    <w:rsid w:val="00A03528"/>
    <w:rsid w:val="00A03B22"/>
    <w:rsid w:val="00A0418A"/>
    <w:rsid w:val="00A04567"/>
    <w:rsid w:val="00A05C57"/>
    <w:rsid w:val="00A06384"/>
    <w:rsid w:val="00A06EFB"/>
    <w:rsid w:val="00A07301"/>
    <w:rsid w:val="00A1048D"/>
    <w:rsid w:val="00A1196A"/>
    <w:rsid w:val="00A11D35"/>
    <w:rsid w:val="00A123F4"/>
    <w:rsid w:val="00A128AE"/>
    <w:rsid w:val="00A13640"/>
    <w:rsid w:val="00A1430A"/>
    <w:rsid w:val="00A15F47"/>
    <w:rsid w:val="00A16F8A"/>
    <w:rsid w:val="00A17023"/>
    <w:rsid w:val="00A17475"/>
    <w:rsid w:val="00A205ED"/>
    <w:rsid w:val="00A20FEC"/>
    <w:rsid w:val="00A2265D"/>
    <w:rsid w:val="00A22DF0"/>
    <w:rsid w:val="00A25D6F"/>
    <w:rsid w:val="00A273E9"/>
    <w:rsid w:val="00A2766E"/>
    <w:rsid w:val="00A307DE"/>
    <w:rsid w:val="00A30BBD"/>
    <w:rsid w:val="00A3136D"/>
    <w:rsid w:val="00A321C0"/>
    <w:rsid w:val="00A3226F"/>
    <w:rsid w:val="00A330AF"/>
    <w:rsid w:val="00A3599A"/>
    <w:rsid w:val="00A35AC4"/>
    <w:rsid w:val="00A35B93"/>
    <w:rsid w:val="00A35FBE"/>
    <w:rsid w:val="00A372F8"/>
    <w:rsid w:val="00A37C24"/>
    <w:rsid w:val="00A4039C"/>
    <w:rsid w:val="00A403CB"/>
    <w:rsid w:val="00A40588"/>
    <w:rsid w:val="00A40E80"/>
    <w:rsid w:val="00A419AC"/>
    <w:rsid w:val="00A419FC"/>
    <w:rsid w:val="00A4279D"/>
    <w:rsid w:val="00A428BE"/>
    <w:rsid w:val="00A435DD"/>
    <w:rsid w:val="00A44D87"/>
    <w:rsid w:val="00A45A58"/>
    <w:rsid w:val="00A465DA"/>
    <w:rsid w:val="00A46786"/>
    <w:rsid w:val="00A47BE5"/>
    <w:rsid w:val="00A5175A"/>
    <w:rsid w:val="00A5177C"/>
    <w:rsid w:val="00A51E02"/>
    <w:rsid w:val="00A530B0"/>
    <w:rsid w:val="00A532EC"/>
    <w:rsid w:val="00A54989"/>
    <w:rsid w:val="00A54AE2"/>
    <w:rsid w:val="00A56012"/>
    <w:rsid w:val="00A56819"/>
    <w:rsid w:val="00A577B9"/>
    <w:rsid w:val="00A57E0A"/>
    <w:rsid w:val="00A601F4"/>
    <w:rsid w:val="00A60BB5"/>
    <w:rsid w:val="00A60EED"/>
    <w:rsid w:val="00A61DEC"/>
    <w:rsid w:val="00A628A1"/>
    <w:rsid w:val="00A62A0C"/>
    <w:rsid w:val="00A640BE"/>
    <w:rsid w:val="00A646FF"/>
    <w:rsid w:val="00A64F28"/>
    <w:rsid w:val="00A704EB"/>
    <w:rsid w:val="00A706A1"/>
    <w:rsid w:val="00A715EC"/>
    <w:rsid w:val="00A71826"/>
    <w:rsid w:val="00A71B77"/>
    <w:rsid w:val="00A71E85"/>
    <w:rsid w:val="00A72AF3"/>
    <w:rsid w:val="00A74287"/>
    <w:rsid w:val="00A74351"/>
    <w:rsid w:val="00A75DC5"/>
    <w:rsid w:val="00A75E55"/>
    <w:rsid w:val="00A76499"/>
    <w:rsid w:val="00A80B0D"/>
    <w:rsid w:val="00A80C67"/>
    <w:rsid w:val="00A80CE5"/>
    <w:rsid w:val="00A80E2E"/>
    <w:rsid w:val="00A811C8"/>
    <w:rsid w:val="00A8189C"/>
    <w:rsid w:val="00A82642"/>
    <w:rsid w:val="00A8278E"/>
    <w:rsid w:val="00A82A97"/>
    <w:rsid w:val="00A837CA"/>
    <w:rsid w:val="00A83CAF"/>
    <w:rsid w:val="00A9131D"/>
    <w:rsid w:val="00A91483"/>
    <w:rsid w:val="00A91537"/>
    <w:rsid w:val="00A91624"/>
    <w:rsid w:val="00A92636"/>
    <w:rsid w:val="00A93381"/>
    <w:rsid w:val="00A93A9B"/>
    <w:rsid w:val="00A93CC3"/>
    <w:rsid w:val="00A949FF"/>
    <w:rsid w:val="00A951F8"/>
    <w:rsid w:val="00A95817"/>
    <w:rsid w:val="00A958B9"/>
    <w:rsid w:val="00A962BD"/>
    <w:rsid w:val="00A9749A"/>
    <w:rsid w:val="00A97ABE"/>
    <w:rsid w:val="00A97CAC"/>
    <w:rsid w:val="00AA0F3F"/>
    <w:rsid w:val="00AA1036"/>
    <w:rsid w:val="00AA103A"/>
    <w:rsid w:val="00AA14B7"/>
    <w:rsid w:val="00AA1AF9"/>
    <w:rsid w:val="00AA2DBF"/>
    <w:rsid w:val="00AA35C1"/>
    <w:rsid w:val="00AA38ED"/>
    <w:rsid w:val="00AA4033"/>
    <w:rsid w:val="00AA5F43"/>
    <w:rsid w:val="00AA61E8"/>
    <w:rsid w:val="00AA7AD1"/>
    <w:rsid w:val="00AA7FE0"/>
    <w:rsid w:val="00AB0820"/>
    <w:rsid w:val="00AB1922"/>
    <w:rsid w:val="00AB19C0"/>
    <w:rsid w:val="00AB1B63"/>
    <w:rsid w:val="00AB2559"/>
    <w:rsid w:val="00AB27B8"/>
    <w:rsid w:val="00AB2DC5"/>
    <w:rsid w:val="00AB33AF"/>
    <w:rsid w:val="00AB3840"/>
    <w:rsid w:val="00AB466F"/>
    <w:rsid w:val="00AB5E36"/>
    <w:rsid w:val="00AB625C"/>
    <w:rsid w:val="00AB6460"/>
    <w:rsid w:val="00AC00FA"/>
    <w:rsid w:val="00AC18EC"/>
    <w:rsid w:val="00AC1A55"/>
    <w:rsid w:val="00AC2A7D"/>
    <w:rsid w:val="00AC2C0A"/>
    <w:rsid w:val="00AC3027"/>
    <w:rsid w:val="00AC3BE3"/>
    <w:rsid w:val="00AC4FBD"/>
    <w:rsid w:val="00AC58E6"/>
    <w:rsid w:val="00AC591C"/>
    <w:rsid w:val="00AC5BFB"/>
    <w:rsid w:val="00AC5ED7"/>
    <w:rsid w:val="00AC7472"/>
    <w:rsid w:val="00AC767A"/>
    <w:rsid w:val="00AC79DD"/>
    <w:rsid w:val="00AC7BA1"/>
    <w:rsid w:val="00AD1226"/>
    <w:rsid w:val="00AD1380"/>
    <w:rsid w:val="00AD147E"/>
    <w:rsid w:val="00AD2AEA"/>
    <w:rsid w:val="00AD36C5"/>
    <w:rsid w:val="00AD39EE"/>
    <w:rsid w:val="00AD42F9"/>
    <w:rsid w:val="00AD4530"/>
    <w:rsid w:val="00AD4ADB"/>
    <w:rsid w:val="00AD4B54"/>
    <w:rsid w:val="00AD4CA9"/>
    <w:rsid w:val="00AD4D9D"/>
    <w:rsid w:val="00AE0911"/>
    <w:rsid w:val="00AE0DD3"/>
    <w:rsid w:val="00AE1219"/>
    <w:rsid w:val="00AE1461"/>
    <w:rsid w:val="00AE1725"/>
    <w:rsid w:val="00AE1D47"/>
    <w:rsid w:val="00AE2713"/>
    <w:rsid w:val="00AE35E5"/>
    <w:rsid w:val="00AE3FDF"/>
    <w:rsid w:val="00AE54BE"/>
    <w:rsid w:val="00AE5C76"/>
    <w:rsid w:val="00AE6461"/>
    <w:rsid w:val="00AE6BB5"/>
    <w:rsid w:val="00AE7009"/>
    <w:rsid w:val="00AE7843"/>
    <w:rsid w:val="00AF0168"/>
    <w:rsid w:val="00AF06B8"/>
    <w:rsid w:val="00AF11AB"/>
    <w:rsid w:val="00AF11BD"/>
    <w:rsid w:val="00AF126A"/>
    <w:rsid w:val="00AF1515"/>
    <w:rsid w:val="00AF18F8"/>
    <w:rsid w:val="00AF1917"/>
    <w:rsid w:val="00AF1BF6"/>
    <w:rsid w:val="00AF1DB4"/>
    <w:rsid w:val="00AF1F9A"/>
    <w:rsid w:val="00AF3855"/>
    <w:rsid w:val="00AF3F24"/>
    <w:rsid w:val="00AF42A3"/>
    <w:rsid w:val="00AF464C"/>
    <w:rsid w:val="00AF46BC"/>
    <w:rsid w:val="00B008A8"/>
    <w:rsid w:val="00B0161A"/>
    <w:rsid w:val="00B0205B"/>
    <w:rsid w:val="00B02D93"/>
    <w:rsid w:val="00B03003"/>
    <w:rsid w:val="00B035E9"/>
    <w:rsid w:val="00B04085"/>
    <w:rsid w:val="00B0436C"/>
    <w:rsid w:val="00B04C75"/>
    <w:rsid w:val="00B04D39"/>
    <w:rsid w:val="00B0517B"/>
    <w:rsid w:val="00B100D4"/>
    <w:rsid w:val="00B13089"/>
    <w:rsid w:val="00B13E93"/>
    <w:rsid w:val="00B147CB"/>
    <w:rsid w:val="00B14C26"/>
    <w:rsid w:val="00B14F1B"/>
    <w:rsid w:val="00B1555C"/>
    <w:rsid w:val="00B15682"/>
    <w:rsid w:val="00B173D1"/>
    <w:rsid w:val="00B2042E"/>
    <w:rsid w:val="00B20E01"/>
    <w:rsid w:val="00B22F76"/>
    <w:rsid w:val="00B232CC"/>
    <w:rsid w:val="00B23BC4"/>
    <w:rsid w:val="00B23D62"/>
    <w:rsid w:val="00B24091"/>
    <w:rsid w:val="00B247CC"/>
    <w:rsid w:val="00B27611"/>
    <w:rsid w:val="00B310B6"/>
    <w:rsid w:val="00B31729"/>
    <w:rsid w:val="00B32032"/>
    <w:rsid w:val="00B3360C"/>
    <w:rsid w:val="00B3369F"/>
    <w:rsid w:val="00B338B8"/>
    <w:rsid w:val="00B33B91"/>
    <w:rsid w:val="00B33CD2"/>
    <w:rsid w:val="00B34E8C"/>
    <w:rsid w:val="00B35079"/>
    <w:rsid w:val="00B351A7"/>
    <w:rsid w:val="00B3633A"/>
    <w:rsid w:val="00B37104"/>
    <w:rsid w:val="00B37889"/>
    <w:rsid w:val="00B40FC9"/>
    <w:rsid w:val="00B414F5"/>
    <w:rsid w:val="00B41D3B"/>
    <w:rsid w:val="00B432D6"/>
    <w:rsid w:val="00B4408C"/>
    <w:rsid w:val="00B44476"/>
    <w:rsid w:val="00B4541E"/>
    <w:rsid w:val="00B45D75"/>
    <w:rsid w:val="00B4661F"/>
    <w:rsid w:val="00B47175"/>
    <w:rsid w:val="00B47624"/>
    <w:rsid w:val="00B479A1"/>
    <w:rsid w:val="00B47B3E"/>
    <w:rsid w:val="00B5104E"/>
    <w:rsid w:val="00B5139D"/>
    <w:rsid w:val="00B51774"/>
    <w:rsid w:val="00B51DF4"/>
    <w:rsid w:val="00B52329"/>
    <w:rsid w:val="00B52665"/>
    <w:rsid w:val="00B5281D"/>
    <w:rsid w:val="00B52832"/>
    <w:rsid w:val="00B52ACF"/>
    <w:rsid w:val="00B53726"/>
    <w:rsid w:val="00B53A07"/>
    <w:rsid w:val="00B53FC1"/>
    <w:rsid w:val="00B5475C"/>
    <w:rsid w:val="00B55BB7"/>
    <w:rsid w:val="00B561DA"/>
    <w:rsid w:val="00B56474"/>
    <w:rsid w:val="00B56A83"/>
    <w:rsid w:val="00B56DBE"/>
    <w:rsid w:val="00B56FEA"/>
    <w:rsid w:val="00B572E8"/>
    <w:rsid w:val="00B5785F"/>
    <w:rsid w:val="00B61B93"/>
    <w:rsid w:val="00B62991"/>
    <w:rsid w:val="00B62EFE"/>
    <w:rsid w:val="00B63AE2"/>
    <w:rsid w:val="00B63B05"/>
    <w:rsid w:val="00B63FFF"/>
    <w:rsid w:val="00B64333"/>
    <w:rsid w:val="00B662A2"/>
    <w:rsid w:val="00B6638B"/>
    <w:rsid w:val="00B6692A"/>
    <w:rsid w:val="00B70148"/>
    <w:rsid w:val="00B708B0"/>
    <w:rsid w:val="00B70F80"/>
    <w:rsid w:val="00B71029"/>
    <w:rsid w:val="00B71D0C"/>
    <w:rsid w:val="00B72873"/>
    <w:rsid w:val="00B72929"/>
    <w:rsid w:val="00B7472C"/>
    <w:rsid w:val="00B74F74"/>
    <w:rsid w:val="00B7677E"/>
    <w:rsid w:val="00B7754A"/>
    <w:rsid w:val="00B77A86"/>
    <w:rsid w:val="00B77CEF"/>
    <w:rsid w:val="00B77D81"/>
    <w:rsid w:val="00B81003"/>
    <w:rsid w:val="00B82A24"/>
    <w:rsid w:val="00B83C03"/>
    <w:rsid w:val="00B85935"/>
    <w:rsid w:val="00B85AA6"/>
    <w:rsid w:val="00B86C40"/>
    <w:rsid w:val="00B87896"/>
    <w:rsid w:val="00B87F67"/>
    <w:rsid w:val="00B910C4"/>
    <w:rsid w:val="00B91B8F"/>
    <w:rsid w:val="00B91B9C"/>
    <w:rsid w:val="00B9237B"/>
    <w:rsid w:val="00B928E7"/>
    <w:rsid w:val="00B92930"/>
    <w:rsid w:val="00B93BBD"/>
    <w:rsid w:val="00B9468B"/>
    <w:rsid w:val="00B947C2"/>
    <w:rsid w:val="00B954E0"/>
    <w:rsid w:val="00B95505"/>
    <w:rsid w:val="00B96F0B"/>
    <w:rsid w:val="00BA045C"/>
    <w:rsid w:val="00BA2B53"/>
    <w:rsid w:val="00BA2F32"/>
    <w:rsid w:val="00BA3A32"/>
    <w:rsid w:val="00BA4A1C"/>
    <w:rsid w:val="00BA4A5A"/>
    <w:rsid w:val="00BA4B3F"/>
    <w:rsid w:val="00BA4BDE"/>
    <w:rsid w:val="00BA65BD"/>
    <w:rsid w:val="00BB1A8D"/>
    <w:rsid w:val="00BB1EF2"/>
    <w:rsid w:val="00BB2042"/>
    <w:rsid w:val="00BB2222"/>
    <w:rsid w:val="00BB2C6D"/>
    <w:rsid w:val="00BB2D72"/>
    <w:rsid w:val="00BB2F35"/>
    <w:rsid w:val="00BB2FD8"/>
    <w:rsid w:val="00BB4331"/>
    <w:rsid w:val="00BB4987"/>
    <w:rsid w:val="00BB4CF2"/>
    <w:rsid w:val="00BB54B2"/>
    <w:rsid w:val="00BB7D12"/>
    <w:rsid w:val="00BB7D48"/>
    <w:rsid w:val="00BC1A0F"/>
    <w:rsid w:val="00BC22B6"/>
    <w:rsid w:val="00BC26C4"/>
    <w:rsid w:val="00BC4440"/>
    <w:rsid w:val="00BC5640"/>
    <w:rsid w:val="00BC5783"/>
    <w:rsid w:val="00BC5EC0"/>
    <w:rsid w:val="00BC798D"/>
    <w:rsid w:val="00BD0079"/>
    <w:rsid w:val="00BD0533"/>
    <w:rsid w:val="00BD0B3A"/>
    <w:rsid w:val="00BD15D5"/>
    <w:rsid w:val="00BD2036"/>
    <w:rsid w:val="00BE0315"/>
    <w:rsid w:val="00BE1721"/>
    <w:rsid w:val="00BE1E87"/>
    <w:rsid w:val="00BE3C2A"/>
    <w:rsid w:val="00BE4069"/>
    <w:rsid w:val="00BE5A23"/>
    <w:rsid w:val="00BE7BD4"/>
    <w:rsid w:val="00BF0E54"/>
    <w:rsid w:val="00BF30EB"/>
    <w:rsid w:val="00BF3534"/>
    <w:rsid w:val="00BF359E"/>
    <w:rsid w:val="00BF3CB4"/>
    <w:rsid w:val="00BF4710"/>
    <w:rsid w:val="00BF4C8E"/>
    <w:rsid w:val="00BF58BF"/>
    <w:rsid w:val="00BF6120"/>
    <w:rsid w:val="00BF7F36"/>
    <w:rsid w:val="00C001F4"/>
    <w:rsid w:val="00C00E30"/>
    <w:rsid w:val="00C00F8A"/>
    <w:rsid w:val="00C0141A"/>
    <w:rsid w:val="00C01C9C"/>
    <w:rsid w:val="00C01F8F"/>
    <w:rsid w:val="00C031AD"/>
    <w:rsid w:val="00C04F31"/>
    <w:rsid w:val="00C0586D"/>
    <w:rsid w:val="00C072E7"/>
    <w:rsid w:val="00C077FE"/>
    <w:rsid w:val="00C1012B"/>
    <w:rsid w:val="00C10474"/>
    <w:rsid w:val="00C110E7"/>
    <w:rsid w:val="00C1199C"/>
    <w:rsid w:val="00C1239C"/>
    <w:rsid w:val="00C1273A"/>
    <w:rsid w:val="00C13C8F"/>
    <w:rsid w:val="00C140AB"/>
    <w:rsid w:val="00C140AF"/>
    <w:rsid w:val="00C1420F"/>
    <w:rsid w:val="00C146A0"/>
    <w:rsid w:val="00C14A0E"/>
    <w:rsid w:val="00C15242"/>
    <w:rsid w:val="00C16B09"/>
    <w:rsid w:val="00C1726C"/>
    <w:rsid w:val="00C177E9"/>
    <w:rsid w:val="00C216A7"/>
    <w:rsid w:val="00C21F62"/>
    <w:rsid w:val="00C21FE7"/>
    <w:rsid w:val="00C221AB"/>
    <w:rsid w:val="00C22222"/>
    <w:rsid w:val="00C244E5"/>
    <w:rsid w:val="00C24563"/>
    <w:rsid w:val="00C24C10"/>
    <w:rsid w:val="00C25831"/>
    <w:rsid w:val="00C25F57"/>
    <w:rsid w:val="00C262DE"/>
    <w:rsid w:val="00C26F46"/>
    <w:rsid w:val="00C32709"/>
    <w:rsid w:val="00C33DB6"/>
    <w:rsid w:val="00C34276"/>
    <w:rsid w:val="00C34E1E"/>
    <w:rsid w:val="00C369ED"/>
    <w:rsid w:val="00C373E5"/>
    <w:rsid w:val="00C40653"/>
    <w:rsid w:val="00C40AB4"/>
    <w:rsid w:val="00C40FF6"/>
    <w:rsid w:val="00C41517"/>
    <w:rsid w:val="00C41756"/>
    <w:rsid w:val="00C41BE0"/>
    <w:rsid w:val="00C41F9D"/>
    <w:rsid w:val="00C4260D"/>
    <w:rsid w:val="00C4298A"/>
    <w:rsid w:val="00C42D76"/>
    <w:rsid w:val="00C442B8"/>
    <w:rsid w:val="00C45BCA"/>
    <w:rsid w:val="00C45DA1"/>
    <w:rsid w:val="00C46E87"/>
    <w:rsid w:val="00C518BD"/>
    <w:rsid w:val="00C51D27"/>
    <w:rsid w:val="00C52498"/>
    <w:rsid w:val="00C53950"/>
    <w:rsid w:val="00C53B09"/>
    <w:rsid w:val="00C54C83"/>
    <w:rsid w:val="00C54D64"/>
    <w:rsid w:val="00C55D54"/>
    <w:rsid w:val="00C571AA"/>
    <w:rsid w:val="00C579F9"/>
    <w:rsid w:val="00C60425"/>
    <w:rsid w:val="00C6053B"/>
    <w:rsid w:val="00C60766"/>
    <w:rsid w:val="00C60A12"/>
    <w:rsid w:val="00C619DA"/>
    <w:rsid w:val="00C62EF4"/>
    <w:rsid w:val="00C63813"/>
    <w:rsid w:val="00C64633"/>
    <w:rsid w:val="00C64843"/>
    <w:rsid w:val="00C64BEE"/>
    <w:rsid w:val="00C6640B"/>
    <w:rsid w:val="00C668D7"/>
    <w:rsid w:val="00C678AE"/>
    <w:rsid w:val="00C701CF"/>
    <w:rsid w:val="00C71E54"/>
    <w:rsid w:val="00C72437"/>
    <w:rsid w:val="00C727E6"/>
    <w:rsid w:val="00C72F22"/>
    <w:rsid w:val="00C73B25"/>
    <w:rsid w:val="00C73B39"/>
    <w:rsid w:val="00C74354"/>
    <w:rsid w:val="00C747F8"/>
    <w:rsid w:val="00C751C2"/>
    <w:rsid w:val="00C75330"/>
    <w:rsid w:val="00C75BBF"/>
    <w:rsid w:val="00C7657F"/>
    <w:rsid w:val="00C765A7"/>
    <w:rsid w:val="00C76C09"/>
    <w:rsid w:val="00C77298"/>
    <w:rsid w:val="00C77D52"/>
    <w:rsid w:val="00C804B2"/>
    <w:rsid w:val="00C80C28"/>
    <w:rsid w:val="00C80EDD"/>
    <w:rsid w:val="00C810E3"/>
    <w:rsid w:val="00C8132F"/>
    <w:rsid w:val="00C81C9A"/>
    <w:rsid w:val="00C81FB8"/>
    <w:rsid w:val="00C827F1"/>
    <w:rsid w:val="00C85FD1"/>
    <w:rsid w:val="00C8674D"/>
    <w:rsid w:val="00C87004"/>
    <w:rsid w:val="00C87101"/>
    <w:rsid w:val="00C87D72"/>
    <w:rsid w:val="00C903CE"/>
    <w:rsid w:val="00C9161D"/>
    <w:rsid w:val="00C91E6F"/>
    <w:rsid w:val="00C92124"/>
    <w:rsid w:val="00C92C5C"/>
    <w:rsid w:val="00C9388F"/>
    <w:rsid w:val="00C939F5"/>
    <w:rsid w:val="00C93ED8"/>
    <w:rsid w:val="00C94451"/>
    <w:rsid w:val="00C94869"/>
    <w:rsid w:val="00C94C62"/>
    <w:rsid w:val="00C94CD7"/>
    <w:rsid w:val="00C96044"/>
    <w:rsid w:val="00C970CF"/>
    <w:rsid w:val="00CA0077"/>
    <w:rsid w:val="00CA09A5"/>
    <w:rsid w:val="00CA0D0D"/>
    <w:rsid w:val="00CA0F6C"/>
    <w:rsid w:val="00CA1000"/>
    <w:rsid w:val="00CA1950"/>
    <w:rsid w:val="00CA4284"/>
    <w:rsid w:val="00CA4977"/>
    <w:rsid w:val="00CA554C"/>
    <w:rsid w:val="00CA5760"/>
    <w:rsid w:val="00CA638B"/>
    <w:rsid w:val="00CA73C1"/>
    <w:rsid w:val="00CA7B4B"/>
    <w:rsid w:val="00CB0AFC"/>
    <w:rsid w:val="00CB0B76"/>
    <w:rsid w:val="00CB0E3D"/>
    <w:rsid w:val="00CB3D84"/>
    <w:rsid w:val="00CB4842"/>
    <w:rsid w:val="00CB4BF4"/>
    <w:rsid w:val="00CB6565"/>
    <w:rsid w:val="00CB65BA"/>
    <w:rsid w:val="00CB727A"/>
    <w:rsid w:val="00CB776B"/>
    <w:rsid w:val="00CC08AC"/>
    <w:rsid w:val="00CC0B14"/>
    <w:rsid w:val="00CC1B1B"/>
    <w:rsid w:val="00CC35EA"/>
    <w:rsid w:val="00CC49CB"/>
    <w:rsid w:val="00CC6EBB"/>
    <w:rsid w:val="00CC7537"/>
    <w:rsid w:val="00CD025F"/>
    <w:rsid w:val="00CD0D4D"/>
    <w:rsid w:val="00CD3546"/>
    <w:rsid w:val="00CD41BE"/>
    <w:rsid w:val="00CD4D1B"/>
    <w:rsid w:val="00CD4D59"/>
    <w:rsid w:val="00CD5E60"/>
    <w:rsid w:val="00CD6005"/>
    <w:rsid w:val="00CD68D3"/>
    <w:rsid w:val="00CD715C"/>
    <w:rsid w:val="00CD71AC"/>
    <w:rsid w:val="00CD7569"/>
    <w:rsid w:val="00CD7CD4"/>
    <w:rsid w:val="00CD7D18"/>
    <w:rsid w:val="00CE0C4B"/>
    <w:rsid w:val="00CE1D02"/>
    <w:rsid w:val="00CE1E85"/>
    <w:rsid w:val="00CE2E9A"/>
    <w:rsid w:val="00CE2FFC"/>
    <w:rsid w:val="00CE3E94"/>
    <w:rsid w:val="00CE42C8"/>
    <w:rsid w:val="00CE44FA"/>
    <w:rsid w:val="00CE581E"/>
    <w:rsid w:val="00CE5C00"/>
    <w:rsid w:val="00CE642A"/>
    <w:rsid w:val="00CE64C2"/>
    <w:rsid w:val="00CE680C"/>
    <w:rsid w:val="00CE71B8"/>
    <w:rsid w:val="00CE71E6"/>
    <w:rsid w:val="00CE75C7"/>
    <w:rsid w:val="00CF1848"/>
    <w:rsid w:val="00CF21AA"/>
    <w:rsid w:val="00CF3479"/>
    <w:rsid w:val="00CF3CAC"/>
    <w:rsid w:val="00CF3DD0"/>
    <w:rsid w:val="00CF4B58"/>
    <w:rsid w:val="00CF4E4C"/>
    <w:rsid w:val="00CF5AA1"/>
    <w:rsid w:val="00CF5CCF"/>
    <w:rsid w:val="00CF663A"/>
    <w:rsid w:val="00CF6746"/>
    <w:rsid w:val="00CF74E1"/>
    <w:rsid w:val="00CF796E"/>
    <w:rsid w:val="00CF7C1C"/>
    <w:rsid w:val="00D00C5C"/>
    <w:rsid w:val="00D01954"/>
    <w:rsid w:val="00D01B20"/>
    <w:rsid w:val="00D02435"/>
    <w:rsid w:val="00D03D29"/>
    <w:rsid w:val="00D06176"/>
    <w:rsid w:val="00D061DF"/>
    <w:rsid w:val="00D06510"/>
    <w:rsid w:val="00D07050"/>
    <w:rsid w:val="00D07A62"/>
    <w:rsid w:val="00D101DE"/>
    <w:rsid w:val="00D10D60"/>
    <w:rsid w:val="00D112C6"/>
    <w:rsid w:val="00D12044"/>
    <w:rsid w:val="00D12067"/>
    <w:rsid w:val="00D12232"/>
    <w:rsid w:val="00D12347"/>
    <w:rsid w:val="00D12980"/>
    <w:rsid w:val="00D130D8"/>
    <w:rsid w:val="00D14785"/>
    <w:rsid w:val="00D14A9B"/>
    <w:rsid w:val="00D158A8"/>
    <w:rsid w:val="00D161AA"/>
    <w:rsid w:val="00D16A11"/>
    <w:rsid w:val="00D210A1"/>
    <w:rsid w:val="00D21FE3"/>
    <w:rsid w:val="00D2253B"/>
    <w:rsid w:val="00D22802"/>
    <w:rsid w:val="00D23019"/>
    <w:rsid w:val="00D23CEF"/>
    <w:rsid w:val="00D24094"/>
    <w:rsid w:val="00D25393"/>
    <w:rsid w:val="00D257AB"/>
    <w:rsid w:val="00D25AB9"/>
    <w:rsid w:val="00D26AC0"/>
    <w:rsid w:val="00D27123"/>
    <w:rsid w:val="00D27958"/>
    <w:rsid w:val="00D27A7C"/>
    <w:rsid w:val="00D31948"/>
    <w:rsid w:val="00D32E03"/>
    <w:rsid w:val="00D34184"/>
    <w:rsid w:val="00D34849"/>
    <w:rsid w:val="00D35F32"/>
    <w:rsid w:val="00D3654E"/>
    <w:rsid w:val="00D3704F"/>
    <w:rsid w:val="00D379F8"/>
    <w:rsid w:val="00D37B60"/>
    <w:rsid w:val="00D37C3C"/>
    <w:rsid w:val="00D40B1C"/>
    <w:rsid w:val="00D41A09"/>
    <w:rsid w:val="00D4202D"/>
    <w:rsid w:val="00D423CC"/>
    <w:rsid w:val="00D440FC"/>
    <w:rsid w:val="00D4448A"/>
    <w:rsid w:val="00D44B36"/>
    <w:rsid w:val="00D459CB"/>
    <w:rsid w:val="00D45A1B"/>
    <w:rsid w:val="00D45C24"/>
    <w:rsid w:val="00D45CF4"/>
    <w:rsid w:val="00D46469"/>
    <w:rsid w:val="00D47C59"/>
    <w:rsid w:val="00D47D3E"/>
    <w:rsid w:val="00D47FC1"/>
    <w:rsid w:val="00D47FFC"/>
    <w:rsid w:val="00D52D3E"/>
    <w:rsid w:val="00D52D59"/>
    <w:rsid w:val="00D5418F"/>
    <w:rsid w:val="00D54DE3"/>
    <w:rsid w:val="00D55362"/>
    <w:rsid w:val="00D5592F"/>
    <w:rsid w:val="00D55BF0"/>
    <w:rsid w:val="00D564AE"/>
    <w:rsid w:val="00D5657D"/>
    <w:rsid w:val="00D56A8C"/>
    <w:rsid w:val="00D607A5"/>
    <w:rsid w:val="00D60B2B"/>
    <w:rsid w:val="00D611D3"/>
    <w:rsid w:val="00D62C1C"/>
    <w:rsid w:val="00D62DA4"/>
    <w:rsid w:val="00D63314"/>
    <w:rsid w:val="00D634E1"/>
    <w:rsid w:val="00D63F60"/>
    <w:rsid w:val="00D64057"/>
    <w:rsid w:val="00D64ED2"/>
    <w:rsid w:val="00D658FC"/>
    <w:rsid w:val="00D67B31"/>
    <w:rsid w:val="00D67D4A"/>
    <w:rsid w:val="00D704D9"/>
    <w:rsid w:val="00D713A1"/>
    <w:rsid w:val="00D71590"/>
    <w:rsid w:val="00D7369F"/>
    <w:rsid w:val="00D7399D"/>
    <w:rsid w:val="00D73AA7"/>
    <w:rsid w:val="00D76A18"/>
    <w:rsid w:val="00D7792D"/>
    <w:rsid w:val="00D8096E"/>
    <w:rsid w:val="00D82165"/>
    <w:rsid w:val="00D8280E"/>
    <w:rsid w:val="00D83357"/>
    <w:rsid w:val="00D84159"/>
    <w:rsid w:val="00D847ED"/>
    <w:rsid w:val="00D84C03"/>
    <w:rsid w:val="00D84D4C"/>
    <w:rsid w:val="00D84DEB"/>
    <w:rsid w:val="00D84FAD"/>
    <w:rsid w:val="00D86ABA"/>
    <w:rsid w:val="00D86EFF"/>
    <w:rsid w:val="00D8745B"/>
    <w:rsid w:val="00D8754B"/>
    <w:rsid w:val="00D87AF3"/>
    <w:rsid w:val="00D906AE"/>
    <w:rsid w:val="00D90A58"/>
    <w:rsid w:val="00D91F32"/>
    <w:rsid w:val="00D94727"/>
    <w:rsid w:val="00D94884"/>
    <w:rsid w:val="00D9491C"/>
    <w:rsid w:val="00D950B5"/>
    <w:rsid w:val="00D97B68"/>
    <w:rsid w:val="00DA2692"/>
    <w:rsid w:val="00DA4097"/>
    <w:rsid w:val="00DA4303"/>
    <w:rsid w:val="00DB0DC2"/>
    <w:rsid w:val="00DB10B5"/>
    <w:rsid w:val="00DB1C6C"/>
    <w:rsid w:val="00DB1CB4"/>
    <w:rsid w:val="00DB26CA"/>
    <w:rsid w:val="00DB3909"/>
    <w:rsid w:val="00DB3AA7"/>
    <w:rsid w:val="00DB53DB"/>
    <w:rsid w:val="00DB6B53"/>
    <w:rsid w:val="00DB6BBD"/>
    <w:rsid w:val="00DC0E93"/>
    <w:rsid w:val="00DC220B"/>
    <w:rsid w:val="00DC25F9"/>
    <w:rsid w:val="00DC489C"/>
    <w:rsid w:val="00DC4E96"/>
    <w:rsid w:val="00DC5D4F"/>
    <w:rsid w:val="00DC5DF1"/>
    <w:rsid w:val="00DC5E81"/>
    <w:rsid w:val="00DC6711"/>
    <w:rsid w:val="00DC7BB3"/>
    <w:rsid w:val="00DD0300"/>
    <w:rsid w:val="00DD0622"/>
    <w:rsid w:val="00DD08D8"/>
    <w:rsid w:val="00DD118C"/>
    <w:rsid w:val="00DD12FD"/>
    <w:rsid w:val="00DD1AFD"/>
    <w:rsid w:val="00DD1B1F"/>
    <w:rsid w:val="00DD1EDC"/>
    <w:rsid w:val="00DD33C4"/>
    <w:rsid w:val="00DD41A0"/>
    <w:rsid w:val="00DD49F2"/>
    <w:rsid w:val="00DD5974"/>
    <w:rsid w:val="00DD5B2F"/>
    <w:rsid w:val="00DD6259"/>
    <w:rsid w:val="00DD649D"/>
    <w:rsid w:val="00DD69D6"/>
    <w:rsid w:val="00DD7AFB"/>
    <w:rsid w:val="00DE0931"/>
    <w:rsid w:val="00DE09DD"/>
    <w:rsid w:val="00DE1FD6"/>
    <w:rsid w:val="00DE2E8D"/>
    <w:rsid w:val="00DE31F6"/>
    <w:rsid w:val="00DE41AB"/>
    <w:rsid w:val="00DE465E"/>
    <w:rsid w:val="00DE64A5"/>
    <w:rsid w:val="00DE660A"/>
    <w:rsid w:val="00DF036E"/>
    <w:rsid w:val="00DF0480"/>
    <w:rsid w:val="00DF145A"/>
    <w:rsid w:val="00DF184E"/>
    <w:rsid w:val="00DF1C57"/>
    <w:rsid w:val="00DF2FC5"/>
    <w:rsid w:val="00DF34C1"/>
    <w:rsid w:val="00DF3BF5"/>
    <w:rsid w:val="00DF46B2"/>
    <w:rsid w:val="00DF4C70"/>
    <w:rsid w:val="00DF5292"/>
    <w:rsid w:val="00DF5495"/>
    <w:rsid w:val="00DF5C78"/>
    <w:rsid w:val="00DF61C0"/>
    <w:rsid w:val="00E00E34"/>
    <w:rsid w:val="00E03272"/>
    <w:rsid w:val="00E03D0A"/>
    <w:rsid w:val="00E04454"/>
    <w:rsid w:val="00E047A8"/>
    <w:rsid w:val="00E04BE7"/>
    <w:rsid w:val="00E069D0"/>
    <w:rsid w:val="00E118AB"/>
    <w:rsid w:val="00E11CE3"/>
    <w:rsid w:val="00E11FA5"/>
    <w:rsid w:val="00E12492"/>
    <w:rsid w:val="00E14119"/>
    <w:rsid w:val="00E145E8"/>
    <w:rsid w:val="00E14638"/>
    <w:rsid w:val="00E14EC5"/>
    <w:rsid w:val="00E16C3A"/>
    <w:rsid w:val="00E173E7"/>
    <w:rsid w:val="00E20288"/>
    <w:rsid w:val="00E214B5"/>
    <w:rsid w:val="00E22922"/>
    <w:rsid w:val="00E23806"/>
    <w:rsid w:val="00E23F29"/>
    <w:rsid w:val="00E24313"/>
    <w:rsid w:val="00E245B9"/>
    <w:rsid w:val="00E25104"/>
    <w:rsid w:val="00E253B6"/>
    <w:rsid w:val="00E25521"/>
    <w:rsid w:val="00E25779"/>
    <w:rsid w:val="00E25B0A"/>
    <w:rsid w:val="00E2605A"/>
    <w:rsid w:val="00E2655F"/>
    <w:rsid w:val="00E267D8"/>
    <w:rsid w:val="00E27915"/>
    <w:rsid w:val="00E27E00"/>
    <w:rsid w:val="00E30B12"/>
    <w:rsid w:val="00E30D25"/>
    <w:rsid w:val="00E30EF8"/>
    <w:rsid w:val="00E323D6"/>
    <w:rsid w:val="00E32EC8"/>
    <w:rsid w:val="00E34EE8"/>
    <w:rsid w:val="00E354E6"/>
    <w:rsid w:val="00E35BA4"/>
    <w:rsid w:val="00E37005"/>
    <w:rsid w:val="00E37046"/>
    <w:rsid w:val="00E37328"/>
    <w:rsid w:val="00E37662"/>
    <w:rsid w:val="00E3782E"/>
    <w:rsid w:val="00E4089A"/>
    <w:rsid w:val="00E40A14"/>
    <w:rsid w:val="00E40C0D"/>
    <w:rsid w:val="00E42330"/>
    <w:rsid w:val="00E4234A"/>
    <w:rsid w:val="00E42EE2"/>
    <w:rsid w:val="00E431B9"/>
    <w:rsid w:val="00E431DC"/>
    <w:rsid w:val="00E43551"/>
    <w:rsid w:val="00E45144"/>
    <w:rsid w:val="00E45374"/>
    <w:rsid w:val="00E466D3"/>
    <w:rsid w:val="00E5035F"/>
    <w:rsid w:val="00E5040E"/>
    <w:rsid w:val="00E50731"/>
    <w:rsid w:val="00E51AAA"/>
    <w:rsid w:val="00E54398"/>
    <w:rsid w:val="00E54405"/>
    <w:rsid w:val="00E56958"/>
    <w:rsid w:val="00E60843"/>
    <w:rsid w:val="00E608B9"/>
    <w:rsid w:val="00E62FE7"/>
    <w:rsid w:val="00E630F6"/>
    <w:rsid w:val="00E63222"/>
    <w:rsid w:val="00E641E7"/>
    <w:rsid w:val="00E64623"/>
    <w:rsid w:val="00E64F8D"/>
    <w:rsid w:val="00E651AF"/>
    <w:rsid w:val="00E6526F"/>
    <w:rsid w:val="00E65955"/>
    <w:rsid w:val="00E66235"/>
    <w:rsid w:val="00E66B25"/>
    <w:rsid w:val="00E71F3F"/>
    <w:rsid w:val="00E722F0"/>
    <w:rsid w:val="00E72300"/>
    <w:rsid w:val="00E72491"/>
    <w:rsid w:val="00E724D9"/>
    <w:rsid w:val="00E72D75"/>
    <w:rsid w:val="00E73BBA"/>
    <w:rsid w:val="00E7597E"/>
    <w:rsid w:val="00E76AEF"/>
    <w:rsid w:val="00E76BB8"/>
    <w:rsid w:val="00E77D68"/>
    <w:rsid w:val="00E8054B"/>
    <w:rsid w:val="00E80EAE"/>
    <w:rsid w:val="00E814F8"/>
    <w:rsid w:val="00E81A07"/>
    <w:rsid w:val="00E833D8"/>
    <w:rsid w:val="00E83468"/>
    <w:rsid w:val="00E8379F"/>
    <w:rsid w:val="00E83C24"/>
    <w:rsid w:val="00E842AF"/>
    <w:rsid w:val="00E84E47"/>
    <w:rsid w:val="00E85068"/>
    <w:rsid w:val="00E85698"/>
    <w:rsid w:val="00E85AE3"/>
    <w:rsid w:val="00E86B62"/>
    <w:rsid w:val="00E873EE"/>
    <w:rsid w:val="00E87C19"/>
    <w:rsid w:val="00E907C1"/>
    <w:rsid w:val="00E90933"/>
    <w:rsid w:val="00E9198B"/>
    <w:rsid w:val="00E91BDB"/>
    <w:rsid w:val="00E924A7"/>
    <w:rsid w:val="00E92630"/>
    <w:rsid w:val="00E92753"/>
    <w:rsid w:val="00E9296E"/>
    <w:rsid w:val="00E9318D"/>
    <w:rsid w:val="00E94720"/>
    <w:rsid w:val="00E9481E"/>
    <w:rsid w:val="00E9522F"/>
    <w:rsid w:val="00E9571F"/>
    <w:rsid w:val="00E96B90"/>
    <w:rsid w:val="00E97ACB"/>
    <w:rsid w:val="00E97F99"/>
    <w:rsid w:val="00EA271D"/>
    <w:rsid w:val="00EA2EA4"/>
    <w:rsid w:val="00EA31C8"/>
    <w:rsid w:val="00EA36C8"/>
    <w:rsid w:val="00EA37E9"/>
    <w:rsid w:val="00EA464A"/>
    <w:rsid w:val="00EA728E"/>
    <w:rsid w:val="00EA72D2"/>
    <w:rsid w:val="00EA7D02"/>
    <w:rsid w:val="00EA7F56"/>
    <w:rsid w:val="00EB00D8"/>
    <w:rsid w:val="00EB1B35"/>
    <w:rsid w:val="00EB268F"/>
    <w:rsid w:val="00EB381A"/>
    <w:rsid w:val="00EB4A30"/>
    <w:rsid w:val="00EB563C"/>
    <w:rsid w:val="00EB6784"/>
    <w:rsid w:val="00EB6818"/>
    <w:rsid w:val="00EB6BAE"/>
    <w:rsid w:val="00EB6D87"/>
    <w:rsid w:val="00EB7324"/>
    <w:rsid w:val="00EB77C0"/>
    <w:rsid w:val="00EC033E"/>
    <w:rsid w:val="00EC0370"/>
    <w:rsid w:val="00EC1393"/>
    <w:rsid w:val="00EC1B27"/>
    <w:rsid w:val="00EC2508"/>
    <w:rsid w:val="00EC2F1B"/>
    <w:rsid w:val="00EC3043"/>
    <w:rsid w:val="00EC53E4"/>
    <w:rsid w:val="00EC7B01"/>
    <w:rsid w:val="00ED0849"/>
    <w:rsid w:val="00ED0DF1"/>
    <w:rsid w:val="00ED1973"/>
    <w:rsid w:val="00ED1AC9"/>
    <w:rsid w:val="00ED1FA6"/>
    <w:rsid w:val="00ED2A51"/>
    <w:rsid w:val="00ED34A3"/>
    <w:rsid w:val="00ED3A9A"/>
    <w:rsid w:val="00ED3B71"/>
    <w:rsid w:val="00ED3D29"/>
    <w:rsid w:val="00ED4239"/>
    <w:rsid w:val="00ED4D36"/>
    <w:rsid w:val="00ED4ECA"/>
    <w:rsid w:val="00ED51E0"/>
    <w:rsid w:val="00ED52C2"/>
    <w:rsid w:val="00ED553D"/>
    <w:rsid w:val="00ED5AFA"/>
    <w:rsid w:val="00EE00D6"/>
    <w:rsid w:val="00EE07DB"/>
    <w:rsid w:val="00EE127B"/>
    <w:rsid w:val="00EE146B"/>
    <w:rsid w:val="00EE195C"/>
    <w:rsid w:val="00EE2618"/>
    <w:rsid w:val="00EE43C7"/>
    <w:rsid w:val="00EE4669"/>
    <w:rsid w:val="00EE4A81"/>
    <w:rsid w:val="00EE530F"/>
    <w:rsid w:val="00EE5619"/>
    <w:rsid w:val="00EE5FD0"/>
    <w:rsid w:val="00EE6366"/>
    <w:rsid w:val="00EE6697"/>
    <w:rsid w:val="00EE7740"/>
    <w:rsid w:val="00EF0DFC"/>
    <w:rsid w:val="00EF15A7"/>
    <w:rsid w:val="00EF1F7D"/>
    <w:rsid w:val="00EF2E4D"/>
    <w:rsid w:val="00EF350E"/>
    <w:rsid w:val="00EF3EBB"/>
    <w:rsid w:val="00EF41BF"/>
    <w:rsid w:val="00EF4554"/>
    <w:rsid w:val="00EF482C"/>
    <w:rsid w:val="00EF4C23"/>
    <w:rsid w:val="00EF502C"/>
    <w:rsid w:val="00EF5664"/>
    <w:rsid w:val="00EF5787"/>
    <w:rsid w:val="00EF5DF2"/>
    <w:rsid w:val="00EF6437"/>
    <w:rsid w:val="00EF6A29"/>
    <w:rsid w:val="00EF6E0A"/>
    <w:rsid w:val="00EF7DA4"/>
    <w:rsid w:val="00F01DD3"/>
    <w:rsid w:val="00F023B7"/>
    <w:rsid w:val="00F03932"/>
    <w:rsid w:val="00F03F8D"/>
    <w:rsid w:val="00F04630"/>
    <w:rsid w:val="00F05231"/>
    <w:rsid w:val="00F06D01"/>
    <w:rsid w:val="00F07BB8"/>
    <w:rsid w:val="00F10EFB"/>
    <w:rsid w:val="00F12660"/>
    <w:rsid w:val="00F12676"/>
    <w:rsid w:val="00F1268C"/>
    <w:rsid w:val="00F13215"/>
    <w:rsid w:val="00F132E5"/>
    <w:rsid w:val="00F14EBA"/>
    <w:rsid w:val="00F15D2A"/>
    <w:rsid w:val="00F15DB5"/>
    <w:rsid w:val="00F16155"/>
    <w:rsid w:val="00F17BA0"/>
    <w:rsid w:val="00F20607"/>
    <w:rsid w:val="00F216F7"/>
    <w:rsid w:val="00F21C86"/>
    <w:rsid w:val="00F21D68"/>
    <w:rsid w:val="00F23206"/>
    <w:rsid w:val="00F233E3"/>
    <w:rsid w:val="00F23AF9"/>
    <w:rsid w:val="00F23D5D"/>
    <w:rsid w:val="00F2419A"/>
    <w:rsid w:val="00F24E8F"/>
    <w:rsid w:val="00F27410"/>
    <w:rsid w:val="00F303D7"/>
    <w:rsid w:val="00F310CC"/>
    <w:rsid w:val="00F3115A"/>
    <w:rsid w:val="00F315E0"/>
    <w:rsid w:val="00F31CEA"/>
    <w:rsid w:val="00F33395"/>
    <w:rsid w:val="00F3449E"/>
    <w:rsid w:val="00F364AB"/>
    <w:rsid w:val="00F36AF6"/>
    <w:rsid w:val="00F36C22"/>
    <w:rsid w:val="00F3755E"/>
    <w:rsid w:val="00F37BF2"/>
    <w:rsid w:val="00F37D13"/>
    <w:rsid w:val="00F4085A"/>
    <w:rsid w:val="00F41C33"/>
    <w:rsid w:val="00F424C4"/>
    <w:rsid w:val="00F424CA"/>
    <w:rsid w:val="00F439BC"/>
    <w:rsid w:val="00F43F47"/>
    <w:rsid w:val="00F44073"/>
    <w:rsid w:val="00F446EC"/>
    <w:rsid w:val="00F4495C"/>
    <w:rsid w:val="00F45259"/>
    <w:rsid w:val="00F452E4"/>
    <w:rsid w:val="00F45556"/>
    <w:rsid w:val="00F45B2D"/>
    <w:rsid w:val="00F45C0A"/>
    <w:rsid w:val="00F4607D"/>
    <w:rsid w:val="00F46DA9"/>
    <w:rsid w:val="00F4748C"/>
    <w:rsid w:val="00F50174"/>
    <w:rsid w:val="00F50256"/>
    <w:rsid w:val="00F520E3"/>
    <w:rsid w:val="00F525DE"/>
    <w:rsid w:val="00F532B8"/>
    <w:rsid w:val="00F5391D"/>
    <w:rsid w:val="00F53C99"/>
    <w:rsid w:val="00F53E2F"/>
    <w:rsid w:val="00F54783"/>
    <w:rsid w:val="00F54853"/>
    <w:rsid w:val="00F54E18"/>
    <w:rsid w:val="00F55C23"/>
    <w:rsid w:val="00F56E62"/>
    <w:rsid w:val="00F5754E"/>
    <w:rsid w:val="00F57C77"/>
    <w:rsid w:val="00F57D94"/>
    <w:rsid w:val="00F608EA"/>
    <w:rsid w:val="00F61526"/>
    <w:rsid w:val="00F62881"/>
    <w:rsid w:val="00F62CAB"/>
    <w:rsid w:val="00F64C3F"/>
    <w:rsid w:val="00F6561B"/>
    <w:rsid w:val="00F65B56"/>
    <w:rsid w:val="00F65F13"/>
    <w:rsid w:val="00F661E2"/>
    <w:rsid w:val="00F667ED"/>
    <w:rsid w:val="00F67013"/>
    <w:rsid w:val="00F67484"/>
    <w:rsid w:val="00F674E5"/>
    <w:rsid w:val="00F67648"/>
    <w:rsid w:val="00F70505"/>
    <w:rsid w:val="00F7223F"/>
    <w:rsid w:val="00F74DF9"/>
    <w:rsid w:val="00F7583E"/>
    <w:rsid w:val="00F76CA0"/>
    <w:rsid w:val="00F773A5"/>
    <w:rsid w:val="00F80A86"/>
    <w:rsid w:val="00F8105B"/>
    <w:rsid w:val="00F82932"/>
    <w:rsid w:val="00F82C81"/>
    <w:rsid w:val="00F82F50"/>
    <w:rsid w:val="00F832E2"/>
    <w:rsid w:val="00F83B93"/>
    <w:rsid w:val="00F85601"/>
    <w:rsid w:val="00F86620"/>
    <w:rsid w:val="00F86A2E"/>
    <w:rsid w:val="00F86BB1"/>
    <w:rsid w:val="00F87CBA"/>
    <w:rsid w:val="00F90397"/>
    <w:rsid w:val="00F905CA"/>
    <w:rsid w:val="00F906B9"/>
    <w:rsid w:val="00F90C0E"/>
    <w:rsid w:val="00F91248"/>
    <w:rsid w:val="00F91457"/>
    <w:rsid w:val="00F936CA"/>
    <w:rsid w:val="00F946A6"/>
    <w:rsid w:val="00F946AB"/>
    <w:rsid w:val="00F94774"/>
    <w:rsid w:val="00F94C5B"/>
    <w:rsid w:val="00F95190"/>
    <w:rsid w:val="00F951DF"/>
    <w:rsid w:val="00F959B4"/>
    <w:rsid w:val="00F96179"/>
    <w:rsid w:val="00F96443"/>
    <w:rsid w:val="00F96BD6"/>
    <w:rsid w:val="00F977DC"/>
    <w:rsid w:val="00F97AFE"/>
    <w:rsid w:val="00FA0148"/>
    <w:rsid w:val="00FA1925"/>
    <w:rsid w:val="00FA1934"/>
    <w:rsid w:val="00FA2041"/>
    <w:rsid w:val="00FA3085"/>
    <w:rsid w:val="00FA36C8"/>
    <w:rsid w:val="00FA3DEE"/>
    <w:rsid w:val="00FA3E21"/>
    <w:rsid w:val="00FA3EDF"/>
    <w:rsid w:val="00FA5306"/>
    <w:rsid w:val="00FA5586"/>
    <w:rsid w:val="00FB0746"/>
    <w:rsid w:val="00FB22A8"/>
    <w:rsid w:val="00FB29C8"/>
    <w:rsid w:val="00FB2F4F"/>
    <w:rsid w:val="00FB3284"/>
    <w:rsid w:val="00FB391C"/>
    <w:rsid w:val="00FB4366"/>
    <w:rsid w:val="00FB5450"/>
    <w:rsid w:val="00FB5A60"/>
    <w:rsid w:val="00FB5DF9"/>
    <w:rsid w:val="00FB646C"/>
    <w:rsid w:val="00FB6677"/>
    <w:rsid w:val="00FB6CEE"/>
    <w:rsid w:val="00FB77D8"/>
    <w:rsid w:val="00FB7CB4"/>
    <w:rsid w:val="00FC0A3E"/>
    <w:rsid w:val="00FC0F43"/>
    <w:rsid w:val="00FC2241"/>
    <w:rsid w:val="00FC2C36"/>
    <w:rsid w:val="00FC3310"/>
    <w:rsid w:val="00FC36D0"/>
    <w:rsid w:val="00FC493E"/>
    <w:rsid w:val="00FC502A"/>
    <w:rsid w:val="00FC53DB"/>
    <w:rsid w:val="00FC573D"/>
    <w:rsid w:val="00FC5A8B"/>
    <w:rsid w:val="00FC6126"/>
    <w:rsid w:val="00FC6ECC"/>
    <w:rsid w:val="00FC6F9C"/>
    <w:rsid w:val="00FC7BD5"/>
    <w:rsid w:val="00FC7C19"/>
    <w:rsid w:val="00FD0E52"/>
    <w:rsid w:val="00FD1872"/>
    <w:rsid w:val="00FD2CAE"/>
    <w:rsid w:val="00FD2EAC"/>
    <w:rsid w:val="00FD49FB"/>
    <w:rsid w:val="00FD504D"/>
    <w:rsid w:val="00FD50F6"/>
    <w:rsid w:val="00FD5BE3"/>
    <w:rsid w:val="00FD66FD"/>
    <w:rsid w:val="00FD6A93"/>
    <w:rsid w:val="00FD6BC6"/>
    <w:rsid w:val="00FD6DB0"/>
    <w:rsid w:val="00FD6E31"/>
    <w:rsid w:val="00FD74D6"/>
    <w:rsid w:val="00FD7D81"/>
    <w:rsid w:val="00FE0320"/>
    <w:rsid w:val="00FE07F6"/>
    <w:rsid w:val="00FE17EA"/>
    <w:rsid w:val="00FE1C10"/>
    <w:rsid w:val="00FE2DFE"/>
    <w:rsid w:val="00FE33B9"/>
    <w:rsid w:val="00FE4DFF"/>
    <w:rsid w:val="00FE6148"/>
    <w:rsid w:val="00FE6F58"/>
    <w:rsid w:val="00FF0038"/>
    <w:rsid w:val="00FF03B8"/>
    <w:rsid w:val="00FF0B8F"/>
    <w:rsid w:val="00FF2267"/>
    <w:rsid w:val="00FF29C5"/>
    <w:rsid w:val="00FF29CF"/>
    <w:rsid w:val="00FF4A53"/>
    <w:rsid w:val="00FF546F"/>
    <w:rsid w:val="00FF6114"/>
    <w:rsid w:val="00FF6951"/>
    <w:rsid w:val="00FF791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D03BFD"/>
  <w15:docId w15:val="{505DB9E5-DC67-42AD-83E0-247DA849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573F"/>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BE1E87"/>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BE1E87"/>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174E7E"/>
    <w:rPr>
      <w:color w:val="808080"/>
      <w:shd w:val="clear" w:color="auto" w:fill="E6E6E6"/>
    </w:rPr>
  </w:style>
  <w:style w:type="paragraph" w:styleId="Revision">
    <w:name w:val="Revision"/>
    <w:hidden/>
    <w:uiPriority w:val="99"/>
    <w:semiHidden/>
    <w:rsid w:val="007C7659"/>
    <w:rPr>
      <w:rFonts w:ascii="Times New Roman" w:eastAsia="Times New Roman" w:hAnsi="Times New Roman" w:cs="Times New Roman"/>
      <w:sz w:val="22"/>
      <w:lang w:val="en-GB"/>
    </w:rPr>
  </w:style>
  <w:style w:type="character" w:customStyle="1" w:styleId="ListParagraphChar">
    <w:name w:val="List Paragraph Char"/>
    <w:basedOn w:val="DefaultParagraphFont"/>
    <w:link w:val="ListParagraph"/>
    <w:uiPriority w:val="34"/>
    <w:qFormat/>
    <w:locked/>
    <w:rsid w:val="00405799"/>
    <w:rPr>
      <w:rFonts w:ascii="Times New Roman" w:eastAsia="Times New Roman" w:hAnsi="Times New Roman" w:cs="Times New Roman"/>
      <w:sz w:val="22"/>
      <w:lang w:val="en-GB"/>
    </w:rPr>
  </w:style>
  <w:style w:type="paragraph" w:customStyle="1" w:styleId="Default">
    <w:name w:val="Default"/>
    <w:rsid w:val="002D6637"/>
    <w:pPr>
      <w:autoSpaceDE w:val="0"/>
      <w:autoSpaceDN w:val="0"/>
      <w:adjustRightInd w:val="0"/>
    </w:pPr>
    <w:rPr>
      <w:rFonts w:ascii="Times New Roman" w:hAnsi="Times New Roman" w:cs="Times New Roman"/>
      <w:color w:val="000000"/>
      <w:lang w:val="en-CA"/>
    </w:rPr>
  </w:style>
  <w:style w:type="character" w:customStyle="1" w:styleId="UnresolvedMention2">
    <w:name w:val="Unresolved Mention2"/>
    <w:basedOn w:val="DefaultParagraphFont"/>
    <w:uiPriority w:val="99"/>
    <w:semiHidden/>
    <w:unhideWhenUsed/>
    <w:rsid w:val="005B26E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56231"/>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56231"/>
    <w:rPr>
      <w:rFonts w:ascii="Times New Roman" w:eastAsia="Times New Roman" w:hAnsi="Times New Roman" w:cs="Times New Roman"/>
      <w:b/>
      <w:bCs/>
      <w:sz w:val="20"/>
      <w:szCs w:val="20"/>
      <w:lang w:val="en-GB"/>
    </w:rPr>
  </w:style>
  <w:style w:type="character" w:customStyle="1" w:styleId="UnresolvedMention3">
    <w:name w:val="Unresolved Mention3"/>
    <w:basedOn w:val="DefaultParagraphFont"/>
    <w:uiPriority w:val="99"/>
    <w:semiHidden/>
    <w:unhideWhenUsed/>
    <w:rsid w:val="00D5418F"/>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72389D"/>
    <w:pPr>
      <w:spacing w:after="160" w:line="240" w:lineRule="exact"/>
    </w:pPr>
    <w:rPr>
      <w:rFonts w:asciiTheme="minorHAnsi" w:eastAsiaTheme="minorEastAsia" w:hAnsiTheme="minorHAnsi" w:cstheme="minorBidi"/>
      <w:vertAlign w:val="superscript"/>
      <w:lang w:val="fr-CA"/>
    </w:rPr>
  </w:style>
  <w:style w:type="paragraph" w:customStyle="1" w:styleId="CBD-Para-i">
    <w:name w:val="CBD-Para-i"/>
    <w:basedOn w:val="Normal"/>
    <w:rsid w:val="000E687F"/>
    <w:pPr>
      <w:tabs>
        <w:tab w:val="num" w:pos="1814"/>
        <w:tab w:val="left" w:pos="2160"/>
        <w:tab w:val="left" w:pos="2880"/>
      </w:tabs>
      <w:spacing w:before="80" w:after="80"/>
      <w:ind w:left="1814" w:hanging="170"/>
    </w:pPr>
    <w:rPr>
      <w:szCs w:val="20"/>
    </w:rPr>
  </w:style>
  <w:style w:type="paragraph" w:customStyle="1" w:styleId="aident">
    <w:name w:val="(a) ident"/>
    <w:basedOn w:val="Normal"/>
    <w:rsid w:val="00A4039C"/>
    <w:pPr>
      <w:tabs>
        <w:tab w:val="num" w:pos="1077"/>
      </w:tabs>
      <w:autoSpaceDE w:val="0"/>
      <w:autoSpaceDN w:val="0"/>
      <w:snapToGrid w:val="0"/>
      <w:spacing w:before="120" w:after="120"/>
      <w:ind w:left="1077" w:hanging="357"/>
    </w:pPr>
    <w:rPr>
      <w:rFonts w:eastAsia="MS Mincho" w:cs="Angsana New"/>
      <w:szCs w:val="18"/>
    </w:rPr>
  </w:style>
  <w:style w:type="character" w:styleId="Strong">
    <w:name w:val="Strong"/>
    <w:basedOn w:val="DefaultParagraphFont"/>
    <w:qFormat/>
    <w:rsid w:val="00A4039C"/>
    <w:rPr>
      <w:b/>
      <w:bCs/>
    </w:rPr>
  </w:style>
  <w:style w:type="character" w:customStyle="1" w:styleId="UnresolvedMention4">
    <w:name w:val="Unresolved Mention4"/>
    <w:basedOn w:val="DefaultParagraphFont"/>
    <w:uiPriority w:val="99"/>
    <w:semiHidden/>
    <w:unhideWhenUsed/>
    <w:rsid w:val="00CE680C"/>
    <w:rPr>
      <w:color w:val="605E5C"/>
      <w:shd w:val="clear" w:color="auto" w:fill="E1DFDD"/>
    </w:rPr>
  </w:style>
  <w:style w:type="paragraph" w:customStyle="1" w:styleId="Para">
    <w:name w:val="Para"/>
    <w:link w:val="ParaChar"/>
    <w:uiPriority w:val="4"/>
    <w:qFormat/>
    <w:rsid w:val="00AB466F"/>
    <w:pPr>
      <w:spacing w:before="120" w:after="120" w:line="260" w:lineRule="atLeast"/>
      <w:jc w:val="both"/>
    </w:pPr>
    <w:rPr>
      <w:rFonts w:eastAsiaTheme="minorHAnsi"/>
      <w:color w:val="000000" w:themeColor="text1"/>
      <w:sz w:val="20"/>
      <w:szCs w:val="22"/>
      <w:lang w:val="en-GB"/>
    </w:rPr>
  </w:style>
  <w:style w:type="character" w:customStyle="1" w:styleId="ParaChar">
    <w:name w:val="Para Char"/>
    <w:basedOn w:val="DefaultParagraphFont"/>
    <w:link w:val="Para"/>
    <w:uiPriority w:val="4"/>
    <w:rsid w:val="00AB466F"/>
    <w:rPr>
      <w:rFonts w:eastAsiaTheme="minorHAnsi"/>
      <w:color w:val="000000" w:themeColor="text1"/>
      <w:sz w:val="20"/>
      <w:szCs w:val="22"/>
      <w:lang w:val="en-GB"/>
    </w:rPr>
  </w:style>
  <w:style w:type="paragraph" w:customStyle="1" w:styleId="Sourcenotes">
    <w:name w:val="Source &amp; notes"/>
    <w:uiPriority w:val="16"/>
    <w:qFormat/>
    <w:rsid w:val="00AB466F"/>
    <w:pPr>
      <w:keepLines/>
      <w:spacing w:before="120" w:after="360" w:line="220" w:lineRule="exact"/>
      <w:contextualSpacing/>
      <w:jc w:val="both"/>
    </w:pPr>
    <w:rPr>
      <w:rFonts w:asciiTheme="majorHAnsi" w:eastAsiaTheme="minorHAnsi" w:hAnsiTheme="majorHAnsi"/>
      <w:color w:val="000000" w:themeColor="text1"/>
      <w:sz w:val="18"/>
      <w:szCs w:val="22"/>
      <w:lang w:val="en-GB"/>
    </w:rPr>
  </w:style>
  <w:style w:type="paragraph" w:customStyle="1" w:styleId="BoxHeading2">
    <w:name w:val="Box Heading 2"/>
    <w:next w:val="Para"/>
    <w:uiPriority w:val="14"/>
    <w:qFormat/>
    <w:rsid w:val="00AB466F"/>
    <w:pPr>
      <w:spacing w:before="180" w:after="120"/>
    </w:pPr>
    <w:rPr>
      <w:rFonts w:asciiTheme="majorHAnsi" w:eastAsiaTheme="minorHAnsi" w:hAnsiTheme="majorHAnsi"/>
      <w:b/>
      <w:i/>
      <w:color w:val="000000" w:themeColor="text1"/>
      <w:sz w:val="22"/>
      <w:szCs w:val="22"/>
      <w:lang w:val="en-GB"/>
    </w:rPr>
  </w:style>
  <w:style w:type="table" w:customStyle="1" w:styleId="TableGrid1">
    <w:name w:val="Table Grid1"/>
    <w:basedOn w:val="TableNormal"/>
    <w:next w:val="TableGrid"/>
    <w:uiPriority w:val="59"/>
    <w:rsid w:val="00A03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qFormat/>
    <w:rsid w:val="001E433D"/>
    <w:rPr>
      <w:i/>
    </w:rPr>
  </w:style>
  <w:style w:type="character" w:styleId="UnresolvedMention">
    <w:name w:val="Unresolved Mention"/>
    <w:basedOn w:val="DefaultParagraphFont"/>
    <w:uiPriority w:val="99"/>
    <w:semiHidden/>
    <w:unhideWhenUsed/>
    <w:rsid w:val="002108F1"/>
    <w:rPr>
      <w:color w:val="605E5C"/>
      <w:shd w:val="clear" w:color="auto" w:fill="E1DFDD"/>
    </w:rPr>
  </w:style>
  <w:style w:type="paragraph" w:styleId="NormalWeb">
    <w:name w:val="Normal (Web)"/>
    <w:basedOn w:val="Normal"/>
    <w:uiPriority w:val="99"/>
    <w:semiHidden/>
    <w:unhideWhenUsed/>
    <w:rsid w:val="00A136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0123">
      <w:bodyDiv w:val="1"/>
      <w:marLeft w:val="0"/>
      <w:marRight w:val="0"/>
      <w:marTop w:val="0"/>
      <w:marBottom w:val="0"/>
      <w:divBdr>
        <w:top w:val="none" w:sz="0" w:space="0" w:color="auto"/>
        <w:left w:val="none" w:sz="0" w:space="0" w:color="auto"/>
        <w:bottom w:val="none" w:sz="0" w:space="0" w:color="auto"/>
        <w:right w:val="none" w:sz="0" w:space="0" w:color="auto"/>
      </w:divBdr>
    </w:div>
    <w:div w:id="25061494">
      <w:bodyDiv w:val="1"/>
      <w:marLeft w:val="0"/>
      <w:marRight w:val="0"/>
      <w:marTop w:val="0"/>
      <w:marBottom w:val="0"/>
      <w:divBdr>
        <w:top w:val="none" w:sz="0" w:space="0" w:color="auto"/>
        <w:left w:val="none" w:sz="0" w:space="0" w:color="auto"/>
        <w:bottom w:val="none" w:sz="0" w:space="0" w:color="auto"/>
        <w:right w:val="none" w:sz="0" w:space="0" w:color="auto"/>
      </w:divBdr>
    </w:div>
    <w:div w:id="25915250">
      <w:bodyDiv w:val="1"/>
      <w:marLeft w:val="0"/>
      <w:marRight w:val="0"/>
      <w:marTop w:val="0"/>
      <w:marBottom w:val="0"/>
      <w:divBdr>
        <w:top w:val="none" w:sz="0" w:space="0" w:color="auto"/>
        <w:left w:val="none" w:sz="0" w:space="0" w:color="auto"/>
        <w:bottom w:val="none" w:sz="0" w:space="0" w:color="auto"/>
        <w:right w:val="none" w:sz="0" w:space="0" w:color="auto"/>
      </w:divBdr>
    </w:div>
    <w:div w:id="43795078">
      <w:bodyDiv w:val="1"/>
      <w:marLeft w:val="0"/>
      <w:marRight w:val="0"/>
      <w:marTop w:val="0"/>
      <w:marBottom w:val="0"/>
      <w:divBdr>
        <w:top w:val="none" w:sz="0" w:space="0" w:color="auto"/>
        <w:left w:val="none" w:sz="0" w:space="0" w:color="auto"/>
        <w:bottom w:val="none" w:sz="0" w:space="0" w:color="auto"/>
        <w:right w:val="none" w:sz="0" w:space="0" w:color="auto"/>
      </w:divBdr>
    </w:div>
    <w:div w:id="59641069">
      <w:bodyDiv w:val="1"/>
      <w:marLeft w:val="0"/>
      <w:marRight w:val="0"/>
      <w:marTop w:val="0"/>
      <w:marBottom w:val="0"/>
      <w:divBdr>
        <w:top w:val="none" w:sz="0" w:space="0" w:color="auto"/>
        <w:left w:val="none" w:sz="0" w:space="0" w:color="auto"/>
        <w:bottom w:val="none" w:sz="0" w:space="0" w:color="auto"/>
        <w:right w:val="none" w:sz="0" w:space="0" w:color="auto"/>
      </w:divBdr>
    </w:div>
    <w:div w:id="104930764">
      <w:bodyDiv w:val="1"/>
      <w:marLeft w:val="0"/>
      <w:marRight w:val="0"/>
      <w:marTop w:val="0"/>
      <w:marBottom w:val="0"/>
      <w:divBdr>
        <w:top w:val="none" w:sz="0" w:space="0" w:color="auto"/>
        <w:left w:val="none" w:sz="0" w:space="0" w:color="auto"/>
        <w:bottom w:val="none" w:sz="0" w:space="0" w:color="auto"/>
        <w:right w:val="none" w:sz="0" w:space="0" w:color="auto"/>
      </w:divBdr>
    </w:div>
    <w:div w:id="131097804">
      <w:bodyDiv w:val="1"/>
      <w:marLeft w:val="0"/>
      <w:marRight w:val="0"/>
      <w:marTop w:val="0"/>
      <w:marBottom w:val="0"/>
      <w:divBdr>
        <w:top w:val="none" w:sz="0" w:space="0" w:color="auto"/>
        <w:left w:val="none" w:sz="0" w:space="0" w:color="auto"/>
        <w:bottom w:val="none" w:sz="0" w:space="0" w:color="auto"/>
        <w:right w:val="none" w:sz="0" w:space="0" w:color="auto"/>
      </w:divBdr>
    </w:div>
    <w:div w:id="143209095">
      <w:bodyDiv w:val="1"/>
      <w:marLeft w:val="0"/>
      <w:marRight w:val="0"/>
      <w:marTop w:val="0"/>
      <w:marBottom w:val="0"/>
      <w:divBdr>
        <w:top w:val="none" w:sz="0" w:space="0" w:color="auto"/>
        <w:left w:val="none" w:sz="0" w:space="0" w:color="auto"/>
        <w:bottom w:val="none" w:sz="0" w:space="0" w:color="auto"/>
        <w:right w:val="none" w:sz="0" w:space="0" w:color="auto"/>
      </w:divBdr>
    </w:div>
    <w:div w:id="166209988">
      <w:bodyDiv w:val="1"/>
      <w:marLeft w:val="0"/>
      <w:marRight w:val="0"/>
      <w:marTop w:val="0"/>
      <w:marBottom w:val="0"/>
      <w:divBdr>
        <w:top w:val="none" w:sz="0" w:space="0" w:color="auto"/>
        <w:left w:val="none" w:sz="0" w:space="0" w:color="auto"/>
        <w:bottom w:val="none" w:sz="0" w:space="0" w:color="auto"/>
        <w:right w:val="none" w:sz="0" w:space="0" w:color="auto"/>
      </w:divBdr>
    </w:div>
    <w:div w:id="193008779">
      <w:bodyDiv w:val="1"/>
      <w:marLeft w:val="0"/>
      <w:marRight w:val="0"/>
      <w:marTop w:val="0"/>
      <w:marBottom w:val="0"/>
      <w:divBdr>
        <w:top w:val="none" w:sz="0" w:space="0" w:color="auto"/>
        <w:left w:val="none" w:sz="0" w:space="0" w:color="auto"/>
        <w:bottom w:val="none" w:sz="0" w:space="0" w:color="auto"/>
        <w:right w:val="none" w:sz="0" w:space="0" w:color="auto"/>
      </w:divBdr>
    </w:div>
    <w:div w:id="210923547">
      <w:bodyDiv w:val="1"/>
      <w:marLeft w:val="0"/>
      <w:marRight w:val="0"/>
      <w:marTop w:val="0"/>
      <w:marBottom w:val="0"/>
      <w:divBdr>
        <w:top w:val="none" w:sz="0" w:space="0" w:color="auto"/>
        <w:left w:val="none" w:sz="0" w:space="0" w:color="auto"/>
        <w:bottom w:val="none" w:sz="0" w:space="0" w:color="auto"/>
        <w:right w:val="none" w:sz="0" w:space="0" w:color="auto"/>
      </w:divBdr>
    </w:div>
    <w:div w:id="243730373">
      <w:bodyDiv w:val="1"/>
      <w:marLeft w:val="0"/>
      <w:marRight w:val="0"/>
      <w:marTop w:val="0"/>
      <w:marBottom w:val="0"/>
      <w:divBdr>
        <w:top w:val="none" w:sz="0" w:space="0" w:color="auto"/>
        <w:left w:val="none" w:sz="0" w:space="0" w:color="auto"/>
        <w:bottom w:val="none" w:sz="0" w:space="0" w:color="auto"/>
        <w:right w:val="none" w:sz="0" w:space="0" w:color="auto"/>
      </w:divBdr>
    </w:div>
    <w:div w:id="311326094">
      <w:bodyDiv w:val="1"/>
      <w:marLeft w:val="0"/>
      <w:marRight w:val="0"/>
      <w:marTop w:val="0"/>
      <w:marBottom w:val="0"/>
      <w:divBdr>
        <w:top w:val="none" w:sz="0" w:space="0" w:color="auto"/>
        <w:left w:val="none" w:sz="0" w:space="0" w:color="auto"/>
        <w:bottom w:val="none" w:sz="0" w:space="0" w:color="auto"/>
        <w:right w:val="none" w:sz="0" w:space="0" w:color="auto"/>
      </w:divBdr>
    </w:div>
    <w:div w:id="340740729">
      <w:bodyDiv w:val="1"/>
      <w:marLeft w:val="0"/>
      <w:marRight w:val="0"/>
      <w:marTop w:val="0"/>
      <w:marBottom w:val="0"/>
      <w:divBdr>
        <w:top w:val="none" w:sz="0" w:space="0" w:color="auto"/>
        <w:left w:val="none" w:sz="0" w:space="0" w:color="auto"/>
        <w:bottom w:val="none" w:sz="0" w:space="0" w:color="auto"/>
        <w:right w:val="none" w:sz="0" w:space="0" w:color="auto"/>
      </w:divBdr>
    </w:div>
    <w:div w:id="342364986">
      <w:bodyDiv w:val="1"/>
      <w:marLeft w:val="0"/>
      <w:marRight w:val="0"/>
      <w:marTop w:val="0"/>
      <w:marBottom w:val="0"/>
      <w:divBdr>
        <w:top w:val="none" w:sz="0" w:space="0" w:color="auto"/>
        <w:left w:val="none" w:sz="0" w:space="0" w:color="auto"/>
        <w:bottom w:val="none" w:sz="0" w:space="0" w:color="auto"/>
        <w:right w:val="none" w:sz="0" w:space="0" w:color="auto"/>
      </w:divBdr>
    </w:div>
    <w:div w:id="405300070">
      <w:bodyDiv w:val="1"/>
      <w:marLeft w:val="0"/>
      <w:marRight w:val="0"/>
      <w:marTop w:val="0"/>
      <w:marBottom w:val="0"/>
      <w:divBdr>
        <w:top w:val="none" w:sz="0" w:space="0" w:color="auto"/>
        <w:left w:val="none" w:sz="0" w:space="0" w:color="auto"/>
        <w:bottom w:val="none" w:sz="0" w:space="0" w:color="auto"/>
        <w:right w:val="none" w:sz="0" w:space="0" w:color="auto"/>
      </w:divBdr>
    </w:div>
    <w:div w:id="428432662">
      <w:bodyDiv w:val="1"/>
      <w:marLeft w:val="0"/>
      <w:marRight w:val="0"/>
      <w:marTop w:val="0"/>
      <w:marBottom w:val="0"/>
      <w:divBdr>
        <w:top w:val="none" w:sz="0" w:space="0" w:color="auto"/>
        <w:left w:val="none" w:sz="0" w:space="0" w:color="auto"/>
        <w:bottom w:val="none" w:sz="0" w:space="0" w:color="auto"/>
        <w:right w:val="none" w:sz="0" w:space="0" w:color="auto"/>
      </w:divBdr>
    </w:div>
    <w:div w:id="437726074">
      <w:bodyDiv w:val="1"/>
      <w:marLeft w:val="0"/>
      <w:marRight w:val="0"/>
      <w:marTop w:val="0"/>
      <w:marBottom w:val="0"/>
      <w:divBdr>
        <w:top w:val="none" w:sz="0" w:space="0" w:color="auto"/>
        <w:left w:val="none" w:sz="0" w:space="0" w:color="auto"/>
        <w:bottom w:val="none" w:sz="0" w:space="0" w:color="auto"/>
        <w:right w:val="none" w:sz="0" w:space="0" w:color="auto"/>
      </w:divBdr>
    </w:div>
    <w:div w:id="456221852">
      <w:bodyDiv w:val="1"/>
      <w:marLeft w:val="0"/>
      <w:marRight w:val="0"/>
      <w:marTop w:val="0"/>
      <w:marBottom w:val="0"/>
      <w:divBdr>
        <w:top w:val="none" w:sz="0" w:space="0" w:color="auto"/>
        <w:left w:val="none" w:sz="0" w:space="0" w:color="auto"/>
        <w:bottom w:val="none" w:sz="0" w:space="0" w:color="auto"/>
        <w:right w:val="none" w:sz="0" w:space="0" w:color="auto"/>
      </w:divBdr>
    </w:div>
    <w:div w:id="476261340">
      <w:bodyDiv w:val="1"/>
      <w:marLeft w:val="0"/>
      <w:marRight w:val="0"/>
      <w:marTop w:val="0"/>
      <w:marBottom w:val="0"/>
      <w:divBdr>
        <w:top w:val="none" w:sz="0" w:space="0" w:color="auto"/>
        <w:left w:val="none" w:sz="0" w:space="0" w:color="auto"/>
        <w:bottom w:val="none" w:sz="0" w:space="0" w:color="auto"/>
        <w:right w:val="none" w:sz="0" w:space="0" w:color="auto"/>
      </w:divBdr>
    </w:div>
    <w:div w:id="481311191">
      <w:bodyDiv w:val="1"/>
      <w:marLeft w:val="0"/>
      <w:marRight w:val="0"/>
      <w:marTop w:val="0"/>
      <w:marBottom w:val="0"/>
      <w:divBdr>
        <w:top w:val="none" w:sz="0" w:space="0" w:color="auto"/>
        <w:left w:val="none" w:sz="0" w:space="0" w:color="auto"/>
        <w:bottom w:val="none" w:sz="0" w:space="0" w:color="auto"/>
        <w:right w:val="none" w:sz="0" w:space="0" w:color="auto"/>
      </w:divBdr>
    </w:div>
    <w:div w:id="531922590">
      <w:bodyDiv w:val="1"/>
      <w:marLeft w:val="0"/>
      <w:marRight w:val="0"/>
      <w:marTop w:val="0"/>
      <w:marBottom w:val="0"/>
      <w:divBdr>
        <w:top w:val="none" w:sz="0" w:space="0" w:color="auto"/>
        <w:left w:val="none" w:sz="0" w:space="0" w:color="auto"/>
        <w:bottom w:val="none" w:sz="0" w:space="0" w:color="auto"/>
        <w:right w:val="none" w:sz="0" w:space="0" w:color="auto"/>
      </w:divBdr>
    </w:div>
    <w:div w:id="572741217">
      <w:bodyDiv w:val="1"/>
      <w:marLeft w:val="0"/>
      <w:marRight w:val="0"/>
      <w:marTop w:val="0"/>
      <w:marBottom w:val="0"/>
      <w:divBdr>
        <w:top w:val="none" w:sz="0" w:space="0" w:color="auto"/>
        <w:left w:val="none" w:sz="0" w:space="0" w:color="auto"/>
        <w:bottom w:val="none" w:sz="0" w:space="0" w:color="auto"/>
        <w:right w:val="none" w:sz="0" w:space="0" w:color="auto"/>
      </w:divBdr>
    </w:div>
    <w:div w:id="585653747">
      <w:bodyDiv w:val="1"/>
      <w:marLeft w:val="0"/>
      <w:marRight w:val="0"/>
      <w:marTop w:val="0"/>
      <w:marBottom w:val="0"/>
      <w:divBdr>
        <w:top w:val="none" w:sz="0" w:space="0" w:color="auto"/>
        <w:left w:val="none" w:sz="0" w:space="0" w:color="auto"/>
        <w:bottom w:val="none" w:sz="0" w:space="0" w:color="auto"/>
        <w:right w:val="none" w:sz="0" w:space="0" w:color="auto"/>
      </w:divBdr>
    </w:div>
    <w:div w:id="587271463">
      <w:bodyDiv w:val="1"/>
      <w:marLeft w:val="0"/>
      <w:marRight w:val="0"/>
      <w:marTop w:val="0"/>
      <w:marBottom w:val="0"/>
      <w:divBdr>
        <w:top w:val="none" w:sz="0" w:space="0" w:color="auto"/>
        <w:left w:val="none" w:sz="0" w:space="0" w:color="auto"/>
        <w:bottom w:val="none" w:sz="0" w:space="0" w:color="auto"/>
        <w:right w:val="none" w:sz="0" w:space="0" w:color="auto"/>
      </w:divBdr>
    </w:div>
    <w:div w:id="607087097">
      <w:bodyDiv w:val="1"/>
      <w:marLeft w:val="0"/>
      <w:marRight w:val="0"/>
      <w:marTop w:val="0"/>
      <w:marBottom w:val="0"/>
      <w:divBdr>
        <w:top w:val="none" w:sz="0" w:space="0" w:color="auto"/>
        <w:left w:val="none" w:sz="0" w:space="0" w:color="auto"/>
        <w:bottom w:val="none" w:sz="0" w:space="0" w:color="auto"/>
        <w:right w:val="none" w:sz="0" w:space="0" w:color="auto"/>
      </w:divBdr>
    </w:div>
    <w:div w:id="610749544">
      <w:bodyDiv w:val="1"/>
      <w:marLeft w:val="0"/>
      <w:marRight w:val="0"/>
      <w:marTop w:val="0"/>
      <w:marBottom w:val="0"/>
      <w:divBdr>
        <w:top w:val="none" w:sz="0" w:space="0" w:color="auto"/>
        <w:left w:val="none" w:sz="0" w:space="0" w:color="auto"/>
        <w:bottom w:val="none" w:sz="0" w:space="0" w:color="auto"/>
        <w:right w:val="none" w:sz="0" w:space="0" w:color="auto"/>
      </w:divBdr>
    </w:div>
    <w:div w:id="653415756">
      <w:bodyDiv w:val="1"/>
      <w:marLeft w:val="0"/>
      <w:marRight w:val="0"/>
      <w:marTop w:val="0"/>
      <w:marBottom w:val="0"/>
      <w:divBdr>
        <w:top w:val="none" w:sz="0" w:space="0" w:color="auto"/>
        <w:left w:val="none" w:sz="0" w:space="0" w:color="auto"/>
        <w:bottom w:val="none" w:sz="0" w:space="0" w:color="auto"/>
        <w:right w:val="none" w:sz="0" w:space="0" w:color="auto"/>
      </w:divBdr>
    </w:div>
    <w:div w:id="654604399">
      <w:bodyDiv w:val="1"/>
      <w:marLeft w:val="0"/>
      <w:marRight w:val="0"/>
      <w:marTop w:val="0"/>
      <w:marBottom w:val="0"/>
      <w:divBdr>
        <w:top w:val="none" w:sz="0" w:space="0" w:color="auto"/>
        <w:left w:val="none" w:sz="0" w:space="0" w:color="auto"/>
        <w:bottom w:val="none" w:sz="0" w:space="0" w:color="auto"/>
        <w:right w:val="none" w:sz="0" w:space="0" w:color="auto"/>
      </w:divBdr>
    </w:div>
    <w:div w:id="708603663">
      <w:bodyDiv w:val="1"/>
      <w:marLeft w:val="0"/>
      <w:marRight w:val="0"/>
      <w:marTop w:val="0"/>
      <w:marBottom w:val="0"/>
      <w:divBdr>
        <w:top w:val="none" w:sz="0" w:space="0" w:color="auto"/>
        <w:left w:val="none" w:sz="0" w:space="0" w:color="auto"/>
        <w:bottom w:val="none" w:sz="0" w:space="0" w:color="auto"/>
        <w:right w:val="none" w:sz="0" w:space="0" w:color="auto"/>
      </w:divBdr>
    </w:div>
    <w:div w:id="717120696">
      <w:bodyDiv w:val="1"/>
      <w:marLeft w:val="0"/>
      <w:marRight w:val="0"/>
      <w:marTop w:val="0"/>
      <w:marBottom w:val="0"/>
      <w:divBdr>
        <w:top w:val="none" w:sz="0" w:space="0" w:color="auto"/>
        <w:left w:val="none" w:sz="0" w:space="0" w:color="auto"/>
        <w:bottom w:val="none" w:sz="0" w:space="0" w:color="auto"/>
        <w:right w:val="none" w:sz="0" w:space="0" w:color="auto"/>
      </w:divBdr>
    </w:div>
    <w:div w:id="742723472">
      <w:bodyDiv w:val="1"/>
      <w:marLeft w:val="0"/>
      <w:marRight w:val="0"/>
      <w:marTop w:val="0"/>
      <w:marBottom w:val="0"/>
      <w:divBdr>
        <w:top w:val="none" w:sz="0" w:space="0" w:color="auto"/>
        <w:left w:val="none" w:sz="0" w:space="0" w:color="auto"/>
        <w:bottom w:val="none" w:sz="0" w:space="0" w:color="auto"/>
        <w:right w:val="none" w:sz="0" w:space="0" w:color="auto"/>
      </w:divBdr>
    </w:div>
    <w:div w:id="791368605">
      <w:bodyDiv w:val="1"/>
      <w:marLeft w:val="0"/>
      <w:marRight w:val="0"/>
      <w:marTop w:val="0"/>
      <w:marBottom w:val="0"/>
      <w:divBdr>
        <w:top w:val="none" w:sz="0" w:space="0" w:color="auto"/>
        <w:left w:val="none" w:sz="0" w:space="0" w:color="auto"/>
        <w:bottom w:val="none" w:sz="0" w:space="0" w:color="auto"/>
        <w:right w:val="none" w:sz="0" w:space="0" w:color="auto"/>
      </w:divBdr>
    </w:div>
    <w:div w:id="797725104">
      <w:bodyDiv w:val="1"/>
      <w:marLeft w:val="0"/>
      <w:marRight w:val="0"/>
      <w:marTop w:val="0"/>
      <w:marBottom w:val="0"/>
      <w:divBdr>
        <w:top w:val="none" w:sz="0" w:space="0" w:color="auto"/>
        <w:left w:val="none" w:sz="0" w:space="0" w:color="auto"/>
        <w:bottom w:val="none" w:sz="0" w:space="0" w:color="auto"/>
        <w:right w:val="none" w:sz="0" w:space="0" w:color="auto"/>
      </w:divBdr>
    </w:div>
    <w:div w:id="811797181">
      <w:bodyDiv w:val="1"/>
      <w:marLeft w:val="0"/>
      <w:marRight w:val="0"/>
      <w:marTop w:val="0"/>
      <w:marBottom w:val="0"/>
      <w:divBdr>
        <w:top w:val="none" w:sz="0" w:space="0" w:color="auto"/>
        <w:left w:val="none" w:sz="0" w:space="0" w:color="auto"/>
        <w:bottom w:val="none" w:sz="0" w:space="0" w:color="auto"/>
        <w:right w:val="none" w:sz="0" w:space="0" w:color="auto"/>
      </w:divBdr>
    </w:div>
    <w:div w:id="814417360">
      <w:bodyDiv w:val="1"/>
      <w:marLeft w:val="0"/>
      <w:marRight w:val="0"/>
      <w:marTop w:val="0"/>
      <w:marBottom w:val="0"/>
      <w:divBdr>
        <w:top w:val="none" w:sz="0" w:space="0" w:color="auto"/>
        <w:left w:val="none" w:sz="0" w:space="0" w:color="auto"/>
        <w:bottom w:val="none" w:sz="0" w:space="0" w:color="auto"/>
        <w:right w:val="none" w:sz="0" w:space="0" w:color="auto"/>
      </w:divBdr>
    </w:div>
    <w:div w:id="859123244">
      <w:bodyDiv w:val="1"/>
      <w:marLeft w:val="0"/>
      <w:marRight w:val="0"/>
      <w:marTop w:val="0"/>
      <w:marBottom w:val="0"/>
      <w:divBdr>
        <w:top w:val="none" w:sz="0" w:space="0" w:color="auto"/>
        <w:left w:val="none" w:sz="0" w:space="0" w:color="auto"/>
        <w:bottom w:val="none" w:sz="0" w:space="0" w:color="auto"/>
        <w:right w:val="none" w:sz="0" w:space="0" w:color="auto"/>
      </w:divBdr>
    </w:div>
    <w:div w:id="862406312">
      <w:bodyDiv w:val="1"/>
      <w:marLeft w:val="0"/>
      <w:marRight w:val="0"/>
      <w:marTop w:val="0"/>
      <w:marBottom w:val="0"/>
      <w:divBdr>
        <w:top w:val="none" w:sz="0" w:space="0" w:color="auto"/>
        <w:left w:val="none" w:sz="0" w:space="0" w:color="auto"/>
        <w:bottom w:val="none" w:sz="0" w:space="0" w:color="auto"/>
        <w:right w:val="none" w:sz="0" w:space="0" w:color="auto"/>
      </w:divBdr>
    </w:div>
    <w:div w:id="864757237">
      <w:bodyDiv w:val="1"/>
      <w:marLeft w:val="0"/>
      <w:marRight w:val="0"/>
      <w:marTop w:val="0"/>
      <w:marBottom w:val="0"/>
      <w:divBdr>
        <w:top w:val="none" w:sz="0" w:space="0" w:color="auto"/>
        <w:left w:val="none" w:sz="0" w:space="0" w:color="auto"/>
        <w:bottom w:val="none" w:sz="0" w:space="0" w:color="auto"/>
        <w:right w:val="none" w:sz="0" w:space="0" w:color="auto"/>
      </w:divBdr>
    </w:div>
    <w:div w:id="870537530">
      <w:bodyDiv w:val="1"/>
      <w:marLeft w:val="0"/>
      <w:marRight w:val="0"/>
      <w:marTop w:val="0"/>
      <w:marBottom w:val="0"/>
      <w:divBdr>
        <w:top w:val="none" w:sz="0" w:space="0" w:color="auto"/>
        <w:left w:val="none" w:sz="0" w:space="0" w:color="auto"/>
        <w:bottom w:val="none" w:sz="0" w:space="0" w:color="auto"/>
        <w:right w:val="none" w:sz="0" w:space="0" w:color="auto"/>
      </w:divBdr>
    </w:div>
    <w:div w:id="876358207">
      <w:bodyDiv w:val="1"/>
      <w:marLeft w:val="0"/>
      <w:marRight w:val="0"/>
      <w:marTop w:val="0"/>
      <w:marBottom w:val="0"/>
      <w:divBdr>
        <w:top w:val="none" w:sz="0" w:space="0" w:color="auto"/>
        <w:left w:val="none" w:sz="0" w:space="0" w:color="auto"/>
        <w:bottom w:val="none" w:sz="0" w:space="0" w:color="auto"/>
        <w:right w:val="none" w:sz="0" w:space="0" w:color="auto"/>
      </w:divBdr>
    </w:div>
    <w:div w:id="891356003">
      <w:bodyDiv w:val="1"/>
      <w:marLeft w:val="0"/>
      <w:marRight w:val="0"/>
      <w:marTop w:val="0"/>
      <w:marBottom w:val="0"/>
      <w:divBdr>
        <w:top w:val="none" w:sz="0" w:space="0" w:color="auto"/>
        <w:left w:val="none" w:sz="0" w:space="0" w:color="auto"/>
        <w:bottom w:val="none" w:sz="0" w:space="0" w:color="auto"/>
        <w:right w:val="none" w:sz="0" w:space="0" w:color="auto"/>
      </w:divBdr>
    </w:div>
    <w:div w:id="894632213">
      <w:bodyDiv w:val="1"/>
      <w:marLeft w:val="0"/>
      <w:marRight w:val="0"/>
      <w:marTop w:val="0"/>
      <w:marBottom w:val="0"/>
      <w:divBdr>
        <w:top w:val="none" w:sz="0" w:space="0" w:color="auto"/>
        <w:left w:val="none" w:sz="0" w:space="0" w:color="auto"/>
        <w:bottom w:val="none" w:sz="0" w:space="0" w:color="auto"/>
        <w:right w:val="none" w:sz="0" w:space="0" w:color="auto"/>
      </w:divBdr>
    </w:div>
    <w:div w:id="912274638">
      <w:bodyDiv w:val="1"/>
      <w:marLeft w:val="0"/>
      <w:marRight w:val="0"/>
      <w:marTop w:val="0"/>
      <w:marBottom w:val="0"/>
      <w:divBdr>
        <w:top w:val="none" w:sz="0" w:space="0" w:color="auto"/>
        <w:left w:val="none" w:sz="0" w:space="0" w:color="auto"/>
        <w:bottom w:val="none" w:sz="0" w:space="0" w:color="auto"/>
        <w:right w:val="none" w:sz="0" w:space="0" w:color="auto"/>
      </w:divBdr>
    </w:div>
    <w:div w:id="940531401">
      <w:bodyDiv w:val="1"/>
      <w:marLeft w:val="0"/>
      <w:marRight w:val="0"/>
      <w:marTop w:val="0"/>
      <w:marBottom w:val="0"/>
      <w:divBdr>
        <w:top w:val="none" w:sz="0" w:space="0" w:color="auto"/>
        <w:left w:val="none" w:sz="0" w:space="0" w:color="auto"/>
        <w:bottom w:val="none" w:sz="0" w:space="0" w:color="auto"/>
        <w:right w:val="none" w:sz="0" w:space="0" w:color="auto"/>
      </w:divBdr>
    </w:div>
    <w:div w:id="954101224">
      <w:bodyDiv w:val="1"/>
      <w:marLeft w:val="0"/>
      <w:marRight w:val="0"/>
      <w:marTop w:val="0"/>
      <w:marBottom w:val="0"/>
      <w:divBdr>
        <w:top w:val="none" w:sz="0" w:space="0" w:color="auto"/>
        <w:left w:val="none" w:sz="0" w:space="0" w:color="auto"/>
        <w:bottom w:val="none" w:sz="0" w:space="0" w:color="auto"/>
        <w:right w:val="none" w:sz="0" w:space="0" w:color="auto"/>
      </w:divBdr>
    </w:div>
    <w:div w:id="959335712">
      <w:bodyDiv w:val="1"/>
      <w:marLeft w:val="0"/>
      <w:marRight w:val="0"/>
      <w:marTop w:val="0"/>
      <w:marBottom w:val="0"/>
      <w:divBdr>
        <w:top w:val="none" w:sz="0" w:space="0" w:color="auto"/>
        <w:left w:val="none" w:sz="0" w:space="0" w:color="auto"/>
        <w:bottom w:val="none" w:sz="0" w:space="0" w:color="auto"/>
        <w:right w:val="none" w:sz="0" w:space="0" w:color="auto"/>
      </w:divBdr>
    </w:div>
    <w:div w:id="962880369">
      <w:bodyDiv w:val="1"/>
      <w:marLeft w:val="0"/>
      <w:marRight w:val="0"/>
      <w:marTop w:val="0"/>
      <w:marBottom w:val="0"/>
      <w:divBdr>
        <w:top w:val="none" w:sz="0" w:space="0" w:color="auto"/>
        <w:left w:val="none" w:sz="0" w:space="0" w:color="auto"/>
        <w:bottom w:val="none" w:sz="0" w:space="0" w:color="auto"/>
        <w:right w:val="none" w:sz="0" w:space="0" w:color="auto"/>
      </w:divBdr>
    </w:div>
    <w:div w:id="973213813">
      <w:bodyDiv w:val="1"/>
      <w:marLeft w:val="0"/>
      <w:marRight w:val="0"/>
      <w:marTop w:val="0"/>
      <w:marBottom w:val="0"/>
      <w:divBdr>
        <w:top w:val="none" w:sz="0" w:space="0" w:color="auto"/>
        <w:left w:val="none" w:sz="0" w:space="0" w:color="auto"/>
        <w:bottom w:val="none" w:sz="0" w:space="0" w:color="auto"/>
        <w:right w:val="none" w:sz="0" w:space="0" w:color="auto"/>
      </w:divBdr>
    </w:div>
    <w:div w:id="1001346733">
      <w:bodyDiv w:val="1"/>
      <w:marLeft w:val="0"/>
      <w:marRight w:val="0"/>
      <w:marTop w:val="0"/>
      <w:marBottom w:val="0"/>
      <w:divBdr>
        <w:top w:val="none" w:sz="0" w:space="0" w:color="auto"/>
        <w:left w:val="none" w:sz="0" w:space="0" w:color="auto"/>
        <w:bottom w:val="none" w:sz="0" w:space="0" w:color="auto"/>
        <w:right w:val="none" w:sz="0" w:space="0" w:color="auto"/>
      </w:divBdr>
    </w:div>
    <w:div w:id="1013846859">
      <w:bodyDiv w:val="1"/>
      <w:marLeft w:val="0"/>
      <w:marRight w:val="0"/>
      <w:marTop w:val="0"/>
      <w:marBottom w:val="0"/>
      <w:divBdr>
        <w:top w:val="none" w:sz="0" w:space="0" w:color="auto"/>
        <w:left w:val="none" w:sz="0" w:space="0" w:color="auto"/>
        <w:bottom w:val="none" w:sz="0" w:space="0" w:color="auto"/>
        <w:right w:val="none" w:sz="0" w:space="0" w:color="auto"/>
      </w:divBdr>
    </w:div>
    <w:div w:id="1035470685">
      <w:bodyDiv w:val="1"/>
      <w:marLeft w:val="0"/>
      <w:marRight w:val="0"/>
      <w:marTop w:val="0"/>
      <w:marBottom w:val="0"/>
      <w:divBdr>
        <w:top w:val="none" w:sz="0" w:space="0" w:color="auto"/>
        <w:left w:val="none" w:sz="0" w:space="0" w:color="auto"/>
        <w:bottom w:val="none" w:sz="0" w:space="0" w:color="auto"/>
        <w:right w:val="none" w:sz="0" w:space="0" w:color="auto"/>
      </w:divBdr>
    </w:div>
    <w:div w:id="1054893698">
      <w:bodyDiv w:val="1"/>
      <w:marLeft w:val="0"/>
      <w:marRight w:val="0"/>
      <w:marTop w:val="0"/>
      <w:marBottom w:val="0"/>
      <w:divBdr>
        <w:top w:val="none" w:sz="0" w:space="0" w:color="auto"/>
        <w:left w:val="none" w:sz="0" w:space="0" w:color="auto"/>
        <w:bottom w:val="none" w:sz="0" w:space="0" w:color="auto"/>
        <w:right w:val="none" w:sz="0" w:space="0" w:color="auto"/>
      </w:divBdr>
    </w:div>
    <w:div w:id="1075205029">
      <w:bodyDiv w:val="1"/>
      <w:marLeft w:val="0"/>
      <w:marRight w:val="0"/>
      <w:marTop w:val="0"/>
      <w:marBottom w:val="0"/>
      <w:divBdr>
        <w:top w:val="none" w:sz="0" w:space="0" w:color="auto"/>
        <w:left w:val="none" w:sz="0" w:space="0" w:color="auto"/>
        <w:bottom w:val="none" w:sz="0" w:space="0" w:color="auto"/>
        <w:right w:val="none" w:sz="0" w:space="0" w:color="auto"/>
      </w:divBdr>
    </w:div>
    <w:div w:id="1076630666">
      <w:bodyDiv w:val="1"/>
      <w:marLeft w:val="0"/>
      <w:marRight w:val="0"/>
      <w:marTop w:val="0"/>
      <w:marBottom w:val="0"/>
      <w:divBdr>
        <w:top w:val="none" w:sz="0" w:space="0" w:color="auto"/>
        <w:left w:val="none" w:sz="0" w:space="0" w:color="auto"/>
        <w:bottom w:val="none" w:sz="0" w:space="0" w:color="auto"/>
        <w:right w:val="none" w:sz="0" w:space="0" w:color="auto"/>
      </w:divBdr>
    </w:div>
    <w:div w:id="1091007294">
      <w:bodyDiv w:val="1"/>
      <w:marLeft w:val="0"/>
      <w:marRight w:val="0"/>
      <w:marTop w:val="0"/>
      <w:marBottom w:val="0"/>
      <w:divBdr>
        <w:top w:val="none" w:sz="0" w:space="0" w:color="auto"/>
        <w:left w:val="none" w:sz="0" w:space="0" w:color="auto"/>
        <w:bottom w:val="none" w:sz="0" w:space="0" w:color="auto"/>
        <w:right w:val="none" w:sz="0" w:space="0" w:color="auto"/>
      </w:divBdr>
    </w:div>
    <w:div w:id="1108037722">
      <w:bodyDiv w:val="1"/>
      <w:marLeft w:val="0"/>
      <w:marRight w:val="0"/>
      <w:marTop w:val="0"/>
      <w:marBottom w:val="0"/>
      <w:divBdr>
        <w:top w:val="none" w:sz="0" w:space="0" w:color="auto"/>
        <w:left w:val="none" w:sz="0" w:space="0" w:color="auto"/>
        <w:bottom w:val="none" w:sz="0" w:space="0" w:color="auto"/>
        <w:right w:val="none" w:sz="0" w:space="0" w:color="auto"/>
      </w:divBdr>
    </w:div>
    <w:div w:id="1155606181">
      <w:bodyDiv w:val="1"/>
      <w:marLeft w:val="0"/>
      <w:marRight w:val="0"/>
      <w:marTop w:val="0"/>
      <w:marBottom w:val="0"/>
      <w:divBdr>
        <w:top w:val="none" w:sz="0" w:space="0" w:color="auto"/>
        <w:left w:val="none" w:sz="0" w:space="0" w:color="auto"/>
        <w:bottom w:val="none" w:sz="0" w:space="0" w:color="auto"/>
        <w:right w:val="none" w:sz="0" w:space="0" w:color="auto"/>
      </w:divBdr>
    </w:div>
    <w:div w:id="1164852502">
      <w:bodyDiv w:val="1"/>
      <w:marLeft w:val="0"/>
      <w:marRight w:val="0"/>
      <w:marTop w:val="0"/>
      <w:marBottom w:val="0"/>
      <w:divBdr>
        <w:top w:val="none" w:sz="0" w:space="0" w:color="auto"/>
        <w:left w:val="none" w:sz="0" w:space="0" w:color="auto"/>
        <w:bottom w:val="none" w:sz="0" w:space="0" w:color="auto"/>
        <w:right w:val="none" w:sz="0" w:space="0" w:color="auto"/>
      </w:divBdr>
    </w:div>
    <w:div w:id="1173105800">
      <w:bodyDiv w:val="1"/>
      <w:marLeft w:val="0"/>
      <w:marRight w:val="0"/>
      <w:marTop w:val="0"/>
      <w:marBottom w:val="0"/>
      <w:divBdr>
        <w:top w:val="none" w:sz="0" w:space="0" w:color="auto"/>
        <w:left w:val="none" w:sz="0" w:space="0" w:color="auto"/>
        <w:bottom w:val="none" w:sz="0" w:space="0" w:color="auto"/>
        <w:right w:val="none" w:sz="0" w:space="0" w:color="auto"/>
      </w:divBdr>
    </w:div>
    <w:div w:id="1256793029">
      <w:bodyDiv w:val="1"/>
      <w:marLeft w:val="0"/>
      <w:marRight w:val="0"/>
      <w:marTop w:val="0"/>
      <w:marBottom w:val="0"/>
      <w:divBdr>
        <w:top w:val="none" w:sz="0" w:space="0" w:color="auto"/>
        <w:left w:val="none" w:sz="0" w:space="0" w:color="auto"/>
        <w:bottom w:val="none" w:sz="0" w:space="0" w:color="auto"/>
        <w:right w:val="none" w:sz="0" w:space="0" w:color="auto"/>
      </w:divBdr>
    </w:div>
    <w:div w:id="1260674553">
      <w:bodyDiv w:val="1"/>
      <w:marLeft w:val="0"/>
      <w:marRight w:val="0"/>
      <w:marTop w:val="0"/>
      <w:marBottom w:val="0"/>
      <w:divBdr>
        <w:top w:val="none" w:sz="0" w:space="0" w:color="auto"/>
        <w:left w:val="none" w:sz="0" w:space="0" w:color="auto"/>
        <w:bottom w:val="none" w:sz="0" w:space="0" w:color="auto"/>
        <w:right w:val="none" w:sz="0" w:space="0" w:color="auto"/>
      </w:divBdr>
    </w:div>
    <w:div w:id="1263144821">
      <w:bodyDiv w:val="1"/>
      <w:marLeft w:val="0"/>
      <w:marRight w:val="0"/>
      <w:marTop w:val="0"/>
      <w:marBottom w:val="0"/>
      <w:divBdr>
        <w:top w:val="none" w:sz="0" w:space="0" w:color="auto"/>
        <w:left w:val="none" w:sz="0" w:space="0" w:color="auto"/>
        <w:bottom w:val="none" w:sz="0" w:space="0" w:color="auto"/>
        <w:right w:val="none" w:sz="0" w:space="0" w:color="auto"/>
      </w:divBdr>
    </w:div>
    <w:div w:id="1265114943">
      <w:bodyDiv w:val="1"/>
      <w:marLeft w:val="0"/>
      <w:marRight w:val="0"/>
      <w:marTop w:val="0"/>
      <w:marBottom w:val="0"/>
      <w:divBdr>
        <w:top w:val="none" w:sz="0" w:space="0" w:color="auto"/>
        <w:left w:val="none" w:sz="0" w:space="0" w:color="auto"/>
        <w:bottom w:val="none" w:sz="0" w:space="0" w:color="auto"/>
        <w:right w:val="none" w:sz="0" w:space="0" w:color="auto"/>
      </w:divBdr>
    </w:div>
    <w:div w:id="1269194670">
      <w:bodyDiv w:val="1"/>
      <w:marLeft w:val="0"/>
      <w:marRight w:val="0"/>
      <w:marTop w:val="0"/>
      <w:marBottom w:val="0"/>
      <w:divBdr>
        <w:top w:val="none" w:sz="0" w:space="0" w:color="auto"/>
        <w:left w:val="none" w:sz="0" w:space="0" w:color="auto"/>
        <w:bottom w:val="none" w:sz="0" w:space="0" w:color="auto"/>
        <w:right w:val="none" w:sz="0" w:space="0" w:color="auto"/>
      </w:divBdr>
    </w:div>
    <w:div w:id="1286619694">
      <w:bodyDiv w:val="1"/>
      <w:marLeft w:val="0"/>
      <w:marRight w:val="0"/>
      <w:marTop w:val="0"/>
      <w:marBottom w:val="0"/>
      <w:divBdr>
        <w:top w:val="none" w:sz="0" w:space="0" w:color="auto"/>
        <w:left w:val="none" w:sz="0" w:space="0" w:color="auto"/>
        <w:bottom w:val="none" w:sz="0" w:space="0" w:color="auto"/>
        <w:right w:val="none" w:sz="0" w:space="0" w:color="auto"/>
      </w:divBdr>
    </w:div>
    <w:div w:id="1324897270">
      <w:bodyDiv w:val="1"/>
      <w:marLeft w:val="0"/>
      <w:marRight w:val="0"/>
      <w:marTop w:val="0"/>
      <w:marBottom w:val="0"/>
      <w:divBdr>
        <w:top w:val="none" w:sz="0" w:space="0" w:color="auto"/>
        <w:left w:val="none" w:sz="0" w:space="0" w:color="auto"/>
        <w:bottom w:val="none" w:sz="0" w:space="0" w:color="auto"/>
        <w:right w:val="none" w:sz="0" w:space="0" w:color="auto"/>
      </w:divBdr>
    </w:div>
    <w:div w:id="1349940232">
      <w:bodyDiv w:val="1"/>
      <w:marLeft w:val="0"/>
      <w:marRight w:val="0"/>
      <w:marTop w:val="0"/>
      <w:marBottom w:val="0"/>
      <w:divBdr>
        <w:top w:val="none" w:sz="0" w:space="0" w:color="auto"/>
        <w:left w:val="none" w:sz="0" w:space="0" w:color="auto"/>
        <w:bottom w:val="none" w:sz="0" w:space="0" w:color="auto"/>
        <w:right w:val="none" w:sz="0" w:space="0" w:color="auto"/>
      </w:divBdr>
    </w:div>
    <w:div w:id="1361471894">
      <w:bodyDiv w:val="1"/>
      <w:marLeft w:val="0"/>
      <w:marRight w:val="0"/>
      <w:marTop w:val="0"/>
      <w:marBottom w:val="0"/>
      <w:divBdr>
        <w:top w:val="none" w:sz="0" w:space="0" w:color="auto"/>
        <w:left w:val="none" w:sz="0" w:space="0" w:color="auto"/>
        <w:bottom w:val="none" w:sz="0" w:space="0" w:color="auto"/>
        <w:right w:val="none" w:sz="0" w:space="0" w:color="auto"/>
      </w:divBdr>
      <w:divsChild>
        <w:div w:id="1313363833">
          <w:marLeft w:val="0"/>
          <w:marRight w:val="0"/>
          <w:marTop w:val="0"/>
          <w:marBottom w:val="0"/>
          <w:divBdr>
            <w:top w:val="none" w:sz="0" w:space="0" w:color="auto"/>
            <w:left w:val="none" w:sz="0" w:space="0" w:color="auto"/>
            <w:bottom w:val="none" w:sz="0" w:space="0" w:color="auto"/>
            <w:right w:val="none" w:sz="0" w:space="0" w:color="auto"/>
          </w:divBdr>
          <w:divsChild>
            <w:div w:id="2051489975">
              <w:marLeft w:val="0"/>
              <w:marRight w:val="0"/>
              <w:marTop w:val="0"/>
              <w:marBottom w:val="0"/>
              <w:divBdr>
                <w:top w:val="none" w:sz="0" w:space="0" w:color="auto"/>
                <w:left w:val="none" w:sz="0" w:space="0" w:color="auto"/>
                <w:bottom w:val="none" w:sz="0" w:space="0" w:color="auto"/>
                <w:right w:val="none" w:sz="0" w:space="0" w:color="auto"/>
              </w:divBdr>
              <w:divsChild>
                <w:div w:id="10691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29996">
      <w:bodyDiv w:val="1"/>
      <w:marLeft w:val="0"/>
      <w:marRight w:val="0"/>
      <w:marTop w:val="0"/>
      <w:marBottom w:val="0"/>
      <w:divBdr>
        <w:top w:val="none" w:sz="0" w:space="0" w:color="auto"/>
        <w:left w:val="none" w:sz="0" w:space="0" w:color="auto"/>
        <w:bottom w:val="none" w:sz="0" w:space="0" w:color="auto"/>
        <w:right w:val="none" w:sz="0" w:space="0" w:color="auto"/>
      </w:divBdr>
    </w:div>
    <w:div w:id="1370379787">
      <w:bodyDiv w:val="1"/>
      <w:marLeft w:val="0"/>
      <w:marRight w:val="0"/>
      <w:marTop w:val="0"/>
      <w:marBottom w:val="0"/>
      <w:divBdr>
        <w:top w:val="none" w:sz="0" w:space="0" w:color="auto"/>
        <w:left w:val="none" w:sz="0" w:space="0" w:color="auto"/>
        <w:bottom w:val="none" w:sz="0" w:space="0" w:color="auto"/>
        <w:right w:val="none" w:sz="0" w:space="0" w:color="auto"/>
      </w:divBdr>
    </w:div>
    <w:div w:id="1371372565">
      <w:bodyDiv w:val="1"/>
      <w:marLeft w:val="0"/>
      <w:marRight w:val="0"/>
      <w:marTop w:val="0"/>
      <w:marBottom w:val="0"/>
      <w:divBdr>
        <w:top w:val="none" w:sz="0" w:space="0" w:color="auto"/>
        <w:left w:val="none" w:sz="0" w:space="0" w:color="auto"/>
        <w:bottom w:val="none" w:sz="0" w:space="0" w:color="auto"/>
        <w:right w:val="none" w:sz="0" w:space="0" w:color="auto"/>
      </w:divBdr>
    </w:div>
    <w:div w:id="1376810671">
      <w:bodyDiv w:val="1"/>
      <w:marLeft w:val="0"/>
      <w:marRight w:val="0"/>
      <w:marTop w:val="0"/>
      <w:marBottom w:val="0"/>
      <w:divBdr>
        <w:top w:val="none" w:sz="0" w:space="0" w:color="auto"/>
        <w:left w:val="none" w:sz="0" w:space="0" w:color="auto"/>
        <w:bottom w:val="none" w:sz="0" w:space="0" w:color="auto"/>
        <w:right w:val="none" w:sz="0" w:space="0" w:color="auto"/>
      </w:divBdr>
    </w:div>
    <w:div w:id="1399984496">
      <w:bodyDiv w:val="1"/>
      <w:marLeft w:val="0"/>
      <w:marRight w:val="0"/>
      <w:marTop w:val="0"/>
      <w:marBottom w:val="0"/>
      <w:divBdr>
        <w:top w:val="none" w:sz="0" w:space="0" w:color="auto"/>
        <w:left w:val="none" w:sz="0" w:space="0" w:color="auto"/>
        <w:bottom w:val="none" w:sz="0" w:space="0" w:color="auto"/>
        <w:right w:val="none" w:sz="0" w:space="0" w:color="auto"/>
      </w:divBdr>
    </w:div>
    <w:div w:id="1444495834">
      <w:bodyDiv w:val="1"/>
      <w:marLeft w:val="0"/>
      <w:marRight w:val="0"/>
      <w:marTop w:val="0"/>
      <w:marBottom w:val="0"/>
      <w:divBdr>
        <w:top w:val="none" w:sz="0" w:space="0" w:color="auto"/>
        <w:left w:val="none" w:sz="0" w:space="0" w:color="auto"/>
        <w:bottom w:val="none" w:sz="0" w:space="0" w:color="auto"/>
        <w:right w:val="none" w:sz="0" w:space="0" w:color="auto"/>
      </w:divBdr>
    </w:div>
    <w:div w:id="1481580928">
      <w:bodyDiv w:val="1"/>
      <w:marLeft w:val="0"/>
      <w:marRight w:val="0"/>
      <w:marTop w:val="0"/>
      <w:marBottom w:val="0"/>
      <w:divBdr>
        <w:top w:val="none" w:sz="0" w:space="0" w:color="auto"/>
        <w:left w:val="none" w:sz="0" w:space="0" w:color="auto"/>
        <w:bottom w:val="none" w:sz="0" w:space="0" w:color="auto"/>
        <w:right w:val="none" w:sz="0" w:space="0" w:color="auto"/>
      </w:divBdr>
    </w:div>
    <w:div w:id="1505778074">
      <w:bodyDiv w:val="1"/>
      <w:marLeft w:val="0"/>
      <w:marRight w:val="0"/>
      <w:marTop w:val="0"/>
      <w:marBottom w:val="0"/>
      <w:divBdr>
        <w:top w:val="none" w:sz="0" w:space="0" w:color="auto"/>
        <w:left w:val="none" w:sz="0" w:space="0" w:color="auto"/>
        <w:bottom w:val="none" w:sz="0" w:space="0" w:color="auto"/>
        <w:right w:val="none" w:sz="0" w:space="0" w:color="auto"/>
      </w:divBdr>
    </w:div>
    <w:div w:id="1509251828">
      <w:bodyDiv w:val="1"/>
      <w:marLeft w:val="0"/>
      <w:marRight w:val="0"/>
      <w:marTop w:val="0"/>
      <w:marBottom w:val="0"/>
      <w:divBdr>
        <w:top w:val="none" w:sz="0" w:space="0" w:color="auto"/>
        <w:left w:val="none" w:sz="0" w:space="0" w:color="auto"/>
        <w:bottom w:val="none" w:sz="0" w:space="0" w:color="auto"/>
        <w:right w:val="none" w:sz="0" w:space="0" w:color="auto"/>
      </w:divBdr>
    </w:div>
    <w:div w:id="1524242140">
      <w:bodyDiv w:val="1"/>
      <w:marLeft w:val="0"/>
      <w:marRight w:val="0"/>
      <w:marTop w:val="0"/>
      <w:marBottom w:val="0"/>
      <w:divBdr>
        <w:top w:val="none" w:sz="0" w:space="0" w:color="auto"/>
        <w:left w:val="none" w:sz="0" w:space="0" w:color="auto"/>
        <w:bottom w:val="none" w:sz="0" w:space="0" w:color="auto"/>
        <w:right w:val="none" w:sz="0" w:space="0" w:color="auto"/>
      </w:divBdr>
    </w:div>
    <w:div w:id="1560245854">
      <w:bodyDiv w:val="1"/>
      <w:marLeft w:val="0"/>
      <w:marRight w:val="0"/>
      <w:marTop w:val="0"/>
      <w:marBottom w:val="0"/>
      <w:divBdr>
        <w:top w:val="none" w:sz="0" w:space="0" w:color="auto"/>
        <w:left w:val="none" w:sz="0" w:space="0" w:color="auto"/>
        <w:bottom w:val="none" w:sz="0" w:space="0" w:color="auto"/>
        <w:right w:val="none" w:sz="0" w:space="0" w:color="auto"/>
      </w:divBdr>
    </w:div>
    <w:div w:id="1625384338">
      <w:bodyDiv w:val="1"/>
      <w:marLeft w:val="0"/>
      <w:marRight w:val="0"/>
      <w:marTop w:val="0"/>
      <w:marBottom w:val="0"/>
      <w:divBdr>
        <w:top w:val="none" w:sz="0" w:space="0" w:color="auto"/>
        <w:left w:val="none" w:sz="0" w:space="0" w:color="auto"/>
        <w:bottom w:val="none" w:sz="0" w:space="0" w:color="auto"/>
        <w:right w:val="none" w:sz="0" w:space="0" w:color="auto"/>
      </w:divBdr>
    </w:div>
    <w:div w:id="1636594551">
      <w:bodyDiv w:val="1"/>
      <w:marLeft w:val="0"/>
      <w:marRight w:val="0"/>
      <w:marTop w:val="0"/>
      <w:marBottom w:val="0"/>
      <w:divBdr>
        <w:top w:val="none" w:sz="0" w:space="0" w:color="auto"/>
        <w:left w:val="none" w:sz="0" w:space="0" w:color="auto"/>
        <w:bottom w:val="none" w:sz="0" w:space="0" w:color="auto"/>
        <w:right w:val="none" w:sz="0" w:space="0" w:color="auto"/>
      </w:divBdr>
    </w:div>
    <w:div w:id="1668898758">
      <w:bodyDiv w:val="1"/>
      <w:marLeft w:val="0"/>
      <w:marRight w:val="0"/>
      <w:marTop w:val="0"/>
      <w:marBottom w:val="0"/>
      <w:divBdr>
        <w:top w:val="none" w:sz="0" w:space="0" w:color="auto"/>
        <w:left w:val="none" w:sz="0" w:space="0" w:color="auto"/>
        <w:bottom w:val="none" w:sz="0" w:space="0" w:color="auto"/>
        <w:right w:val="none" w:sz="0" w:space="0" w:color="auto"/>
      </w:divBdr>
    </w:div>
    <w:div w:id="1696731500">
      <w:bodyDiv w:val="1"/>
      <w:marLeft w:val="0"/>
      <w:marRight w:val="0"/>
      <w:marTop w:val="0"/>
      <w:marBottom w:val="0"/>
      <w:divBdr>
        <w:top w:val="none" w:sz="0" w:space="0" w:color="auto"/>
        <w:left w:val="none" w:sz="0" w:space="0" w:color="auto"/>
        <w:bottom w:val="none" w:sz="0" w:space="0" w:color="auto"/>
        <w:right w:val="none" w:sz="0" w:space="0" w:color="auto"/>
      </w:divBdr>
    </w:div>
    <w:div w:id="1713114138">
      <w:bodyDiv w:val="1"/>
      <w:marLeft w:val="0"/>
      <w:marRight w:val="0"/>
      <w:marTop w:val="0"/>
      <w:marBottom w:val="0"/>
      <w:divBdr>
        <w:top w:val="none" w:sz="0" w:space="0" w:color="auto"/>
        <w:left w:val="none" w:sz="0" w:space="0" w:color="auto"/>
        <w:bottom w:val="none" w:sz="0" w:space="0" w:color="auto"/>
        <w:right w:val="none" w:sz="0" w:space="0" w:color="auto"/>
      </w:divBdr>
    </w:div>
    <w:div w:id="1728917534">
      <w:bodyDiv w:val="1"/>
      <w:marLeft w:val="0"/>
      <w:marRight w:val="0"/>
      <w:marTop w:val="0"/>
      <w:marBottom w:val="0"/>
      <w:divBdr>
        <w:top w:val="none" w:sz="0" w:space="0" w:color="auto"/>
        <w:left w:val="none" w:sz="0" w:space="0" w:color="auto"/>
        <w:bottom w:val="none" w:sz="0" w:space="0" w:color="auto"/>
        <w:right w:val="none" w:sz="0" w:space="0" w:color="auto"/>
      </w:divBdr>
    </w:div>
    <w:div w:id="1795128268">
      <w:bodyDiv w:val="1"/>
      <w:marLeft w:val="0"/>
      <w:marRight w:val="0"/>
      <w:marTop w:val="0"/>
      <w:marBottom w:val="0"/>
      <w:divBdr>
        <w:top w:val="none" w:sz="0" w:space="0" w:color="auto"/>
        <w:left w:val="none" w:sz="0" w:space="0" w:color="auto"/>
        <w:bottom w:val="none" w:sz="0" w:space="0" w:color="auto"/>
        <w:right w:val="none" w:sz="0" w:space="0" w:color="auto"/>
      </w:divBdr>
    </w:div>
    <w:div w:id="1811827864">
      <w:bodyDiv w:val="1"/>
      <w:marLeft w:val="0"/>
      <w:marRight w:val="0"/>
      <w:marTop w:val="0"/>
      <w:marBottom w:val="0"/>
      <w:divBdr>
        <w:top w:val="none" w:sz="0" w:space="0" w:color="auto"/>
        <w:left w:val="none" w:sz="0" w:space="0" w:color="auto"/>
        <w:bottom w:val="none" w:sz="0" w:space="0" w:color="auto"/>
        <w:right w:val="none" w:sz="0" w:space="0" w:color="auto"/>
      </w:divBdr>
    </w:div>
    <w:div w:id="1909922905">
      <w:bodyDiv w:val="1"/>
      <w:marLeft w:val="0"/>
      <w:marRight w:val="0"/>
      <w:marTop w:val="0"/>
      <w:marBottom w:val="0"/>
      <w:divBdr>
        <w:top w:val="none" w:sz="0" w:space="0" w:color="auto"/>
        <w:left w:val="none" w:sz="0" w:space="0" w:color="auto"/>
        <w:bottom w:val="none" w:sz="0" w:space="0" w:color="auto"/>
        <w:right w:val="none" w:sz="0" w:space="0" w:color="auto"/>
      </w:divBdr>
    </w:div>
    <w:div w:id="1927953018">
      <w:bodyDiv w:val="1"/>
      <w:marLeft w:val="0"/>
      <w:marRight w:val="0"/>
      <w:marTop w:val="0"/>
      <w:marBottom w:val="0"/>
      <w:divBdr>
        <w:top w:val="none" w:sz="0" w:space="0" w:color="auto"/>
        <w:left w:val="none" w:sz="0" w:space="0" w:color="auto"/>
        <w:bottom w:val="none" w:sz="0" w:space="0" w:color="auto"/>
        <w:right w:val="none" w:sz="0" w:space="0" w:color="auto"/>
      </w:divBdr>
    </w:div>
    <w:div w:id="1929729398">
      <w:bodyDiv w:val="1"/>
      <w:marLeft w:val="0"/>
      <w:marRight w:val="0"/>
      <w:marTop w:val="0"/>
      <w:marBottom w:val="0"/>
      <w:divBdr>
        <w:top w:val="none" w:sz="0" w:space="0" w:color="auto"/>
        <w:left w:val="none" w:sz="0" w:space="0" w:color="auto"/>
        <w:bottom w:val="none" w:sz="0" w:space="0" w:color="auto"/>
        <w:right w:val="none" w:sz="0" w:space="0" w:color="auto"/>
      </w:divBdr>
    </w:div>
    <w:div w:id="1938832383">
      <w:bodyDiv w:val="1"/>
      <w:marLeft w:val="0"/>
      <w:marRight w:val="0"/>
      <w:marTop w:val="0"/>
      <w:marBottom w:val="0"/>
      <w:divBdr>
        <w:top w:val="none" w:sz="0" w:space="0" w:color="auto"/>
        <w:left w:val="none" w:sz="0" w:space="0" w:color="auto"/>
        <w:bottom w:val="none" w:sz="0" w:space="0" w:color="auto"/>
        <w:right w:val="none" w:sz="0" w:space="0" w:color="auto"/>
      </w:divBdr>
    </w:div>
    <w:div w:id="1950695721">
      <w:bodyDiv w:val="1"/>
      <w:marLeft w:val="0"/>
      <w:marRight w:val="0"/>
      <w:marTop w:val="0"/>
      <w:marBottom w:val="0"/>
      <w:divBdr>
        <w:top w:val="none" w:sz="0" w:space="0" w:color="auto"/>
        <w:left w:val="none" w:sz="0" w:space="0" w:color="auto"/>
        <w:bottom w:val="none" w:sz="0" w:space="0" w:color="auto"/>
        <w:right w:val="none" w:sz="0" w:space="0" w:color="auto"/>
      </w:divBdr>
    </w:div>
    <w:div w:id="1964994091">
      <w:bodyDiv w:val="1"/>
      <w:marLeft w:val="0"/>
      <w:marRight w:val="0"/>
      <w:marTop w:val="0"/>
      <w:marBottom w:val="0"/>
      <w:divBdr>
        <w:top w:val="none" w:sz="0" w:space="0" w:color="auto"/>
        <w:left w:val="none" w:sz="0" w:space="0" w:color="auto"/>
        <w:bottom w:val="none" w:sz="0" w:space="0" w:color="auto"/>
        <w:right w:val="none" w:sz="0" w:space="0" w:color="auto"/>
      </w:divBdr>
    </w:div>
    <w:div w:id="1965848262">
      <w:bodyDiv w:val="1"/>
      <w:marLeft w:val="0"/>
      <w:marRight w:val="0"/>
      <w:marTop w:val="0"/>
      <w:marBottom w:val="0"/>
      <w:divBdr>
        <w:top w:val="none" w:sz="0" w:space="0" w:color="auto"/>
        <w:left w:val="none" w:sz="0" w:space="0" w:color="auto"/>
        <w:bottom w:val="none" w:sz="0" w:space="0" w:color="auto"/>
        <w:right w:val="none" w:sz="0" w:space="0" w:color="auto"/>
      </w:divBdr>
    </w:div>
    <w:div w:id="1982540897">
      <w:bodyDiv w:val="1"/>
      <w:marLeft w:val="0"/>
      <w:marRight w:val="0"/>
      <w:marTop w:val="0"/>
      <w:marBottom w:val="0"/>
      <w:divBdr>
        <w:top w:val="none" w:sz="0" w:space="0" w:color="auto"/>
        <w:left w:val="none" w:sz="0" w:space="0" w:color="auto"/>
        <w:bottom w:val="none" w:sz="0" w:space="0" w:color="auto"/>
        <w:right w:val="none" w:sz="0" w:space="0" w:color="auto"/>
      </w:divBdr>
    </w:div>
    <w:div w:id="1996030635">
      <w:bodyDiv w:val="1"/>
      <w:marLeft w:val="0"/>
      <w:marRight w:val="0"/>
      <w:marTop w:val="0"/>
      <w:marBottom w:val="0"/>
      <w:divBdr>
        <w:top w:val="none" w:sz="0" w:space="0" w:color="auto"/>
        <w:left w:val="none" w:sz="0" w:space="0" w:color="auto"/>
        <w:bottom w:val="none" w:sz="0" w:space="0" w:color="auto"/>
        <w:right w:val="none" w:sz="0" w:space="0" w:color="auto"/>
      </w:divBdr>
    </w:div>
    <w:div w:id="2004964294">
      <w:bodyDiv w:val="1"/>
      <w:marLeft w:val="0"/>
      <w:marRight w:val="0"/>
      <w:marTop w:val="0"/>
      <w:marBottom w:val="0"/>
      <w:divBdr>
        <w:top w:val="none" w:sz="0" w:space="0" w:color="auto"/>
        <w:left w:val="none" w:sz="0" w:space="0" w:color="auto"/>
        <w:bottom w:val="none" w:sz="0" w:space="0" w:color="auto"/>
        <w:right w:val="none" w:sz="0" w:space="0" w:color="auto"/>
      </w:divBdr>
    </w:div>
    <w:div w:id="2007975944">
      <w:bodyDiv w:val="1"/>
      <w:marLeft w:val="0"/>
      <w:marRight w:val="0"/>
      <w:marTop w:val="0"/>
      <w:marBottom w:val="0"/>
      <w:divBdr>
        <w:top w:val="none" w:sz="0" w:space="0" w:color="auto"/>
        <w:left w:val="none" w:sz="0" w:space="0" w:color="auto"/>
        <w:bottom w:val="none" w:sz="0" w:space="0" w:color="auto"/>
        <w:right w:val="none" w:sz="0" w:space="0" w:color="auto"/>
      </w:divBdr>
    </w:div>
    <w:div w:id="2012563271">
      <w:bodyDiv w:val="1"/>
      <w:marLeft w:val="0"/>
      <w:marRight w:val="0"/>
      <w:marTop w:val="0"/>
      <w:marBottom w:val="0"/>
      <w:divBdr>
        <w:top w:val="none" w:sz="0" w:space="0" w:color="auto"/>
        <w:left w:val="none" w:sz="0" w:space="0" w:color="auto"/>
        <w:bottom w:val="none" w:sz="0" w:space="0" w:color="auto"/>
        <w:right w:val="none" w:sz="0" w:space="0" w:color="auto"/>
      </w:divBdr>
    </w:div>
    <w:div w:id="2017607812">
      <w:bodyDiv w:val="1"/>
      <w:marLeft w:val="0"/>
      <w:marRight w:val="0"/>
      <w:marTop w:val="0"/>
      <w:marBottom w:val="0"/>
      <w:divBdr>
        <w:top w:val="none" w:sz="0" w:space="0" w:color="auto"/>
        <w:left w:val="none" w:sz="0" w:space="0" w:color="auto"/>
        <w:bottom w:val="none" w:sz="0" w:space="0" w:color="auto"/>
        <w:right w:val="none" w:sz="0" w:space="0" w:color="auto"/>
      </w:divBdr>
    </w:div>
    <w:div w:id="2048942397">
      <w:bodyDiv w:val="1"/>
      <w:marLeft w:val="0"/>
      <w:marRight w:val="0"/>
      <w:marTop w:val="0"/>
      <w:marBottom w:val="0"/>
      <w:divBdr>
        <w:top w:val="none" w:sz="0" w:space="0" w:color="auto"/>
        <w:left w:val="none" w:sz="0" w:space="0" w:color="auto"/>
        <w:bottom w:val="none" w:sz="0" w:space="0" w:color="auto"/>
        <w:right w:val="none" w:sz="0" w:space="0" w:color="auto"/>
      </w:divBdr>
    </w:div>
    <w:div w:id="2060083930">
      <w:bodyDiv w:val="1"/>
      <w:marLeft w:val="0"/>
      <w:marRight w:val="0"/>
      <w:marTop w:val="0"/>
      <w:marBottom w:val="0"/>
      <w:divBdr>
        <w:top w:val="none" w:sz="0" w:space="0" w:color="auto"/>
        <w:left w:val="none" w:sz="0" w:space="0" w:color="auto"/>
        <w:bottom w:val="none" w:sz="0" w:space="0" w:color="auto"/>
        <w:right w:val="none" w:sz="0" w:space="0" w:color="auto"/>
      </w:divBdr>
    </w:div>
    <w:div w:id="2071489327">
      <w:bodyDiv w:val="1"/>
      <w:marLeft w:val="0"/>
      <w:marRight w:val="0"/>
      <w:marTop w:val="0"/>
      <w:marBottom w:val="0"/>
      <w:divBdr>
        <w:top w:val="none" w:sz="0" w:space="0" w:color="auto"/>
        <w:left w:val="none" w:sz="0" w:space="0" w:color="auto"/>
        <w:bottom w:val="none" w:sz="0" w:space="0" w:color="auto"/>
        <w:right w:val="none" w:sz="0" w:space="0" w:color="auto"/>
      </w:divBdr>
    </w:div>
    <w:div w:id="2082213922">
      <w:bodyDiv w:val="1"/>
      <w:marLeft w:val="0"/>
      <w:marRight w:val="0"/>
      <w:marTop w:val="0"/>
      <w:marBottom w:val="0"/>
      <w:divBdr>
        <w:top w:val="none" w:sz="0" w:space="0" w:color="auto"/>
        <w:left w:val="none" w:sz="0" w:space="0" w:color="auto"/>
        <w:bottom w:val="none" w:sz="0" w:space="0" w:color="auto"/>
        <w:right w:val="none" w:sz="0" w:space="0" w:color="auto"/>
      </w:divBdr>
    </w:div>
    <w:div w:id="2088185662">
      <w:bodyDiv w:val="1"/>
      <w:marLeft w:val="0"/>
      <w:marRight w:val="0"/>
      <w:marTop w:val="0"/>
      <w:marBottom w:val="0"/>
      <w:divBdr>
        <w:top w:val="none" w:sz="0" w:space="0" w:color="auto"/>
        <w:left w:val="none" w:sz="0" w:space="0" w:color="auto"/>
        <w:bottom w:val="none" w:sz="0" w:space="0" w:color="auto"/>
        <w:right w:val="none" w:sz="0" w:space="0" w:color="auto"/>
      </w:divBdr>
    </w:div>
    <w:div w:id="2095854742">
      <w:bodyDiv w:val="1"/>
      <w:marLeft w:val="0"/>
      <w:marRight w:val="0"/>
      <w:marTop w:val="0"/>
      <w:marBottom w:val="0"/>
      <w:divBdr>
        <w:top w:val="none" w:sz="0" w:space="0" w:color="auto"/>
        <w:left w:val="none" w:sz="0" w:space="0" w:color="auto"/>
        <w:bottom w:val="none" w:sz="0" w:space="0" w:color="auto"/>
        <w:right w:val="none" w:sz="0" w:space="0" w:color="auto"/>
      </w:divBdr>
    </w:div>
    <w:div w:id="2103139737">
      <w:bodyDiv w:val="1"/>
      <w:marLeft w:val="0"/>
      <w:marRight w:val="0"/>
      <w:marTop w:val="0"/>
      <w:marBottom w:val="0"/>
      <w:divBdr>
        <w:top w:val="none" w:sz="0" w:space="0" w:color="auto"/>
        <w:left w:val="none" w:sz="0" w:space="0" w:color="auto"/>
        <w:bottom w:val="none" w:sz="0" w:space="0" w:color="auto"/>
        <w:right w:val="none" w:sz="0" w:space="0" w:color="auto"/>
      </w:divBdr>
    </w:div>
    <w:div w:id="2121534175">
      <w:bodyDiv w:val="1"/>
      <w:marLeft w:val="0"/>
      <w:marRight w:val="0"/>
      <w:marTop w:val="0"/>
      <w:marBottom w:val="0"/>
      <w:divBdr>
        <w:top w:val="none" w:sz="0" w:space="0" w:color="auto"/>
        <w:left w:val="none" w:sz="0" w:space="0" w:color="auto"/>
        <w:bottom w:val="none" w:sz="0" w:space="0" w:color="auto"/>
        <w:right w:val="none" w:sz="0" w:space="0" w:color="auto"/>
      </w:divBdr>
      <w:divsChild>
        <w:div w:id="349793981">
          <w:marLeft w:val="0"/>
          <w:marRight w:val="0"/>
          <w:marTop w:val="0"/>
          <w:marBottom w:val="0"/>
          <w:divBdr>
            <w:top w:val="none" w:sz="0" w:space="0" w:color="auto"/>
            <w:left w:val="none" w:sz="0" w:space="0" w:color="auto"/>
            <w:bottom w:val="none" w:sz="0" w:space="0" w:color="auto"/>
            <w:right w:val="none" w:sz="0" w:space="0" w:color="auto"/>
          </w:divBdr>
          <w:divsChild>
            <w:div w:id="1117680772">
              <w:marLeft w:val="0"/>
              <w:marRight w:val="0"/>
              <w:marTop w:val="0"/>
              <w:marBottom w:val="0"/>
              <w:divBdr>
                <w:top w:val="none" w:sz="0" w:space="0" w:color="auto"/>
                <w:left w:val="none" w:sz="0" w:space="0" w:color="auto"/>
                <w:bottom w:val="none" w:sz="0" w:space="0" w:color="auto"/>
                <w:right w:val="none" w:sz="0" w:space="0" w:color="auto"/>
              </w:divBdr>
              <w:divsChild>
                <w:div w:id="9591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87655">
      <w:bodyDiv w:val="1"/>
      <w:marLeft w:val="0"/>
      <w:marRight w:val="0"/>
      <w:marTop w:val="0"/>
      <w:marBottom w:val="0"/>
      <w:divBdr>
        <w:top w:val="none" w:sz="0" w:space="0" w:color="auto"/>
        <w:left w:val="none" w:sz="0" w:space="0" w:color="auto"/>
        <w:bottom w:val="none" w:sz="0" w:space="0" w:color="auto"/>
        <w:right w:val="none" w:sz="0" w:space="0" w:color="auto"/>
      </w:divBdr>
    </w:div>
    <w:div w:id="21366062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2/cop-12-dec-03-en.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bd.int/doc/decisions/cop-12/cop-12-dec-03-en.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financial/rm2020.shtml"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bd.int/doc/notifications/2019/ntf-2019-086-resource-mobilization-en.pdf" TargetMode="External"/><Relationship Id="rId20" Type="http://schemas.openxmlformats.org/officeDocument/2006/relationships/hyperlink" Target="https://www.cbd.int/doc/c/cb4a/99a2/6829932aa5227619b998ef75/cop-14-06-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bd.int/doc/decisions/cop-14/cop-14-dec-22-en.pdf"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cbd.int/doc/c/cb4a/99a2/6829932aa5227619b998ef75/cop-14-06-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1.xm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nvironment/biodiversity/business/index_en.htm" TargetMode="External"/><Relationship Id="rId13" Type="http://schemas.openxmlformats.org/officeDocument/2006/relationships/hyperlink" Target="https://www.cbd.int/meetings/SBI-03" TargetMode="External"/><Relationship Id="rId3" Type="http://schemas.openxmlformats.org/officeDocument/2006/relationships/hyperlink" Target="https://www.wavespartnership.org/en" TargetMode="External"/><Relationship Id="rId7" Type="http://schemas.openxmlformats.org/officeDocument/2006/relationships/hyperlink" Target="https://www.oecd.org/environment/resources/biodiversity/report-a-comprehensive-overview-of-global-biodiversity-finance.pdf" TargetMode="External"/><Relationship Id="rId12" Type="http://schemas.openxmlformats.org/officeDocument/2006/relationships/hyperlink" Target="https://www.oecd.org/environment/resources/biodiversity/report-a-comprehensive-overview-of-global-biodiversity-finance.pdf" TargetMode="External"/><Relationship Id="rId2" Type="http://schemas.openxmlformats.org/officeDocument/2006/relationships/hyperlink" Target="https://www.cbd.int/doc/c/3d50/c310/2e8a0f5f3b44fd8c0df5f7f3/cop-14-05-add1-en.pdf" TargetMode="External"/><Relationship Id="rId1" Type="http://schemas.openxmlformats.org/officeDocument/2006/relationships/hyperlink" Target="https://chm.cbd.int/search/financial-analyzer" TargetMode="External"/><Relationship Id="rId6" Type="http://schemas.openxmlformats.org/officeDocument/2006/relationships/hyperlink" Target="https://www.thegef.org/sites/default/files/council-meeting-documents/c-53-me-inf-01%20-%20DEC17.pdf" TargetMode="External"/><Relationship Id="rId11" Type="http://schemas.openxmlformats.org/officeDocument/2006/relationships/hyperlink" Target="https://undocs.org/A/RES/70/1" TargetMode="External"/><Relationship Id="rId5" Type="http://schemas.openxmlformats.org/officeDocument/2006/relationships/hyperlink" Target="https://www.thegef.org/topics/biodiversity" TargetMode="External"/><Relationship Id="rId10" Type="http://schemas.openxmlformats.org/officeDocument/2006/relationships/hyperlink" Target="https://www.cbd.int/development/doc/biodiversity-2030-agenda-technical-note-en.pdf" TargetMode="External"/><Relationship Id="rId4" Type="http://schemas.openxmlformats.org/officeDocument/2006/relationships/hyperlink" Target="https://ec.europa.eu/environment/nature/biodiversity/financing_en.htm" TargetMode="External"/><Relationship Id="rId9" Type="http://schemas.openxmlformats.org/officeDocument/2006/relationships/hyperlink" Target="https://europa.eu/capacity4dev/b4life/wiki/biodiversity-life-b4lif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0F7D"/>
    <w:rsid w:val="000053D1"/>
    <w:rsid w:val="0009467D"/>
    <w:rsid w:val="000C571E"/>
    <w:rsid w:val="000D7615"/>
    <w:rsid w:val="000E06E8"/>
    <w:rsid w:val="00115491"/>
    <w:rsid w:val="0012760D"/>
    <w:rsid w:val="00153D53"/>
    <w:rsid w:val="00175F79"/>
    <w:rsid w:val="0017712A"/>
    <w:rsid w:val="00180298"/>
    <w:rsid w:val="00186006"/>
    <w:rsid w:val="00217B00"/>
    <w:rsid w:val="00261CA4"/>
    <w:rsid w:val="00276B4E"/>
    <w:rsid w:val="002855C6"/>
    <w:rsid w:val="002D2142"/>
    <w:rsid w:val="002E1630"/>
    <w:rsid w:val="002F2C5E"/>
    <w:rsid w:val="00305D68"/>
    <w:rsid w:val="0035249F"/>
    <w:rsid w:val="003545BC"/>
    <w:rsid w:val="0036274C"/>
    <w:rsid w:val="00363723"/>
    <w:rsid w:val="00376705"/>
    <w:rsid w:val="003B7BD5"/>
    <w:rsid w:val="003E5AAB"/>
    <w:rsid w:val="004251E2"/>
    <w:rsid w:val="00446EF8"/>
    <w:rsid w:val="00461E54"/>
    <w:rsid w:val="004705E0"/>
    <w:rsid w:val="00474089"/>
    <w:rsid w:val="00480921"/>
    <w:rsid w:val="004B58B9"/>
    <w:rsid w:val="004D6406"/>
    <w:rsid w:val="004F2C39"/>
    <w:rsid w:val="004F7AD4"/>
    <w:rsid w:val="00500A2B"/>
    <w:rsid w:val="00527D02"/>
    <w:rsid w:val="00560E6F"/>
    <w:rsid w:val="00560E81"/>
    <w:rsid w:val="00567126"/>
    <w:rsid w:val="0058288D"/>
    <w:rsid w:val="005F0755"/>
    <w:rsid w:val="005F6D2B"/>
    <w:rsid w:val="00610BA3"/>
    <w:rsid w:val="006136A9"/>
    <w:rsid w:val="00651002"/>
    <w:rsid w:val="00657DA6"/>
    <w:rsid w:val="006605B1"/>
    <w:rsid w:val="006801B3"/>
    <w:rsid w:val="0068258B"/>
    <w:rsid w:val="006A45D8"/>
    <w:rsid w:val="006F02C5"/>
    <w:rsid w:val="0072190A"/>
    <w:rsid w:val="0073205F"/>
    <w:rsid w:val="00741286"/>
    <w:rsid w:val="007618C1"/>
    <w:rsid w:val="00781534"/>
    <w:rsid w:val="007A1AEB"/>
    <w:rsid w:val="007A33D5"/>
    <w:rsid w:val="007B51D7"/>
    <w:rsid w:val="007C3902"/>
    <w:rsid w:val="007F1B05"/>
    <w:rsid w:val="007F3126"/>
    <w:rsid w:val="00810A55"/>
    <w:rsid w:val="00836848"/>
    <w:rsid w:val="008576BD"/>
    <w:rsid w:val="00865505"/>
    <w:rsid w:val="008674BE"/>
    <w:rsid w:val="008B01D9"/>
    <w:rsid w:val="008C2933"/>
    <w:rsid w:val="008C6619"/>
    <w:rsid w:val="008D1917"/>
    <w:rsid w:val="008D420E"/>
    <w:rsid w:val="00904343"/>
    <w:rsid w:val="00921FFE"/>
    <w:rsid w:val="00932B4F"/>
    <w:rsid w:val="00975686"/>
    <w:rsid w:val="0098642F"/>
    <w:rsid w:val="009B1129"/>
    <w:rsid w:val="009C0324"/>
    <w:rsid w:val="009E72FA"/>
    <w:rsid w:val="00A0349F"/>
    <w:rsid w:val="00A07BA9"/>
    <w:rsid w:val="00A22E29"/>
    <w:rsid w:val="00A42DDB"/>
    <w:rsid w:val="00A46588"/>
    <w:rsid w:val="00A470B9"/>
    <w:rsid w:val="00A53DC0"/>
    <w:rsid w:val="00A724DA"/>
    <w:rsid w:val="00A7434E"/>
    <w:rsid w:val="00A902A7"/>
    <w:rsid w:val="00AA0B38"/>
    <w:rsid w:val="00AA0D21"/>
    <w:rsid w:val="00AA67A2"/>
    <w:rsid w:val="00AB6230"/>
    <w:rsid w:val="00AD6361"/>
    <w:rsid w:val="00B156DC"/>
    <w:rsid w:val="00B157A5"/>
    <w:rsid w:val="00B30251"/>
    <w:rsid w:val="00B941E7"/>
    <w:rsid w:val="00B95B99"/>
    <w:rsid w:val="00BE4335"/>
    <w:rsid w:val="00C12A3E"/>
    <w:rsid w:val="00C41C7E"/>
    <w:rsid w:val="00C56B9A"/>
    <w:rsid w:val="00C76727"/>
    <w:rsid w:val="00C92790"/>
    <w:rsid w:val="00CC3AD5"/>
    <w:rsid w:val="00D02897"/>
    <w:rsid w:val="00D60ABC"/>
    <w:rsid w:val="00D6197E"/>
    <w:rsid w:val="00D81311"/>
    <w:rsid w:val="00DC28B0"/>
    <w:rsid w:val="00E248B2"/>
    <w:rsid w:val="00E5016F"/>
    <w:rsid w:val="00EE1879"/>
    <w:rsid w:val="00EE3C8F"/>
    <w:rsid w:val="00F365FA"/>
    <w:rsid w:val="00F37E12"/>
    <w:rsid w:val="00F60DB2"/>
    <w:rsid w:val="00F806ED"/>
    <w:rsid w:val="00F95DB3"/>
    <w:rsid w:val="00FA2101"/>
    <w:rsid w:val="00FB6196"/>
    <w:rsid w:val="00FD5232"/>
    <w:rsid w:val="00FF08E1"/>
    <w:rsid w:val="00FF48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FD5232"/>
    <w:rPr>
      <w:color w:val="808080"/>
    </w:rPr>
  </w:style>
  <w:style w:type="paragraph" w:customStyle="1" w:styleId="7195B827B75242CFA3286B75B15DE087">
    <w:name w:val="7195B827B75242CFA3286B75B15DE087"/>
    <w:rsid w:val="00A470B9"/>
    <w:pPr>
      <w:spacing w:after="160" w:line="259" w:lineRule="auto"/>
    </w:pPr>
  </w:style>
  <w:style w:type="paragraph" w:customStyle="1" w:styleId="A08F36319AE44C0880EED12923A533F5">
    <w:name w:val="A08F36319AE44C0880EED12923A533F5"/>
    <w:rsid w:val="00A0349F"/>
  </w:style>
  <w:style w:type="paragraph" w:customStyle="1" w:styleId="58E1C128959B4AD5BD7F63DF87BA6BD0">
    <w:name w:val="58E1C128959B4AD5BD7F63DF87BA6BD0"/>
    <w:rsid w:val="00FD5232"/>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2020-06-08T00:00:00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
    <b:Tag>Mendeley_aclwWTQFdDuqg5ALUeTTNA</b:Tag>
    <b:SourceType>InternetSite</b:SourceType>
    <b:Guid>{2970A13F-09A4-40AD-B359-DE1072A03CC7}</b:Guid>
    <b:Title>Green bond issuance tops $200bn milestone</b:Title>
    <b:YearAccessed>2019</b:YearAccessed>
    <b:MonthAccessed>12</b:MonthAccessed>
    <b:DayAccessed>05</b:DayAccessed>
    <b:URL>https://www.climatebonds.net/2019/10/green-bond-issuance-tops-200bn-milestone-new-global-record-green-finance-latest-climate</b:URL>
    <b:LCID>en-US</b:LCID>
    <b:Version>Mendeley</b:Version>
    <b:Year>2019</b:Year>
    <b:Author>
      <b:Author>
        <b:NameList>
          <b:Person>
            <b:Last>Climate Bonds Initiative</b:Last>
          </b:Person>
        </b:NameList>
      </b:Author>
    </b:Author>
    <b:RefOrder>1</b:RefOrder>
  </b:Source>
  <b:Source>
    <b:Tag>Cli171</b:Tag>
    <b:SourceType>Book</b:SourceType>
    <b:Guid>{E3E19380-31E8-4072-934D-1D97962C5A33}</b:Guid>
    <b:Title>Green Bond Highlights 2016</b:Title>
    <b:Year>2017</b:Year>
    <b:Author>
      <b:Author>
        <b:NameList>
          <b:Person>
            <b:Last>Climate Bond Initiative</b:Last>
          </b:Person>
        </b:NameList>
      </b:Author>
    </b:Author>
    <b:RefOrder>2</b:RefOrder>
  </b:Source>
  <b:Source>
    <b:Tag>Cli181</b:Tag>
    <b:SourceType>Book</b:SourceType>
    <b:Guid>{1107BD2C-B9A9-42F8-BBA4-3AB0AC448B09}</b:Guid>
    <b:Title>Bonds and Climate Change: The State of the Market</b:Title>
    <b:Year>2018</b:Year>
    <b:URL>www.climatebonds.net/files/reports/cbi_sotm_2018_final_01k-web.pdf</b:URL>
    <b:Author>
      <b:Author>
        <b:NameList>
          <b:Person>
            <b:Last>Climate Bonds Initiative</b:Last>
          </b:Person>
        </b:NameList>
      </b:Author>
    </b:Author>
    <b:RefOrder>3</b:RefOrder>
  </b:Source>
  <b:Source>
    <b:Tag>Mud191</b:Tag>
    <b:SourceType>Report</b:SourceType>
    <b:Guid>{588D0C52-820B-4336-A702-428E84F07F9E}</b:Guid>
    <b:Title>2019 Annual Impact Investor Survey</b:Title>
    <b:Year>2019</b:Year>
    <b:Author>
      <b:Author>
        <b:NameList>
          <b:Person>
            <b:Last>Mudaliar</b:Last>
            <b:First>A.</b:First>
          </b:Person>
          <b:Person>
            <b:Last>Bass</b:Last>
            <b:First>R.</b:First>
          </b:Person>
          <b:Person>
            <b:Last>Dithrich</b:Last>
            <b:First>H.</b:First>
          </b:Person>
          <b:Person>
            <b:Last>Nova</b:Last>
            <b:First>N.</b:First>
          </b:Person>
        </b:NameList>
      </b:Author>
    </b:Author>
    <b:Institution>Global Impact Investing Network (GIIN)</b:Institution>
    <b:RefOrder>4</b:RefOrder>
  </b:Source>
  <b:Source>
    <b:Tag>Mud19</b:Tag>
    <b:SourceType>Report</b:SourceType>
    <b:Guid>{116001A4-4990-43BB-942A-C0CD96B9A440}</b:Guid>
    <b:Title>Sizing the Impact Investing Market</b:Title>
    <b:Year>2019</b:Year>
    <b:Author>
      <b:Author>
        <b:NameList>
          <b:Person>
            <b:Last>Mudaliar</b:Last>
            <b:First>A.</b:First>
          </b:Person>
          <b:Person>
            <b:Last>Dithrich</b:Last>
            <b:First>H.</b:First>
          </b:Person>
        </b:NameList>
      </b:Author>
    </b:Author>
    <b:Publisher>Global Impact Investing Network</b:Publisher>
    <b:RefOrder>5</b:RefOrder>
  </b:Source>
  <b:Source>
    <b:Tag>OEC191</b:Tag>
    <b:SourceType>Report</b:SourceType>
    <b:Guid>{67710E29-CCED-4D92-AEA4-4F29A7021E74}</b:Guid>
    <b:Author>
      <b:Author>
        <b:NameList>
          <b:Person>
            <b:Last>OECD</b:Last>
          </b:Person>
        </b:NameList>
      </b:Author>
    </b:Author>
    <b:Title>OECD DAC Blended Finance Principles for Unlocking Commerical Finance for the Sustainable Development Goals</b:Title>
    <b:Year>2019</b:Year>
    <b:Publisher>OECD Publishing</b:Publisher>
    <b:City>Paris</b:City>
    <b:RefOrder>6</b:RefOrder>
  </b:Source>
  <b:Source>
    <b:Tag>Con19</b:Tag>
    <b:SourceType>DocumentFromInternetSite</b:SourceType>
    <b:Guid>{868E0D6B-241A-4F83-843A-5D641D0835D4}</b:Guid>
    <b:Title>Data Brief: Blending in Conservation Finance, October 2019</b:Title>
    <b:Year>2019</b:Year>
    <b:Author>
      <b:Author>
        <b:NameList>
          <b:Person>
            <b:Last>Convergence</b:Last>
          </b:Person>
        </b:NameList>
      </b:Author>
    </b:Author>
    <b:RefOrder>7</b:RefOrder>
  </b:Source>
  <b:Source>
    <b:Tag>Con18</b:Tag>
    <b:SourceType>DocumentFromInternetSite</b:SourceType>
    <b:Guid>{48A2ED9F-719A-41CF-B76B-2FBB91A82FF5}</b:Guid>
    <b:Title>Data Brief: Leverage of Concessional Capital, October 2018</b:Title>
    <b:Year>2018</b:Year>
    <b:Author>
      <b:Author>
        <b:NameList>
          <b:Person>
            <b:Last>Convergence</b:Last>
          </b:Person>
        </b:NameList>
      </b:Author>
    </b:Author>
    <b:RefOrder>8</b:RefOrder>
  </b:Source>
  <b:Source>
    <b:Tag>Cli19</b:Tag>
    <b:SourceType>Book</b:SourceType>
    <b:Guid>{247729A9-00D5-4BC4-BDB7-CE5C8151282B}</b:Guid>
    <b:Title>Green Bonds the State of the Market 2018</b:Title>
    <b:Year>2019</b:Year>
    <b:URL>www.climatebonds.net/files/reports/cbi_gbm_final_032019_web.pdf</b:URL>
    <b:Author>
      <b:Author>
        <b:NameList>
          <b:Person>
            <b:Last>Climate Bonds Initiative</b:Last>
          </b:Person>
        </b:NameList>
      </b:Author>
    </b:Author>
    <b:RefOrder>9</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B08625-26E3-4292-BD79-C25A028821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0017D0-0FB5-4329-99BF-2BBF6DFF98C1}">
  <ds:schemaRefs>
    <ds:schemaRef ds:uri="http://schemas.microsoft.com/sharepoint/v3/contenttype/forms"/>
  </ds:schemaRefs>
</ds:datastoreItem>
</file>

<file path=customXml/itemProps4.xml><?xml version="1.0" encoding="utf-8"?>
<ds:datastoreItem xmlns:ds="http://schemas.openxmlformats.org/officeDocument/2006/customXml" ds:itemID="{60DF153D-40E7-48E3-939D-04D773AE3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122B4F-0C4D-4E72-BFF0-991DD04C6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7656</Words>
  <Characters>43641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Evaluation and review of the strategy for resource mobilization and Aichi Biodiversity Target 20</vt:lpstr>
    </vt:vector>
  </TitlesOfParts>
  <Company>SCBD</Company>
  <LinksUpToDate>false</LinksUpToDate>
  <CharactersWithSpaces>51195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and review of the strategy for resource mobilization and Aichi Biodiversity Target 20: Summary of the first report of the Panel of Experts on Resource Mobilization</dc:title>
  <dc:subject>CBD/SBI/3/5/Add.1</dc:subject>
  <dc:creator>SCBD</dc:creator>
  <cp:keywords>Subsidiary Body on Implementation, third meeting, Quebec City, Canada, 9-14 November 2020, Convention on Biological Diversity</cp:keywords>
  <cp:lastModifiedBy>Magdalena Burgess</cp:lastModifiedBy>
  <cp:revision>4</cp:revision>
  <cp:lastPrinted>2020-05-25T19:18:00Z</cp:lastPrinted>
  <dcterms:created xsi:type="dcterms:W3CDTF">2020-06-30T17:08:00Z</dcterms:created>
  <dcterms:modified xsi:type="dcterms:W3CDTF">2020-06-30T17:31:00Z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