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E92DE9" w:rsidRPr="00A73CBC" w14:paraId="35B4C187" w14:textId="77777777" w:rsidTr="001652E6">
        <w:trPr>
          <w:gridAfter w:val="1"/>
          <w:wAfter w:w="18" w:type="pct"/>
          <w:trHeight w:val="851"/>
        </w:trPr>
        <w:tc>
          <w:tcPr>
            <w:tcW w:w="1853" w:type="pct"/>
            <w:tcBorders>
              <w:top w:val="nil"/>
              <w:left w:val="nil"/>
              <w:bottom w:val="single" w:sz="6" w:space="0" w:color="auto"/>
              <w:right w:val="nil"/>
            </w:tcBorders>
          </w:tcPr>
          <w:p w14:paraId="65A511A5" w14:textId="77777777" w:rsidR="00E92DE9" w:rsidRPr="00094684" w:rsidRDefault="00E92DE9" w:rsidP="001652E6">
            <w:pPr>
              <w:tabs>
                <w:tab w:val="clear" w:pos="567"/>
                <w:tab w:val="clear" w:pos="1134"/>
                <w:tab w:val="clear" w:pos="1701"/>
                <w:tab w:val="clear" w:pos="2268"/>
              </w:tabs>
              <w:spacing w:before="60"/>
              <w:rPr>
                <w:rFonts w:eastAsia="SimHei"/>
                <w:sz w:val="24"/>
                <w:lang w:val="en-GB" w:eastAsia="zh-CN"/>
              </w:rPr>
            </w:pPr>
            <w:r w:rsidRPr="00094684">
              <w:rPr>
                <w:rFonts w:eastAsia="SimHei"/>
                <w:noProof/>
                <w:lang w:eastAsia="zh-CN"/>
              </w:rPr>
              <w:drawing>
                <wp:anchor distT="0" distB="0" distL="114300" distR="114300" simplePos="0" relativeHeight="251661312" behindDoc="0" locked="0" layoutInCell="1" allowOverlap="1" wp14:anchorId="1EA996BE" wp14:editId="6B08A7E0">
                  <wp:simplePos x="0" y="0"/>
                  <wp:positionH relativeFrom="column">
                    <wp:posOffset>465176</wp:posOffset>
                  </wp:positionH>
                  <wp:positionV relativeFrom="paragraph">
                    <wp:posOffset>43367</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SimHei" w:hint="eastAsia"/>
                <w:sz w:val="24"/>
                <w:lang w:val="en-GB" w:eastAsia="zh-CN"/>
              </w:rPr>
              <w:t>联合国</w:t>
            </w:r>
          </w:p>
          <w:p w14:paraId="08A2DB15" w14:textId="77777777" w:rsidR="00E92DE9" w:rsidRPr="00094684" w:rsidRDefault="00E92DE9" w:rsidP="001652E6">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130" w:type="pct"/>
            <w:gridSpan w:val="2"/>
            <w:tcBorders>
              <w:bottom w:val="single" w:sz="8" w:space="0" w:color="auto"/>
            </w:tcBorders>
            <w:vAlign w:val="bottom"/>
          </w:tcPr>
          <w:p w14:paraId="6ABB7CEF" w14:textId="2E273423" w:rsidR="00E92DE9" w:rsidRPr="000A2FEC" w:rsidRDefault="00E92DE9" w:rsidP="001652E6">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Pr="007B0C1E">
              <w:rPr>
                <w:rFonts w:eastAsiaTheme="minorEastAsia"/>
                <w:sz w:val="24"/>
                <w:szCs w:val="22"/>
                <w:lang w:eastAsia="zh-CN"/>
              </w:rPr>
              <w:t>WG.II</w:t>
            </w:r>
            <w:proofErr w:type="gramEnd"/>
            <w:r w:rsidRPr="007B0C1E">
              <w:rPr>
                <w:rFonts w:eastAsiaTheme="minorEastAsia"/>
                <w:sz w:val="24"/>
                <w:szCs w:val="22"/>
                <w:lang w:eastAsia="zh-CN"/>
              </w:rPr>
              <w:t>/CRP</w:t>
            </w:r>
            <w:r>
              <w:rPr>
                <w:rFonts w:eastAsiaTheme="minorEastAsia" w:hint="eastAsia"/>
                <w:sz w:val="24"/>
                <w:szCs w:val="22"/>
                <w:lang w:eastAsia="zh-CN"/>
              </w:rPr>
              <w:t>.</w:t>
            </w:r>
            <w:r w:rsidR="00106882">
              <w:rPr>
                <w:rFonts w:eastAsiaTheme="minorEastAsia" w:hint="eastAsia"/>
                <w:sz w:val="24"/>
                <w:szCs w:val="22"/>
                <w:lang w:eastAsia="zh-CN"/>
              </w:rPr>
              <w:t>4</w:t>
            </w:r>
          </w:p>
        </w:tc>
      </w:tr>
      <w:tr w:rsidR="00E92DE9" w:rsidRPr="00094684" w14:paraId="17D6FA2F" w14:textId="77777777" w:rsidTr="001652E6">
        <w:tc>
          <w:tcPr>
            <w:tcW w:w="2308" w:type="pct"/>
            <w:gridSpan w:val="2"/>
            <w:tcBorders>
              <w:top w:val="single" w:sz="8" w:space="0" w:color="auto"/>
              <w:bottom w:val="single" w:sz="12" w:space="0" w:color="auto"/>
            </w:tcBorders>
          </w:tcPr>
          <w:p w14:paraId="727136AD" w14:textId="77777777" w:rsidR="00E92DE9" w:rsidRPr="00094684" w:rsidRDefault="00E92DE9" w:rsidP="001652E6">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461D26B3" wp14:editId="67627146">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7C4B747E" w14:textId="77777777" w:rsidR="00E92DE9" w:rsidRPr="007B0C1E" w:rsidRDefault="00E92DE9" w:rsidP="001652E6">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Pr>
                <w:rFonts w:eastAsiaTheme="minorEastAsia" w:hint="eastAsia"/>
                <w:sz w:val="24"/>
                <w:lang w:val="en-GB" w:eastAsia="zh-CN"/>
              </w:rPr>
              <w:t>Limited</w:t>
            </w:r>
          </w:p>
          <w:p w14:paraId="75C10A78"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Pr>
                <w:rFonts w:hint="eastAsia"/>
                <w:sz w:val="24"/>
                <w:lang w:eastAsia="zh-CN"/>
              </w:rPr>
              <w:t>22 October</w:t>
            </w:r>
            <w:r w:rsidRPr="0058717B">
              <w:rPr>
                <w:rFonts w:eastAsia="Times New Roman"/>
                <w:sz w:val="24"/>
              </w:rPr>
              <w:t xml:space="preserve"> </w:t>
            </w:r>
            <w:r w:rsidRPr="00094684">
              <w:rPr>
                <w:rFonts w:eastAsia="Times New Roman"/>
                <w:sz w:val="24"/>
              </w:rPr>
              <w:t>2024</w:t>
            </w:r>
          </w:p>
          <w:p w14:paraId="09BB91D0"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BD5818C"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8D7BF69" w14:textId="77777777" w:rsidR="00E92DE9" w:rsidRPr="00094684" w:rsidRDefault="00E92DE9" w:rsidP="001652E6">
            <w:pPr>
              <w:tabs>
                <w:tab w:val="clear" w:pos="567"/>
                <w:tab w:val="clear" w:pos="1134"/>
                <w:tab w:val="clear" w:pos="1701"/>
                <w:tab w:val="clear" w:pos="2268"/>
              </w:tabs>
              <w:rPr>
                <w:rFonts w:eastAsia="Times New Roman"/>
                <w:sz w:val="24"/>
                <w:szCs w:val="24"/>
                <w:lang w:val="en-GB"/>
              </w:rPr>
            </w:pPr>
          </w:p>
        </w:tc>
      </w:tr>
    </w:tbl>
    <w:p w14:paraId="2D48AB27" w14:textId="77777777" w:rsidR="00E92DE9" w:rsidRPr="00094684" w:rsidRDefault="00E92DE9" w:rsidP="00E92DE9">
      <w:pPr>
        <w:pStyle w:val="Cornernotation"/>
        <w:ind w:right="0"/>
        <w:rPr>
          <w:bCs/>
          <w:szCs w:val="24"/>
          <w:lang w:val="en-GB" w:eastAsia="zh-CN"/>
        </w:rPr>
      </w:pPr>
      <w:r w:rsidRPr="00094684">
        <w:rPr>
          <w:rFonts w:hint="eastAsia"/>
          <w:bCs/>
          <w:szCs w:val="24"/>
          <w:lang w:val="en-GB" w:eastAsia="zh-CN"/>
        </w:rPr>
        <w:t>生物多样性公约缔约方大会</w:t>
      </w:r>
    </w:p>
    <w:p w14:paraId="57DAB4FC" w14:textId="77777777" w:rsidR="00E92DE9" w:rsidRPr="00094684" w:rsidRDefault="00E92DE9" w:rsidP="00E92DE9">
      <w:pPr>
        <w:pStyle w:val="Cornernotation"/>
        <w:ind w:right="0"/>
        <w:rPr>
          <w:bCs/>
          <w:szCs w:val="24"/>
          <w:lang w:eastAsia="zh-CN"/>
        </w:rPr>
      </w:pPr>
      <w:r w:rsidRPr="00094684">
        <w:rPr>
          <w:rFonts w:hint="eastAsia"/>
          <w:bCs/>
          <w:szCs w:val="24"/>
          <w:lang w:eastAsia="zh-CN"/>
        </w:rPr>
        <w:t>第十六届会议</w:t>
      </w:r>
    </w:p>
    <w:p w14:paraId="7C5DFBC3" w14:textId="77777777" w:rsidR="00E92DE9" w:rsidRDefault="00E92DE9" w:rsidP="00E92DE9">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C906E56" w14:textId="03F2ECEB" w:rsidR="00E92DE9" w:rsidRPr="00C0630B" w:rsidRDefault="00E92DE9" w:rsidP="00E92DE9">
      <w:pPr>
        <w:pStyle w:val="Cornernotation"/>
        <w:rPr>
          <w:b w:val="0"/>
          <w:bCs/>
          <w:lang w:eastAsia="zh-CN"/>
        </w:rPr>
      </w:pPr>
      <w:r w:rsidRPr="0058717B">
        <w:rPr>
          <w:b w:val="0"/>
          <w:szCs w:val="24"/>
          <w:lang w:eastAsia="zh-CN"/>
        </w:rPr>
        <w:t>议程</w:t>
      </w:r>
      <w:r>
        <w:rPr>
          <w:rFonts w:hint="eastAsia"/>
          <w:b w:val="0"/>
          <w:szCs w:val="24"/>
          <w:lang w:eastAsia="zh-CN"/>
        </w:rPr>
        <w:t>项目</w:t>
      </w:r>
      <w:r w:rsidR="00106882">
        <w:rPr>
          <w:rFonts w:hint="eastAsia"/>
          <w:b w:val="0"/>
          <w:szCs w:val="24"/>
          <w:lang w:eastAsia="zh-CN"/>
        </w:rPr>
        <w:t>17</w:t>
      </w:r>
    </w:p>
    <w:p w14:paraId="0BE5B4E2" w14:textId="752D9878" w:rsidR="00E92DE9" w:rsidRPr="00447289" w:rsidRDefault="00106882" w:rsidP="00E92DE9">
      <w:pPr>
        <w:pStyle w:val="Cornernotation-Item"/>
        <w:ind w:right="0"/>
        <w:rPr>
          <w:sz w:val="24"/>
          <w:szCs w:val="24"/>
          <w:lang w:eastAsia="zh-CN"/>
        </w:rPr>
      </w:pPr>
      <w:r w:rsidRPr="00106882">
        <w:rPr>
          <w:rFonts w:hint="eastAsia"/>
          <w:sz w:val="24"/>
          <w:szCs w:val="24"/>
          <w:lang w:val="en-GB" w:eastAsia="zh-CN"/>
        </w:rPr>
        <w:t>生物多样性在部门内和部门之间的主流化</w:t>
      </w:r>
      <w:r w:rsidR="00E92DE9">
        <w:rPr>
          <w:rFonts w:hint="eastAsia"/>
          <w:sz w:val="24"/>
          <w:szCs w:val="24"/>
          <w:lang w:val="en-GB" w:eastAsia="zh-CN"/>
        </w:rPr>
        <w:t xml:space="preserve"> </w:t>
      </w:r>
    </w:p>
    <w:p w14:paraId="0658FB33" w14:textId="77777777" w:rsidR="00E92DE9" w:rsidRPr="00447289" w:rsidRDefault="00E92DE9" w:rsidP="00E92DE9">
      <w:pPr>
        <w:pStyle w:val="CBDNormalNoNumber"/>
        <w:spacing w:before="0" w:after="0"/>
        <w:rPr>
          <w:lang w:eastAsia="zh-CN"/>
        </w:rPr>
      </w:pPr>
      <w:r w:rsidRPr="00447289">
        <w:rPr>
          <w:rFonts w:hint="eastAsia"/>
          <w:sz w:val="24"/>
          <w:szCs w:val="24"/>
          <w:lang w:eastAsia="zh-CN"/>
        </w:rPr>
        <w:t>第二工作组</w:t>
      </w:r>
    </w:p>
    <w:p w14:paraId="6AB15639" w14:textId="77777777" w:rsidR="00E92DE9" w:rsidRDefault="00E92DE9">
      <w:pPr>
        <w:rPr>
          <w:lang w:eastAsia="zh-CN"/>
        </w:rPr>
      </w:pPr>
    </w:p>
    <w:p w14:paraId="73F32591" w14:textId="77777777" w:rsidR="00E92DE9" w:rsidRDefault="00E92DE9">
      <w:pPr>
        <w:rPr>
          <w:lang w:eastAsia="zh-CN"/>
        </w:rPr>
      </w:pPr>
    </w:p>
    <w:p w14:paraId="57B82484" w14:textId="21E053AA" w:rsidR="005A2C22" w:rsidRPr="0019611B" w:rsidRDefault="0019611B" w:rsidP="0004166A">
      <w:pPr>
        <w:pStyle w:val="Item"/>
        <w:ind w:left="490"/>
        <w:outlineLvl w:val="0"/>
        <w:rPr>
          <w:caps/>
          <w:sz w:val="28"/>
          <w:szCs w:val="28"/>
          <w:lang w:eastAsia="zh-CN"/>
        </w:rPr>
      </w:pPr>
      <w:bookmarkStart w:id="0" w:name="_Toc178609095"/>
      <w:r w:rsidRPr="0019611B">
        <w:rPr>
          <w:rFonts w:ascii="SimSun" w:eastAsia="SimSun" w:hAnsi="SimSun" w:cs="SimSun" w:hint="eastAsia"/>
          <w:sz w:val="28"/>
          <w:szCs w:val="28"/>
          <w:lang w:eastAsia="zh-CN"/>
        </w:rPr>
        <w:t>生物多样性在部门内和部门之间的主流化</w:t>
      </w:r>
      <w:bookmarkEnd w:id="0"/>
    </w:p>
    <w:p w14:paraId="78D5E920" w14:textId="27C42C6C" w:rsidR="0050437F" w:rsidRPr="0004166A" w:rsidRDefault="0050437F" w:rsidP="0004166A">
      <w:pPr>
        <w:pStyle w:val="Item"/>
        <w:spacing w:before="120" w:after="240"/>
        <w:ind w:left="490"/>
        <w:outlineLvl w:val="0"/>
        <w:rPr>
          <w:caps/>
          <w:szCs w:val="24"/>
          <w:lang w:eastAsia="zh-CN"/>
        </w:rPr>
      </w:pPr>
      <w:r w:rsidRPr="0004166A">
        <w:rPr>
          <w:rFonts w:ascii="SimSun" w:eastAsia="SimSun" w:hAnsi="SimSun" w:cs="SimSun" w:hint="eastAsia"/>
          <w:szCs w:val="24"/>
          <w:lang w:eastAsia="zh-CN"/>
        </w:rPr>
        <w:t>第二工作组主席提交的决定草案</w:t>
      </w:r>
    </w:p>
    <w:p w14:paraId="6C516454" w14:textId="77777777" w:rsidR="004F5AB7" w:rsidRPr="00106882" w:rsidRDefault="004F5AB7" w:rsidP="007F3FE7">
      <w:pPr>
        <w:tabs>
          <w:tab w:val="clear" w:pos="567"/>
          <w:tab w:val="clear" w:pos="1134"/>
          <w:tab w:val="clear" w:pos="1701"/>
          <w:tab w:val="clear" w:pos="2268"/>
        </w:tabs>
        <w:adjustRightInd w:val="0"/>
        <w:snapToGrid w:val="0"/>
        <w:spacing w:before="120" w:after="120"/>
        <w:ind w:left="490" w:firstLine="490"/>
        <w:rPr>
          <w:rFonts w:eastAsia="KaiTi"/>
          <w:snapToGrid w:val="0"/>
          <w:sz w:val="24"/>
          <w:szCs w:val="24"/>
          <w:lang w:val="en-GB" w:eastAsia="zh-CN"/>
        </w:rPr>
      </w:pPr>
      <w:r w:rsidRPr="00106882">
        <w:rPr>
          <w:rFonts w:eastAsia="KaiTi"/>
          <w:sz w:val="24"/>
          <w:szCs w:val="24"/>
          <w:lang w:eastAsia="zh-CN"/>
        </w:rPr>
        <w:t>缔约方大会，</w:t>
      </w:r>
    </w:p>
    <w:p w14:paraId="0982E46D" w14:textId="77777777" w:rsidR="004F5AB7" w:rsidRPr="00106882"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106882">
        <w:rPr>
          <w:rFonts w:eastAsia="KaiTi"/>
          <w:sz w:val="24"/>
          <w:szCs w:val="24"/>
          <w:lang w:eastAsia="zh-CN"/>
        </w:rPr>
        <w:t>回顾</w:t>
      </w:r>
      <w:r w:rsidRPr="00106882">
        <w:rPr>
          <w:sz w:val="24"/>
          <w:szCs w:val="24"/>
          <w:lang w:eastAsia="zh-CN"/>
        </w:rPr>
        <w:t>其</w:t>
      </w:r>
      <w:r w:rsidRPr="00106882">
        <w:rPr>
          <w:sz w:val="24"/>
          <w:szCs w:val="24"/>
          <w:lang w:eastAsia="zh-CN"/>
        </w:rPr>
        <w:t>2018</w:t>
      </w:r>
      <w:r w:rsidRPr="00106882">
        <w:rPr>
          <w:sz w:val="24"/>
          <w:szCs w:val="24"/>
          <w:lang w:eastAsia="zh-CN"/>
        </w:rPr>
        <w:t>年</w:t>
      </w:r>
      <w:r w:rsidRPr="00106882">
        <w:rPr>
          <w:sz w:val="24"/>
          <w:szCs w:val="24"/>
          <w:lang w:eastAsia="zh-CN"/>
        </w:rPr>
        <w:t>11</w:t>
      </w:r>
      <w:r w:rsidRPr="00106882">
        <w:rPr>
          <w:sz w:val="24"/>
          <w:szCs w:val="24"/>
          <w:lang w:eastAsia="zh-CN"/>
        </w:rPr>
        <w:t>月</w:t>
      </w:r>
      <w:r w:rsidRPr="00106882">
        <w:rPr>
          <w:sz w:val="24"/>
          <w:szCs w:val="24"/>
          <w:lang w:eastAsia="zh-CN"/>
        </w:rPr>
        <w:t>29</w:t>
      </w:r>
      <w:r w:rsidRPr="00106882">
        <w:rPr>
          <w:sz w:val="24"/>
          <w:szCs w:val="24"/>
          <w:lang w:eastAsia="zh-CN"/>
        </w:rPr>
        <w:t>日关于制定在相关部门之内和部门之间使生物多样性主流化的长期战略办法的第</w:t>
      </w:r>
      <w:r w:rsidRPr="00106882">
        <w:rPr>
          <w:sz w:val="24"/>
          <w:szCs w:val="24"/>
          <w:lang w:eastAsia="zh-CN"/>
        </w:rPr>
        <w:t>14/3</w:t>
      </w:r>
      <w:r w:rsidRPr="00106882">
        <w:rPr>
          <w:sz w:val="24"/>
          <w:szCs w:val="24"/>
          <w:lang w:eastAsia="zh-CN"/>
        </w:rPr>
        <w:t>号决定，</w:t>
      </w:r>
    </w:p>
    <w:p w14:paraId="7D81F173" w14:textId="7CBC804B" w:rsidR="004F5AB7" w:rsidRPr="0004166A"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106882">
        <w:rPr>
          <w:sz w:val="24"/>
          <w:szCs w:val="24"/>
          <w:lang w:val="en-CA" w:eastAsia="zh-CN"/>
        </w:rPr>
        <w:t>[</w:t>
      </w:r>
      <w:r w:rsidRPr="00106882">
        <w:rPr>
          <w:rFonts w:eastAsia="KaiTi"/>
          <w:sz w:val="24"/>
          <w:szCs w:val="24"/>
          <w:lang w:eastAsia="zh-CN"/>
        </w:rPr>
        <w:t>又回顾</w:t>
      </w:r>
      <w:r w:rsidRPr="00106882">
        <w:rPr>
          <w:sz w:val="24"/>
          <w:szCs w:val="24"/>
          <w:lang w:val="en-CA" w:eastAsia="zh-CN"/>
        </w:rPr>
        <w:t>《生物多样性公约》</w:t>
      </w:r>
      <w:r w:rsidRPr="00106882">
        <w:rPr>
          <w:sz w:val="24"/>
          <w:szCs w:val="24"/>
          <w:vertAlign w:val="superscript"/>
          <w:lang w:val="en-CA" w:eastAsia="zh-CN"/>
        </w:rPr>
        <w:footnoteReference w:id="2"/>
      </w:r>
      <w:r w:rsidRPr="00106882">
        <w:rPr>
          <w:sz w:val="24"/>
          <w:szCs w:val="24"/>
          <w:lang w:val="en-CA" w:eastAsia="zh-CN"/>
        </w:rPr>
        <w:t>第</w:t>
      </w:r>
      <w:r w:rsidRPr="00106882">
        <w:rPr>
          <w:sz w:val="24"/>
          <w:szCs w:val="24"/>
          <w:lang w:val="en-CA" w:eastAsia="zh-CN"/>
        </w:rPr>
        <w:t xml:space="preserve"> 6</w:t>
      </w:r>
      <w:r w:rsidRPr="00106882">
        <w:rPr>
          <w:sz w:val="24"/>
          <w:szCs w:val="24"/>
          <w:lang w:val="en-CA" w:eastAsia="zh-CN"/>
        </w:rPr>
        <w:t>条</w:t>
      </w:r>
      <w:r w:rsidRPr="00106882">
        <w:rPr>
          <w:sz w:val="24"/>
          <w:szCs w:val="24"/>
          <w:lang w:val="en-CA" w:eastAsia="zh-CN"/>
        </w:rPr>
        <w:t>(b)</w:t>
      </w:r>
      <w:r w:rsidRPr="00106882">
        <w:rPr>
          <w:sz w:val="24"/>
          <w:szCs w:val="24"/>
          <w:lang w:val="en-CA" w:eastAsia="zh-CN"/>
        </w:rPr>
        <w:t>款，</w:t>
      </w:r>
      <w:r w:rsidRPr="0004166A">
        <w:rPr>
          <w:sz w:val="24"/>
          <w:szCs w:val="24"/>
          <w:lang w:val="en-CA" w:eastAsia="zh-CN"/>
        </w:rPr>
        <w:t>其中要求缔约方尽可能并酌情将</w:t>
      </w:r>
      <w:r w:rsidRPr="0004166A">
        <w:rPr>
          <w:sz w:val="24"/>
          <w:szCs w:val="24"/>
          <w:lang w:val="en-CA" w:eastAsia="zh-CN"/>
        </w:rPr>
        <w:t xml:space="preserve"> </w:t>
      </w:r>
      <w:r w:rsidRPr="0004166A">
        <w:rPr>
          <w:sz w:val="24"/>
          <w:szCs w:val="24"/>
          <w:lang w:val="en-CA" w:eastAsia="zh-CN"/>
        </w:rPr>
        <w:t>保护和可持续利用生物多样性纳入有关部门或跨部门计划、方案和政策，</w:t>
      </w:r>
      <w:r w:rsidRPr="0004166A">
        <w:rPr>
          <w:sz w:val="24"/>
          <w:szCs w:val="24"/>
          <w:lang w:val="en-CA" w:eastAsia="zh-CN"/>
        </w:rPr>
        <w:t>]</w:t>
      </w:r>
      <w:r w:rsidR="0050437F" w:rsidRPr="0004166A">
        <w:rPr>
          <w:rStyle w:val="FootnoteReference"/>
          <w:sz w:val="24"/>
          <w:szCs w:val="24"/>
          <w:lang w:eastAsia="zh-CN"/>
        </w:rPr>
        <w:t xml:space="preserve"> </w:t>
      </w:r>
      <w:bookmarkStart w:id="1" w:name="_Ref180524199"/>
      <w:r w:rsidR="0050437F" w:rsidRPr="0004166A">
        <w:rPr>
          <w:rStyle w:val="FootnoteReference"/>
          <w:sz w:val="24"/>
          <w:szCs w:val="24"/>
        </w:rPr>
        <w:footnoteReference w:id="3"/>
      </w:r>
      <w:bookmarkEnd w:id="1"/>
    </w:p>
    <w:p w14:paraId="7D18D065" w14:textId="53B40C17" w:rsidR="004F5AB7" w:rsidRPr="0004166A" w:rsidRDefault="004F5AB7" w:rsidP="007F3FE7">
      <w:p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04166A">
        <w:rPr>
          <w:rFonts w:eastAsia="KaiTi"/>
          <w:sz w:val="24"/>
          <w:szCs w:val="24"/>
          <w:lang w:eastAsia="zh-CN"/>
        </w:rPr>
        <w:t>[</w:t>
      </w:r>
      <w:r w:rsidRPr="0004166A">
        <w:rPr>
          <w:rFonts w:eastAsia="KaiTi"/>
          <w:sz w:val="24"/>
          <w:szCs w:val="24"/>
          <w:lang w:eastAsia="zh-CN"/>
        </w:rPr>
        <w:t>重申</w:t>
      </w:r>
      <w:r w:rsidRPr="0004166A">
        <w:rPr>
          <w:sz w:val="24"/>
          <w:szCs w:val="24"/>
          <w:lang w:val="en-CA" w:eastAsia="zh-CN"/>
        </w:rPr>
        <w:t>将生物多样性纳入整个政府和整个社会的主流，以实现《公约》及其议定书的各项目标至关重要，而且迫切需要根据《昆明</w:t>
      </w:r>
      <w:r w:rsidRPr="0004166A">
        <w:rPr>
          <w:rFonts w:eastAsia="Times New Roman"/>
          <w:sz w:val="24"/>
          <w:szCs w:val="24"/>
          <w:lang w:val="en-CA" w:eastAsia="zh-CN"/>
        </w:rPr>
        <w:t>-</w:t>
      </w:r>
      <w:r w:rsidRPr="0004166A">
        <w:rPr>
          <w:sz w:val="24"/>
          <w:szCs w:val="24"/>
          <w:lang w:val="en-CA" w:eastAsia="zh-CN"/>
        </w:rPr>
        <w:t>蒙特利尔全球生物多样性框架》</w:t>
      </w:r>
      <w:r w:rsidRPr="0004166A">
        <w:rPr>
          <w:sz w:val="24"/>
          <w:szCs w:val="24"/>
          <w:vertAlign w:val="superscript"/>
          <w:lang w:val="en-CA" w:eastAsia="zh-CN"/>
        </w:rPr>
        <w:footnoteReference w:id="4"/>
      </w:r>
      <w:r w:rsidRPr="0004166A">
        <w:rPr>
          <w:sz w:val="24"/>
          <w:szCs w:val="24"/>
          <w:lang w:val="en-CA" w:eastAsia="zh-CN"/>
        </w:rPr>
        <w:t>将生物多样性纳入主流，</w:t>
      </w:r>
      <w:r w:rsidRPr="0004166A">
        <w:rPr>
          <w:sz w:val="24"/>
          <w:szCs w:val="24"/>
          <w:lang w:val="en-CA" w:eastAsia="zh-CN"/>
        </w:rPr>
        <w:t>]</w:t>
      </w:r>
      <w:r w:rsidR="0050437F" w:rsidRPr="0004166A">
        <w:rPr>
          <w:sz w:val="24"/>
          <w:szCs w:val="24"/>
          <w:vertAlign w:val="superscript"/>
          <w:lang w:eastAsia="zh-CN"/>
        </w:rPr>
        <w:t xml:space="preserve"> </w:t>
      </w:r>
      <w:r w:rsidR="0050437F" w:rsidRPr="0004166A">
        <w:rPr>
          <w:sz w:val="24"/>
          <w:szCs w:val="24"/>
          <w:vertAlign w:val="superscript"/>
          <w:lang w:eastAsia="zh-CN"/>
        </w:rPr>
        <w:fldChar w:fldCharType="begin"/>
      </w:r>
      <w:r w:rsidR="0050437F" w:rsidRPr="0004166A">
        <w:rPr>
          <w:sz w:val="24"/>
          <w:szCs w:val="24"/>
          <w:vertAlign w:val="superscript"/>
          <w:lang w:eastAsia="zh-CN"/>
        </w:rPr>
        <w:instrText xml:space="preserve"> NOTEREF _Ref180524199 \h </w:instrText>
      </w:r>
      <w:r w:rsidR="00106882" w:rsidRPr="0004166A">
        <w:rPr>
          <w:sz w:val="24"/>
          <w:szCs w:val="24"/>
          <w:vertAlign w:val="superscript"/>
          <w:lang w:eastAsia="zh-CN"/>
        </w:rPr>
        <w:instrText xml:space="preserve"> \* MERGEFORMAT </w:instrText>
      </w:r>
      <w:r w:rsidR="0050437F" w:rsidRPr="0004166A">
        <w:rPr>
          <w:sz w:val="24"/>
          <w:szCs w:val="24"/>
          <w:vertAlign w:val="superscript"/>
          <w:lang w:eastAsia="zh-CN"/>
        </w:rPr>
      </w:r>
      <w:r w:rsidR="0050437F" w:rsidRPr="0004166A">
        <w:rPr>
          <w:sz w:val="24"/>
          <w:szCs w:val="24"/>
          <w:vertAlign w:val="superscript"/>
          <w:lang w:eastAsia="zh-CN"/>
        </w:rPr>
        <w:fldChar w:fldCharType="separate"/>
      </w:r>
      <w:r w:rsidR="0050437F" w:rsidRPr="0004166A">
        <w:rPr>
          <w:sz w:val="24"/>
          <w:szCs w:val="24"/>
          <w:vertAlign w:val="superscript"/>
          <w:lang w:eastAsia="zh-CN"/>
        </w:rPr>
        <w:t>2</w:t>
      </w:r>
      <w:r w:rsidR="0050437F" w:rsidRPr="0004166A">
        <w:rPr>
          <w:sz w:val="24"/>
          <w:szCs w:val="24"/>
          <w:vertAlign w:val="superscript"/>
          <w:lang w:eastAsia="zh-CN"/>
        </w:rPr>
        <w:fldChar w:fldCharType="end"/>
      </w:r>
    </w:p>
    <w:p w14:paraId="3BFFAA34" w14:textId="77777777" w:rsidR="004F5AB7" w:rsidRPr="0004166A"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04166A">
        <w:rPr>
          <w:rFonts w:eastAsia="KaiTi"/>
          <w:sz w:val="24"/>
          <w:szCs w:val="24"/>
          <w:lang w:eastAsia="zh-CN"/>
        </w:rPr>
        <w:t>注意到</w:t>
      </w:r>
      <w:r w:rsidRPr="0004166A">
        <w:rPr>
          <w:sz w:val="24"/>
          <w:szCs w:val="24"/>
          <w:lang w:eastAsia="zh-CN"/>
        </w:rPr>
        <w:t>各缔约方、国际组织和倡议以及利益攸关方组织提交的材料，包括</w:t>
      </w:r>
      <w:r w:rsidRPr="0004166A">
        <w:rPr>
          <w:rFonts w:eastAsia="Times New Roman"/>
          <w:sz w:val="24"/>
          <w:szCs w:val="24"/>
          <w:lang w:eastAsia="zh-CN"/>
        </w:rPr>
        <w:t>2023</w:t>
      </w:r>
      <w:r w:rsidRPr="0004166A">
        <w:rPr>
          <w:sz w:val="24"/>
          <w:szCs w:val="24"/>
          <w:lang w:eastAsia="zh-CN"/>
        </w:rPr>
        <w:t>年</w:t>
      </w:r>
      <w:r w:rsidRPr="0004166A">
        <w:rPr>
          <w:rFonts w:eastAsia="Times New Roman"/>
          <w:sz w:val="24"/>
          <w:szCs w:val="24"/>
          <w:lang w:eastAsia="zh-CN"/>
        </w:rPr>
        <w:t>1</w:t>
      </w:r>
      <w:r w:rsidRPr="0004166A">
        <w:rPr>
          <w:rFonts w:eastAsiaTheme="minorEastAsia"/>
          <w:sz w:val="24"/>
          <w:szCs w:val="24"/>
          <w:lang w:eastAsia="zh-CN"/>
        </w:rPr>
        <w:t>2</w:t>
      </w:r>
      <w:r w:rsidRPr="0004166A">
        <w:rPr>
          <w:sz w:val="24"/>
          <w:szCs w:val="24"/>
          <w:lang w:eastAsia="zh-CN"/>
        </w:rPr>
        <w:t>月</w:t>
      </w:r>
      <w:r w:rsidRPr="0004166A">
        <w:rPr>
          <w:sz w:val="24"/>
          <w:szCs w:val="24"/>
          <w:lang w:eastAsia="zh-CN"/>
        </w:rPr>
        <w:t>12</w:t>
      </w:r>
      <w:r w:rsidRPr="0004166A">
        <w:rPr>
          <w:sz w:val="24"/>
          <w:szCs w:val="24"/>
          <w:lang w:eastAsia="zh-CN"/>
        </w:rPr>
        <w:t>日至</w:t>
      </w:r>
      <w:r w:rsidRPr="0004166A">
        <w:rPr>
          <w:rFonts w:eastAsia="Times New Roman"/>
          <w:sz w:val="24"/>
          <w:szCs w:val="24"/>
          <w:lang w:eastAsia="zh-CN"/>
        </w:rPr>
        <w:t>2024</w:t>
      </w:r>
      <w:r w:rsidRPr="0004166A">
        <w:rPr>
          <w:sz w:val="24"/>
          <w:szCs w:val="24"/>
          <w:lang w:eastAsia="zh-CN"/>
        </w:rPr>
        <w:t>年</w:t>
      </w:r>
      <w:r w:rsidRPr="0004166A">
        <w:rPr>
          <w:rFonts w:eastAsia="Times New Roman"/>
          <w:sz w:val="24"/>
          <w:szCs w:val="24"/>
          <w:lang w:eastAsia="zh-CN"/>
        </w:rPr>
        <w:t>1</w:t>
      </w:r>
      <w:r w:rsidRPr="0004166A">
        <w:rPr>
          <w:sz w:val="24"/>
          <w:szCs w:val="24"/>
          <w:lang w:eastAsia="zh-CN"/>
        </w:rPr>
        <w:t>月</w:t>
      </w:r>
      <w:r w:rsidRPr="0004166A">
        <w:rPr>
          <w:sz w:val="24"/>
          <w:szCs w:val="24"/>
          <w:lang w:eastAsia="zh-CN"/>
        </w:rPr>
        <w:t>10</w:t>
      </w:r>
      <w:r w:rsidRPr="0004166A">
        <w:rPr>
          <w:sz w:val="24"/>
          <w:szCs w:val="24"/>
          <w:lang w:eastAsia="zh-CN"/>
        </w:rPr>
        <w:t>日举行的主流化在线论坛期间提交的材料，</w:t>
      </w:r>
    </w:p>
    <w:p w14:paraId="5A315BF0" w14:textId="77777777" w:rsidR="004F5AB7" w:rsidRPr="0004166A" w:rsidRDefault="004F5AB7" w:rsidP="007F3FE7">
      <w:p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04166A">
        <w:rPr>
          <w:rFonts w:eastAsia="KaiTi"/>
          <w:sz w:val="24"/>
          <w:szCs w:val="24"/>
          <w:lang w:eastAsia="zh-CN"/>
        </w:rPr>
        <w:t>注意到</w:t>
      </w:r>
      <w:r w:rsidRPr="0004166A">
        <w:rPr>
          <w:sz w:val="24"/>
          <w:szCs w:val="24"/>
          <w:lang w:val="en-CA" w:eastAsia="zh-CN"/>
        </w:rPr>
        <w:t>秘书处进行的分析，其中表明，主流化长期战略方法与《框架》的特定长期目标和行动目标相一致，</w:t>
      </w:r>
      <w:r w:rsidRPr="0004166A">
        <w:rPr>
          <w:sz w:val="24"/>
          <w:szCs w:val="24"/>
          <w:vertAlign w:val="superscript"/>
          <w:lang w:val="en-CA" w:eastAsia="zh-CN"/>
        </w:rPr>
        <w:footnoteReference w:id="5"/>
      </w:r>
    </w:p>
    <w:p w14:paraId="32A0F83B" w14:textId="77777777" w:rsidR="004F5AB7" w:rsidRPr="00106882"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04166A">
        <w:rPr>
          <w:rFonts w:eastAsia="KaiTi"/>
          <w:sz w:val="24"/>
          <w:szCs w:val="24"/>
          <w:lang w:eastAsia="zh-CN"/>
        </w:rPr>
        <w:t>回顾</w:t>
      </w:r>
      <w:r w:rsidRPr="0004166A">
        <w:rPr>
          <w:sz w:val="24"/>
          <w:szCs w:val="24"/>
          <w:lang w:eastAsia="zh-CN"/>
        </w:rPr>
        <w:t>其以下决定：《框架》应作为</w:t>
      </w:r>
      <w:r w:rsidRPr="0004166A">
        <w:rPr>
          <w:rFonts w:eastAsia="Times New Roman"/>
          <w:sz w:val="24"/>
          <w:szCs w:val="24"/>
          <w:lang w:eastAsia="zh-CN"/>
        </w:rPr>
        <w:t>2022-2030</w:t>
      </w:r>
      <w:r w:rsidRPr="0004166A">
        <w:rPr>
          <w:sz w:val="24"/>
          <w:szCs w:val="24"/>
          <w:lang w:eastAsia="zh-CN"/>
        </w:rPr>
        <w:t>年期间执行《公约》及其议定书以及各机构和秘书处的一个战略计划，而且在这方面，该框架应用于根据框架的长期</w:t>
      </w:r>
      <w:r w:rsidRPr="0004166A">
        <w:rPr>
          <w:sz w:val="24"/>
          <w:szCs w:val="24"/>
          <w:lang w:eastAsia="zh-CN"/>
        </w:rPr>
        <w:lastRenderedPageBreak/>
        <w:t>目标和行动目标更好地协调和指导</w:t>
      </w:r>
      <w:r w:rsidRPr="00106882">
        <w:rPr>
          <w:sz w:val="24"/>
          <w:szCs w:val="24"/>
          <w:lang w:eastAsia="zh-CN"/>
        </w:rPr>
        <w:t>《公约》及其议定书以及各机构、秘书处及其预算的工作，</w:t>
      </w:r>
      <w:r w:rsidRPr="00106882">
        <w:rPr>
          <w:sz w:val="24"/>
          <w:szCs w:val="24"/>
          <w:vertAlign w:val="superscript"/>
          <w:lang w:val="en-CA"/>
        </w:rPr>
        <w:footnoteReference w:id="6"/>
      </w:r>
    </w:p>
    <w:p w14:paraId="645FB471" w14:textId="77777777" w:rsidR="004F5AB7" w:rsidRPr="00106882" w:rsidRDefault="004F5AB7" w:rsidP="007F3FE7">
      <w:pPr>
        <w:tabs>
          <w:tab w:val="clear" w:pos="567"/>
          <w:tab w:val="clear" w:pos="1134"/>
          <w:tab w:val="clear" w:pos="1701"/>
          <w:tab w:val="clear" w:pos="2268"/>
        </w:tabs>
        <w:adjustRightInd w:val="0"/>
        <w:snapToGrid w:val="0"/>
        <w:spacing w:before="120" w:after="120"/>
        <w:ind w:left="490" w:firstLine="490"/>
        <w:rPr>
          <w:rFonts w:eastAsia="KaiTi"/>
          <w:sz w:val="24"/>
          <w:szCs w:val="24"/>
          <w:lang w:eastAsia="zh-CN"/>
        </w:rPr>
      </w:pPr>
      <w:r w:rsidRPr="00106882">
        <w:rPr>
          <w:rFonts w:eastAsia="KaiTi"/>
          <w:sz w:val="24"/>
          <w:szCs w:val="24"/>
          <w:lang w:eastAsia="zh-CN"/>
        </w:rPr>
        <w:t>强调</w:t>
      </w:r>
      <w:r w:rsidRPr="00106882">
        <w:rPr>
          <w:sz w:val="24"/>
          <w:szCs w:val="24"/>
          <w:lang w:eastAsia="zh-CN"/>
        </w:rPr>
        <w:t>《公约》及其议定书下的进程必须保持包容性和地域平衡，</w:t>
      </w:r>
    </w:p>
    <w:p w14:paraId="469A380E" w14:textId="77777777" w:rsidR="004F5AB7" w:rsidRPr="00106882" w:rsidRDefault="004F5AB7" w:rsidP="007F3FE7">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106882">
        <w:rPr>
          <w:rFonts w:eastAsia="KaiTi"/>
          <w:sz w:val="24"/>
          <w:szCs w:val="24"/>
          <w:lang w:eastAsia="zh-CN"/>
        </w:rPr>
        <w:t>[</w:t>
      </w:r>
      <w:r w:rsidRPr="00106882">
        <w:rPr>
          <w:rFonts w:eastAsia="KaiTi"/>
          <w:sz w:val="24"/>
          <w:szCs w:val="24"/>
          <w:lang w:eastAsia="zh-CN"/>
        </w:rPr>
        <w:t>认识到</w:t>
      </w:r>
      <w:r w:rsidRPr="00106882">
        <w:rPr>
          <w:sz w:val="24"/>
          <w:szCs w:val="24"/>
          <w:lang w:eastAsia="zh-CN"/>
        </w:rPr>
        <w:t>需要以平衡的方式考虑生物多样性主流化问题，应在灵活的基础上实施与生物多样性主流化有关的行动，考虑到各国的具体情况和能力，生物多样性主流化没有一刀切的办法，</w:t>
      </w:r>
      <w:r w:rsidRPr="00106882">
        <w:rPr>
          <w:sz w:val="24"/>
          <w:szCs w:val="24"/>
          <w:lang w:eastAsia="zh-CN"/>
        </w:rPr>
        <w:t>]</w:t>
      </w:r>
    </w:p>
    <w:p w14:paraId="391DC199" w14:textId="6A980051" w:rsidR="004F5AB7" w:rsidRPr="00106882" w:rsidRDefault="004F5AB7" w:rsidP="00106882">
      <w:pPr>
        <w:tabs>
          <w:tab w:val="clear" w:pos="567"/>
          <w:tab w:val="clear" w:pos="1134"/>
          <w:tab w:val="clear" w:pos="1701"/>
          <w:tab w:val="clear" w:pos="2268"/>
        </w:tabs>
        <w:adjustRightInd w:val="0"/>
        <w:snapToGrid w:val="0"/>
        <w:spacing w:before="120" w:after="120"/>
        <w:ind w:left="490" w:firstLine="490"/>
        <w:rPr>
          <w:rFonts w:eastAsia="KaiTi"/>
          <w:sz w:val="24"/>
          <w:szCs w:val="24"/>
          <w:lang w:eastAsia="zh-CN"/>
        </w:rPr>
      </w:pPr>
      <w:r w:rsidRPr="00106882">
        <w:rPr>
          <w:rFonts w:eastAsia="KaiTi"/>
          <w:sz w:val="24"/>
          <w:szCs w:val="24"/>
          <w:lang w:eastAsia="zh-CN"/>
        </w:rPr>
        <w:t>1.</w:t>
      </w:r>
      <w:r w:rsidRPr="00106882">
        <w:rPr>
          <w:rFonts w:eastAsia="KaiTi"/>
          <w:sz w:val="24"/>
          <w:szCs w:val="24"/>
          <w:lang w:eastAsia="zh-CN"/>
        </w:rPr>
        <w:tab/>
      </w:r>
      <w:r w:rsidR="007F3FE7" w:rsidRPr="00106882">
        <w:rPr>
          <w:rFonts w:eastAsia="KaiTi"/>
          <w:sz w:val="24"/>
          <w:szCs w:val="24"/>
          <w:lang w:eastAsia="zh-CN"/>
        </w:rPr>
        <w:t>确认</w:t>
      </w:r>
      <w:r w:rsidRPr="00106882">
        <w:rPr>
          <w:sz w:val="24"/>
          <w:szCs w:val="24"/>
          <w:lang w:eastAsia="zh-CN"/>
        </w:rPr>
        <w:t>《昆明</w:t>
      </w:r>
      <w:r w:rsidRPr="00106882">
        <w:rPr>
          <w:rFonts w:eastAsia="Times New Roman"/>
          <w:sz w:val="24"/>
          <w:szCs w:val="24"/>
          <w:lang w:eastAsia="zh-CN"/>
        </w:rPr>
        <w:t>-</w:t>
      </w:r>
      <w:r w:rsidRPr="00106882">
        <w:rPr>
          <w:sz w:val="24"/>
          <w:szCs w:val="24"/>
          <w:lang w:eastAsia="zh-CN"/>
        </w:rPr>
        <w:t>蒙特利尔全球生物多样性框架》体现了生物多样性主流化，提供了多种多样的选项来实现这一主流化</w:t>
      </w:r>
      <w:r w:rsidR="0050437F" w:rsidRPr="00106882">
        <w:rPr>
          <w:sz w:val="24"/>
          <w:szCs w:val="24"/>
          <w:lang w:eastAsia="zh-CN"/>
        </w:rPr>
        <w:t>，认为第</w:t>
      </w:r>
      <w:r w:rsidR="0050437F" w:rsidRPr="00106882">
        <w:rPr>
          <w:sz w:val="24"/>
          <w:szCs w:val="24"/>
          <w:lang w:eastAsia="zh-CN"/>
        </w:rPr>
        <w:t>14/</w:t>
      </w:r>
      <w:proofErr w:type="gramStart"/>
      <w:r w:rsidR="0050437F" w:rsidRPr="00106882">
        <w:rPr>
          <w:sz w:val="24"/>
          <w:szCs w:val="24"/>
          <w:lang w:eastAsia="zh-CN"/>
        </w:rPr>
        <w:t>3</w:t>
      </w:r>
      <w:r w:rsidR="0050437F" w:rsidRPr="00106882">
        <w:rPr>
          <w:sz w:val="24"/>
          <w:szCs w:val="24"/>
          <w:lang w:eastAsia="zh-CN"/>
        </w:rPr>
        <w:t>号决定第</w:t>
      </w:r>
      <w:r w:rsidR="0050437F" w:rsidRPr="00106882">
        <w:rPr>
          <w:sz w:val="24"/>
          <w:szCs w:val="24"/>
          <w:lang w:eastAsia="zh-CN"/>
        </w:rPr>
        <w:t>17</w:t>
      </w:r>
      <w:r w:rsidR="0050437F" w:rsidRPr="00106882">
        <w:rPr>
          <w:sz w:val="24"/>
          <w:szCs w:val="24"/>
          <w:lang w:eastAsia="zh-CN"/>
        </w:rPr>
        <w:t>和第</w:t>
      </w:r>
      <w:r w:rsidR="0050437F" w:rsidRPr="00106882">
        <w:rPr>
          <w:sz w:val="24"/>
          <w:szCs w:val="24"/>
          <w:lang w:eastAsia="zh-CN"/>
        </w:rPr>
        <w:t>18</w:t>
      </w:r>
      <w:r w:rsidR="0050437F" w:rsidRPr="00106882">
        <w:rPr>
          <w:sz w:val="24"/>
          <w:szCs w:val="24"/>
          <w:lang w:eastAsia="zh-CN"/>
        </w:rPr>
        <w:t>段的规定已执行；</w:t>
      </w:r>
      <w:proofErr w:type="gramEnd"/>
      <w:r w:rsidR="001101B7" w:rsidRPr="00106882">
        <w:rPr>
          <w:rFonts w:eastAsia="KaiTi"/>
          <w:sz w:val="24"/>
          <w:szCs w:val="24"/>
          <w:lang w:eastAsia="zh-CN"/>
        </w:rPr>
        <w:t xml:space="preserve"> </w:t>
      </w:r>
    </w:p>
    <w:p w14:paraId="4598EA44" w14:textId="4F516DFF" w:rsidR="004F5AB7" w:rsidRPr="00106882" w:rsidRDefault="0050437F" w:rsidP="007F3FE7">
      <w:pPr>
        <w:numPr>
          <w:ilvl w:val="3"/>
          <w:numId w:val="0"/>
        </w:numPr>
        <w:tabs>
          <w:tab w:val="clear" w:pos="567"/>
          <w:tab w:val="clear" w:pos="1134"/>
          <w:tab w:val="clear" w:pos="1701"/>
          <w:tab w:val="clear" w:pos="2268"/>
        </w:tabs>
        <w:adjustRightInd w:val="0"/>
        <w:snapToGrid w:val="0"/>
        <w:spacing w:before="120" w:after="120"/>
        <w:ind w:left="490" w:firstLine="490"/>
        <w:rPr>
          <w:bCs/>
          <w:sz w:val="24"/>
          <w:szCs w:val="24"/>
          <w:vertAlign w:val="superscript"/>
          <w:lang w:val="en-CA" w:eastAsia="zh-CN"/>
        </w:rPr>
      </w:pPr>
      <w:r w:rsidRPr="00106882">
        <w:rPr>
          <w:rFonts w:eastAsia="KaiTi"/>
          <w:sz w:val="24"/>
          <w:szCs w:val="24"/>
          <w:lang w:eastAsia="zh-CN"/>
        </w:rPr>
        <w:t>2</w:t>
      </w:r>
      <w:r w:rsidR="00C13E25" w:rsidRPr="00106882">
        <w:rPr>
          <w:rFonts w:eastAsia="KaiTi"/>
          <w:sz w:val="24"/>
          <w:szCs w:val="24"/>
          <w:lang w:eastAsia="zh-CN"/>
        </w:rPr>
        <w:t>.</w:t>
      </w:r>
      <w:r w:rsidR="00C13E25" w:rsidRPr="00106882">
        <w:rPr>
          <w:rFonts w:eastAsia="KaiTi"/>
          <w:sz w:val="24"/>
          <w:szCs w:val="24"/>
          <w:lang w:eastAsia="zh-CN"/>
        </w:rPr>
        <w:tab/>
      </w:r>
      <w:r w:rsidR="004F5AB7" w:rsidRPr="00106882">
        <w:rPr>
          <w:rFonts w:eastAsia="KaiTi"/>
          <w:sz w:val="24"/>
          <w:szCs w:val="24"/>
          <w:lang w:eastAsia="zh-CN"/>
        </w:rPr>
        <w:t>敦促</w:t>
      </w:r>
      <w:r w:rsidR="004F5AB7" w:rsidRPr="00106882">
        <w:rPr>
          <w:sz w:val="24"/>
          <w:szCs w:val="24"/>
          <w:lang w:val="en-CA" w:eastAsia="zh-CN"/>
        </w:rPr>
        <w:t>各缔约方并邀请其他国家政府酌情在国际组织、其他相关组织以及工商界和金融界的支持下，以有助于实现《生物多样性公约》三大目标的方式开展《框架》所述生物多样性主流化工作，特别是酌情采取包容的方式，根据相关的国家和国际法规在政府和社会各级为主流化创造有利条件，帮助妇女、青年、土著人民和地方社区、民间社会组织和各行各业的利益攸关方</w:t>
      </w:r>
      <w:r w:rsidR="004F5AB7" w:rsidRPr="00106882">
        <w:rPr>
          <w:sz w:val="24"/>
          <w:szCs w:val="24"/>
          <w:vertAlign w:val="superscript"/>
          <w:lang w:val="en-CA" w:eastAsia="zh-CN"/>
        </w:rPr>
        <w:footnoteReference w:id="7"/>
      </w:r>
      <w:r w:rsidR="004F5AB7" w:rsidRPr="00106882">
        <w:rPr>
          <w:sz w:val="24"/>
          <w:szCs w:val="24"/>
          <w:lang w:val="en-CA" w:eastAsia="zh-CN"/>
        </w:rPr>
        <w:t>充分有效地做出贡献；</w:t>
      </w:r>
    </w:p>
    <w:p w14:paraId="16600AD2" w14:textId="01F59DA4" w:rsidR="004F5AB7" w:rsidRPr="00106882" w:rsidRDefault="0050437F" w:rsidP="007F3FE7">
      <w:pPr>
        <w:numPr>
          <w:ilvl w:val="3"/>
          <w:numId w:val="0"/>
        </w:numPr>
        <w:tabs>
          <w:tab w:val="clear" w:pos="567"/>
          <w:tab w:val="clear" w:pos="1134"/>
          <w:tab w:val="clear" w:pos="1701"/>
          <w:tab w:val="clear" w:pos="2268"/>
        </w:tabs>
        <w:adjustRightInd w:val="0"/>
        <w:snapToGrid w:val="0"/>
        <w:spacing w:before="120" w:after="120"/>
        <w:ind w:left="490" w:firstLine="490"/>
        <w:rPr>
          <w:bCs/>
          <w:sz w:val="24"/>
          <w:szCs w:val="24"/>
          <w:vertAlign w:val="superscript"/>
          <w:lang w:val="en-GB" w:eastAsia="zh-CN"/>
        </w:rPr>
      </w:pPr>
      <w:r w:rsidRPr="00106882">
        <w:rPr>
          <w:rFonts w:eastAsia="KaiTi"/>
          <w:sz w:val="24"/>
          <w:szCs w:val="24"/>
          <w:lang w:eastAsia="zh-CN"/>
        </w:rPr>
        <w:t>3</w:t>
      </w:r>
      <w:r w:rsidR="00C13E25" w:rsidRPr="00106882">
        <w:rPr>
          <w:rFonts w:eastAsia="KaiTi"/>
          <w:sz w:val="24"/>
          <w:szCs w:val="24"/>
          <w:lang w:eastAsia="zh-CN"/>
        </w:rPr>
        <w:t>.</w:t>
      </w:r>
      <w:r w:rsidR="00C13E25" w:rsidRPr="00106882">
        <w:rPr>
          <w:rFonts w:eastAsia="KaiTi"/>
          <w:sz w:val="24"/>
          <w:szCs w:val="24"/>
          <w:lang w:eastAsia="zh-CN"/>
        </w:rPr>
        <w:tab/>
      </w:r>
      <w:r w:rsidR="004F5AB7" w:rsidRPr="00106882">
        <w:rPr>
          <w:rFonts w:eastAsia="KaiTi"/>
          <w:sz w:val="24"/>
          <w:szCs w:val="24"/>
          <w:lang w:eastAsia="zh-CN"/>
        </w:rPr>
        <w:t>邀请</w:t>
      </w:r>
      <w:r w:rsidR="004F5AB7" w:rsidRPr="00106882">
        <w:rPr>
          <w:sz w:val="24"/>
          <w:szCs w:val="24"/>
          <w:lang w:eastAsia="zh-CN"/>
        </w:rPr>
        <w:t>缔约方以及相关组织、倡议和利益攸关方根据缔约方大会第</w:t>
      </w:r>
      <w:r w:rsidR="004F5AB7" w:rsidRPr="00106882">
        <w:rPr>
          <w:sz w:val="24"/>
          <w:szCs w:val="24"/>
          <w:lang w:eastAsia="zh-CN"/>
        </w:rPr>
        <w:t>2022</w:t>
      </w:r>
      <w:r w:rsidR="004F5AB7" w:rsidRPr="00106882">
        <w:rPr>
          <w:sz w:val="24"/>
          <w:szCs w:val="24"/>
          <w:lang w:eastAsia="zh-CN"/>
        </w:rPr>
        <w:t>年</w:t>
      </w:r>
      <w:r w:rsidR="004F5AB7" w:rsidRPr="00106882">
        <w:rPr>
          <w:sz w:val="24"/>
          <w:szCs w:val="24"/>
          <w:lang w:eastAsia="zh-CN"/>
        </w:rPr>
        <w:t>12</w:t>
      </w:r>
      <w:r w:rsidR="004F5AB7" w:rsidRPr="00106882">
        <w:rPr>
          <w:sz w:val="24"/>
          <w:szCs w:val="24"/>
          <w:lang w:eastAsia="zh-CN"/>
        </w:rPr>
        <w:t>月</w:t>
      </w:r>
      <w:r w:rsidR="004F5AB7" w:rsidRPr="00106882">
        <w:rPr>
          <w:sz w:val="24"/>
          <w:szCs w:val="24"/>
          <w:lang w:eastAsia="zh-CN"/>
        </w:rPr>
        <w:t>19</w:t>
      </w:r>
      <w:r w:rsidR="004F5AB7" w:rsidRPr="00106882">
        <w:rPr>
          <w:sz w:val="24"/>
          <w:szCs w:val="24"/>
          <w:lang w:eastAsia="zh-CN"/>
        </w:rPr>
        <w:t>日第</w:t>
      </w:r>
      <w:r w:rsidR="004F5AB7" w:rsidRPr="00106882">
        <w:rPr>
          <w:rFonts w:eastAsia="Times New Roman"/>
          <w:sz w:val="24"/>
          <w:szCs w:val="24"/>
          <w:lang w:eastAsia="zh-CN"/>
        </w:rPr>
        <w:t>15/6</w:t>
      </w:r>
      <w:r w:rsidR="004F5AB7" w:rsidRPr="00106882">
        <w:rPr>
          <w:sz w:val="24"/>
          <w:szCs w:val="24"/>
          <w:lang w:eastAsia="zh-CN"/>
        </w:rPr>
        <w:t>号决定，通过第七次国家报告提供生物多样性主流化相关信息，包括这方面的良好做法、创新、挑战和经验教训，非国家行为体则根据第</w:t>
      </w:r>
      <w:r w:rsidR="004F5AB7" w:rsidRPr="00106882">
        <w:rPr>
          <w:sz w:val="24"/>
          <w:szCs w:val="24"/>
          <w:lang w:eastAsia="zh-CN"/>
        </w:rPr>
        <w:t>16/--</w:t>
      </w:r>
      <w:r w:rsidR="004F5AB7" w:rsidRPr="00106882">
        <w:rPr>
          <w:sz w:val="24"/>
          <w:szCs w:val="24"/>
          <w:lang w:eastAsia="zh-CN"/>
        </w:rPr>
        <w:t>号决定在报告其所作承诺时提供这些信息；</w:t>
      </w:r>
      <w:bookmarkStart w:id="2" w:name="_Ref180524666"/>
      <w:r w:rsidRPr="0004166A">
        <w:rPr>
          <w:rStyle w:val="FootnoteReference"/>
          <w:snapToGrid w:val="0"/>
          <w:kern w:val="22"/>
          <w:sz w:val="24"/>
          <w:szCs w:val="24"/>
          <w:lang w:val="en-GB"/>
        </w:rPr>
        <w:footnoteReference w:id="8"/>
      </w:r>
      <w:bookmarkEnd w:id="2"/>
    </w:p>
    <w:p w14:paraId="7D8BE524" w14:textId="28F660D8" w:rsidR="004F5AB7" w:rsidRPr="00106882" w:rsidRDefault="0050437F" w:rsidP="007F3FE7">
      <w:pPr>
        <w:numPr>
          <w:ilvl w:val="3"/>
          <w:numId w:val="0"/>
        </w:numPr>
        <w:tabs>
          <w:tab w:val="clear" w:pos="567"/>
          <w:tab w:val="clear" w:pos="1134"/>
          <w:tab w:val="clear" w:pos="1701"/>
          <w:tab w:val="clear" w:pos="2268"/>
        </w:tabs>
        <w:adjustRightInd w:val="0"/>
        <w:snapToGrid w:val="0"/>
        <w:spacing w:before="120" w:after="120"/>
        <w:ind w:left="490" w:firstLine="490"/>
        <w:rPr>
          <w:rFonts w:eastAsia="KaiTi"/>
          <w:sz w:val="24"/>
          <w:szCs w:val="24"/>
          <w:lang w:eastAsia="zh-CN"/>
        </w:rPr>
      </w:pPr>
      <w:r w:rsidRPr="00106882">
        <w:rPr>
          <w:rFonts w:eastAsia="KaiTi"/>
          <w:sz w:val="24"/>
          <w:szCs w:val="24"/>
          <w:lang w:eastAsia="zh-CN"/>
        </w:rPr>
        <w:t>4</w:t>
      </w:r>
      <w:r w:rsidR="00C13E25" w:rsidRPr="00106882">
        <w:rPr>
          <w:rFonts w:eastAsia="KaiTi"/>
          <w:sz w:val="24"/>
          <w:szCs w:val="24"/>
          <w:lang w:eastAsia="zh-CN"/>
        </w:rPr>
        <w:t>.</w:t>
      </w:r>
      <w:r w:rsidR="00C13E25" w:rsidRPr="00106882">
        <w:rPr>
          <w:rFonts w:eastAsia="KaiTi"/>
          <w:sz w:val="24"/>
          <w:szCs w:val="24"/>
          <w:lang w:eastAsia="zh-CN"/>
        </w:rPr>
        <w:tab/>
      </w:r>
      <w:r w:rsidR="004F5AB7" w:rsidRPr="00106882">
        <w:rPr>
          <w:rFonts w:eastAsia="KaiTi"/>
          <w:sz w:val="24"/>
          <w:szCs w:val="24"/>
          <w:lang w:eastAsia="zh-CN"/>
        </w:rPr>
        <w:t>鼓励</w:t>
      </w:r>
      <w:r w:rsidR="004F5AB7" w:rsidRPr="00106882">
        <w:rPr>
          <w:sz w:val="24"/>
          <w:szCs w:val="24"/>
          <w:lang w:eastAsia="zh-CN"/>
        </w:rPr>
        <w:t>缔约方根据本国国情和优先事项，促进和支持有助于实现《公约》三大目标的商业模式；</w:t>
      </w:r>
      <w:r w:rsidR="0004166A">
        <w:rPr>
          <w:rFonts w:hint="eastAsia"/>
          <w:sz w:val="24"/>
          <w:szCs w:val="24"/>
          <w:vertAlign w:val="superscript"/>
          <w:lang w:eastAsia="zh-CN"/>
        </w:rPr>
        <w:t>7</w:t>
      </w:r>
    </w:p>
    <w:p w14:paraId="7AE28186" w14:textId="5C5300F6" w:rsidR="004F5AB7" w:rsidRPr="00106882" w:rsidRDefault="0050437F" w:rsidP="007F3FE7">
      <w:pPr>
        <w:numPr>
          <w:ilvl w:val="3"/>
          <w:numId w:val="0"/>
        </w:numPr>
        <w:tabs>
          <w:tab w:val="clear" w:pos="567"/>
          <w:tab w:val="clear" w:pos="1134"/>
          <w:tab w:val="clear" w:pos="1701"/>
          <w:tab w:val="clear" w:pos="2268"/>
        </w:tabs>
        <w:adjustRightInd w:val="0"/>
        <w:snapToGrid w:val="0"/>
        <w:spacing w:before="120" w:after="120"/>
        <w:ind w:left="490" w:firstLine="490"/>
        <w:rPr>
          <w:rFonts w:eastAsia="KaiTi"/>
          <w:sz w:val="24"/>
          <w:szCs w:val="24"/>
          <w:lang w:eastAsia="zh-CN"/>
        </w:rPr>
      </w:pPr>
      <w:r w:rsidRPr="00106882">
        <w:rPr>
          <w:rFonts w:eastAsia="KaiTi"/>
          <w:sz w:val="24"/>
          <w:szCs w:val="24"/>
          <w:lang w:eastAsia="zh-CN"/>
        </w:rPr>
        <w:t>5</w:t>
      </w:r>
      <w:r w:rsidR="00C13E25" w:rsidRPr="00106882">
        <w:rPr>
          <w:rFonts w:eastAsia="KaiTi"/>
          <w:sz w:val="24"/>
          <w:szCs w:val="24"/>
          <w:lang w:eastAsia="zh-CN"/>
        </w:rPr>
        <w:t>.</w:t>
      </w:r>
      <w:r w:rsidR="00C13E25" w:rsidRPr="00106882">
        <w:rPr>
          <w:rFonts w:eastAsia="KaiTi"/>
          <w:sz w:val="24"/>
          <w:szCs w:val="24"/>
          <w:lang w:eastAsia="zh-CN"/>
        </w:rPr>
        <w:tab/>
      </w:r>
      <w:r w:rsidR="004F5AB7" w:rsidRPr="00106882">
        <w:rPr>
          <w:rFonts w:eastAsia="KaiTi"/>
          <w:sz w:val="24"/>
          <w:szCs w:val="24"/>
          <w:lang w:eastAsia="zh-CN"/>
        </w:rPr>
        <w:t>又鼓励</w:t>
      </w:r>
      <w:r w:rsidR="004F5AB7" w:rsidRPr="00106882">
        <w:rPr>
          <w:sz w:val="24"/>
          <w:szCs w:val="24"/>
          <w:lang w:eastAsia="zh-CN"/>
        </w:rPr>
        <w:t>缔约方并邀请其他国家政府、相关组织、倡议、伙伴和相关利益攸关方，包括私营部门、金融部门和科学界的利益攸关方，将《框架》及其工具和指导意见纳入所有相关进程的主流；</w:t>
      </w:r>
      <w:r w:rsidR="0004166A">
        <w:rPr>
          <w:rFonts w:hint="eastAsia"/>
          <w:sz w:val="24"/>
          <w:szCs w:val="24"/>
          <w:vertAlign w:val="superscript"/>
          <w:lang w:eastAsia="zh-CN"/>
        </w:rPr>
        <w:t>7</w:t>
      </w:r>
    </w:p>
    <w:p w14:paraId="5E8FDDCD" w14:textId="250DE73E" w:rsidR="004F5AB7" w:rsidRPr="004F5AB7" w:rsidRDefault="0050437F" w:rsidP="007F3FE7">
      <w:pPr>
        <w:numPr>
          <w:ilvl w:val="3"/>
          <w:numId w:val="0"/>
        </w:numPr>
        <w:tabs>
          <w:tab w:val="clear" w:pos="567"/>
          <w:tab w:val="clear" w:pos="1134"/>
          <w:tab w:val="clear" w:pos="1701"/>
          <w:tab w:val="clear" w:pos="2268"/>
        </w:tabs>
        <w:adjustRightInd w:val="0"/>
        <w:snapToGrid w:val="0"/>
        <w:spacing w:before="120" w:after="120"/>
        <w:ind w:left="490" w:firstLine="490"/>
        <w:rPr>
          <w:bCs/>
          <w:sz w:val="24"/>
          <w:szCs w:val="24"/>
          <w:vertAlign w:val="superscript"/>
          <w:lang w:val="en-CA" w:eastAsia="zh-CN"/>
        </w:rPr>
      </w:pPr>
      <w:r w:rsidRPr="00106882">
        <w:rPr>
          <w:rFonts w:eastAsia="KaiTi"/>
          <w:sz w:val="24"/>
          <w:szCs w:val="24"/>
          <w:lang w:eastAsia="zh-CN"/>
        </w:rPr>
        <w:t>6</w:t>
      </w:r>
      <w:r w:rsidR="00C13E25" w:rsidRPr="00106882">
        <w:rPr>
          <w:rFonts w:eastAsia="KaiTi"/>
          <w:sz w:val="24"/>
          <w:szCs w:val="24"/>
          <w:lang w:eastAsia="zh-CN"/>
        </w:rPr>
        <w:t>.</w:t>
      </w:r>
      <w:r w:rsidR="00C13E25" w:rsidRPr="00106882">
        <w:rPr>
          <w:rFonts w:eastAsia="KaiTi"/>
          <w:sz w:val="24"/>
          <w:szCs w:val="24"/>
          <w:lang w:eastAsia="zh-CN"/>
        </w:rPr>
        <w:tab/>
      </w:r>
      <w:r w:rsidR="004F5AB7" w:rsidRPr="00106882">
        <w:rPr>
          <w:rFonts w:eastAsia="KaiTi"/>
          <w:sz w:val="24"/>
          <w:szCs w:val="24"/>
          <w:lang w:eastAsia="zh-CN"/>
        </w:rPr>
        <w:t>请</w:t>
      </w:r>
      <w:r w:rsidR="004F5AB7" w:rsidRPr="00106882">
        <w:rPr>
          <w:sz w:val="24"/>
          <w:szCs w:val="24"/>
          <w:lang w:eastAsia="zh-CN"/>
        </w:rPr>
        <w:t>执行秘书在</w:t>
      </w:r>
      <w:r w:rsidRPr="00106882">
        <w:rPr>
          <w:sz w:val="24"/>
          <w:szCs w:val="24"/>
          <w:lang w:eastAsia="zh-CN"/>
        </w:rPr>
        <w:t>有</w:t>
      </w:r>
      <w:r w:rsidR="004F5AB7" w:rsidRPr="00106882">
        <w:rPr>
          <w:sz w:val="24"/>
          <w:szCs w:val="24"/>
          <w:lang w:eastAsia="zh-CN"/>
        </w:rPr>
        <w:t>资源的情况下：</w:t>
      </w:r>
    </w:p>
    <w:p w14:paraId="503CDF82" w14:textId="4654C20A"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4F5AB7">
        <w:rPr>
          <w:rFonts w:cs="SimSun" w:hint="eastAsia"/>
          <w:bCs/>
          <w:sz w:val="24"/>
          <w:lang w:eastAsia="zh-CN"/>
        </w:rPr>
        <w:t>将有关生物多样性主流化的考虑纳入为支持《框架》的执行工作而举行的区域</w:t>
      </w:r>
      <w:r w:rsidR="00D16CF9">
        <w:rPr>
          <w:rFonts w:cs="SimSun" w:hint="eastAsia"/>
          <w:bCs/>
          <w:sz w:val="24"/>
          <w:lang w:eastAsia="zh-CN"/>
        </w:rPr>
        <w:t>和次区域对话</w:t>
      </w:r>
      <w:r w:rsidRPr="004F5AB7">
        <w:rPr>
          <w:rFonts w:cs="SimSun" w:hint="eastAsia"/>
          <w:bCs/>
          <w:sz w:val="24"/>
          <w:lang w:eastAsia="zh-CN"/>
        </w:rPr>
        <w:t>会议，包括为此查明存在哪些挑战以及科学、技术和工艺差距，可能有损于各国对主流化提供支持的能力</w:t>
      </w:r>
      <w:r w:rsidR="00D16CF9">
        <w:rPr>
          <w:rFonts w:cs="SimSun" w:hint="eastAsia"/>
          <w:bCs/>
          <w:sz w:val="24"/>
          <w:lang w:eastAsia="zh-CN"/>
        </w:rPr>
        <w:t>，并确保实现公正</w:t>
      </w:r>
      <w:r w:rsidR="0051431B">
        <w:rPr>
          <w:rFonts w:cs="SimSun" w:hint="eastAsia"/>
          <w:bCs/>
          <w:sz w:val="24"/>
          <w:lang w:eastAsia="zh-CN"/>
        </w:rPr>
        <w:t>转型</w:t>
      </w:r>
      <w:r w:rsidR="00D16CF9">
        <w:rPr>
          <w:rFonts w:cs="SimSun" w:hint="eastAsia"/>
          <w:bCs/>
          <w:sz w:val="24"/>
          <w:lang w:eastAsia="zh-CN"/>
        </w:rPr>
        <w:t>，特别是在发展中国家</w:t>
      </w:r>
      <w:r w:rsidRPr="004F5AB7">
        <w:rPr>
          <w:rFonts w:cs="SimSun" w:hint="eastAsia"/>
          <w:bCs/>
          <w:sz w:val="24"/>
          <w:lang w:eastAsia="zh-CN"/>
        </w:rPr>
        <w:t>；</w:t>
      </w:r>
    </w:p>
    <w:p w14:paraId="4A57567E" w14:textId="27600BEA"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4F5AB7">
        <w:rPr>
          <w:rFonts w:cs="SimSun" w:hint="eastAsia"/>
          <w:bCs/>
          <w:sz w:val="24"/>
          <w:lang w:val="en-CA" w:eastAsia="zh-CN"/>
        </w:rPr>
        <w:t>加强</w:t>
      </w:r>
      <w:r w:rsidRPr="004F5AB7">
        <w:rPr>
          <w:rFonts w:cs="SimSun" w:hint="eastAsia"/>
          <w:bCs/>
          <w:sz w:val="24"/>
          <w:lang w:eastAsia="zh-CN"/>
        </w:rPr>
        <w:t>与相关公约的秘书处、组织和机构的合作，酌情促进相关进程和方案之间的协作与合作，以便提供在各级实现生物多样性主流化所需的信息、专门知识和相关技术</w:t>
      </w:r>
      <w:r w:rsidR="00D16CF9">
        <w:rPr>
          <w:rFonts w:cs="SimSun" w:hint="eastAsia"/>
          <w:bCs/>
          <w:sz w:val="24"/>
          <w:lang w:eastAsia="zh-CN"/>
        </w:rPr>
        <w:t>，包括在</w:t>
      </w:r>
      <w:r w:rsidR="0051431B">
        <w:rPr>
          <w:rFonts w:cs="SimSun" w:hint="eastAsia"/>
          <w:bCs/>
          <w:sz w:val="24"/>
          <w:lang w:eastAsia="zh-CN"/>
        </w:rPr>
        <w:t>转型</w:t>
      </w:r>
      <w:r w:rsidR="00D16CF9">
        <w:rPr>
          <w:rFonts w:cs="SimSun" w:hint="eastAsia"/>
          <w:bCs/>
          <w:sz w:val="24"/>
          <w:lang w:eastAsia="zh-CN"/>
        </w:rPr>
        <w:t>计划方面</w:t>
      </w:r>
      <w:r w:rsidRPr="004F5AB7">
        <w:rPr>
          <w:rFonts w:cs="SimSun" w:hint="eastAsia"/>
          <w:bCs/>
          <w:sz w:val="24"/>
          <w:lang w:eastAsia="zh-CN"/>
        </w:rPr>
        <w:t>；</w:t>
      </w:r>
    </w:p>
    <w:p w14:paraId="139DF891" w14:textId="216CEF38" w:rsidR="004F5AB7" w:rsidRPr="004F5AB7" w:rsidRDefault="004F5AB7" w:rsidP="00C723DF">
      <w:pPr>
        <w:numPr>
          <w:ilvl w:val="0"/>
          <w:numId w:val="136"/>
        </w:numPr>
        <w:tabs>
          <w:tab w:val="clear" w:pos="567"/>
          <w:tab w:val="clear" w:pos="1134"/>
          <w:tab w:val="clear" w:pos="1701"/>
          <w:tab w:val="clear" w:pos="2268"/>
        </w:tabs>
        <w:adjustRightInd w:val="0"/>
        <w:snapToGrid w:val="0"/>
        <w:spacing w:before="120" w:after="120"/>
        <w:ind w:left="490" w:firstLine="490"/>
        <w:rPr>
          <w:sz w:val="24"/>
          <w:szCs w:val="24"/>
          <w:vertAlign w:val="superscript"/>
          <w:lang w:val="en-CA" w:eastAsia="zh-CN"/>
        </w:rPr>
      </w:pPr>
      <w:r w:rsidRPr="004F5AB7">
        <w:rPr>
          <w:rFonts w:cs="SimSun" w:hint="eastAsia"/>
          <w:bCs/>
          <w:sz w:val="24"/>
          <w:lang w:eastAsia="zh-CN"/>
        </w:rPr>
        <w:t>邀请缔约方</w:t>
      </w:r>
      <w:r w:rsidR="00D16CF9">
        <w:rPr>
          <w:rFonts w:cs="SimSun" w:hint="eastAsia"/>
          <w:bCs/>
          <w:sz w:val="24"/>
          <w:lang w:eastAsia="zh-CN"/>
        </w:rPr>
        <w:t>、其他</w:t>
      </w:r>
      <w:r w:rsidR="00291BE8">
        <w:rPr>
          <w:rFonts w:cs="SimSun" w:hint="eastAsia"/>
          <w:bCs/>
          <w:sz w:val="24"/>
          <w:lang w:eastAsia="zh-CN"/>
        </w:rPr>
        <w:t>国家</w:t>
      </w:r>
      <w:r w:rsidR="00D16CF9">
        <w:rPr>
          <w:rFonts w:cs="SimSun" w:hint="eastAsia"/>
          <w:bCs/>
          <w:sz w:val="24"/>
          <w:lang w:eastAsia="zh-CN"/>
        </w:rPr>
        <w:t>政府</w:t>
      </w:r>
      <w:r w:rsidRPr="004F5AB7">
        <w:rPr>
          <w:rFonts w:cs="SimSun" w:hint="eastAsia"/>
          <w:bCs/>
          <w:sz w:val="24"/>
          <w:lang w:eastAsia="zh-CN"/>
        </w:rPr>
        <w:t>和相关公约的秘书处、组织和机构</w:t>
      </w:r>
      <w:r w:rsidR="00D16CF9">
        <w:rPr>
          <w:rFonts w:cs="SimSun" w:hint="eastAsia"/>
          <w:bCs/>
          <w:sz w:val="24"/>
          <w:lang w:eastAsia="zh-CN"/>
        </w:rPr>
        <w:t>以及其他利益攸关方</w:t>
      </w:r>
      <w:r w:rsidRPr="004F5AB7">
        <w:rPr>
          <w:rFonts w:cs="SimSun" w:hint="eastAsia"/>
          <w:bCs/>
          <w:sz w:val="24"/>
          <w:lang w:eastAsia="zh-CN"/>
        </w:rPr>
        <w:t>分享能够支持</w:t>
      </w:r>
      <w:r w:rsidR="00D16CF9">
        <w:rPr>
          <w:rFonts w:cs="SimSun" w:hint="eastAsia"/>
          <w:bCs/>
          <w:sz w:val="24"/>
          <w:lang w:eastAsia="zh-CN"/>
        </w:rPr>
        <w:t>各部门</w:t>
      </w:r>
      <w:r w:rsidRPr="004F5AB7">
        <w:rPr>
          <w:rFonts w:cs="SimSun" w:hint="eastAsia"/>
          <w:bCs/>
          <w:sz w:val="24"/>
          <w:lang w:eastAsia="zh-CN"/>
        </w:rPr>
        <w:t>生物多样性主流化的良好做法、工具、机制、指南和相关解决方案，并通过信息交换所机制</w:t>
      </w:r>
      <w:r w:rsidR="00D16CF9">
        <w:rPr>
          <w:rFonts w:cs="SimSun" w:hint="eastAsia"/>
          <w:bCs/>
          <w:sz w:val="24"/>
          <w:lang w:eastAsia="zh-CN"/>
        </w:rPr>
        <w:t>提供该信息的结构化概述</w:t>
      </w:r>
      <w:r w:rsidRPr="004F5AB7">
        <w:rPr>
          <w:rFonts w:cs="SimSun" w:hint="eastAsia"/>
          <w:bCs/>
          <w:sz w:val="24"/>
          <w:lang w:eastAsia="zh-CN"/>
        </w:rPr>
        <w:t>；</w:t>
      </w:r>
    </w:p>
    <w:p w14:paraId="2E558F85" w14:textId="774B1EC8" w:rsidR="004F5AB7" w:rsidRPr="004F5AB7" w:rsidRDefault="00106882" w:rsidP="00106882">
      <w:pPr>
        <w:tabs>
          <w:tab w:val="clear" w:pos="567"/>
          <w:tab w:val="clear" w:pos="1134"/>
          <w:tab w:val="clear" w:pos="1701"/>
          <w:tab w:val="clear" w:pos="2268"/>
        </w:tabs>
        <w:adjustRightInd w:val="0"/>
        <w:snapToGrid w:val="0"/>
        <w:spacing w:before="120" w:after="120"/>
        <w:ind w:left="490" w:firstLine="490"/>
        <w:rPr>
          <w:rFonts w:cs="SimSun"/>
          <w:bCs/>
          <w:sz w:val="24"/>
          <w:lang w:eastAsia="zh-CN"/>
        </w:rPr>
      </w:pPr>
      <w:r>
        <w:rPr>
          <w:rFonts w:cs="SimSun" w:hint="eastAsia"/>
          <w:bCs/>
          <w:sz w:val="24"/>
          <w:lang w:eastAsia="zh-CN"/>
        </w:rPr>
        <w:lastRenderedPageBreak/>
        <w:t>[(d)</w:t>
      </w:r>
      <w:r>
        <w:rPr>
          <w:rFonts w:cs="SimSun"/>
          <w:bCs/>
          <w:sz w:val="24"/>
          <w:lang w:eastAsia="zh-CN"/>
        </w:rPr>
        <w:tab/>
      </w:r>
      <w:r w:rsidR="004F5AB7" w:rsidRPr="004F5AB7">
        <w:rPr>
          <w:rFonts w:cs="SimSun" w:hint="eastAsia"/>
          <w:bCs/>
          <w:sz w:val="24"/>
          <w:lang w:eastAsia="zh-CN"/>
        </w:rPr>
        <w:t>与缔约方和其他国家政府以及相关组织和举措、</w:t>
      </w:r>
      <w:r w:rsidR="00291BE8">
        <w:rPr>
          <w:rFonts w:cs="SimSun" w:hint="eastAsia"/>
          <w:bCs/>
          <w:sz w:val="24"/>
          <w:lang w:eastAsia="zh-CN"/>
        </w:rPr>
        <w:t>国际金融机构、</w:t>
      </w:r>
      <w:r w:rsidR="004F5AB7" w:rsidRPr="004F5AB7">
        <w:rPr>
          <w:rFonts w:cs="SimSun" w:hint="eastAsia"/>
          <w:bCs/>
          <w:sz w:val="24"/>
          <w:lang w:eastAsia="zh-CN"/>
        </w:rPr>
        <w:t>科技合作机制的区域和次区域支持中心以及与妇女、青年、土著人民和地方社区、民间社会组织、国家以下各级政府之间的现有联盟和网络政府、私营部门和金融部门以及其他相关利益攸关方合作，支持与生物多样性主流化相关的能力建设</w:t>
      </w:r>
      <w:r w:rsidR="00291BE8">
        <w:rPr>
          <w:rFonts w:cs="SimSun" w:hint="eastAsia"/>
          <w:bCs/>
          <w:sz w:val="24"/>
          <w:lang w:eastAsia="zh-CN"/>
        </w:rPr>
        <w:t>和发展</w:t>
      </w:r>
      <w:r w:rsidR="004F5AB7" w:rsidRPr="004F5AB7">
        <w:rPr>
          <w:rFonts w:cs="SimSun" w:hint="eastAsia"/>
          <w:bCs/>
          <w:sz w:val="24"/>
          <w:lang w:eastAsia="zh-CN"/>
        </w:rPr>
        <w:t>活动，包括为此举办网络研讨会</w:t>
      </w:r>
      <w:r w:rsidR="00291BE8">
        <w:rPr>
          <w:rFonts w:cs="SimSun" w:hint="eastAsia"/>
          <w:bCs/>
          <w:sz w:val="24"/>
          <w:lang w:eastAsia="zh-CN"/>
        </w:rPr>
        <w:t>和采取其他适当办法</w:t>
      </w:r>
      <w:r w:rsidR="004F5AB7" w:rsidRPr="004F5AB7">
        <w:rPr>
          <w:rFonts w:cs="SimSun" w:hint="eastAsia"/>
          <w:bCs/>
          <w:sz w:val="24"/>
          <w:lang w:eastAsia="zh-CN"/>
        </w:rPr>
        <w:t>；</w:t>
      </w:r>
      <w:r>
        <w:rPr>
          <w:rFonts w:cs="SimSun" w:hint="eastAsia"/>
          <w:bCs/>
          <w:sz w:val="24"/>
          <w:lang w:eastAsia="zh-CN"/>
        </w:rPr>
        <w:t>]</w:t>
      </w:r>
    </w:p>
    <w:p w14:paraId="1E6D1123" w14:textId="7D812EEC" w:rsidR="00291BE8" w:rsidRDefault="00106882" w:rsidP="00106882">
      <w:pPr>
        <w:tabs>
          <w:tab w:val="clear" w:pos="567"/>
          <w:tab w:val="clear" w:pos="1134"/>
          <w:tab w:val="clear" w:pos="1701"/>
          <w:tab w:val="clear" w:pos="2268"/>
        </w:tabs>
        <w:adjustRightInd w:val="0"/>
        <w:snapToGrid w:val="0"/>
        <w:spacing w:before="120" w:after="120"/>
        <w:ind w:left="490" w:firstLine="490"/>
        <w:rPr>
          <w:rFonts w:cs="SimSun"/>
          <w:bCs/>
          <w:sz w:val="24"/>
          <w:lang w:eastAsia="zh-CN"/>
        </w:rPr>
      </w:pPr>
      <w:r>
        <w:rPr>
          <w:rFonts w:cs="SimSun" w:hint="eastAsia"/>
          <w:bCs/>
          <w:sz w:val="24"/>
          <w:lang w:eastAsia="zh-CN"/>
        </w:rPr>
        <w:t>[(e)</w:t>
      </w:r>
      <w:r>
        <w:rPr>
          <w:rFonts w:cs="SimSun"/>
          <w:bCs/>
          <w:sz w:val="24"/>
          <w:lang w:eastAsia="zh-CN"/>
        </w:rPr>
        <w:tab/>
      </w:r>
      <w:r w:rsidR="004F5AB7" w:rsidRPr="004F5AB7">
        <w:rPr>
          <w:rFonts w:cs="SimSun" w:hint="eastAsia"/>
          <w:bCs/>
          <w:sz w:val="24"/>
          <w:lang w:eastAsia="zh-CN"/>
        </w:rPr>
        <w:t>根据自缔约方和相关伙伴组织和倡议收到的投入，进行一次差距分析，分析将侧重于为生物多样性主流化提供支持方面的挑战，以及，有可能影响各国支持生物多样性主流化的能力方面的科学、技术和工艺差距，并在资源允许的情况下，</w:t>
      </w:r>
      <w:r w:rsidR="00291BE8">
        <w:rPr>
          <w:rFonts w:cs="SimSun" w:hint="eastAsia"/>
          <w:bCs/>
          <w:sz w:val="24"/>
          <w:lang w:eastAsia="zh-CN"/>
        </w:rPr>
        <w:t>利用第七次国家生物多样性报告产生的信息，并</w:t>
      </w:r>
      <w:r w:rsidR="004F5AB7" w:rsidRPr="004F5AB7">
        <w:rPr>
          <w:rFonts w:cs="SimSun" w:hint="eastAsia"/>
          <w:bCs/>
          <w:sz w:val="24"/>
          <w:lang w:eastAsia="zh-CN"/>
        </w:rPr>
        <w:t>根据该分析，为今后工作提出</w:t>
      </w:r>
      <w:r w:rsidR="004F5AB7" w:rsidRPr="004F5AB7">
        <w:rPr>
          <w:rFonts w:cs="SimSun"/>
          <w:bCs/>
          <w:sz w:val="24"/>
          <w:lang w:eastAsia="zh-CN"/>
        </w:rPr>
        <w:t>202</w:t>
      </w:r>
      <w:r w:rsidR="00291BE8">
        <w:rPr>
          <w:rFonts w:cs="SimSun" w:hint="eastAsia"/>
          <w:bCs/>
          <w:sz w:val="24"/>
          <w:lang w:eastAsia="zh-CN"/>
        </w:rPr>
        <w:t>6</w:t>
      </w:r>
      <w:r w:rsidR="004F5AB7" w:rsidRPr="004F5AB7">
        <w:rPr>
          <w:rFonts w:cs="SimSun"/>
          <w:bCs/>
          <w:sz w:val="24"/>
          <w:lang w:eastAsia="zh-CN"/>
        </w:rPr>
        <w:t>–2030</w:t>
      </w:r>
      <w:r w:rsidR="004F5AB7" w:rsidRPr="004F5AB7">
        <w:rPr>
          <w:rFonts w:cs="SimSun" w:hint="eastAsia"/>
          <w:bCs/>
          <w:sz w:val="24"/>
          <w:lang w:eastAsia="zh-CN"/>
        </w:rPr>
        <w:t>年议程建议</w:t>
      </w:r>
      <w:r w:rsidR="0004166A">
        <w:rPr>
          <w:rFonts w:cs="SimSun" w:hint="eastAsia"/>
          <w:bCs/>
          <w:sz w:val="24"/>
          <w:lang w:eastAsia="zh-CN"/>
        </w:rPr>
        <w:t>；</w:t>
      </w:r>
      <w:r>
        <w:rPr>
          <w:rFonts w:cs="SimSun" w:hint="eastAsia"/>
          <w:bCs/>
          <w:sz w:val="24"/>
          <w:lang w:eastAsia="zh-CN"/>
        </w:rPr>
        <w:t>]</w:t>
      </w:r>
    </w:p>
    <w:p w14:paraId="49676BFB" w14:textId="0BA1C2F5" w:rsidR="00291BE8" w:rsidRDefault="00291BE8" w:rsidP="0004166A">
      <w:pPr>
        <w:numPr>
          <w:ilvl w:val="0"/>
          <w:numId w:val="213"/>
        </w:numPr>
        <w:tabs>
          <w:tab w:val="clear" w:pos="567"/>
          <w:tab w:val="clear" w:pos="1134"/>
          <w:tab w:val="clear" w:pos="1701"/>
          <w:tab w:val="clear" w:pos="2268"/>
        </w:tabs>
        <w:adjustRightInd w:val="0"/>
        <w:snapToGrid w:val="0"/>
        <w:spacing w:before="120" w:after="120"/>
        <w:ind w:left="490" w:firstLine="490"/>
        <w:rPr>
          <w:rFonts w:cs="SimSun"/>
          <w:bCs/>
          <w:sz w:val="24"/>
          <w:lang w:eastAsia="zh-CN"/>
        </w:rPr>
      </w:pPr>
      <w:r w:rsidRPr="00291BE8">
        <w:rPr>
          <w:rFonts w:cs="SimSun" w:hint="eastAsia"/>
          <w:bCs/>
          <w:sz w:val="24"/>
          <w:lang w:eastAsia="zh-CN"/>
        </w:rPr>
        <w:t>编写有关上述活动的进展报告，供缔约方大会第十七届会议之前举行的执行问题附属机构会议审议；</w:t>
      </w:r>
    </w:p>
    <w:p w14:paraId="46C90AE1" w14:textId="0CCBCBC0" w:rsidR="00291BE8" w:rsidRDefault="00291BE8" w:rsidP="0004166A">
      <w:pPr>
        <w:numPr>
          <w:ilvl w:val="0"/>
          <w:numId w:val="213"/>
        </w:numPr>
        <w:tabs>
          <w:tab w:val="clear" w:pos="567"/>
          <w:tab w:val="clear" w:pos="1134"/>
          <w:tab w:val="clear" w:pos="1701"/>
          <w:tab w:val="clear" w:pos="2268"/>
        </w:tabs>
        <w:adjustRightInd w:val="0"/>
        <w:snapToGrid w:val="0"/>
        <w:spacing w:before="120" w:after="120"/>
        <w:ind w:left="490" w:firstLine="490"/>
        <w:rPr>
          <w:rFonts w:cs="SimSun"/>
          <w:bCs/>
          <w:sz w:val="24"/>
          <w:lang w:eastAsia="zh-CN"/>
        </w:rPr>
      </w:pPr>
      <w:r>
        <w:rPr>
          <w:rFonts w:cs="SimSun" w:hint="eastAsia"/>
          <w:bCs/>
          <w:sz w:val="24"/>
          <w:lang w:eastAsia="zh-CN"/>
        </w:rPr>
        <w:t>在</w:t>
      </w:r>
      <w:r w:rsidRPr="00291BE8">
        <w:rPr>
          <w:rFonts w:cs="SimSun" w:hint="eastAsia"/>
          <w:bCs/>
          <w:sz w:val="24"/>
          <w:lang w:eastAsia="zh-CN"/>
        </w:rPr>
        <w:t>缔约方大会第十七届会议之前</w:t>
      </w:r>
      <w:r w:rsidR="00853355">
        <w:rPr>
          <w:rFonts w:cs="SimSun" w:hint="eastAsia"/>
          <w:bCs/>
          <w:sz w:val="24"/>
          <w:lang w:eastAsia="zh-CN"/>
        </w:rPr>
        <w:t>开展</w:t>
      </w:r>
      <w:r>
        <w:rPr>
          <w:rFonts w:cs="SimSun" w:hint="eastAsia"/>
          <w:bCs/>
          <w:sz w:val="24"/>
          <w:lang w:eastAsia="zh-CN"/>
        </w:rPr>
        <w:t>以下活动：</w:t>
      </w:r>
    </w:p>
    <w:bookmarkStart w:id="3" w:name="_Hlk64796190"/>
    <w:p w14:paraId="30C6EAA5" w14:textId="65D63956" w:rsidR="00291BE8" w:rsidRPr="00291BE8" w:rsidRDefault="0004166A" w:rsidP="0004166A">
      <w:pPr>
        <w:tabs>
          <w:tab w:val="clear" w:pos="567"/>
          <w:tab w:val="clear" w:pos="1134"/>
          <w:tab w:val="clear" w:pos="1701"/>
          <w:tab w:val="clear" w:pos="2268"/>
        </w:tabs>
        <w:adjustRightInd w:val="0"/>
        <w:snapToGrid w:val="0"/>
        <w:spacing w:before="120" w:after="120"/>
        <w:ind w:left="1469" w:hanging="490"/>
        <w:rPr>
          <w:rFonts w:cs="SimSun"/>
          <w:bCs/>
          <w:sz w:val="24"/>
          <w:lang w:eastAsia="zh-CN"/>
        </w:rPr>
      </w:pPr>
      <w:r w:rsidRPr="0004166A">
        <w:rPr>
          <w:rFonts w:cs="SimSun"/>
          <w:bCs/>
          <w:sz w:val="24"/>
          <w:lang w:eastAsia="zh-CN"/>
        </w:rPr>
        <w:fldChar w:fldCharType="begin"/>
      </w:r>
      <w:r w:rsidRPr="0004166A">
        <w:rPr>
          <w:rFonts w:cs="SimSun"/>
          <w:bCs/>
          <w:sz w:val="24"/>
          <w:lang w:eastAsia="zh-CN"/>
        </w:rPr>
        <w:instrText xml:space="preserve"> </w:instrText>
      </w:r>
      <w:r w:rsidRPr="0004166A">
        <w:rPr>
          <w:rFonts w:cs="SimSun" w:hint="eastAsia"/>
          <w:bCs/>
          <w:sz w:val="24"/>
          <w:lang w:eastAsia="zh-CN"/>
        </w:rPr>
        <w:instrText>= 1 \* GB4</w:instrText>
      </w:r>
      <w:r w:rsidRPr="0004166A">
        <w:rPr>
          <w:rFonts w:cs="SimSun"/>
          <w:bCs/>
          <w:sz w:val="24"/>
          <w:lang w:eastAsia="zh-CN"/>
        </w:rPr>
        <w:instrText xml:space="preserve"> </w:instrText>
      </w:r>
      <w:r w:rsidRPr="0004166A">
        <w:rPr>
          <w:rFonts w:cs="SimSun"/>
          <w:bCs/>
          <w:sz w:val="24"/>
          <w:lang w:eastAsia="zh-CN"/>
        </w:rPr>
        <w:fldChar w:fldCharType="separate"/>
      </w:r>
      <w:r w:rsidRPr="0004166A">
        <w:rPr>
          <w:rFonts w:cs="SimSun" w:hint="eastAsia"/>
          <w:bCs/>
          <w:sz w:val="24"/>
          <w:lang w:eastAsia="zh-CN"/>
        </w:rPr>
        <w:t>㈠</w:t>
      </w:r>
      <w:r w:rsidRPr="0004166A">
        <w:rPr>
          <w:rFonts w:cs="SimSun"/>
          <w:bCs/>
          <w:sz w:val="24"/>
          <w:lang w:eastAsia="zh-CN"/>
        </w:rPr>
        <w:fldChar w:fldCharType="end"/>
      </w:r>
      <w:bookmarkEnd w:id="3"/>
      <w:r w:rsidR="00291BE8">
        <w:rPr>
          <w:rFonts w:cs="SimSun" w:hint="eastAsia"/>
          <w:bCs/>
          <w:sz w:val="24"/>
          <w:lang w:eastAsia="zh-CN"/>
        </w:rPr>
        <w:t xml:space="preserve"> </w:t>
      </w:r>
      <w:r>
        <w:rPr>
          <w:rFonts w:cs="SimSun"/>
          <w:bCs/>
          <w:sz w:val="24"/>
          <w:lang w:eastAsia="zh-CN"/>
        </w:rPr>
        <w:tab/>
      </w:r>
      <w:r w:rsidR="00291BE8" w:rsidRPr="00291BE8">
        <w:rPr>
          <w:rFonts w:cs="SimSun" w:hint="eastAsia"/>
          <w:bCs/>
          <w:sz w:val="24"/>
          <w:lang w:eastAsia="zh-CN"/>
        </w:rPr>
        <w:t>提供对现有良好做法、工具、机制、指导和相关解决方案的结构化概述，以</w:t>
      </w:r>
      <w:r w:rsidR="00853355">
        <w:rPr>
          <w:rFonts w:cs="SimSun" w:hint="eastAsia"/>
          <w:bCs/>
          <w:sz w:val="24"/>
          <w:lang w:eastAsia="zh-CN"/>
        </w:rPr>
        <w:t>便在</w:t>
      </w:r>
      <w:r w:rsidR="00291BE8" w:rsidRPr="00291BE8">
        <w:rPr>
          <w:rFonts w:cs="SimSun" w:hint="eastAsia"/>
          <w:bCs/>
          <w:sz w:val="24"/>
          <w:lang w:eastAsia="zh-CN"/>
        </w:rPr>
        <w:t>《公约》和其他进程</w:t>
      </w:r>
      <w:r w:rsidR="00853355">
        <w:rPr>
          <w:rFonts w:cs="SimSun" w:hint="eastAsia"/>
          <w:bCs/>
          <w:sz w:val="24"/>
          <w:lang w:eastAsia="zh-CN"/>
        </w:rPr>
        <w:t>下支持在</w:t>
      </w:r>
      <w:r w:rsidR="00291BE8" w:rsidRPr="00291BE8">
        <w:rPr>
          <w:rFonts w:cs="SimSun" w:hint="eastAsia"/>
          <w:bCs/>
          <w:sz w:val="24"/>
          <w:lang w:eastAsia="zh-CN"/>
        </w:rPr>
        <w:t>各部门内部和</w:t>
      </w:r>
      <w:r w:rsidR="00853355">
        <w:rPr>
          <w:rFonts w:cs="SimSun" w:hint="eastAsia"/>
          <w:bCs/>
          <w:sz w:val="24"/>
          <w:lang w:eastAsia="zh-CN"/>
        </w:rPr>
        <w:t>各</w:t>
      </w:r>
      <w:r w:rsidR="00291BE8" w:rsidRPr="00291BE8">
        <w:rPr>
          <w:rFonts w:cs="SimSun" w:hint="eastAsia"/>
          <w:bCs/>
          <w:sz w:val="24"/>
          <w:lang w:eastAsia="zh-CN"/>
        </w:rPr>
        <w:t>部门</w:t>
      </w:r>
      <w:r w:rsidR="00853355">
        <w:rPr>
          <w:rFonts w:cs="SimSun" w:hint="eastAsia"/>
          <w:bCs/>
          <w:sz w:val="24"/>
          <w:lang w:eastAsia="zh-CN"/>
        </w:rPr>
        <w:t>之间实现</w:t>
      </w:r>
      <w:r w:rsidR="00291BE8" w:rsidRPr="00291BE8">
        <w:rPr>
          <w:rFonts w:cs="SimSun" w:hint="eastAsia"/>
          <w:bCs/>
          <w:sz w:val="24"/>
          <w:lang w:eastAsia="zh-CN"/>
        </w:rPr>
        <w:t>生物多样性主流化；</w:t>
      </w:r>
    </w:p>
    <w:bookmarkStart w:id="4" w:name="_Hlk178233219"/>
    <w:p w14:paraId="110F7BB6" w14:textId="629921C5" w:rsidR="004F5AB7" w:rsidRDefault="0004166A" w:rsidP="0004166A">
      <w:pPr>
        <w:tabs>
          <w:tab w:val="clear" w:pos="567"/>
          <w:tab w:val="clear" w:pos="1134"/>
          <w:tab w:val="clear" w:pos="1701"/>
          <w:tab w:val="clear" w:pos="2268"/>
        </w:tabs>
        <w:adjustRightInd w:val="0"/>
        <w:snapToGrid w:val="0"/>
        <w:spacing w:before="120" w:after="120"/>
        <w:ind w:left="1469" w:hanging="490"/>
        <w:rPr>
          <w:rFonts w:cs="SimSun"/>
          <w:bCs/>
          <w:sz w:val="24"/>
          <w:lang w:eastAsia="zh-CN"/>
        </w:rPr>
      </w:pPr>
      <w:r w:rsidRPr="0004166A">
        <w:rPr>
          <w:rFonts w:cs="SimSun"/>
          <w:bCs/>
          <w:sz w:val="24"/>
          <w:lang w:eastAsia="zh-CN"/>
        </w:rPr>
        <w:fldChar w:fldCharType="begin"/>
      </w:r>
      <w:r w:rsidRPr="0004166A">
        <w:rPr>
          <w:rFonts w:cs="SimSun"/>
          <w:bCs/>
          <w:sz w:val="24"/>
          <w:lang w:eastAsia="zh-CN"/>
        </w:rPr>
        <w:instrText xml:space="preserve"> </w:instrText>
      </w:r>
      <w:r w:rsidRPr="0004166A">
        <w:rPr>
          <w:rFonts w:cs="SimSun" w:hint="eastAsia"/>
          <w:bCs/>
          <w:sz w:val="24"/>
          <w:lang w:eastAsia="zh-CN"/>
        </w:rPr>
        <w:instrText>= 2 \* GB4</w:instrText>
      </w:r>
      <w:r w:rsidRPr="0004166A">
        <w:rPr>
          <w:rFonts w:cs="SimSun"/>
          <w:bCs/>
          <w:sz w:val="24"/>
          <w:lang w:eastAsia="zh-CN"/>
        </w:rPr>
        <w:instrText xml:space="preserve"> </w:instrText>
      </w:r>
      <w:r w:rsidRPr="0004166A">
        <w:rPr>
          <w:rFonts w:cs="SimSun"/>
          <w:bCs/>
          <w:sz w:val="24"/>
          <w:lang w:eastAsia="zh-CN"/>
        </w:rPr>
        <w:fldChar w:fldCharType="separate"/>
      </w:r>
      <w:r w:rsidRPr="0004166A">
        <w:rPr>
          <w:rFonts w:cs="SimSun" w:hint="eastAsia"/>
          <w:bCs/>
          <w:sz w:val="24"/>
          <w:lang w:eastAsia="zh-CN"/>
        </w:rPr>
        <w:t>㈡</w:t>
      </w:r>
      <w:r w:rsidRPr="0004166A">
        <w:rPr>
          <w:rFonts w:cs="SimSun"/>
          <w:bCs/>
          <w:sz w:val="24"/>
          <w:lang w:eastAsia="zh-CN"/>
        </w:rPr>
        <w:fldChar w:fldCharType="end"/>
      </w:r>
      <w:bookmarkEnd w:id="4"/>
      <w:r w:rsidR="004F5AB7" w:rsidRPr="004F5AB7">
        <w:rPr>
          <w:rFonts w:cs="SimSun"/>
          <w:bCs/>
          <w:sz w:val="24"/>
          <w:lang w:eastAsia="zh-CN"/>
        </w:rPr>
        <w:t xml:space="preserve">    </w:t>
      </w:r>
      <w:r w:rsidR="004F5AB7" w:rsidRPr="004F5AB7">
        <w:rPr>
          <w:rFonts w:cs="SimSun" w:hint="eastAsia"/>
          <w:bCs/>
          <w:sz w:val="24"/>
          <w:lang w:eastAsia="zh-CN"/>
        </w:rPr>
        <w:t>主要通过</w:t>
      </w:r>
      <w:r w:rsidR="00853355">
        <w:rPr>
          <w:rFonts w:cs="SimSun" w:hint="eastAsia"/>
          <w:bCs/>
          <w:sz w:val="24"/>
          <w:lang w:eastAsia="zh-CN"/>
        </w:rPr>
        <w:t>举办</w:t>
      </w:r>
      <w:r w:rsidR="004F5AB7" w:rsidRPr="004F5AB7">
        <w:rPr>
          <w:rFonts w:cs="SimSun" w:hint="eastAsia"/>
          <w:bCs/>
          <w:sz w:val="24"/>
          <w:lang w:eastAsia="zh-CN"/>
        </w:rPr>
        <w:t>一系列网络研讨会，重点探讨跨部门主流化问题，特别是缔约方大会以往决定已涉及部门的主流化问题，以促成建立交流所汲取经验教训的</w:t>
      </w:r>
      <w:r w:rsidR="00853355">
        <w:rPr>
          <w:rFonts w:cs="SimSun" w:hint="eastAsia"/>
          <w:bCs/>
          <w:sz w:val="24"/>
          <w:lang w:eastAsia="zh-CN"/>
        </w:rPr>
        <w:t>具体部门</w:t>
      </w:r>
      <w:r w:rsidR="004F5AB7" w:rsidRPr="004F5AB7">
        <w:rPr>
          <w:rFonts w:cs="SimSun" w:hint="eastAsia"/>
          <w:bCs/>
          <w:sz w:val="24"/>
          <w:lang w:eastAsia="zh-CN"/>
        </w:rPr>
        <w:t>同业交流群，将具有不同背景的合作伙伴和专家聚集在一起，分享能够支持</w:t>
      </w:r>
      <w:r w:rsidR="00853355">
        <w:rPr>
          <w:rFonts w:cs="SimSun" w:hint="eastAsia"/>
          <w:bCs/>
          <w:sz w:val="24"/>
          <w:lang w:eastAsia="zh-CN"/>
        </w:rPr>
        <w:t>在各部门</w:t>
      </w:r>
      <w:r w:rsidR="0051431B">
        <w:rPr>
          <w:rFonts w:cs="SimSun" w:hint="eastAsia"/>
          <w:bCs/>
          <w:sz w:val="24"/>
          <w:lang w:eastAsia="zh-CN"/>
        </w:rPr>
        <w:t>内部</w:t>
      </w:r>
      <w:r w:rsidR="00853355">
        <w:rPr>
          <w:rFonts w:cs="SimSun" w:hint="eastAsia"/>
          <w:bCs/>
          <w:sz w:val="24"/>
          <w:lang w:eastAsia="zh-CN"/>
        </w:rPr>
        <w:t>和各部门之间开展</w:t>
      </w:r>
      <w:r w:rsidR="004F5AB7" w:rsidRPr="004F5AB7">
        <w:rPr>
          <w:rFonts w:cs="SimSun" w:hint="eastAsia"/>
          <w:bCs/>
          <w:sz w:val="24"/>
          <w:lang w:eastAsia="zh-CN"/>
        </w:rPr>
        <w:t>实施工作的各种最佳做法、现有工具、解决办法、指南和创新做法；</w:t>
      </w:r>
    </w:p>
    <w:p w14:paraId="58DC352F" w14:textId="6E20D5BF" w:rsidR="00853355" w:rsidRDefault="0004166A" w:rsidP="0004166A">
      <w:pPr>
        <w:tabs>
          <w:tab w:val="clear" w:pos="567"/>
          <w:tab w:val="clear" w:pos="1134"/>
          <w:tab w:val="clear" w:pos="1701"/>
          <w:tab w:val="clear" w:pos="2268"/>
        </w:tabs>
        <w:adjustRightInd w:val="0"/>
        <w:snapToGrid w:val="0"/>
        <w:spacing w:before="120" w:after="120"/>
        <w:ind w:left="490" w:firstLine="490"/>
        <w:rPr>
          <w:rFonts w:cs="SimSun"/>
          <w:bCs/>
          <w:sz w:val="24"/>
          <w:lang w:eastAsia="zh-CN"/>
        </w:rPr>
      </w:pPr>
      <w:r>
        <w:rPr>
          <w:rFonts w:cs="SimSun" w:hint="eastAsia"/>
          <w:bCs/>
          <w:sz w:val="24"/>
          <w:lang w:eastAsia="zh-CN"/>
        </w:rPr>
        <w:t>[(h)</w:t>
      </w:r>
      <w:r>
        <w:rPr>
          <w:rFonts w:cs="SimSun"/>
          <w:bCs/>
          <w:sz w:val="24"/>
          <w:lang w:eastAsia="zh-CN"/>
        </w:rPr>
        <w:tab/>
      </w:r>
      <w:r w:rsidR="00853355">
        <w:rPr>
          <w:rFonts w:cs="SimSun" w:hint="eastAsia"/>
          <w:bCs/>
          <w:sz w:val="24"/>
          <w:lang w:eastAsia="zh-CN"/>
        </w:rPr>
        <w:t>在</w:t>
      </w:r>
      <w:r w:rsidR="00853355" w:rsidRPr="00291BE8">
        <w:rPr>
          <w:rFonts w:cs="SimSun" w:hint="eastAsia"/>
          <w:bCs/>
          <w:sz w:val="24"/>
          <w:lang w:eastAsia="zh-CN"/>
        </w:rPr>
        <w:t>缔约方大会第十</w:t>
      </w:r>
      <w:r w:rsidR="00853355">
        <w:rPr>
          <w:rFonts w:cs="SimSun" w:hint="eastAsia"/>
          <w:bCs/>
          <w:sz w:val="24"/>
          <w:lang w:eastAsia="zh-CN"/>
        </w:rPr>
        <w:t>八</w:t>
      </w:r>
      <w:r w:rsidR="00853355" w:rsidRPr="00291BE8">
        <w:rPr>
          <w:rFonts w:cs="SimSun" w:hint="eastAsia"/>
          <w:bCs/>
          <w:sz w:val="24"/>
          <w:lang w:eastAsia="zh-CN"/>
        </w:rPr>
        <w:t>届会议之前</w:t>
      </w:r>
      <w:r w:rsidR="00853355">
        <w:rPr>
          <w:rFonts w:cs="SimSun" w:hint="eastAsia"/>
          <w:bCs/>
          <w:sz w:val="24"/>
          <w:lang w:eastAsia="zh-CN"/>
        </w:rPr>
        <w:t>开展以下活动：</w:t>
      </w:r>
    </w:p>
    <w:p w14:paraId="1A09AEAA" w14:textId="02B1A667" w:rsidR="004F5AB7" w:rsidRPr="004F5AB7" w:rsidRDefault="0004166A" w:rsidP="007F3FE7">
      <w:pPr>
        <w:tabs>
          <w:tab w:val="clear" w:pos="567"/>
          <w:tab w:val="clear" w:pos="1134"/>
          <w:tab w:val="clear" w:pos="1701"/>
          <w:tab w:val="clear" w:pos="2268"/>
        </w:tabs>
        <w:adjustRightInd w:val="0"/>
        <w:snapToGrid w:val="0"/>
        <w:spacing w:before="120" w:after="120"/>
        <w:ind w:left="1469" w:hanging="490"/>
        <w:rPr>
          <w:rFonts w:cs="SimSun"/>
          <w:bCs/>
          <w:sz w:val="24"/>
          <w:lang w:eastAsia="zh-CN"/>
        </w:rPr>
      </w:pPr>
      <w:r w:rsidRPr="0004166A">
        <w:rPr>
          <w:rFonts w:cs="SimSun"/>
          <w:bCs/>
          <w:sz w:val="24"/>
          <w:lang w:eastAsia="zh-CN"/>
        </w:rPr>
        <w:fldChar w:fldCharType="begin"/>
      </w:r>
      <w:r w:rsidRPr="0004166A">
        <w:rPr>
          <w:rFonts w:cs="SimSun"/>
          <w:bCs/>
          <w:sz w:val="24"/>
          <w:lang w:eastAsia="zh-CN"/>
        </w:rPr>
        <w:instrText xml:space="preserve"> </w:instrText>
      </w:r>
      <w:r w:rsidRPr="0004166A">
        <w:rPr>
          <w:rFonts w:cs="SimSun" w:hint="eastAsia"/>
          <w:bCs/>
          <w:sz w:val="24"/>
          <w:lang w:eastAsia="zh-CN"/>
        </w:rPr>
        <w:instrText>= 1 \* GB4</w:instrText>
      </w:r>
      <w:r w:rsidRPr="0004166A">
        <w:rPr>
          <w:rFonts w:cs="SimSun"/>
          <w:bCs/>
          <w:sz w:val="24"/>
          <w:lang w:eastAsia="zh-CN"/>
        </w:rPr>
        <w:instrText xml:space="preserve"> </w:instrText>
      </w:r>
      <w:r w:rsidRPr="0004166A">
        <w:rPr>
          <w:rFonts w:cs="SimSun"/>
          <w:bCs/>
          <w:sz w:val="24"/>
          <w:lang w:eastAsia="zh-CN"/>
        </w:rPr>
        <w:fldChar w:fldCharType="separate"/>
      </w:r>
      <w:r w:rsidRPr="0004166A">
        <w:rPr>
          <w:rFonts w:cs="SimSun" w:hint="eastAsia"/>
          <w:bCs/>
          <w:sz w:val="24"/>
          <w:lang w:eastAsia="zh-CN"/>
        </w:rPr>
        <w:t>㈠</w:t>
      </w:r>
      <w:r w:rsidRPr="0004166A">
        <w:rPr>
          <w:rFonts w:cs="SimSun"/>
          <w:bCs/>
          <w:sz w:val="24"/>
          <w:lang w:eastAsia="zh-CN"/>
        </w:rPr>
        <w:fldChar w:fldCharType="end"/>
      </w:r>
      <w:r>
        <w:rPr>
          <w:rFonts w:cs="SimSun"/>
          <w:bCs/>
          <w:sz w:val="24"/>
          <w:lang w:eastAsia="zh-CN"/>
        </w:rPr>
        <w:tab/>
      </w:r>
      <w:r w:rsidR="004F5AB7" w:rsidRPr="004F5AB7">
        <w:rPr>
          <w:rFonts w:cs="SimSun" w:hint="eastAsia"/>
          <w:bCs/>
          <w:sz w:val="24"/>
          <w:lang w:eastAsia="zh-CN"/>
        </w:rPr>
        <w:t>与相关组织合作，促进在《技术丛刊》中根据现有的材料开发一项关于生物多样性主流化的</w:t>
      </w:r>
      <w:r w:rsidR="00853355">
        <w:rPr>
          <w:rFonts w:cs="SimSun" w:hint="eastAsia"/>
          <w:bCs/>
          <w:sz w:val="24"/>
          <w:lang w:eastAsia="zh-CN"/>
        </w:rPr>
        <w:t>议题</w:t>
      </w:r>
      <w:r w:rsidR="004F5AB7" w:rsidRPr="004F5AB7">
        <w:rPr>
          <w:rFonts w:cs="SimSun"/>
          <w:bCs/>
          <w:sz w:val="24"/>
          <w:lang w:eastAsia="zh-CN"/>
        </w:rPr>
        <w:t xml:space="preserve"> </w:t>
      </w:r>
      <w:r w:rsidR="004F5AB7" w:rsidRPr="004F5AB7">
        <w:rPr>
          <w:rFonts w:cs="SimSun" w:hint="eastAsia"/>
          <w:bCs/>
          <w:sz w:val="24"/>
          <w:lang w:eastAsia="zh-CN"/>
        </w:rPr>
        <w:t>，为所有相关行为方</w:t>
      </w:r>
      <w:r w:rsidR="00853355">
        <w:rPr>
          <w:rFonts w:cs="SimSun" w:hint="eastAsia"/>
          <w:bCs/>
          <w:sz w:val="24"/>
          <w:lang w:eastAsia="zh-CN"/>
        </w:rPr>
        <w:t>和部门</w:t>
      </w:r>
      <w:r w:rsidR="004F5AB7" w:rsidRPr="004F5AB7">
        <w:rPr>
          <w:rFonts w:cs="SimSun" w:hint="eastAsia"/>
          <w:bCs/>
          <w:sz w:val="24"/>
          <w:lang w:eastAsia="zh-CN"/>
        </w:rPr>
        <w:t>提供关于如何通过生物多样性主流化执行《框架》的</w:t>
      </w:r>
      <w:r w:rsidR="00853355" w:rsidRPr="00853355">
        <w:rPr>
          <w:rFonts w:cs="SimSun" w:hint="eastAsia"/>
          <w:bCs/>
          <w:sz w:val="24"/>
          <w:lang w:eastAsia="zh-CN"/>
        </w:rPr>
        <w:t>具有具体可操作元素的</w:t>
      </w:r>
      <w:r w:rsidR="004F5AB7" w:rsidRPr="004F5AB7">
        <w:rPr>
          <w:rFonts w:cs="SimSun" w:hint="eastAsia"/>
          <w:bCs/>
          <w:sz w:val="24"/>
          <w:lang w:eastAsia="zh-CN"/>
        </w:rPr>
        <w:t>实用工具箱；</w:t>
      </w:r>
    </w:p>
    <w:p w14:paraId="007E766B" w14:textId="7F8C4377" w:rsidR="004F5AB7" w:rsidRDefault="0004166A" w:rsidP="007F3FE7">
      <w:pPr>
        <w:tabs>
          <w:tab w:val="clear" w:pos="567"/>
          <w:tab w:val="clear" w:pos="1134"/>
          <w:tab w:val="clear" w:pos="1701"/>
          <w:tab w:val="clear" w:pos="2268"/>
        </w:tabs>
        <w:adjustRightInd w:val="0"/>
        <w:snapToGrid w:val="0"/>
        <w:spacing w:before="120" w:after="120"/>
        <w:ind w:left="1469" w:hanging="490"/>
        <w:rPr>
          <w:rFonts w:cs="SimSun"/>
          <w:bCs/>
          <w:sz w:val="24"/>
          <w:lang w:eastAsia="zh-CN"/>
        </w:rPr>
      </w:pPr>
      <w:r w:rsidRPr="0004166A">
        <w:rPr>
          <w:rFonts w:cs="SimSun"/>
          <w:bCs/>
          <w:sz w:val="24"/>
          <w:lang w:eastAsia="zh-CN"/>
        </w:rPr>
        <w:fldChar w:fldCharType="begin"/>
      </w:r>
      <w:r w:rsidRPr="0004166A">
        <w:rPr>
          <w:rFonts w:cs="SimSun"/>
          <w:bCs/>
          <w:sz w:val="24"/>
          <w:lang w:eastAsia="zh-CN"/>
        </w:rPr>
        <w:instrText xml:space="preserve"> </w:instrText>
      </w:r>
      <w:r w:rsidRPr="0004166A">
        <w:rPr>
          <w:rFonts w:cs="SimSun" w:hint="eastAsia"/>
          <w:bCs/>
          <w:sz w:val="24"/>
          <w:lang w:eastAsia="zh-CN"/>
        </w:rPr>
        <w:instrText>= 2 \* GB4</w:instrText>
      </w:r>
      <w:r w:rsidRPr="0004166A">
        <w:rPr>
          <w:rFonts w:cs="SimSun"/>
          <w:bCs/>
          <w:sz w:val="24"/>
          <w:lang w:eastAsia="zh-CN"/>
        </w:rPr>
        <w:instrText xml:space="preserve"> </w:instrText>
      </w:r>
      <w:r w:rsidRPr="0004166A">
        <w:rPr>
          <w:rFonts w:cs="SimSun"/>
          <w:bCs/>
          <w:sz w:val="24"/>
          <w:lang w:eastAsia="zh-CN"/>
        </w:rPr>
        <w:fldChar w:fldCharType="separate"/>
      </w:r>
      <w:r w:rsidRPr="0004166A">
        <w:rPr>
          <w:rFonts w:cs="SimSun" w:hint="eastAsia"/>
          <w:bCs/>
          <w:sz w:val="24"/>
          <w:lang w:eastAsia="zh-CN"/>
        </w:rPr>
        <w:t>㈡</w:t>
      </w:r>
      <w:r w:rsidRPr="0004166A">
        <w:rPr>
          <w:rFonts w:cs="SimSun"/>
          <w:bCs/>
          <w:sz w:val="24"/>
          <w:lang w:eastAsia="zh-CN"/>
        </w:rPr>
        <w:fldChar w:fldCharType="end"/>
      </w:r>
      <w:r>
        <w:rPr>
          <w:rFonts w:cs="SimSun"/>
          <w:bCs/>
          <w:sz w:val="24"/>
          <w:lang w:eastAsia="zh-CN"/>
        </w:rPr>
        <w:tab/>
      </w:r>
      <w:r w:rsidR="00853355">
        <w:rPr>
          <w:rFonts w:cs="SimSun" w:hint="eastAsia"/>
          <w:bCs/>
          <w:sz w:val="24"/>
          <w:lang w:eastAsia="zh-CN"/>
        </w:rPr>
        <w:t>促进</w:t>
      </w:r>
      <w:r w:rsidR="004F5AB7" w:rsidRPr="004F5AB7">
        <w:rPr>
          <w:rFonts w:cs="SimSun" w:hint="eastAsia"/>
          <w:bCs/>
          <w:sz w:val="24"/>
          <w:lang w:eastAsia="zh-CN"/>
        </w:rPr>
        <w:t>将主流化纳入各项资源调动承诺、决定和计划；</w:t>
      </w:r>
    </w:p>
    <w:bookmarkStart w:id="5" w:name="_Hlk178233229"/>
    <w:p w14:paraId="25677DFE" w14:textId="44C06285" w:rsidR="0011689A" w:rsidRPr="0011689A" w:rsidRDefault="0004166A" w:rsidP="0004166A">
      <w:pPr>
        <w:tabs>
          <w:tab w:val="clear" w:pos="567"/>
          <w:tab w:val="clear" w:pos="1134"/>
          <w:tab w:val="clear" w:pos="1701"/>
          <w:tab w:val="clear" w:pos="2268"/>
        </w:tabs>
        <w:adjustRightInd w:val="0"/>
        <w:snapToGrid w:val="0"/>
        <w:spacing w:before="120" w:after="120"/>
        <w:ind w:left="1469" w:hanging="490"/>
        <w:rPr>
          <w:rFonts w:cs="SimSun"/>
          <w:bCs/>
          <w:sz w:val="24"/>
          <w:lang w:eastAsia="zh-CN"/>
        </w:rPr>
      </w:pPr>
      <w:r w:rsidRPr="0004166A">
        <w:rPr>
          <w:rFonts w:ascii="SimSun" w:hAnsi="SimSun" w:cs="SimSun"/>
          <w:bCs/>
          <w:sz w:val="24"/>
          <w:lang w:eastAsia="zh-CN"/>
        </w:rPr>
        <w:fldChar w:fldCharType="begin"/>
      </w:r>
      <w:r w:rsidRPr="0004166A">
        <w:rPr>
          <w:rFonts w:ascii="SimSun" w:hAnsi="SimSun" w:cs="SimSun"/>
          <w:bCs/>
          <w:sz w:val="24"/>
          <w:lang w:eastAsia="zh-CN"/>
        </w:rPr>
        <w:instrText xml:space="preserve"> </w:instrText>
      </w:r>
      <w:r w:rsidRPr="0004166A">
        <w:rPr>
          <w:rFonts w:ascii="SimSun" w:hAnsi="SimSun" w:cs="SimSun" w:hint="eastAsia"/>
          <w:bCs/>
          <w:sz w:val="24"/>
          <w:lang w:eastAsia="zh-CN"/>
        </w:rPr>
        <w:instrText>= 3 \* GB4</w:instrText>
      </w:r>
      <w:r w:rsidRPr="0004166A">
        <w:rPr>
          <w:rFonts w:ascii="SimSun" w:hAnsi="SimSun" w:cs="SimSun"/>
          <w:bCs/>
          <w:sz w:val="24"/>
          <w:lang w:eastAsia="zh-CN"/>
        </w:rPr>
        <w:instrText xml:space="preserve"> </w:instrText>
      </w:r>
      <w:r w:rsidRPr="0004166A">
        <w:rPr>
          <w:rFonts w:ascii="SimSun" w:hAnsi="SimSun" w:cs="SimSun"/>
          <w:bCs/>
          <w:sz w:val="24"/>
          <w:lang w:eastAsia="zh-CN"/>
        </w:rPr>
        <w:fldChar w:fldCharType="separate"/>
      </w:r>
      <w:r w:rsidRPr="0004166A">
        <w:rPr>
          <w:rFonts w:ascii="SimSun" w:hAnsi="SimSun" w:cs="SimSun" w:hint="eastAsia"/>
          <w:bCs/>
          <w:sz w:val="24"/>
          <w:lang w:eastAsia="zh-CN"/>
        </w:rPr>
        <w:t>㈢</w:t>
      </w:r>
      <w:r w:rsidRPr="0004166A">
        <w:rPr>
          <w:rFonts w:ascii="SimSun" w:hAnsi="SimSun" w:cs="SimSun"/>
          <w:bCs/>
          <w:sz w:val="24"/>
          <w:lang w:eastAsia="zh-CN"/>
        </w:rPr>
        <w:fldChar w:fldCharType="end"/>
      </w:r>
      <w:bookmarkEnd w:id="5"/>
      <w:r>
        <w:rPr>
          <w:rFonts w:ascii="SimSun" w:hAnsi="SimSun" w:cs="SimSun"/>
          <w:bCs/>
          <w:sz w:val="24"/>
          <w:lang w:eastAsia="zh-CN"/>
        </w:rPr>
        <w:tab/>
      </w:r>
      <w:r w:rsidR="0011689A" w:rsidRPr="0011689A">
        <w:rPr>
          <w:rFonts w:ascii="SimSun" w:hAnsi="SimSun" w:cs="SimSun" w:hint="eastAsia"/>
          <w:bCs/>
          <w:sz w:val="24"/>
          <w:lang w:eastAsia="zh-CN"/>
        </w:rPr>
        <w:t>根据上述活动以及从缔约方、相关组织、</w:t>
      </w:r>
      <w:r w:rsidR="0011689A" w:rsidRPr="0004166A">
        <w:rPr>
          <w:rFonts w:cs="SimSun" w:hint="eastAsia"/>
          <w:bCs/>
          <w:sz w:val="24"/>
          <w:lang w:eastAsia="zh-CN"/>
        </w:rPr>
        <w:t>利益攸关方和倡议收到的意见进行差距分析</w:t>
      </w:r>
      <w:r w:rsidR="0011689A" w:rsidRPr="0011689A">
        <w:rPr>
          <w:rFonts w:ascii="SimSun" w:hAnsi="SimSun" w:cs="SimSun" w:hint="eastAsia"/>
          <w:bCs/>
          <w:sz w:val="24"/>
          <w:lang w:eastAsia="zh-CN"/>
        </w:rPr>
        <w:t>，重点关注部门内部和部门之间、政府和社会在生物多样性主流化方面面临的挑战，以及可能削弱各国支持生物多样性主流化能力的科学、技术和工艺差距。</w:t>
      </w:r>
      <w:r>
        <w:rPr>
          <w:rFonts w:ascii="SimSun" w:hAnsi="SimSun" w:cs="SimSun" w:hint="eastAsia"/>
          <w:bCs/>
          <w:sz w:val="24"/>
          <w:lang w:eastAsia="zh-CN"/>
        </w:rPr>
        <w:t>]</w:t>
      </w:r>
    </w:p>
    <w:p w14:paraId="557A4781" w14:textId="2390581E" w:rsidR="00ED7535" w:rsidRDefault="00ED7535" w:rsidP="00106882">
      <w:pPr>
        <w:tabs>
          <w:tab w:val="clear" w:pos="567"/>
          <w:tab w:val="clear" w:pos="1134"/>
          <w:tab w:val="clear" w:pos="1701"/>
          <w:tab w:val="clear" w:pos="2268"/>
        </w:tabs>
        <w:adjustRightInd w:val="0"/>
        <w:snapToGrid w:val="0"/>
        <w:spacing w:before="120" w:after="120"/>
        <w:ind w:left="490"/>
        <w:rPr>
          <w:kern w:val="22"/>
          <w:lang w:eastAsia="zh-CN"/>
        </w:rPr>
      </w:pPr>
    </w:p>
    <w:p w14:paraId="453CE0E0" w14:textId="202EA30A"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04166A">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AD2579" w14:textId="77777777" w:rsidR="00BB169B" w:rsidRDefault="00BB169B" w:rsidP="00A96B21">
      <w:r>
        <w:separator/>
      </w:r>
    </w:p>
  </w:endnote>
  <w:endnote w:type="continuationSeparator" w:id="0">
    <w:p w14:paraId="46AAF396" w14:textId="77777777" w:rsidR="00BB169B" w:rsidRDefault="00BB169B" w:rsidP="00A96B21">
      <w:r>
        <w:continuationSeparator/>
      </w:r>
    </w:p>
  </w:endnote>
  <w:endnote w:type="continuationNotice" w:id="1">
    <w:p w14:paraId="31BC77EF" w14:textId="77777777" w:rsidR="00BB169B" w:rsidRDefault="00BB16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KaiTi">
    <w:altName w:val="楷体"/>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EndPr/>
    <w:sdtContent>
      <w:sdt>
        <w:sdtPr>
          <w:id w:val="-1670709970"/>
          <w:docPartObj>
            <w:docPartGallery w:val="Page Numbers (Top of Page)"/>
            <w:docPartUnique/>
          </w:docPartObj>
        </w:sdtPr>
        <w:sdtEnd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7D32CE" w14:textId="77777777" w:rsidR="00BB169B" w:rsidRDefault="00BB169B" w:rsidP="00A96B21">
      <w:r>
        <w:separator/>
      </w:r>
    </w:p>
  </w:footnote>
  <w:footnote w:type="continuationSeparator" w:id="0">
    <w:p w14:paraId="0A79B485" w14:textId="77777777" w:rsidR="00BB169B" w:rsidRDefault="00BB169B" w:rsidP="00A96B21">
      <w:r>
        <w:continuationSeparator/>
      </w:r>
    </w:p>
  </w:footnote>
  <w:footnote w:type="continuationNotice" w:id="1">
    <w:p w14:paraId="2BDFBF9F" w14:textId="77777777" w:rsidR="00BB169B" w:rsidRDefault="00BB169B"/>
  </w:footnote>
  <w:footnote w:id="2">
    <w:p w14:paraId="0481A700" w14:textId="4A3B1876" w:rsidR="004F5AB7" w:rsidRPr="00106882" w:rsidRDefault="004F5AB7" w:rsidP="00106882">
      <w:pPr>
        <w:pStyle w:val="FootnoteText"/>
        <w:rPr>
          <w:rFonts w:eastAsiaTheme="minorEastAsia"/>
          <w:sz w:val="20"/>
          <w:lang w:eastAsia="zh-CN"/>
        </w:rPr>
      </w:pPr>
      <w:r w:rsidRPr="00106882">
        <w:rPr>
          <w:rStyle w:val="FootnoteReference"/>
          <w:sz w:val="20"/>
        </w:rPr>
        <w:footnoteRef/>
      </w:r>
      <w:r w:rsidRPr="00106882">
        <w:rPr>
          <w:rStyle w:val="FootnoteReference"/>
          <w:sz w:val="20"/>
          <w:lang w:eastAsia="zh-CN"/>
        </w:rPr>
        <w:t xml:space="preserve"> </w:t>
      </w:r>
      <w:r w:rsidRPr="00106882">
        <w:rPr>
          <w:rFonts w:hint="eastAsia"/>
          <w:sz w:val="20"/>
          <w:vertAlign w:val="superscript"/>
          <w:lang w:eastAsia="zh-CN"/>
        </w:rPr>
        <w:t xml:space="preserve"> </w:t>
      </w:r>
      <w:r w:rsidRPr="00106882">
        <w:rPr>
          <w:rFonts w:hint="eastAsia"/>
          <w:sz w:val="20"/>
          <w:lang w:eastAsia="zh-CN"/>
        </w:rPr>
        <w:t>联合国，《条约汇编》，第</w:t>
      </w:r>
      <w:r w:rsidRPr="00106882">
        <w:rPr>
          <w:rFonts w:hint="eastAsia"/>
          <w:sz w:val="20"/>
          <w:lang w:eastAsia="zh-CN"/>
        </w:rPr>
        <w:t>1760</w:t>
      </w:r>
      <w:r w:rsidRPr="00106882">
        <w:rPr>
          <w:rFonts w:hint="eastAsia"/>
          <w:sz w:val="20"/>
          <w:lang w:eastAsia="zh-CN"/>
        </w:rPr>
        <w:t>卷，第</w:t>
      </w:r>
      <w:r w:rsidRPr="00106882">
        <w:rPr>
          <w:rFonts w:hint="eastAsia"/>
          <w:sz w:val="20"/>
          <w:lang w:eastAsia="zh-CN"/>
        </w:rPr>
        <w:t>30619</w:t>
      </w:r>
      <w:r w:rsidRPr="00106882">
        <w:rPr>
          <w:rFonts w:hint="eastAsia"/>
          <w:sz w:val="20"/>
          <w:lang w:eastAsia="zh-CN"/>
        </w:rPr>
        <w:t>号。</w:t>
      </w:r>
    </w:p>
  </w:footnote>
  <w:footnote w:id="3">
    <w:p w14:paraId="0E16A581" w14:textId="036387CA" w:rsidR="0050437F" w:rsidRPr="00106882" w:rsidRDefault="0050437F" w:rsidP="00106882">
      <w:pPr>
        <w:pStyle w:val="FootnoteText"/>
        <w:rPr>
          <w:sz w:val="20"/>
          <w:lang w:eastAsia="zh-CN"/>
        </w:rPr>
      </w:pPr>
      <w:r w:rsidRPr="00106882">
        <w:rPr>
          <w:rStyle w:val="FootnoteReference"/>
          <w:sz w:val="20"/>
        </w:rPr>
        <w:footnoteRef/>
      </w:r>
      <w:r w:rsidRPr="00106882">
        <w:rPr>
          <w:sz w:val="20"/>
          <w:lang w:eastAsia="zh-CN"/>
        </w:rPr>
        <w:t xml:space="preserve"> </w:t>
      </w:r>
      <w:r w:rsidRPr="00106882">
        <w:rPr>
          <w:rFonts w:hint="eastAsia"/>
          <w:sz w:val="20"/>
          <w:lang w:eastAsia="zh-CN"/>
        </w:rPr>
        <w:t xml:space="preserve"> 2024 </w:t>
      </w:r>
      <w:r w:rsidRPr="00106882">
        <w:rPr>
          <w:rFonts w:hint="eastAsia"/>
          <w:sz w:val="20"/>
          <w:lang w:eastAsia="zh-CN"/>
        </w:rPr>
        <w:t>年</w:t>
      </w:r>
      <w:r w:rsidRPr="00106882">
        <w:rPr>
          <w:rFonts w:hint="eastAsia"/>
          <w:sz w:val="20"/>
          <w:lang w:eastAsia="zh-CN"/>
        </w:rPr>
        <w:t xml:space="preserve"> 10 </w:t>
      </w:r>
      <w:r w:rsidRPr="00106882">
        <w:rPr>
          <w:rFonts w:hint="eastAsia"/>
          <w:sz w:val="20"/>
          <w:lang w:eastAsia="zh-CN"/>
        </w:rPr>
        <w:t>月</w:t>
      </w:r>
      <w:r w:rsidRPr="00106882">
        <w:rPr>
          <w:rFonts w:hint="eastAsia"/>
          <w:sz w:val="20"/>
          <w:lang w:eastAsia="zh-CN"/>
        </w:rPr>
        <w:t xml:space="preserve"> 21 </w:t>
      </w:r>
      <w:r w:rsidRPr="00106882">
        <w:rPr>
          <w:rFonts w:hint="eastAsia"/>
          <w:sz w:val="20"/>
          <w:lang w:eastAsia="zh-CN"/>
        </w:rPr>
        <w:t>日举行的联络小组会议没有讨论序言部分第二和第三段。</w:t>
      </w:r>
    </w:p>
  </w:footnote>
  <w:footnote w:id="4">
    <w:p w14:paraId="7CF04B2E" w14:textId="144BAE57" w:rsidR="004F5AB7" w:rsidRPr="00106882" w:rsidRDefault="004F5AB7" w:rsidP="00106882">
      <w:pPr>
        <w:pStyle w:val="FootnoteText"/>
        <w:rPr>
          <w:rFonts w:eastAsiaTheme="minorEastAsia"/>
          <w:sz w:val="20"/>
          <w:lang w:eastAsia="zh-CN"/>
        </w:rPr>
      </w:pPr>
      <w:r w:rsidRPr="00106882">
        <w:rPr>
          <w:rStyle w:val="FootnoteReference"/>
          <w:sz w:val="20"/>
        </w:rPr>
        <w:footnoteRef/>
      </w:r>
      <w:r w:rsidRPr="00106882">
        <w:rPr>
          <w:rStyle w:val="FootnoteReference"/>
          <w:sz w:val="20"/>
          <w:lang w:eastAsia="zh-CN"/>
        </w:rPr>
        <w:t xml:space="preserve"> </w:t>
      </w:r>
      <w:r w:rsidR="00221F25" w:rsidRPr="00106882">
        <w:rPr>
          <w:rFonts w:hint="eastAsia"/>
          <w:sz w:val="20"/>
          <w:lang w:eastAsia="zh-CN"/>
        </w:rPr>
        <w:t xml:space="preserve"> </w:t>
      </w:r>
      <w:r w:rsidRPr="00106882">
        <w:rPr>
          <w:rFonts w:hint="eastAsia"/>
          <w:sz w:val="20"/>
          <w:lang w:eastAsia="zh-CN"/>
        </w:rPr>
        <w:t>第</w:t>
      </w:r>
      <w:r w:rsidRPr="00106882">
        <w:rPr>
          <w:rFonts w:hint="eastAsia"/>
          <w:sz w:val="20"/>
          <w:lang w:eastAsia="zh-CN"/>
        </w:rPr>
        <w:t>15/4</w:t>
      </w:r>
      <w:r w:rsidRPr="00106882">
        <w:rPr>
          <w:rFonts w:hint="eastAsia"/>
          <w:sz w:val="20"/>
          <w:lang w:eastAsia="zh-CN"/>
        </w:rPr>
        <w:t>号决定，附件。</w:t>
      </w:r>
    </w:p>
  </w:footnote>
  <w:footnote w:id="5">
    <w:p w14:paraId="2981114C" w14:textId="77777777" w:rsidR="004F5AB7" w:rsidRPr="00106882" w:rsidRDefault="004F5AB7" w:rsidP="00106882">
      <w:pPr>
        <w:pStyle w:val="FootnoteText"/>
        <w:rPr>
          <w:rStyle w:val="FootnoteReference"/>
          <w:sz w:val="20"/>
          <w:lang w:eastAsia="zh-CN"/>
        </w:rPr>
      </w:pPr>
      <w:r w:rsidRPr="00106882">
        <w:rPr>
          <w:rStyle w:val="FootnoteReference"/>
          <w:sz w:val="20"/>
        </w:rPr>
        <w:footnoteRef/>
      </w:r>
      <w:r w:rsidRPr="00106882">
        <w:rPr>
          <w:rStyle w:val="FootnoteReference"/>
          <w:sz w:val="20"/>
          <w:lang w:eastAsia="zh-CN"/>
        </w:rPr>
        <w:t xml:space="preserve"> </w:t>
      </w:r>
      <w:r w:rsidRPr="00106882">
        <w:rPr>
          <w:rFonts w:hint="eastAsia"/>
          <w:sz w:val="20"/>
          <w:vertAlign w:val="superscript"/>
          <w:lang w:eastAsia="zh-CN"/>
        </w:rPr>
        <w:t xml:space="preserve"> </w:t>
      </w:r>
      <w:r w:rsidRPr="00106882">
        <w:rPr>
          <w:rFonts w:hint="eastAsia"/>
          <w:sz w:val="20"/>
          <w:lang w:eastAsia="zh-CN"/>
        </w:rPr>
        <w:t>见</w:t>
      </w:r>
      <w:r w:rsidRPr="00106882">
        <w:rPr>
          <w:rStyle w:val="FootnoteReference"/>
          <w:sz w:val="20"/>
          <w:vertAlign w:val="baseline"/>
          <w:lang w:eastAsia="zh-CN"/>
        </w:rPr>
        <w:t>CBD</w:t>
      </w:r>
      <w:r w:rsidRPr="00106882">
        <w:rPr>
          <w:rStyle w:val="FootnoteReference"/>
          <w:rFonts w:hint="eastAsia"/>
          <w:sz w:val="20"/>
          <w:vertAlign w:val="baseline"/>
          <w:lang w:eastAsia="zh-CN"/>
        </w:rPr>
        <w:t>/</w:t>
      </w:r>
      <w:r w:rsidRPr="00106882">
        <w:rPr>
          <w:rStyle w:val="FootnoteReference"/>
          <w:sz w:val="20"/>
          <w:vertAlign w:val="baseline"/>
          <w:lang w:eastAsia="zh-CN"/>
        </w:rPr>
        <w:t>SBI</w:t>
      </w:r>
      <w:r w:rsidRPr="00106882">
        <w:rPr>
          <w:rStyle w:val="FootnoteReference"/>
          <w:rFonts w:hint="eastAsia"/>
          <w:sz w:val="20"/>
          <w:vertAlign w:val="baseline"/>
          <w:lang w:eastAsia="zh-CN"/>
        </w:rPr>
        <w:t>/4/13</w:t>
      </w:r>
      <w:r w:rsidRPr="00106882">
        <w:rPr>
          <w:rStyle w:val="FootnoteReference"/>
          <w:sz w:val="20"/>
          <w:vertAlign w:val="baseline"/>
          <w:lang w:eastAsia="zh-CN"/>
        </w:rPr>
        <w:t>。</w:t>
      </w:r>
    </w:p>
  </w:footnote>
  <w:footnote w:id="6">
    <w:p w14:paraId="578149EE" w14:textId="77777777" w:rsidR="004F5AB7" w:rsidRPr="0004166A" w:rsidRDefault="004F5AB7" w:rsidP="0004166A">
      <w:pPr>
        <w:pStyle w:val="FootnoteText"/>
        <w:rPr>
          <w:sz w:val="20"/>
          <w:lang w:eastAsia="zh-CN"/>
        </w:rPr>
      </w:pPr>
      <w:r w:rsidRPr="0004166A">
        <w:rPr>
          <w:rStyle w:val="FootnoteReference"/>
          <w:sz w:val="20"/>
        </w:rPr>
        <w:footnoteRef/>
      </w:r>
      <w:r w:rsidRPr="0004166A">
        <w:rPr>
          <w:sz w:val="20"/>
          <w:vertAlign w:val="superscript"/>
          <w:lang w:eastAsia="zh-CN"/>
        </w:rPr>
        <w:t xml:space="preserve"> </w:t>
      </w:r>
      <w:r w:rsidRPr="0004166A">
        <w:rPr>
          <w:sz w:val="20"/>
          <w:lang w:eastAsia="zh-CN"/>
        </w:rPr>
        <w:t xml:space="preserve"> </w:t>
      </w:r>
      <w:r w:rsidRPr="0004166A">
        <w:rPr>
          <w:noProof/>
          <w:sz w:val="20"/>
          <w:lang w:val="en-GB" w:eastAsia="zh-CN"/>
        </w:rPr>
        <w:t>第</w:t>
      </w:r>
      <w:r w:rsidRPr="0004166A">
        <w:rPr>
          <w:noProof/>
          <w:sz w:val="20"/>
          <w:lang w:val="en-GB" w:eastAsia="zh-CN"/>
        </w:rPr>
        <w:t>15/4</w:t>
      </w:r>
      <w:r w:rsidRPr="0004166A">
        <w:rPr>
          <w:noProof/>
          <w:sz w:val="20"/>
          <w:lang w:val="en-GB" w:eastAsia="zh-CN"/>
        </w:rPr>
        <w:t>号决定第</w:t>
      </w:r>
      <w:r w:rsidRPr="0004166A">
        <w:rPr>
          <w:noProof/>
          <w:sz w:val="20"/>
          <w:lang w:val="en-GB" w:eastAsia="zh-CN"/>
        </w:rPr>
        <w:t>8</w:t>
      </w:r>
      <w:r w:rsidRPr="0004166A">
        <w:rPr>
          <w:noProof/>
          <w:sz w:val="20"/>
          <w:lang w:val="en-GB" w:eastAsia="zh-CN"/>
        </w:rPr>
        <w:t>段。</w:t>
      </w:r>
    </w:p>
  </w:footnote>
  <w:footnote w:id="7">
    <w:p w14:paraId="15FE0794" w14:textId="111AE7F7" w:rsidR="004F5AB7" w:rsidRPr="0004166A" w:rsidRDefault="004F5AB7" w:rsidP="0004166A">
      <w:pPr>
        <w:pStyle w:val="FootnoteText"/>
        <w:rPr>
          <w:rStyle w:val="FootnoteReference"/>
          <w:sz w:val="20"/>
          <w:lang w:eastAsia="zh-CN"/>
        </w:rPr>
      </w:pPr>
      <w:r w:rsidRPr="0004166A">
        <w:rPr>
          <w:rStyle w:val="FootnoteReference"/>
          <w:sz w:val="20"/>
        </w:rPr>
        <w:footnoteRef/>
      </w:r>
      <w:r w:rsidRPr="0004166A">
        <w:rPr>
          <w:rStyle w:val="FootnoteReference"/>
          <w:sz w:val="20"/>
          <w:lang w:eastAsia="zh-CN"/>
        </w:rPr>
        <w:t xml:space="preserve"> </w:t>
      </w:r>
      <w:r w:rsidRPr="0004166A">
        <w:rPr>
          <w:rFonts w:hint="eastAsia"/>
          <w:sz w:val="20"/>
          <w:vertAlign w:val="superscript"/>
          <w:lang w:eastAsia="zh-CN"/>
        </w:rPr>
        <w:t xml:space="preserve"> </w:t>
      </w:r>
      <w:r w:rsidRPr="0004166A">
        <w:rPr>
          <w:rFonts w:hint="eastAsia"/>
          <w:sz w:val="20"/>
          <w:lang w:eastAsia="zh-CN"/>
        </w:rPr>
        <w:t>包括</w:t>
      </w:r>
      <w:r w:rsidR="00D16CF9" w:rsidRPr="0004166A">
        <w:rPr>
          <w:rFonts w:hint="eastAsia"/>
          <w:sz w:val="20"/>
          <w:lang w:eastAsia="zh-CN"/>
        </w:rPr>
        <w:t>缔约方大会</w:t>
      </w:r>
      <w:r w:rsidRPr="0004166A">
        <w:rPr>
          <w:rFonts w:hint="eastAsia"/>
          <w:sz w:val="20"/>
          <w:lang w:eastAsia="zh-CN"/>
        </w:rPr>
        <w:t>第</w:t>
      </w:r>
      <w:r w:rsidRPr="0004166A">
        <w:rPr>
          <w:rFonts w:hint="eastAsia"/>
          <w:sz w:val="20"/>
          <w:lang w:eastAsia="zh-CN"/>
        </w:rPr>
        <w:t>XIII/3</w:t>
      </w:r>
      <w:r w:rsidRPr="0004166A">
        <w:rPr>
          <w:rFonts w:hint="eastAsia"/>
          <w:sz w:val="20"/>
          <w:lang w:eastAsia="zh-CN"/>
        </w:rPr>
        <w:t>号决定（农业、林业、渔业、水产养殖业和旅游业）和第</w:t>
      </w:r>
      <w:r w:rsidRPr="0004166A">
        <w:rPr>
          <w:rFonts w:hint="eastAsia"/>
          <w:sz w:val="20"/>
          <w:lang w:eastAsia="zh-CN"/>
        </w:rPr>
        <w:t>14/3</w:t>
      </w:r>
      <w:r w:rsidRPr="0004166A">
        <w:rPr>
          <w:rFonts w:hint="eastAsia"/>
          <w:sz w:val="20"/>
          <w:lang w:eastAsia="zh-CN"/>
        </w:rPr>
        <w:t>号决定（能源和采矿、基础设施、制造业和加工业）所述各行各业。</w:t>
      </w:r>
    </w:p>
  </w:footnote>
  <w:footnote w:id="8">
    <w:p w14:paraId="533F80FD" w14:textId="02EA3726" w:rsidR="0050437F" w:rsidRDefault="0050437F" w:rsidP="0004166A">
      <w:pPr>
        <w:pStyle w:val="FootnoteText"/>
        <w:rPr>
          <w:lang w:eastAsia="zh-CN"/>
        </w:rPr>
      </w:pPr>
      <w:r w:rsidRPr="0004166A">
        <w:rPr>
          <w:rStyle w:val="FootnoteReference"/>
          <w:sz w:val="20"/>
        </w:rPr>
        <w:footnoteRef/>
      </w:r>
      <w:r w:rsidRPr="0004166A">
        <w:rPr>
          <w:sz w:val="20"/>
          <w:lang w:eastAsia="zh-CN"/>
        </w:rPr>
        <w:t xml:space="preserve"> </w:t>
      </w:r>
      <w:r w:rsidRPr="0004166A">
        <w:rPr>
          <w:rFonts w:hint="eastAsia"/>
          <w:sz w:val="20"/>
          <w:lang w:eastAsia="zh-CN"/>
        </w:rPr>
        <w:t xml:space="preserve">2024 </w:t>
      </w:r>
      <w:r w:rsidRPr="0004166A">
        <w:rPr>
          <w:rFonts w:hint="eastAsia"/>
          <w:sz w:val="20"/>
          <w:lang w:eastAsia="zh-CN"/>
        </w:rPr>
        <w:t>年</w:t>
      </w:r>
      <w:r w:rsidRPr="0004166A">
        <w:rPr>
          <w:rFonts w:hint="eastAsia"/>
          <w:sz w:val="20"/>
          <w:lang w:eastAsia="zh-CN"/>
        </w:rPr>
        <w:t xml:space="preserve"> 10 </w:t>
      </w:r>
      <w:r w:rsidRPr="0004166A">
        <w:rPr>
          <w:rFonts w:hint="eastAsia"/>
          <w:sz w:val="20"/>
          <w:lang w:eastAsia="zh-CN"/>
        </w:rPr>
        <w:t>月</w:t>
      </w:r>
      <w:r w:rsidRPr="0004166A">
        <w:rPr>
          <w:rFonts w:hint="eastAsia"/>
          <w:sz w:val="20"/>
          <w:lang w:eastAsia="zh-CN"/>
        </w:rPr>
        <w:t xml:space="preserve"> 21 </w:t>
      </w:r>
      <w:r w:rsidRPr="0004166A">
        <w:rPr>
          <w:rFonts w:hint="eastAsia"/>
          <w:sz w:val="20"/>
          <w:lang w:eastAsia="zh-CN"/>
        </w:rPr>
        <w:t>日举行的联络小组会议未讨论执行部分第</w:t>
      </w:r>
      <w:r w:rsidRPr="0004166A">
        <w:rPr>
          <w:rFonts w:hint="eastAsia"/>
          <w:sz w:val="20"/>
          <w:lang w:eastAsia="zh-CN"/>
        </w:rPr>
        <w:t xml:space="preserve"> 3 </w:t>
      </w:r>
      <w:r w:rsidRPr="0004166A">
        <w:rPr>
          <w:rFonts w:hint="eastAsia"/>
          <w:sz w:val="20"/>
          <w:lang w:eastAsia="zh-CN"/>
        </w:rPr>
        <w:t>至第</w:t>
      </w:r>
      <w:r w:rsidRPr="0004166A">
        <w:rPr>
          <w:rFonts w:hint="eastAsia"/>
          <w:sz w:val="20"/>
          <w:lang w:eastAsia="zh-CN"/>
        </w:rPr>
        <w:t xml:space="preserve"> 5 </w:t>
      </w:r>
      <w:r w:rsidRPr="0004166A">
        <w:rPr>
          <w:rFonts w:hint="eastAsia"/>
          <w:sz w:val="20"/>
          <w:lang w:eastAsia="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64093F80" w14:textId="4E80222F" w:rsidR="0004166A" w:rsidRDefault="001101B7">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4166A" w:rsidRPr="007B212A">
          <w:rPr>
            <w:szCs w:val="20"/>
            <w:lang w:val="en-CA"/>
          </w:rPr>
          <w:t>CBD/COP/16/</w:t>
        </w:r>
        <w:proofErr w:type="gramStart"/>
        <w:r w:rsidR="0004166A" w:rsidRPr="007B212A">
          <w:rPr>
            <w:szCs w:val="20"/>
            <w:lang w:val="en-CA"/>
          </w:rPr>
          <w:t>WG.II</w:t>
        </w:r>
        <w:proofErr w:type="gramEnd"/>
        <w:r w:rsidR="0004166A" w:rsidRPr="007B212A">
          <w:rPr>
            <w:szCs w:val="20"/>
            <w:lang w:val="en-CA"/>
          </w:rPr>
          <w:t>/CRP.4</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F799E" w14:textId="75AF8F15" w:rsidR="0004166A" w:rsidRDefault="001101B7" w:rsidP="0004166A">
    <w:pPr>
      <w:pStyle w:val="Header"/>
      <w:jc w:val="right"/>
    </w:pPr>
    <w:sdt>
      <w:sdtPr>
        <w:rPr>
          <w:szCs w:val="20"/>
          <w:lang w:val="en-CA"/>
        </w:rPr>
        <w:alias w:val="Subject"/>
        <w:tag w:val=""/>
        <w:id w:val="1140234155"/>
        <w:dataBinding w:prefixMappings="xmlns:ns0='http://purl.org/dc/elements/1.1/' xmlns:ns1='http://schemas.openxmlformats.org/package/2006/metadata/core-properties' " w:xpath="/ns1:coreProperties[1]/ns0:subject[1]" w:storeItemID="{6C3C8BC8-F283-45AE-878A-BAB7291924A1}"/>
        <w:text/>
      </w:sdtPr>
      <w:sdtEndPr/>
      <w:sdtContent>
        <w:r w:rsidR="0004166A">
          <w:rPr>
            <w:szCs w:val="20"/>
            <w:lang w:val="en-CA"/>
          </w:rPr>
          <w:t>CBD/COP/16/</w:t>
        </w:r>
        <w:proofErr w:type="gramStart"/>
        <w:r w:rsidR="0004166A">
          <w:rPr>
            <w:szCs w:val="20"/>
            <w:lang w:val="en-CA"/>
          </w:rPr>
          <w:t>WG.II</w:t>
        </w:r>
        <w:proofErr w:type="gramEnd"/>
        <w:r w:rsidR="0004166A">
          <w:rPr>
            <w:szCs w:val="20"/>
            <w:lang w:val="en-CA"/>
          </w:rPr>
          <w:t>/CRP.4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SimSun" w:eastAsia="SimSun" w:hAnsi="SimSun"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SimSun" w:eastAsia="SimSun" w:hAnsi="SimSun"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1"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2"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4"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5"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SimSun"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6"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8"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2"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4"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7"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8"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2"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5"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6" w15:restartNumberingAfterBreak="0">
    <w:nsid w:val="65ED0129"/>
    <w:multiLevelType w:val="hybridMultilevel"/>
    <w:tmpl w:val="D2DE3D16"/>
    <w:lvl w:ilvl="0" w:tplc="D9C87B2E">
      <w:start w:val="1"/>
      <w:numFmt w:val="chineseCountingThousand"/>
      <w:lvlText w:val="(%1)"/>
      <w:lvlJc w:val="left"/>
      <w:pPr>
        <w:ind w:left="1138" w:hanging="640"/>
      </w:pPr>
      <w:rPr>
        <w:rFonts w:ascii="SimSun" w:eastAsia="SimSun" w:hAnsi="SimSun"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68250F16"/>
    <w:multiLevelType w:val="hybridMultilevel"/>
    <w:tmpl w:val="FCD047BC"/>
    <w:lvl w:ilvl="0" w:tplc="FFFFFFFF">
      <w:start w:val="1"/>
      <w:numFmt w:val="lowerLetter"/>
      <w:lvlText w:val="(%1)"/>
      <w:lvlJc w:val="left"/>
      <w:pPr>
        <w:ind w:left="1340" w:hanging="360"/>
      </w:pPr>
      <w:rPr>
        <w:rFonts w:eastAsia="MS Mincho" w:hint="default"/>
        <w:vertAlign w:val="baseline"/>
      </w:rPr>
    </w:lvl>
    <w:lvl w:ilvl="1" w:tplc="FFFFFFFF">
      <w:start w:val="1"/>
      <w:numFmt w:val="lowerLetter"/>
      <w:lvlText w:val="%2."/>
      <w:lvlJc w:val="left"/>
      <w:pPr>
        <w:ind w:left="2060" w:hanging="360"/>
      </w:pPr>
    </w:lvl>
    <w:lvl w:ilvl="2" w:tplc="FFFFFFFF">
      <w:start w:val="1"/>
      <w:numFmt w:val="lowerRoman"/>
      <w:lvlText w:val="%3."/>
      <w:lvlJc w:val="right"/>
      <w:pPr>
        <w:ind w:left="2780" w:hanging="180"/>
      </w:pPr>
    </w:lvl>
    <w:lvl w:ilvl="3" w:tplc="FFFFFFFF">
      <w:start w:val="1"/>
      <w:numFmt w:val="decimal"/>
      <w:lvlText w:val="%4."/>
      <w:lvlJc w:val="left"/>
      <w:pPr>
        <w:ind w:left="3500" w:hanging="360"/>
      </w:pPr>
    </w:lvl>
    <w:lvl w:ilvl="4" w:tplc="FFFFFFFF">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50"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1"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4"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5"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6CAA0A11"/>
    <w:multiLevelType w:val="hybridMultilevel"/>
    <w:tmpl w:val="517C8746"/>
    <w:lvl w:ilvl="0" w:tplc="2AE4C31E">
      <w:start w:val="6"/>
      <w:numFmt w:val="decimal"/>
      <w:lvlText w:val="%1."/>
      <w:lvlJc w:val="left"/>
      <w:pPr>
        <w:ind w:left="1829" w:hanging="360"/>
      </w:pPr>
      <w:rPr>
        <w:rFonts w:ascii="Times New Roman" w:eastAsia="KaiTi"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59"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SimSun"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5"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6"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0"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3"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ACB188C"/>
    <w:multiLevelType w:val="hybridMultilevel"/>
    <w:tmpl w:val="D9181636"/>
    <w:lvl w:ilvl="0" w:tplc="408811F6">
      <w:start w:val="6"/>
      <w:numFmt w:val="lowerLetter"/>
      <w:lvlText w:val="(%1)"/>
      <w:lvlJc w:val="left"/>
      <w:pPr>
        <w:ind w:left="1340" w:hanging="360"/>
      </w:pPr>
      <w:rPr>
        <w:rFonts w:eastAsia="MS Mincho"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0"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5"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8"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50"/>
  </w:num>
  <w:num w:numId="2" w16cid:durableId="1595437956">
    <w:abstractNumId w:val="132"/>
  </w:num>
  <w:num w:numId="3" w16cid:durableId="495995297">
    <w:abstractNumId w:val="180"/>
  </w:num>
  <w:num w:numId="4" w16cid:durableId="387650124">
    <w:abstractNumId w:val="70"/>
  </w:num>
  <w:num w:numId="5" w16cid:durableId="1474984872">
    <w:abstractNumId w:val="116"/>
  </w:num>
  <w:num w:numId="6" w16cid:durableId="767388929">
    <w:abstractNumId w:val="90"/>
  </w:num>
  <w:num w:numId="7" w16cid:durableId="1671909441">
    <w:abstractNumId w:val="1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60"/>
  </w:num>
  <w:num w:numId="9" w16cid:durableId="1847012668">
    <w:abstractNumId w:val="160"/>
  </w:num>
  <w:num w:numId="10" w16cid:durableId="849563837">
    <w:abstractNumId w:val="164"/>
  </w:num>
  <w:num w:numId="11" w16cid:durableId="1580017393">
    <w:abstractNumId w:val="110"/>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47"/>
  </w:num>
  <w:num w:numId="16" w16cid:durableId="494077759">
    <w:abstractNumId w:val="26"/>
  </w:num>
  <w:num w:numId="17" w16cid:durableId="53507491">
    <w:abstractNumId w:val="50"/>
  </w:num>
  <w:num w:numId="18" w16cid:durableId="1701008211">
    <w:abstractNumId w:val="117"/>
  </w:num>
  <w:num w:numId="19" w16cid:durableId="1645163949">
    <w:abstractNumId w:val="139"/>
  </w:num>
  <w:num w:numId="20" w16cid:durableId="1454788445">
    <w:abstractNumId w:val="102"/>
  </w:num>
  <w:num w:numId="21" w16cid:durableId="770323406">
    <w:abstractNumId w:val="184"/>
  </w:num>
  <w:num w:numId="22" w16cid:durableId="1148939127">
    <w:abstractNumId w:val="141"/>
  </w:num>
  <w:num w:numId="23" w16cid:durableId="875695398">
    <w:abstractNumId w:val="150"/>
  </w:num>
  <w:num w:numId="24" w16cid:durableId="2073886884">
    <w:abstractNumId w:val="98"/>
  </w:num>
  <w:num w:numId="25" w16cid:durableId="1056709268">
    <w:abstractNumId w:val="154"/>
  </w:num>
  <w:num w:numId="26" w16cid:durableId="2057073548">
    <w:abstractNumId w:val="54"/>
  </w:num>
  <w:num w:numId="27" w16cid:durableId="1002897901">
    <w:abstractNumId w:val="7"/>
  </w:num>
  <w:num w:numId="28" w16cid:durableId="72550756">
    <w:abstractNumId w:val="3"/>
  </w:num>
  <w:num w:numId="29" w16cid:durableId="278756853">
    <w:abstractNumId w:val="145"/>
  </w:num>
  <w:num w:numId="30" w16cid:durableId="1770080417">
    <w:abstractNumId w:val="67"/>
  </w:num>
  <w:num w:numId="31" w16cid:durableId="2137215899">
    <w:abstractNumId w:val="119"/>
  </w:num>
  <w:num w:numId="32" w16cid:durableId="689137252">
    <w:abstractNumId w:val="130"/>
  </w:num>
  <w:num w:numId="33" w16cid:durableId="1574924666">
    <w:abstractNumId w:val="170"/>
  </w:num>
  <w:num w:numId="34" w16cid:durableId="764346948">
    <w:abstractNumId w:val="15"/>
  </w:num>
  <w:num w:numId="35" w16cid:durableId="608857336">
    <w:abstractNumId w:val="84"/>
  </w:num>
  <w:num w:numId="36" w16cid:durableId="583104256">
    <w:abstractNumId w:val="85"/>
  </w:num>
  <w:num w:numId="37" w16cid:durableId="368991364">
    <w:abstractNumId w:val="143"/>
  </w:num>
  <w:num w:numId="38" w16cid:durableId="532767408">
    <w:abstractNumId w:val="174"/>
  </w:num>
  <w:num w:numId="39" w16cid:durableId="1407337962">
    <w:abstractNumId w:val="38"/>
  </w:num>
  <w:num w:numId="40" w16cid:durableId="1853445932">
    <w:abstractNumId w:val="74"/>
  </w:num>
  <w:num w:numId="41" w16cid:durableId="139924812">
    <w:abstractNumId w:val="17"/>
  </w:num>
  <w:num w:numId="42" w16cid:durableId="1186283271">
    <w:abstractNumId w:val="125"/>
  </w:num>
  <w:num w:numId="43" w16cid:durableId="1023239529">
    <w:abstractNumId w:val="63"/>
  </w:num>
  <w:num w:numId="44" w16cid:durableId="862866512">
    <w:abstractNumId w:val="94"/>
  </w:num>
  <w:num w:numId="45" w16cid:durableId="966131953">
    <w:abstractNumId w:val="148"/>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2"/>
  </w:num>
  <w:num w:numId="51" w16cid:durableId="1886061258">
    <w:abstractNumId w:val="6"/>
  </w:num>
  <w:num w:numId="52" w16cid:durableId="640042195">
    <w:abstractNumId w:val="36"/>
  </w:num>
  <w:num w:numId="53" w16cid:durableId="379717319">
    <w:abstractNumId w:val="93"/>
  </w:num>
  <w:num w:numId="54" w16cid:durableId="1126700453">
    <w:abstractNumId w:val="138"/>
  </w:num>
  <w:num w:numId="55" w16cid:durableId="138499499">
    <w:abstractNumId w:val="126"/>
  </w:num>
  <w:num w:numId="56" w16cid:durableId="562641775">
    <w:abstractNumId w:val="155"/>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2"/>
  </w:num>
  <w:num w:numId="62" w16cid:durableId="2016885107">
    <w:abstractNumId w:val="120"/>
  </w:num>
  <w:num w:numId="63" w16cid:durableId="737359164">
    <w:abstractNumId w:val="163"/>
  </w:num>
  <w:num w:numId="64" w16cid:durableId="2146193955">
    <w:abstractNumId w:val="152"/>
  </w:num>
  <w:num w:numId="65" w16cid:durableId="1656109754">
    <w:abstractNumId w:val="168"/>
  </w:num>
  <w:num w:numId="66" w16cid:durableId="1732803174">
    <w:abstractNumId w:val="66"/>
  </w:num>
  <w:num w:numId="67" w16cid:durableId="905260198">
    <w:abstractNumId w:val="101"/>
  </w:num>
  <w:num w:numId="68" w16cid:durableId="1286472687">
    <w:abstractNumId w:val="95"/>
  </w:num>
  <w:num w:numId="69" w16cid:durableId="525875460">
    <w:abstractNumId w:val="181"/>
  </w:num>
  <w:num w:numId="70" w16cid:durableId="136412799">
    <w:abstractNumId w:val="32"/>
  </w:num>
  <w:num w:numId="71" w16cid:durableId="668293452">
    <w:abstractNumId w:val="173"/>
  </w:num>
  <w:num w:numId="72" w16cid:durableId="1118064129">
    <w:abstractNumId w:val="109"/>
  </w:num>
  <w:num w:numId="73" w16cid:durableId="1486623914">
    <w:abstractNumId w:val="0"/>
  </w:num>
  <w:num w:numId="74" w16cid:durableId="363485857">
    <w:abstractNumId w:val="75"/>
  </w:num>
  <w:num w:numId="75" w16cid:durableId="695346200">
    <w:abstractNumId w:val="129"/>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6"/>
  </w:num>
  <w:num w:numId="82" w16cid:durableId="209268977">
    <w:abstractNumId w:val="124"/>
  </w:num>
  <w:num w:numId="83" w16cid:durableId="1266956480">
    <w:abstractNumId w:val="118"/>
  </w:num>
  <w:num w:numId="84" w16cid:durableId="1082683309">
    <w:abstractNumId w:val="25"/>
  </w:num>
  <w:num w:numId="85" w16cid:durableId="269432258">
    <w:abstractNumId w:val="18"/>
  </w:num>
  <w:num w:numId="86" w16cid:durableId="1847136096">
    <w:abstractNumId w:val="177"/>
  </w:num>
  <w:num w:numId="87" w16cid:durableId="1751849362">
    <w:abstractNumId w:val="61"/>
  </w:num>
  <w:num w:numId="88" w16cid:durableId="506868955">
    <w:abstractNumId w:val="156"/>
  </w:num>
  <w:num w:numId="89" w16cid:durableId="1539202548">
    <w:abstractNumId w:val="35"/>
  </w:num>
  <w:num w:numId="90" w16cid:durableId="2082170255">
    <w:abstractNumId w:val="176"/>
  </w:num>
  <w:num w:numId="91" w16cid:durableId="1072774703">
    <w:abstractNumId w:val="185"/>
  </w:num>
  <w:num w:numId="92" w16cid:durableId="1365718340">
    <w:abstractNumId w:val="135"/>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59"/>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69"/>
  </w:num>
  <w:num w:numId="103" w16cid:durableId="1293245039">
    <w:abstractNumId w:val="114"/>
  </w:num>
  <w:num w:numId="104" w16cid:durableId="1241480437">
    <w:abstractNumId w:val="92"/>
  </w:num>
  <w:num w:numId="105" w16cid:durableId="947934109">
    <w:abstractNumId w:val="131"/>
  </w:num>
  <w:num w:numId="106" w16cid:durableId="769357741">
    <w:abstractNumId w:val="55"/>
  </w:num>
  <w:num w:numId="107" w16cid:durableId="1111317266">
    <w:abstractNumId w:val="134"/>
  </w:num>
  <w:num w:numId="108" w16cid:durableId="597300850">
    <w:abstractNumId w:val="111"/>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5"/>
  </w:num>
  <w:num w:numId="119" w16cid:durableId="1316688474">
    <w:abstractNumId w:val="80"/>
  </w:num>
  <w:num w:numId="120" w16cid:durableId="580411027">
    <w:abstractNumId w:val="153"/>
  </w:num>
  <w:num w:numId="121" w16cid:durableId="1674457650">
    <w:abstractNumId w:val="142"/>
  </w:num>
  <w:num w:numId="122" w16cid:durableId="328678457">
    <w:abstractNumId w:val="123"/>
  </w:num>
  <w:num w:numId="123" w16cid:durableId="1392734714">
    <w:abstractNumId w:val="165"/>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88"/>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67"/>
  </w:num>
  <w:num w:numId="131" w16cid:durableId="1294866851">
    <w:abstractNumId w:val="86"/>
  </w:num>
  <w:num w:numId="132" w16cid:durableId="79909588">
    <w:abstractNumId w:val="187"/>
  </w:num>
  <w:num w:numId="133" w16cid:durableId="260719754">
    <w:abstractNumId w:val="72"/>
  </w:num>
  <w:num w:numId="134" w16cid:durableId="1712537849">
    <w:abstractNumId w:val="22"/>
  </w:num>
  <w:num w:numId="135" w16cid:durableId="392701854">
    <w:abstractNumId w:val="158"/>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3"/>
  </w:num>
  <w:num w:numId="141" w16cid:durableId="1173835414">
    <w:abstractNumId w:val="24"/>
  </w:num>
  <w:num w:numId="142" w16cid:durableId="1067267660">
    <w:abstractNumId w:val="83"/>
  </w:num>
  <w:num w:numId="143" w16cid:durableId="47727383">
    <w:abstractNumId w:val="5"/>
  </w:num>
  <w:num w:numId="144" w16cid:durableId="734016198">
    <w:abstractNumId w:val="135"/>
    <w:lvlOverride w:ilvl="0">
      <w:startOverride w:val="1"/>
    </w:lvlOverride>
  </w:num>
  <w:num w:numId="145" w16cid:durableId="993097909">
    <w:abstractNumId w:val="135"/>
    <w:lvlOverride w:ilvl="0">
      <w:startOverride w:val="1"/>
    </w:lvlOverride>
  </w:num>
  <w:num w:numId="146" w16cid:durableId="1139879470">
    <w:abstractNumId w:val="135"/>
    <w:lvlOverride w:ilvl="0">
      <w:startOverride w:val="1"/>
    </w:lvlOverride>
  </w:num>
  <w:num w:numId="147" w16cid:durableId="1806964270">
    <w:abstractNumId w:val="135"/>
    <w:lvlOverride w:ilvl="0">
      <w:startOverride w:val="1"/>
    </w:lvlOverride>
  </w:num>
  <w:num w:numId="148" w16cid:durableId="1940136119">
    <w:abstractNumId w:val="135"/>
    <w:lvlOverride w:ilvl="0">
      <w:startOverride w:val="1"/>
    </w:lvlOverride>
  </w:num>
  <w:num w:numId="149" w16cid:durableId="1082948197">
    <w:abstractNumId w:val="135"/>
    <w:lvlOverride w:ilvl="0">
      <w:startOverride w:val="1"/>
    </w:lvlOverride>
  </w:num>
  <w:num w:numId="150" w16cid:durableId="195050789">
    <w:abstractNumId w:val="135"/>
    <w:lvlOverride w:ilvl="0">
      <w:startOverride w:val="1"/>
    </w:lvlOverride>
  </w:num>
  <w:num w:numId="151" w16cid:durableId="218638319">
    <w:abstractNumId w:val="135"/>
    <w:lvlOverride w:ilvl="0">
      <w:startOverride w:val="1"/>
    </w:lvlOverride>
  </w:num>
  <w:num w:numId="152" w16cid:durableId="1169833091">
    <w:abstractNumId w:val="135"/>
    <w:lvlOverride w:ilvl="0">
      <w:startOverride w:val="1"/>
    </w:lvlOverride>
  </w:num>
  <w:num w:numId="153" w16cid:durableId="1450969226">
    <w:abstractNumId w:val="135"/>
    <w:lvlOverride w:ilvl="0">
      <w:startOverride w:val="1"/>
    </w:lvlOverride>
  </w:num>
  <w:num w:numId="154" w16cid:durableId="1962957862">
    <w:abstractNumId w:val="135"/>
    <w:lvlOverride w:ilvl="0">
      <w:startOverride w:val="1"/>
    </w:lvlOverride>
  </w:num>
  <w:num w:numId="155" w16cid:durableId="2048794366">
    <w:abstractNumId w:val="135"/>
    <w:lvlOverride w:ilvl="0">
      <w:startOverride w:val="1"/>
    </w:lvlOverride>
  </w:num>
  <w:num w:numId="156" w16cid:durableId="904142547">
    <w:abstractNumId w:val="115"/>
  </w:num>
  <w:num w:numId="157" w16cid:durableId="1757819773">
    <w:abstractNumId w:val="161"/>
  </w:num>
  <w:num w:numId="158" w16cid:durableId="1031109180">
    <w:abstractNumId w:val="56"/>
  </w:num>
  <w:num w:numId="159" w16cid:durableId="2109155751">
    <w:abstractNumId w:val="81"/>
  </w:num>
  <w:num w:numId="160" w16cid:durableId="833760855">
    <w:abstractNumId w:val="171"/>
  </w:num>
  <w:num w:numId="161" w16cid:durableId="73161901">
    <w:abstractNumId w:val="106"/>
  </w:num>
  <w:num w:numId="162" w16cid:durableId="225533539">
    <w:abstractNumId w:val="144"/>
  </w:num>
  <w:num w:numId="163" w16cid:durableId="1717462799">
    <w:abstractNumId w:val="137"/>
  </w:num>
  <w:num w:numId="164" w16cid:durableId="1254436274">
    <w:abstractNumId w:val="77"/>
  </w:num>
  <w:num w:numId="165" w16cid:durableId="555239105">
    <w:abstractNumId w:val="172"/>
  </w:num>
  <w:num w:numId="166" w16cid:durableId="1494639479">
    <w:abstractNumId w:val="112"/>
  </w:num>
  <w:num w:numId="167" w16cid:durableId="779958847">
    <w:abstractNumId w:val="157"/>
  </w:num>
  <w:num w:numId="168" w16cid:durableId="1438523292">
    <w:abstractNumId w:val="9"/>
  </w:num>
  <w:num w:numId="169" w16cid:durableId="1149859658">
    <w:abstractNumId w:val="183"/>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8"/>
  </w:num>
  <w:num w:numId="177" w16cid:durableId="488131420">
    <w:abstractNumId w:val="133"/>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7"/>
  </w:num>
  <w:num w:numId="183" w16cid:durableId="36973521">
    <w:abstractNumId w:val="58"/>
  </w:num>
  <w:num w:numId="184" w16cid:durableId="1722559213">
    <w:abstractNumId w:val="166"/>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6"/>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1"/>
  </w:num>
  <w:num w:numId="195" w16cid:durableId="1444568715">
    <w:abstractNumId w:val="122"/>
  </w:num>
  <w:num w:numId="196" w16cid:durableId="846793000">
    <w:abstractNumId w:val="179"/>
  </w:num>
  <w:num w:numId="197" w16cid:durableId="237447637">
    <w:abstractNumId w:val="150"/>
    <w:lvlOverride w:ilvl="0">
      <w:startOverride w:val="1"/>
    </w:lvlOverride>
  </w:num>
  <w:num w:numId="198" w16cid:durableId="409039774">
    <w:abstractNumId w:val="150"/>
    <w:lvlOverride w:ilvl="0">
      <w:startOverride w:val="1"/>
    </w:lvlOverride>
  </w:num>
  <w:num w:numId="199" w16cid:durableId="519128204">
    <w:abstractNumId w:val="150"/>
    <w:lvlOverride w:ilvl="0">
      <w:startOverride w:val="1"/>
    </w:lvlOverride>
  </w:num>
  <w:num w:numId="200" w16cid:durableId="899633617">
    <w:abstractNumId w:val="150"/>
    <w:lvlOverride w:ilvl="0">
      <w:startOverride w:val="1"/>
    </w:lvlOverride>
  </w:num>
  <w:num w:numId="201" w16cid:durableId="1022585235">
    <w:abstractNumId w:val="150"/>
    <w:lvlOverride w:ilvl="0">
      <w:startOverride w:val="1"/>
    </w:lvlOverride>
  </w:num>
  <w:num w:numId="202" w16cid:durableId="130026673">
    <w:abstractNumId w:val="150"/>
    <w:lvlOverride w:ilvl="0">
      <w:startOverride w:val="1"/>
    </w:lvlOverride>
  </w:num>
  <w:num w:numId="203" w16cid:durableId="706763516">
    <w:abstractNumId w:val="43"/>
    <w:lvlOverride w:ilvl="0">
      <w:startOverride w:val="1"/>
    </w:lvlOverride>
  </w:num>
  <w:num w:numId="204" w16cid:durableId="218320739">
    <w:abstractNumId w:val="150"/>
    <w:lvlOverride w:ilvl="0">
      <w:startOverride w:val="1"/>
    </w:lvlOverride>
  </w:num>
  <w:num w:numId="205" w16cid:durableId="2127582274">
    <w:abstractNumId w:val="68"/>
  </w:num>
  <w:num w:numId="206" w16cid:durableId="1665283114">
    <w:abstractNumId w:val="140"/>
  </w:num>
  <w:num w:numId="207" w16cid:durableId="757554421">
    <w:abstractNumId w:val="136"/>
  </w:num>
  <w:num w:numId="208" w16cid:durableId="1022248316">
    <w:abstractNumId w:val="151"/>
  </w:num>
  <w:num w:numId="209" w16cid:durableId="572282147">
    <w:abstractNumId w:val="34"/>
  </w:num>
  <w:num w:numId="210" w16cid:durableId="720444919">
    <w:abstractNumId w:val="107"/>
  </w:num>
  <w:num w:numId="211" w16cid:durableId="1775399652">
    <w:abstractNumId w:val="14"/>
  </w:num>
  <w:num w:numId="212" w16cid:durableId="1734625204">
    <w:abstractNumId w:val="149"/>
  </w:num>
  <w:num w:numId="213" w16cid:durableId="1007682819">
    <w:abstractNumId w:val="178"/>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66A"/>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882"/>
    <w:rsid w:val="00106D17"/>
    <w:rsid w:val="001078CA"/>
    <w:rsid w:val="001101B7"/>
    <w:rsid w:val="00110935"/>
    <w:rsid w:val="00110C20"/>
    <w:rsid w:val="00110D4B"/>
    <w:rsid w:val="00111495"/>
    <w:rsid w:val="00111580"/>
    <w:rsid w:val="001118D1"/>
    <w:rsid w:val="00112162"/>
    <w:rsid w:val="00113A7C"/>
    <w:rsid w:val="00113BD7"/>
    <w:rsid w:val="00114647"/>
    <w:rsid w:val="00114A14"/>
    <w:rsid w:val="001157B3"/>
    <w:rsid w:val="0011650A"/>
    <w:rsid w:val="0011689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0EA4"/>
    <w:rsid w:val="00141EC5"/>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BE8"/>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8C0"/>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C63"/>
    <w:rsid w:val="00323F22"/>
    <w:rsid w:val="003242BD"/>
    <w:rsid w:val="00324EDD"/>
    <w:rsid w:val="00325671"/>
    <w:rsid w:val="0032571A"/>
    <w:rsid w:val="003259AF"/>
    <w:rsid w:val="003263D5"/>
    <w:rsid w:val="00327193"/>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37F"/>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31B"/>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5D32"/>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A17"/>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355"/>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2C36"/>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33CD"/>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69B"/>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3F1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6CF9"/>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DE9"/>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6CB"/>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20</TotalTime>
  <Pages>3</Pages>
  <Words>2289</Words>
  <Characters>352</Characters>
  <Application>Microsoft Office Word</Application>
  <DocSecurity>0</DocSecurity>
  <Lines>2</Lines>
  <Paragraphs>5</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2636</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CBD/COP/16/WG.II/CRP.4</dc:subject>
  <dc:creator>veronique.lefebvre</dc:creator>
  <cp:keywords/>
  <dc:description/>
  <cp:lastModifiedBy>Mariko Nishi</cp:lastModifiedBy>
  <cp:revision>5</cp:revision>
  <cp:lastPrinted>2024-09-19T20:17:00Z</cp:lastPrinted>
  <dcterms:created xsi:type="dcterms:W3CDTF">2024-10-23T05:13:00Z</dcterms:created>
  <dcterms:modified xsi:type="dcterms:W3CDTF">2024-10-23T12:25:00Z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