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20BC4" w:rsidRPr="00DB5643" w14:paraId="2F5391A8" w14:textId="77777777" w:rsidTr="00C42029">
        <w:trPr>
          <w:trHeight w:val="844"/>
        </w:trPr>
        <w:tc>
          <w:tcPr>
            <w:tcW w:w="976" w:type="dxa"/>
          </w:tcPr>
          <w:p w14:paraId="1607DD41" w14:textId="77777777" w:rsidR="00E20BC4" w:rsidRPr="00DB5643" w:rsidRDefault="00E20BC4" w:rsidP="00C42029">
            <w:bookmarkStart w:id="0" w:name="_GoBack"/>
            <w:bookmarkEnd w:id="0"/>
          </w:p>
          <w:p w14:paraId="46BFCA93" w14:textId="77777777" w:rsidR="00E20BC4" w:rsidRPr="00DB5643" w:rsidRDefault="00E20BC4" w:rsidP="00C42029">
            <w:pPr>
              <w:rPr>
                <w:noProof/>
                <w:lang w:val="ru-RU" w:eastAsia="ru-RU"/>
              </w:rPr>
            </w:pPr>
          </w:p>
          <w:p w14:paraId="46CB3993" w14:textId="77777777" w:rsidR="00E20BC4" w:rsidRPr="00DB5643" w:rsidRDefault="00E20BC4" w:rsidP="00C42029">
            <w:r w:rsidRPr="00DB5643">
              <w:rPr>
                <w:noProof/>
                <w:lang w:val="ru-RU" w:eastAsia="ru-RU"/>
              </w:rPr>
              <w:drawing>
                <wp:anchor distT="0" distB="0" distL="114300" distR="114300" simplePos="0" relativeHeight="251660289" behindDoc="0" locked="0" layoutInCell="1" allowOverlap="1" wp14:anchorId="34079FB7" wp14:editId="23870679">
                  <wp:simplePos x="0" y="0"/>
                  <wp:positionH relativeFrom="column">
                    <wp:posOffset>365</wp:posOffset>
                  </wp:positionH>
                  <wp:positionV relativeFrom="page">
                    <wp:posOffset>-122</wp:posOffset>
                  </wp:positionV>
                  <wp:extent cx="476250" cy="402590"/>
                  <wp:effectExtent l="0" t="0" r="0" b="0"/>
                  <wp:wrapNone/>
                  <wp:docPr id="3"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7D6CA3E0" w14:textId="77777777" w:rsidR="00E20BC4" w:rsidRPr="00DB5643" w:rsidRDefault="00E20BC4" w:rsidP="00C42029">
            <w:r w:rsidRPr="00DB5643">
              <w:rPr>
                <w:noProof/>
                <w:lang w:val="ru-RU" w:eastAsia="ru-RU"/>
              </w:rPr>
              <w:drawing>
                <wp:inline distT="0" distB="0" distL="0" distR="0" wp14:anchorId="0E102561" wp14:editId="76CF251E">
                  <wp:extent cx="877694" cy="376767"/>
                  <wp:effectExtent l="0" t="0" r="0" b="4445"/>
                  <wp:docPr id="1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77839" cy="376829"/>
                          </a:xfrm>
                          <a:prstGeom prst="rect">
                            <a:avLst/>
                          </a:prstGeom>
                          <a:noFill/>
                          <a:ln>
                            <a:noFill/>
                          </a:ln>
                        </pic:spPr>
                      </pic:pic>
                    </a:graphicData>
                  </a:graphic>
                </wp:inline>
              </w:drawing>
            </w:r>
          </w:p>
        </w:tc>
        <w:tc>
          <w:tcPr>
            <w:tcW w:w="4090" w:type="dxa"/>
          </w:tcPr>
          <w:p w14:paraId="4BD7C2A8" w14:textId="77777777" w:rsidR="00E20BC4" w:rsidRPr="00DB5643" w:rsidRDefault="00E20BC4" w:rsidP="00C42029">
            <w:pPr>
              <w:jc w:val="right"/>
              <w:rPr>
                <w:rFonts w:ascii="Arial" w:hAnsi="Arial" w:cs="Arial"/>
                <w:b/>
                <w:sz w:val="32"/>
                <w:szCs w:val="32"/>
              </w:rPr>
            </w:pPr>
            <w:r w:rsidRPr="00DB5643">
              <w:rPr>
                <w:rFonts w:ascii="Arial" w:hAnsi="Arial" w:cs="Arial"/>
                <w:b/>
                <w:sz w:val="32"/>
                <w:szCs w:val="32"/>
              </w:rPr>
              <w:t>CBD</w:t>
            </w:r>
          </w:p>
        </w:tc>
      </w:tr>
    </w:tbl>
    <w:tbl>
      <w:tblPr>
        <w:tblStyle w:val="af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B93F5D" w:rsidRPr="00DB5643" w14:paraId="3AA01CAE" w14:textId="77777777" w:rsidTr="00B93F5D">
        <w:tc>
          <w:tcPr>
            <w:tcW w:w="6117" w:type="dxa"/>
            <w:tcBorders>
              <w:top w:val="single" w:sz="12" w:space="0" w:color="auto"/>
              <w:bottom w:val="single" w:sz="36" w:space="0" w:color="auto"/>
            </w:tcBorders>
            <w:vAlign w:val="center"/>
          </w:tcPr>
          <w:p w14:paraId="2723EE1D" w14:textId="3F821131" w:rsidR="00B93F5D" w:rsidRPr="00DB5643" w:rsidRDefault="00C42029" w:rsidP="00B93F5D">
            <w:pPr>
              <w:kinsoku w:val="0"/>
              <w:overflowPunct w:val="0"/>
              <w:autoSpaceDE w:val="0"/>
              <w:autoSpaceDN w:val="0"/>
              <w:rPr>
                <w:snapToGrid w:val="0"/>
                <w:kern w:val="22"/>
                <w:lang w:val="en-GB"/>
              </w:rPr>
            </w:pPr>
            <w:r w:rsidRPr="00DB5643">
              <w:rPr>
                <w:noProof/>
                <w:lang w:val="ru-RU" w:eastAsia="ru-RU"/>
              </w:rPr>
              <w:drawing>
                <wp:inline distT="0" distB="0" distL="0" distR="0" wp14:anchorId="7BDA5951" wp14:editId="02A17470">
                  <wp:extent cx="2616200" cy="1089025"/>
                  <wp:effectExtent l="0" t="0" r="0"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8728A08" w14:textId="77777777" w:rsidR="00B93F5D" w:rsidRPr="00DB5643" w:rsidRDefault="00B93F5D" w:rsidP="00B93F5D">
            <w:pPr>
              <w:kinsoku w:val="0"/>
              <w:overflowPunct w:val="0"/>
              <w:autoSpaceDE w:val="0"/>
              <w:autoSpaceDN w:val="0"/>
              <w:ind w:left="1215"/>
              <w:jc w:val="left"/>
              <w:rPr>
                <w:snapToGrid w:val="0"/>
                <w:kern w:val="22"/>
                <w:szCs w:val="22"/>
                <w:lang w:val="en-GB"/>
              </w:rPr>
            </w:pPr>
            <w:r w:rsidRPr="00DB5643">
              <w:rPr>
                <w:snapToGrid w:val="0"/>
                <w:kern w:val="22"/>
                <w:szCs w:val="22"/>
                <w:lang w:val="en-GB"/>
              </w:rPr>
              <w:t>Distr.</w:t>
            </w:r>
          </w:p>
          <w:p w14:paraId="4D2610EC" w14:textId="098D405C" w:rsidR="00B93F5D" w:rsidRPr="00DB5643" w:rsidRDefault="00B93F5D" w:rsidP="00B93F5D">
            <w:pPr>
              <w:kinsoku w:val="0"/>
              <w:overflowPunct w:val="0"/>
              <w:autoSpaceDE w:val="0"/>
              <w:autoSpaceDN w:val="0"/>
              <w:ind w:left="1215"/>
              <w:jc w:val="left"/>
              <w:rPr>
                <w:snapToGrid w:val="0"/>
                <w:kern w:val="22"/>
                <w:szCs w:val="22"/>
                <w:lang w:val="en-GB"/>
              </w:rPr>
            </w:pPr>
            <w:r w:rsidRPr="00DB5643">
              <w:rPr>
                <w:snapToGrid w:val="0"/>
                <w:kern w:val="22"/>
                <w:szCs w:val="22"/>
                <w:lang w:val="en-GB"/>
              </w:rPr>
              <w:t>GENERAL</w:t>
            </w:r>
          </w:p>
          <w:p w14:paraId="48641A88" w14:textId="77777777" w:rsidR="00B93F5D" w:rsidRPr="00DB5643" w:rsidRDefault="00B93F5D" w:rsidP="00B93F5D">
            <w:pPr>
              <w:kinsoku w:val="0"/>
              <w:overflowPunct w:val="0"/>
              <w:autoSpaceDE w:val="0"/>
              <w:autoSpaceDN w:val="0"/>
              <w:ind w:left="1215"/>
              <w:jc w:val="left"/>
              <w:rPr>
                <w:snapToGrid w:val="0"/>
                <w:kern w:val="22"/>
                <w:szCs w:val="22"/>
                <w:lang w:val="en-GB"/>
              </w:rPr>
            </w:pPr>
          </w:p>
          <w:p w14:paraId="435AA35B" w14:textId="26A7D594" w:rsidR="00B93F5D" w:rsidRPr="00DB5643" w:rsidRDefault="003926D8" w:rsidP="00B93F5D">
            <w:pPr>
              <w:ind w:left="1215"/>
              <w:jc w:val="left"/>
              <w:rPr>
                <w:snapToGrid w:val="0"/>
                <w:kern w:val="22"/>
                <w:szCs w:val="22"/>
                <w:lang w:val="en-GB"/>
              </w:rPr>
            </w:pPr>
            <w:sdt>
              <w:sdtPr>
                <w:rPr>
                  <w:snapToGrid w:val="0"/>
                  <w:kern w:val="22"/>
                  <w:szCs w:val="22"/>
                </w:rPr>
                <w:alias w:val="Subject"/>
                <w:tag w:val=""/>
                <w:id w:val="2137136483"/>
                <w:placeholder>
                  <w:docPart w:val="7DA6901CC37F44978C0FD015AF4CEDBE"/>
                </w:placeholder>
                <w:dataBinding w:prefixMappings="xmlns:ns0='http://purl.org/dc/elements/1.1/' xmlns:ns1='http://schemas.openxmlformats.org/package/2006/metadata/core-properties' " w:xpath="/ns1:coreProperties[1]/ns0:subject[1]" w:storeItemID="{6C3C8BC8-F283-45AE-878A-BAB7291924A1}"/>
                <w:text/>
              </w:sdtPr>
              <w:sdtContent>
                <w:r w:rsidR="008A4282" w:rsidRPr="00DB5643">
                  <w:rPr>
                    <w:snapToGrid w:val="0"/>
                    <w:kern w:val="22"/>
                    <w:szCs w:val="22"/>
                    <w:lang w:val="en-GB"/>
                  </w:rPr>
                  <w:t>CBD/SBI/3/3/Add.1</w:t>
                </w:r>
              </w:sdtContent>
            </w:sdt>
          </w:p>
          <w:p w14:paraId="0739ACA2" w14:textId="00626E27" w:rsidR="00B93F5D" w:rsidRPr="00DB5643" w:rsidRDefault="00321780" w:rsidP="00B93F5D">
            <w:pPr>
              <w:kinsoku w:val="0"/>
              <w:overflowPunct w:val="0"/>
              <w:autoSpaceDE w:val="0"/>
              <w:autoSpaceDN w:val="0"/>
              <w:ind w:left="1215"/>
              <w:jc w:val="left"/>
              <w:rPr>
                <w:snapToGrid w:val="0"/>
                <w:kern w:val="22"/>
                <w:szCs w:val="22"/>
                <w:lang w:val="en-GB"/>
              </w:rPr>
            </w:pPr>
            <w:r w:rsidRPr="00DB5643">
              <w:rPr>
                <w:snapToGrid w:val="0"/>
                <w:kern w:val="22"/>
                <w:szCs w:val="22"/>
                <w:lang w:val="en-GB"/>
              </w:rPr>
              <w:t xml:space="preserve">17 </w:t>
            </w:r>
            <w:r w:rsidR="008E78BC" w:rsidRPr="00DB5643">
              <w:rPr>
                <w:snapToGrid w:val="0"/>
                <w:kern w:val="22"/>
                <w:szCs w:val="22"/>
                <w:lang w:val="en-GB"/>
              </w:rPr>
              <w:t>August</w:t>
            </w:r>
            <w:r w:rsidR="008A4282" w:rsidRPr="00DB5643">
              <w:rPr>
                <w:snapToGrid w:val="0"/>
                <w:kern w:val="22"/>
                <w:szCs w:val="22"/>
                <w:lang w:val="en-GB"/>
              </w:rPr>
              <w:t xml:space="preserve"> </w:t>
            </w:r>
            <w:r w:rsidR="00B93F5D" w:rsidRPr="00DB5643">
              <w:rPr>
                <w:snapToGrid w:val="0"/>
                <w:kern w:val="22"/>
                <w:szCs w:val="22"/>
                <w:lang w:val="en-GB"/>
              </w:rPr>
              <w:t>2020</w:t>
            </w:r>
          </w:p>
          <w:p w14:paraId="4AA07CC5" w14:textId="77777777" w:rsidR="00B93F5D" w:rsidRPr="00DB5643" w:rsidRDefault="00B93F5D" w:rsidP="00B93F5D">
            <w:pPr>
              <w:kinsoku w:val="0"/>
              <w:overflowPunct w:val="0"/>
              <w:autoSpaceDE w:val="0"/>
              <w:autoSpaceDN w:val="0"/>
              <w:ind w:left="1215"/>
              <w:jc w:val="left"/>
              <w:rPr>
                <w:snapToGrid w:val="0"/>
                <w:kern w:val="22"/>
                <w:szCs w:val="22"/>
                <w:lang w:val="en-GB"/>
              </w:rPr>
            </w:pPr>
          </w:p>
          <w:p w14:paraId="4DDFE100" w14:textId="20C79DCF" w:rsidR="00C42029" w:rsidRPr="00DB5643" w:rsidRDefault="00C42029" w:rsidP="00B93F5D">
            <w:pPr>
              <w:kinsoku w:val="0"/>
              <w:overflowPunct w:val="0"/>
              <w:autoSpaceDE w:val="0"/>
              <w:autoSpaceDN w:val="0"/>
              <w:ind w:left="1215"/>
              <w:jc w:val="left"/>
              <w:rPr>
                <w:snapToGrid w:val="0"/>
                <w:kern w:val="22"/>
                <w:szCs w:val="22"/>
                <w:lang w:val="en-GB"/>
              </w:rPr>
            </w:pPr>
            <w:r w:rsidRPr="00DB5643">
              <w:rPr>
                <w:szCs w:val="22"/>
                <w:lang w:val="en-US"/>
              </w:rPr>
              <w:t>RUSSIAN</w:t>
            </w:r>
          </w:p>
          <w:p w14:paraId="09DF7B12" w14:textId="5B288D42" w:rsidR="00B93F5D" w:rsidRPr="00DB5643" w:rsidRDefault="00321780" w:rsidP="00B93F5D">
            <w:pPr>
              <w:kinsoku w:val="0"/>
              <w:overflowPunct w:val="0"/>
              <w:autoSpaceDE w:val="0"/>
              <w:autoSpaceDN w:val="0"/>
              <w:ind w:left="1215"/>
              <w:jc w:val="left"/>
              <w:rPr>
                <w:snapToGrid w:val="0"/>
                <w:kern w:val="22"/>
                <w:szCs w:val="22"/>
                <w:lang w:val="en-GB"/>
              </w:rPr>
            </w:pPr>
            <w:r w:rsidRPr="00DB5643">
              <w:rPr>
                <w:snapToGrid w:val="0"/>
                <w:kern w:val="22"/>
                <w:szCs w:val="22"/>
                <w:lang w:val="en-GB"/>
              </w:rPr>
              <w:t xml:space="preserve">ORIGINAL: </w:t>
            </w:r>
            <w:r w:rsidR="00B93F5D" w:rsidRPr="00DB5643">
              <w:rPr>
                <w:snapToGrid w:val="0"/>
                <w:kern w:val="22"/>
                <w:szCs w:val="22"/>
                <w:lang w:val="en-GB"/>
              </w:rPr>
              <w:t>ENGLISH</w:t>
            </w:r>
          </w:p>
          <w:p w14:paraId="5D810B6C" w14:textId="77777777" w:rsidR="00B93F5D" w:rsidRPr="00DB5643" w:rsidRDefault="00B93F5D" w:rsidP="00B93F5D">
            <w:pPr>
              <w:kinsoku w:val="0"/>
              <w:overflowPunct w:val="0"/>
              <w:autoSpaceDE w:val="0"/>
              <w:autoSpaceDN w:val="0"/>
              <w:jc w:val="left"/>
              <w:rPr>
                <w:snapToGrid w:val="0"/>
                <w:kern w:val="22"/>
                <w:lang w:val="en-GB"/>
              </w:rPr>
            </w:pPr>
          </w:p>
        </w:tc>
      </w:tr>
    </w:tbl>
    <w:p w14:paraId="0D7B9596" w14:textId="07C5328C" w:rsidR="00985A74" w:rsidRPr="00DB5643" w:rsidRDefault="00C42029" w:rsidP="002D7766">
      <w:pPr>
        <w:pStyle w:val="Cornernotation"/>
        <w:suppressLineNumbers/>
        <w:suppressAutoHyphens/>
        <w:kinsoku w:val="0"/>
        <w:overflowPunct w:val="0"/>
        <w:autoSpaceDE w:val="0"/>
        <w:autoSpaceDN w:val="0"/>
        <w:spacing w:before="60"/>
        <w:ind w:left="0" w:right="4683" w:firstLine="0"/>
        <w:rPr>
          <w:caps/>
          <w:kern w:val="22"/>
          <w:sz w:val="22"/>
          <w:szCs w:val="22"/>
          <w:lang w:eastAsia="ko-KR"/>
        </w:rPr>
      </w:pPr>
      <w:bookmarkStart w:id="1" w:name="Meeting"/>
      <w:bookmarkStart w:id="2" w:name="_Hlk2766040"/>
      <w:r w:rsidRPr="00DB5643">
        <w:rPr>
          <w:caps/>
          <w:kern w:val="22"/>
          <w:sz w:val="22"/>
          <w:szCs w:val="22"/>
          <w:lang w:val="ru-RU" w:eastAsia="ko-KR"/>
        </w:rPr>
        <w:t>ВСПОМОГАТЕЛЬНЫЙ ОРГАН ПО ОСУЩЕСТВЛЕНИЮ</w:t>
      </w:r>
      <w:bookmarkEnd w:id="1"/>
    </w:p>
    <w:p w14:paraId="59264FDE" w14:textId="6739D485" w:rsidR="00985A74" w:rsidRPr="00DB5643" w:rsidRDefault="00C42029" w:rsidP="000A5388">
      <w:pPr>
        <w:pStyle w:val="Cornernotation"/>
        <w:suppressLineNumbers/>
        <w:suppressAutoHyphens/>
        <w:kinsoku w:val="0"/>
        <w:overflowPunct w:val="0"/>
        <w:autoSpaceDE w:val="0"/>
        <w:autoSpaceDN w:val="0"/>
        <w:ind w:left="227" w:right="3831" w:hanging="227"/>
        <w:rPr>
          <w:kern w:val="22"/>
          <w:sz w:val="22"/>
          <w:szCs w:val="22"/>
          <w:lang w:val="en-US" w:eastAsia="ko-KR"/>
        </w:rPr>
      </w:pPr>
      <w:bookmarkStart w:id="3" w:name="_Hlk2766324"/>
      <w:bookmarkEnd w:id="2"/>
      <w:r w:rsidRPr="00DB5643">
        <w:rPr>
          <w:kern w:val="22"/>
          <w:sz w:val="22"/>
          <w:szCs w:val="22"/>
          <w:lang w:val="ru-RU" w:eastAsia="ko-KR"/>
        </w:rPr>
        <w:t>Третье совещание</w:t>
      </w:r>
    </w:p>
    <w:p w14:paraId="2DD2D037" w14:textId="6660B6CD" w:rsidR="00985A74" w:rsidRPr="00DB5643" w:rsidRDefault="00C42029" w:rsidP="000A5388">
      <w:pPr>
        <w:pStyle w:val="Cornernotation"/>
        <w:suppressLineNumbers/>
        <w:suppressAutoHyphens/>
        <w:kinsoku w:val="0"/>
        <w:overflowPunct w:val="0"/>
        <w:autoSpaceDE w:val="0"/>
        <w:autoSpaceDN w:val="0"/>
        <w:ind w:left="227" w:right="3831" w:hanging="227"/>
        <w:rPr>
          <w:kern w:val="22"/>
          <w:sz w:val="22"/>
          <w:szCs w:val="22"/>
          <w:lang w:val="ru-RU" w:eastAsia="ko-KR"/>
        </w:rPr>
      </w:pPr>
      <w:r w:rsidRPr="00DB5643">
        <w:rPr>
          <w:kern w:val="22"/>
          <w:sz w:val="22"/>
          <w:szCs w:val="22"/>
          <w:lang w:val="ru-RU" w:eastAsia="ko-KR"/>
        </w:rPr>
        <w:t xml:space="preserve">Место и </w:t>
      </w:r>
      <w:r w:rsidR="00B60AD4" w:rsidRPr="00DB5643">
        <w:rPr>
          <w:kern w:val="22"/>
          <w:sz w:val="22"/>
          <w:szCs w:val="22"/>
          <w:lang w:val="ru-RU" w:eastAsia="ko-KR"/>
        </w:rPr>
        <w:t>сроки</w:t>
      </w:r>
      <w:r w:rsidRPr="00DB5643">
        <w:rPr>
          <w:kern w:val="22"/>
          <w:sz w:val="22"/>
          <w:szCs w:val="22"/>
          <w:lang w:val="ru-RU" w:eastAsia="ko-KR"/>
        </w:rPr>
        <w:t xml:space="preserve"> проведения будут определены позднее</w:t>
      </w:r>
    </w:p>
    <w:p w14:paraId="5764689B" w14:textId="3884E41D" w:rsidR="009062D2" w:rsidRPr="00DB5643" w:rsidRDefault="00C42029" w:rsidP="000A5388">
      <w:pPr>
        <w:pStyle w:val="Cornernotation"/>
        <w:suppressLineNumbers/>
        <w:suppressAutoHyphens/>
        <w:kinsoku w:val="0"/>
        <w:overflowPunct w:val="0"/>
        <w:autoSpaceDE w:val="0"/>
        <w:autoSpaceDN w:val="0"/>
        <w:ind w:left="227" w:right="3831" w:hanging="227"/>
        <w:rPr>
          <w:kern w:val="22"/>
          <w:sz w:val="22"/>
          <w:szCs w:val="22"/>
          <w:lang w:val="ru-RU" w:eastAsia="ko-KR"/>
        </w:rPr>
      </w:pPr>
      <w:r w:rsidRPr="00DB5643">
        <w:rPr>
          <w:kern w:val="22"/>
          <w:sz w:val="22"/>
          <w:szCs w:val="22"/>
          <w:lang w:val="ru-RU" w:eastAsia="ko-KR"/>
        </w:rPr>
        <w:t>Пункт</w:t>
      </w:r>
      <w:r w:rsidR="009062D2" w:rsidRPr="00DB5643">
        <w:rPr>
          <w:kern w:val="22"/>
          <w:sz w:val="22"/>
          <w:szCs w:val="22"/>
          <w:lang w:val="ru-RU" w:eastAsia="ko-KR"/>
        </w:rPr>
        <w:t xml:space="preserve"> 4 </w:t>
      </w:r>
      <w:r w:rsidRPr="00DB5643">
        <w:rPr>
          <w:kern w:val="22"/>
          <w:sz w:val="22"/>
          <w:szCs w:val="22"/>
          <w:lang w:val="ru-RU" w:eastAsia="ko-KR"/>
        </w:rPr>
        <w:t>предварительной повестки дня</w:t>
      </w:r>
      <w:r w:rsidR="00BE4D2B" w:rsidRPr="00DB5643">
        <w:rPr>
          <w:rStyle w:val="ac"/>
          <w:kern w:val="22"/>
          <w:sz w:val="22"/>
          <w:szCs w:val="22"/>
          <w:lang w:val="ru-RU" w:eastAsia="ko-KR"/>
        </w:rPr>
        <w:footnoteReference w:customMarkFollows="1" w:id="2"/>
        <w:t>*</w:t>
      </w:r>
    </w:p>
    <w:bookmarkEnd w:id="3" w:displacedByCustomXml="next"/>
    <w:sdt>
      <w:sdtPr>
        <w:rPr>
          <w:snapToGrid w:val="0"/>
          <w:lang w:val="ru-RU"/>
        </w:rPr>
        <w:alias w:val="Title"/>
        <w:tag w:val=""/>
        <w:id w:val="1580942142"/>
        <w:placeholder>
          <w:docPart w:val="7CAC84CC5B834614A625AEEEEF6CFDB7"/>
        </w:placeholder>
        <w:dataBinding w:prefixMappings="xmlns:ns0='http://purl.org/dc/elements/1.1/' xmlns:ns1='http://schemas.openxmlformats.org/package/2006/metadata/core-properties' " w:xpath="/ns1:coreProperties[1]/ns0:title[1]" w:storeItemID="{6C3C8BC8-F283-45AE-878A-BAB7291924A1}"/>
        <w:text/>
      </w:sdtPr>
      <w:sdtContent>
        <w:p w14:paraId="16F61168" w14:textId="6918999D" w:rsidR="004569FB" w:rsidRPr="00DB5643" w:rsidRDefault="00DB2418" w:rsidP="008E2291">
          <w:pPr>
            <w:pStyle w:val="HEADINGNOTFORTOC"/>
            <w:rPr>
              <w:snapToGrid w:val="0"/>
              <w:lang w:val="ru-RU"/>
            </w:rPr>
          </w:pPr>
          <w:r w:rsidRPr="00DB5643">
            <w:rPr>
              <w:snapToGrid w:val="0"/>
              <w:lang w:val="ru-RU"/>
            </w:rPr>
            <w:t>анализ</w:t>
          </w:r>
          <w:r w:rsidR="00E20BC4" w:rsidRPr="00DB5643">
            <w:rPr>
              <w:snapToGrid w:val="0"/>
              <w:lang w:val="ru-RU"/>
            </w:rPr>
            <w:t xml:space="preserve"> </w:t>
          </w:r>
          <w:r w:rsidRPr="00DB5643">
            <w:rPr>
              <w:snapToGrid w:val="0"/>
              <w:lang w:val="ru-RU"/>
            </w:rPr>
            <w:t xml:space="preserve">информации для оценки и обзора эффективности </w:t>
          </w:r>
          <w:proofErr w:type="spellStart"/>
          <w:r w:rsidRPr="00DB5643">
            <w:rPr>
              <w:snapToGrid w:val="0"/>
              <w:lang w:val="ru-RU"/>
            </w:rPr>
            <w:t>картахенского</w:t>
          </w:r>
          <w:proofErr w:type="spellEnd"/>
          <w:r w:rsidRPr="00DB5643">
            <w:rPr>
              <w:snapToGrid w:val="0"/>
              <w:lang w:val="ru-RU"/>
            </w:rPr>
            <w:t xml:space="preserve"> протокола по биобезопасности и </w:t>
          </w:r>
          <w:r w:rsidR="00B60AD4" w:rsidRPr="00DB5643">
            <w:rPr>
              <w:snapToGrid w:val="0"/>
              <w:lang w:val="ru-RU"/>
            </w:rPr>
            <w:t>заключительн</w:t>
          </w:r>
          <w:r w:rsidR="00407F22" w:rsidRPr="00DB5643">
            <w:rPr>
              <w:snapToGrid w:val="0"/>
              <w:lang w:val="ru-RU"/>
            </w:rPr>
            <w:t>ой</w:t>
          </w:r>
          <w:r w:rsidRPr="00DB5643">
            <w:rPr>
              <w:snapToGrid w:val="0"/>
              <w:lang w:val="ru-RU"/>
            </w:rPr>
            <w:t xml:space="preserve"> оценк</w:t>
          </w:r>
          <w:r w:rsidR="00407F22" w:rsidRPr="00DB5643">
            <w:rPr>
              <w:snapToGrid w:val="0"/>
              <w:lang w:val="ru-RU"/>
            </w:rPr>
            <w:t>и</w:t>
          </w:r>
          <w:r w:rsidRPr="00DB5643">
            <w:rPr>
              <w:snapToGrid w:val="0"/>
              <w:lang w:val="ru-RU"/>
            </w:rPr>
            <w:t xml:space="preserve"> стратегического плана </w:t>
          </w:r>
          <w:proofErr w:type="spellStart"/>
          <w:r w:rsidRPr="00DB5643">
            <w:rPr>
              <w:snapToGrid w:val="0"/>
              <w:lang w:val="ru-RU"/>
            </w:rPr>
            <w:t>картахенского</w:t>
          </w:r>
          <w:proofErr w:type="spellEnd"/>
          <w:r w:rsidRPr="00DB5643">
            <w:rPr>
              <w:snapToGrid w:val="0"/>
              <w:lang w:val="ru-RU"/>
            </w:rPr>
            <w:t xml:space="preserve"> протокола на период </w:t>
          </w:r>
          <w:r w:rsidR="00E20BC4" w:rsidRPr="00DB5643">
            <w:rPr>
              <w:snapToGrid w:val="0"/>
              <w:lang w:val="ru-RU"/>
            </w:rPr>
            <w:t>2011-2020</w:t>
          </w:r>
          <w:r w:rsidRPr="00DB5643">
            <w:rPr>
              <w:snapToGrid w:val="0"/>
              <w:lang w:val="ru-RU"/>
            </w:rPr>
            <w:t xml:space="preserve"> годов</w:t>
          </w:r>
        </w:p>
      </w:sdtContent>
    </w:sdt>
    <w:p w14:paraId="1CCD313D" w14:textId="0908FBDC" w:rsidR="004569FB" w:rsidRPr="00DB5643" w:rsidRDefault="00DB2418" w:rsidP="004569FB">
      <w:pPr>
        <w:keepNext/>
        <w:tabs>
          <w:tab w:val="left" w:pos="8364"/>
        </w:tabs>
        <w:spacing w:before="120" w:after="120"/>
        <w:jc w:val="center"/>
        <w:rPr>
          <w:i/>
          <w:snapToGrid w:val="0"/>
          <w:kern w:val="22"/>
          <w:szCs w:val="22"/>
        </w:rPr>
      </w:pPr>
      <w:r w:rsidRPr="00DB5643">
        <w:rPr>
          <w:i/>
          <w:snapToGrid w:val="0"/>
          <w:kern w:val="22"/>
          <w:szCs w:val="22"/>
          <w:lang w:val="ru-RU"/>
        </w:rPr>
        <w:t>Записка Исполнительного секретаря</w:t>
      </w:r>
    </w:p>
    <w:p w14:paraId="06E6B6C6" w14:textId="371DB96D" w:rsidR="004569FB" w:rsidRPr="00DB5643" w:rsidRDefault="00DB2418" w:rsidP="004569FB">
      <w:pPr>
        <w:keepNext/>
        <w:numPr>
          <w:ilvl w:val="0"/>
          <w:numId w:val="3"/>
        </w:numPr>
        <w:spacing w:before="120" w:after="120"/>
        <w:ind w:left="0" w:firstLine="0"/>
        <w:jc w:val="center"/>
        <w:outlineLvl w:val="0"/>
        <w:rPr>
          <w:b/>
          <w:bCs/>
          <w:caps/>
          <w:snapToGrid w:val="0"/>
          <w:kern w:val="22"/>
          <w:szCs w:val="22"/>
        </w:rPr>
      </w:pPr>
      <w:r w:rsidRPr="00DB5643">
        <w:rPr>
          <w:b/>
          <w:bCs/>
          <w:caps/>
          <w:snapToGrid w:val="0"/>
          <w:kern w:val="22"/>
          <w:szCs w:val="22"/>
          <w:lang w:val="ru-RU"/>
        </w:rPr>
        <w:t>введение</w:t>
      </w:r>
    </w:p>
    <w:p w14:paraId="5BFE7397" w14:textId="0A4258E1" w:rsidR="004569FB" w:rsidRPr="00DB5643" w:rsidRDefault="002B5C03"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статье</w:t>
      </w:r>
      <w:r w:rsidR="004569FB" w:rsidRPr="00DB5643">
        <w:rPr>
          <w:snapToGrid w:val="0"/>
          <w:kern w:val="22"/>
          <w:szCs w:val="22"/>
          <w:lang w:val="ru-RU"/>
        </w:rPr>
        <w:t xml:space="preserve"> 35 </w:t>
      </w:r>
      <w:proofErr w:type="spellStart"/>
      <w:r w:rsidR="0012226B" w:rsidRPr="00DB5643">
        <w:rPr>
          <w:snapToGrid w:val="0"/>
          <w:kern w:val="22"/>
          <w:szCs w:val="22"/>
          <w:lang w:val="ru-RU"/>
        </w:rPr>
        <w:t>Картахенского</w:t>
      </w:r>
      <w:proofErr w:type="spellEnd"/>
      <w:r w:rsidR="0012226B" w:rsidRPr="00DB5643">
        <w:rPr>
          <w:snapToGrid w:val="0"/>
          <w:kern w:val="22"/>
          <w:szCs w:val="22"/>
          <w:lang w:val="ru-RU"/>
        </w:rPr>
        <w:t xml:space="preserve"> протокола по биобезопасности предусм</w:t>
      </w:r>
      <w:r w:rsidRPr="00DB5643">
        <w:rPr>
          <w:snapToGrid w:val="0"/>
          <w:kern w:val="22"/>
          <w:szCs w:val="22"/>
          <w:lang w:val="ru-RU"/>
        </w:rPr>
        <w:t>о</w:t>
      </w:r>
      <w:r w:rsidR="0012226B" w:rsidRPr="00DB5643">
        <w:rPr>
          <w:snapToGrid w:val="0"/>
          <w:kern w:val="22"/>
          <w:szCs w:val="22"/>
          <w:lang w:val="ru-RU"/>
        </w:rPr>
        <w:t>тр</w:t>
      </w:r>
      <w:r w:rsidRPr="00DB5643">
        <w:rPr>
          <w:snapToGrid w:val="0"/>
          <w:kern w:val="22"/>
          <w:szCs w:val="22"/>
          <w:lang w:val="ru-RU"/>
        </w:rPr>
        <w:t>ено</w:t>
      </w:r>
      <w:r w:rsidR="0012226B" w:rsidRPr="00DB5643">
        <w:rPr>
          <w:snapToGrid w:val="0"/>
          <w:kern w:val="22"/>
          <w:szCs w:val="22"/>
          <w:lang w:val="ru-RU"/>
        </w:rPr>
        <w:t>, что Конференция Сторон, выступающая в качестве Совещания Сторон Протокола</w:t>
      </w:r>
      <w:r w:rsidR="00715D3B" w:rsidRPr="00DB5643">
        <w:rPr>
          <w:snapToGrid w:val="0"/>
          <w:kern w:val="22"/>
          <w:szCs w:val="22"/>
          <w:lang w:val="ru-RU"/>
        </w:rPr>
        <w:t>,</w:t>
      </w:r>
      <w:r w:rsidR="004569FB" w:rsidRPr="00DB5643">
        <w:rPr>
          <w:snapToGrid w:val="0"/>
          <w:kern w:val="22"/>
          <w:szCs w:val="22"/>
          <w:lang w:val="ru-RU"/>
        </w:rPr>
        <w:t xml:space="preserve"> </w:t>
      </w:r>
      <w:r w:rsidR="00715D3B" w:rsidRPr="00DB5643">
        <w:rPr>
          <w:snapToGrid w:val="0"/>
          <w:kern w:val="22"/>
          <w:szCs w:val="22"/>
          <w:lang w:val="ru-RU"/>
        </w:rPr>
        <w:t xml:space="preserve">через пять лет после вступления Протокола в силу и </w:t>
      </w:r>
      <w:proofErr w:type="gramStart"/>
      <w:r w:rsidR="00715D3B" w:rsidRPr="00DB5643">
        <w:rPr>
          <w:snapToGrid w:val="0"/>
          <w:kern w:val="22"/>
          <w:szCs w:val="22"/>
          <w:lang w:val="ru-RU"/>
        </w:rPr>
        <w:t>затем</w:t>
      </w:r>
      <w:proofErr w:type="gramEnd"/>
      <w:r w:rsidR="00715D3B" w:rsidRPr="00DB5643">
        <w:rPr>
          <w:snapToGrid w:val="0"/>
          <w:kern w:val="22"/>
          <w:szCs w:val="22"/>
          <w:lang w:val="ru-RU"/>
        </w:rPr>
        <w:t xml:space="preserve"> по меньшей мере через каждые пять лет проводит оценку эффективности Протокола, включая оценку его процедур и приложений</w:t>
      </w:r>
      <w:r w:rsidR="004569FB" w:rsidRPr="00DB5643">
        <w:rPr>
          <w:snapToGrid w:val="0"/>
          <w:kern w:val="22"/>
          <w:szCs w:val="22"/>
          <w:lang w:val="ru-RU"/>
        </w:rPr>
        <w:t>.</w:t>
      </w:r>
    </w:p>
    <w:p w14:paraId="4BA54165" w14:textId="63EBDAD0" w:rsidR="004569FB" w:rsidRPr="00DB5643" w:rsidRDefault="00007002"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2010 году Конференция Сторон, выступающая в качестве Совещания Сторон Протокола, посредством своего </w:t>
      </w:r>
      <w:hyperlink r:id="rId15" w:history="1">
        <w:r w:rsidRPr="00DB5643">
          <w:rPr>
            <w:rStyle w:val="af6"/>
            <w:snapToGrid w:val="0"/>
            <w:kern w:val="22"/>
            <w:szCs w:val="22"/>
            <w:lang w:val="ru-RU"/>
          </w:rPr>
          <w:t xml:space="preserve">решения </w:t>
        </w:r>
        <w:r w:rsidRPr="00DB5643">
          <w:rPr>
            <w:rStyle w:val="af6"/>
            <w:snapToGrid w:val="0"/>
            <w:kern w:val="22"/>
            <w:szCs w:val="22"/>
          </w:rPr>
          <w:t>BS</w:t>
        </w:r>
        <w:r w:rsidRPr="00DB5643">
          <w:rPr>
            <w:rStyle w:val="af6"/>
            <w:snapToGrid w:val="0"/>
            <w:kern w:val="22"/>
            <w:szCs w:val="22"/>
            <w:lang w:val="ru-RU"/>
          </w:rPr>
          <w:noBreakHyphen/>
        </w:r>
        <w:r w:rsidRPr="00DB5643">
          <w:rPr>
            <w:rStyle w:val="af6"/>
            <w:snapToGrid w:val="0"/>
            <w:kern w:val="22"/>
            <w:szCs w:val="22"/>
          </w:rPr>
          <w:t>V</w:t>
        </w:r>
        <w:r w:rsidRPr="00DB5643">
          <w:rPr>
            <w:rStyle w:val="af6"/>
            <w:snapToGrid w:val="0"/>
            <w:kern w:val="22"/>
            <w:szCs w:val="22"/>
            <w:lang w:val="ru-RU"/>
          </w:rPr>
          <w:t>/16</w:t>
        </w:r>
      </w:hyperlink>
      <w:r w:rsidRPr="00DB5643">
        <w:rPr>
          <w:snapToGrid w:val="0"/>
          <w:kern w:val="22"/>
          <w:szCs w:val="22"/>
          <w:lang w:val="ru-RU"/>
        </w:rPr>
        <w:t xml:space="preserve"> приняла Стратегический план </w:t>
      </w:r>
      <w:proofErr w:type="spellStart"/>
      <w:r w:rsidRPr="00DB5643">
        <w:rPr>
          <w:snapToGrid w:val="0"/>
          <w:kern w:val="22"/>
          <w:szCs w:val="22"/>
          <w:lang w:val="ru-RU"/>
        </w:rPr>
        <w:t>Картахенского</w:t>
      </w:r>
      <w:proofErr w:type="spellEnd"/>
      <w:r w:rsidRPr="00DB5643">
        <w:rPr>
          <w:snapToGrid w:val="0"/>
          <w:kern w:val="22"/>
          <w:szCs w:val="22"/>
          <w:lang w:val="ru-RU"/>
        </w:rPr>
        <w:t xml:space="preserve"> протокола по биобезопасности на период </w:t>
      </w:r>
      <w:r w:rsidR="004569FB" w:rsidRPr="00DB5643">
        <w:rPr>
          <w:snapToGrid w:val="0"/>
          <w:kern w:val="22"/>
          <w:szCs w:val="22"/>
          <w:lang w:val="ru-RU"/>
        </w:rPr>
        <w:t>2011-2020</w:t>
      </w:r>
      <w:r w:rsidRPr="00DB5643">
        <w:rPr>
          <w:snapToGrid w:val="0"/>
          <w:kern w:val="22"/>
          <w:szCs w:val="22"/>
          <w:lang w:val="ru-RU"/>
        </w:rPr>
        <w:t xml:space="preserve"> годов</w:t>
      </w:r>
      <w:r w:rsidR="004569FB" w:rsidRPr="00DB5643">
        <w:rPr>
          <w:snapToGrid w:val="0"/>
          <w:kern w:val="22"/>
          <w:szCs w:val="22"/>
          <w:lang w:val="ru-RU"/>
        </w:rPr>
        <w:t xml:space="preserve"> (</w:t>
      </w:r>
      <w:r w:rsidRPr="00DB5643">
        <w:rPr>
          <w:snapToGrid w:val="0"/>
          <w:kern w:val="22"/>
          <w:szCs w:val="22"/>
          <w:lang w:val="ru-RU"/>
        </w:rPr>
        <w:t>Стратегический план</w:t>
      </w:r>
      <w:r w:rsidR="004569FB" w:rsidRPr="00DB5643">
        <w:rPr>
          <w:snapToGrid w:val="0"/>
          <w:kern w:val="22"/>
          <w:szCs w:val="22"/>
          <w:lang w:val="ru-RU"/>
        </w:rPr>
        <w:t xml:space="preserve">). </w:t>
      </w:r>
      <w:r w:rsidR="00937EED" w:rsidRPr="00DB5643">
        <w:rPr>
          <w:snapToGrid w:val="0"/>
          <w:kern w:val="22"/>
          <w:szCs w:val="22"/>
          <w:lang w:val="ru-RU"/>
        </w:rPr>
        <w:t xml:space="preserve">Промежуточная оценка Стратегического плана была проведена вместе с третьей оценкой и обзором эффективности Протокола и рассмотрена Конференцией Сторон, выступающей в качестве Совещания Сторон Протокола, на ее восьмом совещании </w:t>
      </w:r>
      <w:r w:rsidR="004569FB" w:rsidRPr="00DB5643">
        <w:rPr>
          <w:snapToGrid w:val="0"/>
          <w:kern w:val="22"/>
          <w:szCs w:val="22"/>
          <w:lang w:val="ru-RU"/>
        </w:rPr>
        <w:t>(</w:t>
      </w:r>
      <w:r w:rsidR="00937EED" w:rsidRPr="00DB5643">
        <w:rPr>
          <w:snapToGrid w:val="0"/>
          <w:kern w:val="22"/>
          <w:szCs w:val="22"/>
          <w:lang w:val="ru-RU"/>
        </w:rPr>
        <w:t>решение</w:t>
      </w:r>
      <w:r w:rsidR="004569FB" w:rsidRPr="00DB5643">
        <w:rPr>
          <w:snapToGrid w:val="0"/>
          <w:kern w:val="22"/>
          <w:szCs w:val="22"/>
          <w:lang w:val="ru-RU"/>
        </w:rPr>
        <w:t xml:space="preserve"> </w:t>
      </w:r>
      <w:hyperlink r:id="rId16" w:history="1">
        <w:proofErr w:type="spellStart"/>
        <w:r w:rsidR="000337F9" w:rsidRPr="00DB5643">
          <w:rPr>
            <w:rStyle w:val="af6"/>
            <w:snapToGrid w:val="0"/>
            <w:kern w:val="22"/>
            <w:szCs w:val="22"/>
          </w:rPr>
          <w:t>CP</w:t>
        </w:r>
        <w:proofErr w:type="spellEnd"/>
        <w:r w:rsidR="004569FB" w:rsidRPr="00DB5643">
          <w:rPr>
            <w:rStyle w:val="af6"/>
            <w:snapToGrid w:val="0"/>
            <w:kern w:val="22"/>
            <w:szCs w:val="22"/>
            <w:lang w:val="ru-RU"/>
          </w:rPr>
          <w:t>-</w:t>
        </w:r>
        <w:r w:rsidR="004569FB" w:rsidRPr="00DB5643">
          <w:rPr>
            <w:rStyle w:val="af6"/>
            <w:snapToGrid w:val="0"/>
            <w:kern w:val="22"/>
            <w:szCs w:val="22"/>
          </w:rPr>
          <w:t>VIII</w:t>
        </w:r>
        <w:r w:rsidR="004569FB" w:rsidRPr="00DB5643">
          <w:rPr>
            <w:rStyle w:val="af6"/>
            <w:snapToGrid w:val="0"/>
            <w:kern w:val="22"/>
            <w:szCs w:val="22"/>
            <w:lang w:val="ru-RU"/>
          </w:rPr>
          <w:t>/15</w:t>
        </w:r>
      </w:hyperlink>
      <w:r w:rsidR="004569FB" w:rsidRPr="00DB5643">
        <w:rPr>
          <w:snapToGrid w:val="0"/>
          <w:kern w:val="22"/>
          <w:szCs w:val="22"/>
          <w:lang w:val="ru-RU"/>
        </w:rPr>
        <w:t xml:space="preserve">). </w:t>
      </w:r>
    </w:p>
    <w:p w14:paraId="1DCA9BDB" w14:textId="6E3F3ABC" w:rsidR="004569FB" w:rsidRPr="00DB5643" w:rsidRDefault="00937EED"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Конференция Сторон, выступающая в качестве Совещания Сторон Протокола</w:t>
      </w:r>
      <w:r w:rsidR="004569FB" w:rsidRPr="00DB5643">
        <w:rPr>
          <w:snapToGrid w:val="0"/>
          <w:kern w:val="22"/>
          <w:szCs w:val="22"/>
          <w:lang w:val="ru-RU"/>
        </w:rPr>
        <w:t xml:space="preserve">, </w:t>
      </w:r>
      <w:r w:rsidR="00CB6F10" w:rsidRPr="00DB5643">
        <w:rPr>
          <w:snapToGrid w:val="0"/>
          <w:kern w:val="22"/>
          <w:szCs w:val="22"/>
          <w:lang w:val="ru-RU"/>
        </w:rPr>
        <w:t>на своем девятом совещании посредством решения</w:t>
      </w:r>
      <w:r w:rsidR="004569FB" w:rsidRPr="00DB5643">
        <w:rPr>
          <w:snapToGrid w:val="0"/>
          <w:kern w:val="22"/>
          <w:szCs w:val="22"/>
          <w:lang w:val="ru-RU"/>
        </w:rPr>
        <w:t xml:space="preserve"> </w:t>
      </w:r>
      <w:hyperlink r:id="rId17" w:history="1">
        <w:proofErr w:type="spellStart"/>
        <w:r w:rsidR="004569FB" w:rsidRPr="00DB5643">
          <w:rPr>
            <w:rStyle w:val="af6"/>
            <w:snapToGrid w:val="0"/>
            <w:kern w:val="22"/>
            <w:szCs w:val="22"/>
          </w:rPr>
          <w:t>CP</w:t>
        </w:r>
        <w:proofErr w:type="spellEnd"/>
        <w:r w:rsidR="004569FB" w:rsidRPr="00DB5643">
          <w:rPr>
            <w:rStyle w:val="af6"/>
            <w:snapToGrid w:val="0"/>
            <w:kern w:val="22"/>
            <w:szCs w:val="22"/>
            <w:lang w:val="ru-RU"/>
          </w:rPr>
          <w:t>-9/6</w:t>
        </w:r>
      </w:hyperlink>
      <w:r w:rsidR="004569FB" w:rsidRPr="00DB5643">
        <w:rPr>
          <w:snapToGrid w:val="0"/>
          <w:kern w:val="22"/>
          <w:szCs w:val="22"/>
          <w:lang w:val="ru-RU"/>
        </w:rPr>
        <w:t xml:space="preserve"> </w:t>
      </w:r>
      <w:r w:rsidR="00CB6F10" w:rsidRPr="00DB5643">
        <w:rPr>
          <w:snapToGrid w:val="0"/>
          <w:kern w:val="22"/>
          <w:szCs w:val="22"/>
          <w:lang w:val="ru-RU"/>
        </w:rPr>
        <w:t>постановила, что</w:t>
      </w:r>
      <w:r w:rsidR="004569FB" w:rsidRPr="00DB5643">
        <w:rPr>
          <w:snapToGrid w:val="0"/>
          <w:kern w:val="22"/>
          <w:szCs w:val="22"/>
          <w:lang w:val="ru-RU"/>
        </w:rPr>
        <w:t xml:space="preserve"> </w:t>
      </w:r>
      <w:r w:rsidR="00CB6F10" w:rsidRPr="00DB5643">
        <w:rPr>
          <w:snapToGrid w:val="0"/>
          <w:kern w:val="22"/>
          <w:szCs w:val="22"/>
          <w:lang w:val="ru-RU"/>
        </w:rPr>
        <w:t xml:space="preserve">четвертая оценка и обзор </w:t>
      </w:r>
      <w:proofErr w:type="spellStart"/>
      <w:r w:rsidR="00CB6F10" w:rsidRPr="00DB5643">
        <w:rPr>
          <w:snapToGrid w:val="0"/>
          <w:kern w:val="22"/>
          <w:szCs w:val="22"/>
          <w:lang w:val="ru-RU"/>
        </w:rPr>
        <w:t>Картахенского</w:t>
      </w:r>
      <w:proofErr w:type="spellEnd"/>
      <w:r w:rsidR="00CB6F10" w:rsidRPr="00DB5643">
        <w:rPr>
          <w:snapToGrid w:val="0"/>
          <w:kern w:val="22"/>
          <w:szCs w:val="22"/>
          <w:lang w:val="ru-RU"/>
        </w:rPr>
        <w:t xml:space="preserve"> протокола буд</w:t>
      </w:r>
      <w:r w:rsidR="00E366EC" w:rsidRPr="00DB5643">
        <w:rPr>
          <w:snapToGrid w:val="0"/>
          <w:kern w:val="22"/>
          <w:szCs w:val="22"/>
          <w:lang w:val="ru-RU"/>
        </w:rPr>
        <w:t>у</w:t>
      </w:r>
      <w:r w:rsidR="00CB6F10" w:rsidRPr="00DB5643">
        <w:rPr>
          <w:snapToGrid w:val="0"/>
          <w:kern w:val="22"/>
          <w:szCs w:val="22"/>
          <w:lang w:val="ru-RU"/>
        </w:rPr>
        <w:t xml:space="preserve">т проводиться совместно с заключительной оценкой Стратегического плана </w:t>
      </w:r>
      <w:proofErr w:type="spellStart"/>
      <w:r w:rsidR="00CB6F10" w:rsidRPr="00DB5643">
        <w:rPr>
          <w:snapToGrid w:val="0"/>
          <w:kern w:val="22"/>
          <w:szCs w:val="22"/>
          <w:lang w:val="ru-RU"/>
        </w:rPr>
        <w:t>Картахенского</w:t>
      </w:r>
      <w:proofErr w:type="spellEnd"/>
      <w:r w:rsidR="00CB6F10" w:rsidRPr="00DB5643">
        <w:rPr>
          <w:snapToGrid w:val="0"/>
          <w:kern w:val="22"/>
          <w:szCs w:val="22"/>
          <w:lang w:val="ru-RU"/>
        </w:rPr>
        <w:t xml:space="preserve"> протокола, и определила</w:t>
      </w:r>
      <w:r w:rsidR="007C3C45" w:rsidRPr="00DB5643">
        <w:rPr>
          <w:snapToGrid w:val="0"/>
          <w:kern w:val="22"/>
          <w:szCs w:val="22"/>
          <w:lang w:val="ru-RU"/>
        </w:rPr>
        <w:t xml:space="preserve"> соответствующий</w:t>
      </w:r>
      <w:r w:rsidR="00CB6F10" w:rsidRPr="00DB5643">
        <w:rPr>
          <w:snapToGrid w:val="0"/>
          <w:kern w:val="22"/>
          <w:szCs w:val="22"/>
          <w:lang w:val="ru-RU"/>
        </w:rPr>
        <w:t xml:space="preserve"> процесс</w:t>
      </w:r>
      <w:r w:rsidR="007C3C45" w:rsidRPr="00DB5643">
        <w:rPr>
          <w:snapToGrid w:val="0"/>
          <w:kern w:val="22"/>
          <w:szCs w:val="22"/>
          <w:lang w:val="ru-RU"/>
        </w:rPr>
        <w:t xml:space="preserve">, предполагающий вклад со стороны Контактной группы по </w:t>
      </w:r>
      <w:proofErr w:type="spellStart"/>
      <w:r w:rsidR="007C3C45" w:rsidRPr="00DB5643">
        <w:rPr>
          <w:snapToGrid w:val="0"/>
          <w:kern w:val="22"/>
          <w:szCs w:val="22"/>
          <w:lang w:val="ru-RU"/>
        </w:rPr>
        <w:t>Картахенскому</w:t>
      </w:r>
      <w:proofErr w:type="spellEnd"/>
      <w:r w:rsidR="007C3C45" w:rsidRPr="00DB5643">
        <w:rPr>
          <w:snapToGrid w:val="0"/>
          <w:kern w:val="22"/>
          <w:szCs w:val="22"/>
          <w:lang w:val="ru-RU"/>
        </w:rPr>
        <w:t xml:space="preserve"> протоколу по биобезопасности</w:t>
      </w:r>
      <w:r w:rsidR="004569FB" w:rsidRPr="00DB5643">
        <w:rPr>
          <w:snapToGrid w:val="0"/>
          <w:kern w:val="22"/>
          <w:szCs w:val="22"/>
          <w:lang w:val="ru-RU"/>
        </w:rPr>
        <w:t xml:space="preserve"> </w:t>
      </w:r>
      <w:r w:rsidR="007C3C45" w:rsidRPr="00DB5643">
        <w:rPr>
          <w:snapToGrid w:val="0"/>
          <w:kern w:val="22"/>
          <w:szCs w:val="22"/>
          <w:lang w:val="ru-RU"/>
        </w:rPr>
        <w:t>и</w:t>
      </w:r>
      <w:r w:rsidR="004569FB" w:rsidRPr="00DB5643">
        <w:rPr>
          <w:snapToGrid w:val="0"/>
          <w:kern w:val="22"/>
          <w:szCs w:val="22"/>
          <w:lang w:val="ru-RU"/>
        </w:rPr>
        <w:t xml:space="preserve"> </w:t>
      </w:r>
      <w:r w:rsidR="007C3C45" w:rsidRPr="00DB5643">
        <w:rPr>
          <w:snapToGrid w:val="0"/>
          <w:kern w:val="22"/>
          <w:szCs w:val="22"/>
          <w:lang w:val="ru-RU"/>
        </w:rPr>
        <w:t>Комитета по соблюдению и</w:t>
      </w:r>
      <w:r w:rsidR="004569FB" w:rsidRPr="00DB5643">
        <w:rPr>
          <w:snapToGrid w:val="0"/>
          <w:kern w:val="22"/>
          <w:szCs w:val="22"/>
          <w:lang w:val="ru-RU"/>
        </w:rPr>
        <w:t xml:space="preserve"> </w:t>
      </w:r>
      <w:r w:rsidR="007C3C45" w:rsidRPr="00DB5643">
        <w:rPr>
          <w:snapToGrid w:val="0"/>
          <w:kern w:val="22"/>
          <w:szCs w:val="22"/>
          <w:lang w:val="ru-RU"/>
        </w:rPr>
        <w:t>рассмотрение Вспомогательным органом по осуществлению</w:t>
      </w:r>
      <w:r w:rsidR="004569FB" w:rsidRPr="00DB5643">
        <w:rPr>
          <w:snapToGrid w:val="0"/>
          <w:kern w:val="22"/>
          <w:szCs w:val="22"/>
          <w:lang w:val="ru-RU"/>
        </w:rPr>
        <w:t xml:space="preserve"> </w:t>
      </w:r>
      <w:r w:rsidR="007C3C45" w:rsidRPr="00DB5643">
        <w:rPr>
          <w:snapToGrid w:val="0"/>
          <w:kern w:val="22"/>
          <w:szCs w:val="22"/>
          <w:lang w:val="ru-RU"/>
        </w:rPr>
        <w:t xml:space="preserve">на его </w:t>
      </w:r>
      <w:proofErr w:type="gramStart"/>
      <w:r w:rsidR="007C3C45" w:rsidRPr="00DB5643">
        <w:rPr>
          <w:snapToGrid w:val="0"/>
          <w:kern w:val="22"/>
          <w:szCs w:val="22"/>
          <w:lang w:val="ru-RU"/>
        </w:rPr>
        <w:t>третьем</w:t>
      </w:r>
      <w:proofErr w:type="gramEnd"/>
      <w:r w:rsidR="007C3C45" w:rsidRPr="00DB5643">
        <w:rPr>
          <w:snapToGrid w:val="0"/>
          <w:kern w:val="22"/>
          <w:szCs w:val="22"/>
          <w:lang w:val="ru-RU"/>
        </w:rPr>
        <w:t xml:space="preserve"> совещании и Конференцией Сторон, выступающей в качестве Совещания Сторон Протокола, на ее десятом совещании</w:t>
      </w:r>
      <w:r w:rsidR="004569FB" w:rsidRPr="00DB5643">
        <w:rPr>
          <w:snapToGrid w:val="0"/>
          <w:kern w:val="22"/>
          <w:szCs w:val="22"/>
          <w:lang w:val="ru-RU"/>
        </w:rPr>
        <w:t xml:space="preserve">. </w:t>
      </w:r>
    </w:p>
    <w:p w14:paraId="00C9E413" w14:textId="39A0AE39" w:rsidR="004569FB" w:rsidRPr="00DB5643" w:rsidRDefault="00EA03F2"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en-US"/>
        </w:rPr>
      </w:pPr>
      <w:r w:rsidRPr="00DB5643">
        <w:rPr>
          <w:snapToGrid w:val="0"/>
          <w:kern w:val="22"/>
          <w:szCs w:val="22"/>
          <w:lang w:val="ru-RU"/>
        </w:rPr>
        <w:t>Конференция Сторон, выступающая в качестве Совещания Сторон Протокола, поручила Исполнительному секретарю проанализировать и обобщить информацию об осуществлении Протокола, используя, среди прочего, четвертые национальные доклады</w:t>
      </w:r>
      <w:r w:rsidR="00407F22" w:rsidRPr="00DB5643">
        <w:rPr>
          <w:snapToGrid w:val="0"/>
          <w:kern w:val="22"/>
          <w:szCs w:val="22"/>
          <w:lang w:val="ru-RU"/>
        </w:rPr>
        <w:t xml:space="preserve"> в качестве основного источника</w:t>
      </w:r>
      <w:r w:rsidR="00EC4E70" w:rsidRPr="00DB5643">
        <w:rPr>
          <w:rStyle w:val="ac"/>
          <w:snapToGrid w:val="0"/>
          <w:kern w:val="22"/>
          <w:szCs w:val="22"/>
        </w:rPr>
        <w:footnoteReference w:id="3"/>
      </w:r>
      <w:r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 xml:space="preserve">Механизм посредничества по биобезопасности </w:t>
      </w:r>
      <w:r w:rsidR="0082446A" w:rsidRPr="00DB5643">
        <w:rPr>
          <w:snapToGrid w:val="0"/>
          <w:kern w:val="22"/>
          <w:szCs w:val="22"/>
          <w:lang w:val="ru-RU"/>
        </w:rPr>
        <w:t>(</w:t>
      </w:r>
      <w:proofErr w:type="spellStart"/>
      <w:r w:rsidRPr="00DB5643">
        <w:rPr>
          <w:snapToGrid w:val="0"/>
          <w:kern w:val="22"/>
          <w:szCs w:val="22"/>
          <w:lang w:val="ru-RU"/>
        </w:rPr>
        <w:t>МПБ</w:t>
      </w:r>
      <w:proofErr w:type="spellEnd"/>
      <w:r w:rsidR="0082446A" w:rsidRPr="00DB5643">
        <w:rPr>
          <w:snapToGrid w:val="0"/>
          <w:kern w:val="22"/>
          <w:szCs w:val="22"/>
          <w:lang w:val="ru-RU"/>
        </w:rPr>
        <w:t xml:space="preserve">) </w:t>
      </w:r>
      <w:r w:rsidRPr="00DB5643">
        <w:rPr>
          <w:snapToGrid w:val="0"/>
          <w:kern w:val="22"/>
          <w:szCs w:val="22"/>
          <w:lang w:val="ru-RU"/>
        </w:rPr>
        <w:t xml:space="preserve">и в соответствующих случаях опыт осуществления проектов по созданию потенциала и </w:t>
      </w:r>
      <w:r w:rsidR="003926D8">
        <w:rPr>
          <w:snapToGrid w:val="0"/>
          <w:kern w:val="22"/>
          <w:szCs w:val="22"/>
          <w:lang w:val="ru-RU"/>
        </w:rPr>
        <w:t xml:space="preserve">работы </w:t>
      </w:r>
      <w:r w:rsidRPr="00DB5643">
        <w:rPr>
          <w:snapToGrid w:val="0"/>
          <w:kern w:val="22"/>
          <w:szCs w:val="22"/>
          <w:lang w:val="ru-RU"/>
        </w:rPr>
        <w:t xml:space="preserve">Комитета по соблюдению, в целях содействия четвертой оценке и обзору Протокола, проводимых совместно с заключительной </w:t>
      </w:r>
      <w:r w:rsidRPr="00DB5643">
        <w:rPr>
          <w:snapToGrid w:val="0"/>
          <w:kern w:val="22"/>
          <w:szCs w:val="22"/>
          <w:lang w:val="ru-RU"/>
        </w:rPr>
        <w:lastRenderedPageBreak/>
        <w:t>оценкой Стратегического плана, и представить эту информацию Контактной</w:t>
      </w:r>
      <w:r w:rsidRPr="00DB5643">
        <w:rPr>
          <w:snapToGrid w:val="0"/>
          <w:kern w:val="22"/>
          <w:szCs w:val="22"/>
          <w:lang w:val="en-US"/>
        </w:rPr>
        <w:t xml:space="preserve"> </w:t>
      </w:r>
      <w:r w:rsidRPr="00DB5643">
        <w:rPr>
          <w:snapToGrid w:val="0"/>
          <w:kern w:val="22"/>
          <w:szCs w:val="22"/>
          <w:lang w:val="ru-RU"/>
        </w:rPr>
        <w:t>группе</w:t>
      </w:r>
      <w:r w:rsidRPr="00DB5643">
        <w:rPr>
          <w:snapToGrid w:val="0"/>
          <w:kern w:val="22"/>
          <w:szCs w:val="22"/>
          <w:lang w:val="en-US"/>
        </w:rPr>
        <w:t xml:space="preserve"> </w:t>
      </w:r>
      <w:r w:rsidRPr="00DB5643">
        <w:rPr>
          <w:snapToGrid w:val="0"/>
          <w:kern w:val="22"/>
          <w:szCs w:val="22"/>
          <w:lang w:val="ru-RU"/>
        </w:rPr>
        <w:t>и</w:t>
      </w:r>
      <w:r w:rsidRPr="00DB5643">
        <w:rPr>
          <w:snapToGrid w:val="0"/>
          <w:kern w:val="22"/>
          <w:szCs w:val="22"/>
          <w:lang w:val="en-US"/>
        </w:rPr>
        <w:t xml:space="preserve"> </w:t>
      </w:r>
      <w:r w:rsidR="00407F22" w:rsidRPr="00DB5643">
        <w:rPr>
          <w:snapToGrid w:val="0"/>
          <w:kern w:val="22"/>
          <w:szCs w:val="22"/>
          <w:lang w:val="ru-RU"/>
        </w:rPr>
        <w:t>при необходимости</w:t>
      </w:r>
      <w:r w:rsidRPr="00DB5643">
        <w:rPr>
          <w:snapToGrid w:val="0"/>
          <w:kern w:val="22"/>
          <w:szCs w:val="22"/>
          <w:lang w:val="en-US"/>
        </w:rPr>
        <w:t xml:space="preserve"> </w:t>
      </w:r>
      <w:r w:rsidRPr="00DB5643">
        <w:rPr>
          <w:snapToGrid w:val="0"/>
          <w:kern w:val="22"/>
          <w:szCs w:val="22"/>
          <w:lang w:val="ru-RU"/>
        </w:rPr>
        <w:t>Комитету</w:t>
      </w:r>
      <w:r w:rsidRPr="00DB5643">
        <w:rPr>
          <w:snapToGrid w:val="0"/>
          <w:kern w:val="22"/>
          <w:szCs w:val="22"/>
          <w:lang w:val="en-US"/>
        </w:rPr>
        <w:t xml:space="preserve"> </w:t>
      </w:r>
      <w:r w:rsidRPr="00DB5643">
        <w:rPr>
          <w:snapToGrid w:val="0"/>
          <w:kern w:val="22"/>
          <w:szCs w:val="22"/>
          <w:lang w:val="ru-RU"/>
        </w:rPr>
        <w:t>по</w:t>
      </w:r>
      <w:r w:rsidRPr="00DB5643">
        <w:rPr>
          <w:snapToGrid w:val="0"/>
          <w:kern w:val="22"/>
          <w:szCs w:val="22"/>
          <w:lang w:val="en-US"/>
        </w:rPr>
        <w:t xml:space="preserve"> </w:t>
      </w:r>
      <w:r w:rsidRPr="00DB5643">
        <w:rPr>
          <w:snapToGrid w:val="0"/>
          <w:kern w:val="22"/>
          <w:szCs w:val="22"/>
          <w:lang w:val="ru-RU"/>
        </w:rPr>
        <w:t>соблюдению</w:t>
      </w:r>
      <w:r w:rsidR="004569FB" w:rsidRPr="00DB5643">
        <w:rPr>
          <w:snapToGrid w:val="0"/>
          <w:kern w:val="22"/>
          <w:szCs w:val="22"/>
          <w:lang w:val="en-US"/>
        </w:rPr>
        <w:t>.</w:t>
      </w:r>
    </w:p>
    <w:p w14:paraId="7B520E8D" w14:textId="1FE94D31" w:rsidR="00735B09" w:rsidRPr="00DB5643" w:rsidRDefault="00407F22"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настоящей записке представлены анализ и обобщение информации для четвертой оценки и обзора эффективности Протокола и заключительной оценки Стратегического плана</w:t>
      </w:r>
      <w:r w:rsidR="004569FB" w:rsidRPr="00DB5643">
        <w:rPr>
          <w:snapToGrid w:val="0"/>
          <w:kern w:val="22"/>
          <w:szCs w:val="22"/>
          <w:lang w:val="ru-RU"/>
        </w:rPr>
        <w:t>.</w:t>
      </w:r>
      <w:r w:rsidR="00A90E59" w:rsidRPr="00DB5643">
        <w:rPr>
          <w:snapToGrid w:val="0"/>
          <w:kern w:val="22"/>
          <w:szCs w:val="22"/>
          <w:lang w:val="ru-RU"/>
        </w:rPr>
        <w:t xml:space="preserve"> </w:t>
      </w:r>
      <w:r w:rsidRPr="00DB5643">
        <w:rPr>
          <w:snapToGrid w:val="0"/>
          <w:kern w:val="22"/>
          <w:szCs w:val="22"/>
          <w:lang w:val="ru-RU"/>
        </w:rPr>
        <w:t xml:space="preserve">Предварительный вариант этого документа был представлен Комитету по соблюдению на его </w:t>
      </w:r>
      <w:r w:rsidRPr="00DB5643">
        <w:rPr>
          <w:snapToGrid w:val="0"/>
          <w:kern w:val="22"/>
          <w:szCs w:val="22"/>
          <w:lang w:val="ru-RU"/>
        </w:rPr>
        <w:br/>
        <w:t>17-м совещании и Контактной группе на ее 14-м совещании</w:t>
      </w:r>
      <w:r w:rsidR="00E84E9F" w:rsidRPr="00DB5643">
        <w:rPr>
          <w:rStyle w:val="ac"/>
          <w:snapToGrid w:val="0"/>
          <w:kern w:val="22"/>
          <w:szCs w:val="22"/>
        </w:rPr>
        <w:footnoteReference w:id="4"/>
      </w:r>
      <w:r w:rsidRPr="00DB5643">
        <w:rPr>
          <w:snapToGrid w:val="0"/>
          <w:kern w:val="22"/>
          <w:szCs w:val="22"/>
          <w:lang w:val="ru-RU"/>
        </w:rPr>
        <w:t>.</w:t>
      </w:r>
    </w:p>
    <w:p w14:paraId="6335DE39" w14:textId="32F90BE8" w:rsidR="004569FB" w:rsidRPr="00DB5643" w:rsidRDefault="00407F22" w:rsidP="000A5388">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разделе</w:t>
      </w:r>
      <w:r w:rsidR="00735B09" w:rsidRPr="00DB5643">
        <w:rPr>
          <w:snapToGrid w:val="0"/>
          <w:kern w:val="22"/>
          <w:szCs w:val="22"/>
          <w:lang w:val="ru-RU"/>
        </w:rPr>
        <w:t xml:space="preserve"> </w:t>
      </w:r>
      <w:r w:rsidR="00735B09" w:rsidRPr="00DB5643">
        <w:rPr>
          <w:snapToGrid w:val="0"/>
          <w:kern w:val="22"/>
          <w:szCs w:val="22"/>
        </w:rPr>
        <w:t>II</w:t>
      </w:r>
      <w:r w:rsidR="00735B09" w:rsidRPr="00DB5643">
        <w:rPr>
          <w:snapToGrid w:val="0"/>
          <w:kern w:val="22"/>
          <w:szCs w:val="22"/>
          <w:lang w:val="ru-RU"/>
        </w:rPr>
        <w:t xml:space="preserve"> </w:t>
      </w:r>
      <w:r w:rsidRPr="00DB5643">
        <w:rPr>
          <w:snapToGrid w:val="0"/>
          <w:kern w:val="22"/>
          <w:szCs w:val="22"/>
          <w:lang w:val="ru-RU"/>
        </w:rPr>
        <w:t>описывается методология, использованная при подготовке анализа информации</w:t>
      </w:r>
      <w:r w:rsidR="00735B09" w:rsidRPr="00DB5643">
        <w:rPr>
          <w:snapToGrid w:val="0"/>
          <w:kern w:val="22"/>
          <w:szCs w:val="22"/>
          <w:lang w:val="ru-RU"/>
        </w:rPr>
        <w:t xml:space="preserve">. </w:t>
      </w:r>
      <w:r w:rsidR="00250A8C" w:rsidRPr="00DB5643">
        <w:rPr>
          <w:snapToGrid w:val="0"/>
          <w:kern w:val="22"/>
          <w:szCs w:val="22"/>
          <w:lang w:val="ru-RU"/>
        </w:rPr>
        <w:t>Раздел</w:t>
      </w:r>
      <w:r w:rsidR="00735B09" w:rsidRPr="00DB5643">
        <w:rPr>
          <w:snapToGrid w:val="0"/>
          <w:kern w:val="22"/>
          <w:szCs w:val="22"/>
          <w:lang w:val="ru-RU"/>
        </w:rPr>
        <w:t xml:space="preserve"> </w:t>
      </w:r>
      <w:r w:rsidR="00735B09" w:rsidRPr="00DB5643">
        <w:rPr>
          <w:snapToGrid w:val="0"/>
          <w:kern w:val="22"/>
          <w:szCs w:val="22"/>
        </w:rPr>
        <w:t>III</w:t>
      </w:r>
      <w:r w:rsidR="00735B09" w:rsidRPr="00DB5643">
        <w:rPr>
          <w:snapToGrid w:val="0"/>
          <w:kern w:val="22"/>
          <w:szCs w:val="22"/>
          <w:lang w:val="ru-RU"/>
        </w:rPr>
        <w:t xml:space="preserve"> </w:t>
      </w:r>
      <w:r w:rsidR="00250A8C" w:rsidRPr="00DB5643">
        <w:rPr>
          <w:snapToGrid w:val="0"/>
          <w:kern w:val="22"/>
          <w:szCs w:val="22"/>
          <w:lang w:val="ru-RU"/>
        </w:rPr>
        <w:t>содержит анализ и обобщение информации о</w:t>
      </w:r>
      <w:r w:rsidR="003926D8" w:rsidRPr="003926D8">
        <w:rPr>
          <w:snapToGrid w:val="0"/>
          <w:kern w:val="22"/>
          <w:szCs w:val="22"/>
          <w:lang w:val="ru-RU"/>
        </w:rPr>
        <w:t xml:space="preserve"> результат</w:t>
      </w:r>
      <w:r w:rsidR="003926D8">
        <w:rPr>
          <w:snapToGrid w:val="0"/>
          <w:kern w:val="22"/>
          <w:szCs w:val="22"/>
          <w:lang w:val="ru-RU"/>
        </w:rPr>
        <w:t>ах</w:t>
      </w:r>
      <w:r w:rsidR="003926D8" w:rsidRPr="003926D8">
        <w:rPr>
          <w:snapToGrid w:val="0"/>
          <w:kern w:val="22"/>
          <w:szCs w:val="22"/>
          <w:lang w:val="ru-RU"/>
        </w:rPr>
        <w:t xml:space="preserve"> выполнения</w:t>
      </w:r>
      <w:r w:rsidR="00250A8C" w:rsidRPr="00DB5643">
        <w:rPr>
          <w:snapToGrid w:val="0"/>
          <w:kern w:val="22"/>
          <w:szCs w:val="22"/>
          <w:lang w:val="ru-RU"/>
        </w:rPr>
        <w:t xml:space="preserve"> оперативных целей Стратегического плана и о положении дел и тенденциях касательно осуществления </w:t>
      </w:r>
      <w:proofErr w:type="spellStart"/>
      <w:r w:rsidR="00250A8C" w:rsidRPr="00DB5643">
        <w:rPr>
          <w:snapToGrid w:val="0"/>
          <w:kern w:val="22"/>
          <w:szCs w:val="22"/>
          <w:lang w:val="ru-RU"/>
        </w:rPr>
        <w:t>Картахенского</w:t>
      </w:r>
      <w:proofErr w:type="spellEnd"/>
      <w:r w:rsidR="00250A8C" w:rsidRPr="00DB5643">
        <w:rPr>
          <w:snapToGrid w:val="0"/>
          <w:kern w:val="22"/>
          <w:szCs w:val="22"/>
          <w:lang w:val="ru-RU"/>
        </w:rPr>
        <w:t xml:space="preserve"> протокола по биобезопасности</w:t>
      </w:r>
      <w:r w:rsidR="00735B09" w:rsidRPr="00DB5643">
        <w:rPr>
          <w:snapToGrid w:val="0"/>
          <w:kern w:val="22"/>
          <w:szCs w:val="22"/>
          <w:lang w:val="ru-RU"/>
        </w:rPr>
        <w:t>.</w:t>
      </w:r>
    </w:p>
    <w:p w14:paraId="249B14BD" w14:textId="59512C84" w:rsidR="004569FB" w:rsidRPr="00DB5643" w:rsidRDefault="00D45DAA" w:rsidP="004569FB">
      <w:pPr>
        <w:keepNext/>
        <w:numPr>
          <w:ilvl w:val="0"/>
          <w:numId w:val="3"/>
        </w:numPr>
        <w:suppressLineNumbers/>
        <w:suppressAutoHyphens/>
        <w:spacing w:before="120" w:after="120"/>
        <w:ind w:left="0" w:firstLine="0"/>
        <w:jc w:val="center"/>
        <w:outlineLvl w:val="0"/>
        <w:rPr>
          <w:b/>
          <w:bCs/>
          <w:caps/>
          <w:snapToGrid w:val="0"/>
          <w:kern w:val="22"/>
          <w:szCs w:val="22"/>
        </w:rPr>
      </w:pPr>
      <w:r w:rsidRPr="00DB5643">
        <w:rPr>
          <w:b/>
          <w:bCs/>
          <w:caps/>
          <w:snapToGrid w:val="0"/>
          <w:kern w:val="22"/>
          <w:szCs w:val="22"/>
          <w:lang w:val="ru-RU"/>
        </w:rPr>
        <w:t>методология</w:t>
      </w:r>
    </w:p>
    <w:p w14:paraId="6C775CF1" w14:textId="4E802C97" w:rsidR="004569FB" w:rsidRPr="00DB5643" w:rsidRDefault="00FD2FB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соответствии с пунктом 3</w:t>
      </w:r>
      <w:r w:rsidRPr="00DB5643">
        <w:rPr>
          <w:snapToGrid w:val="0"/>
          <w:kern w:val="22"/>
          <w:szCs w:val="22"/>
          <w:lang w:val="en-US"/>
        </w:rPr>
        <w:t> </w:t>
      </w:r>
      <w:r w:rsidRPr="00DB5643">
        <w:rPr>
          <w:snapToGrid w:val="0"/>
          <w:kern w:val="22"/>
          <w:szCs w:val="22"/>
        </w:rPr>
        <w:t>b</w:t>
      </w:r>
      <w:r w:rsidRPr="00DB5643">
        <w:rPr>
          <w:snapToGrid w:val="0"/>
          <w:kern w:val="22"/>
          <w:szCs w:val="22"/>
          <w:lang w:val="ru-RU"/>
        </w:rPr>
        <w:t>) решения</w:t>
      </w:r>
      <w:r w:rsidR="004569FB" w:rsidRPr="00DB5643">
        <w:rPr>
          <w:snapToGrid w:val="0"/>
          <w:kern w:val="22"/>
          <w:szCs w:val="22"/>
          <w:lang w:val="ru-RU"/>
        </w:rPr>
        <w:t xml:space="preserve"> </w:t>
      </w:r>
      <w:proofErr w:type="spellStart"/>
      <w:r w:rsidR="004569FB" w:rsidRPr="00DB5643">
        <w:rPr>
          <w:snapToGrid w:val="0"/>
          <w:kern w:val="22"/>
          <w:szCs w:val="22"/>
        </w:rPr>
        <w:t>CP</w:t>
      </w:r>
      <w:proofErr w:type="spellEnd"/>
      <w:r w:rsidR="004569FB" w:rsidRPr="00DB5643">
        <w:rPr>
          <w:snapToGrid w:val="0"/>
          <w:kern w:val="22"/>
          <w:szCs w:val="22"/>
          <w:lang w:val="ru-RU"/>
        </w:rPr>
        <w:t>-9/6</w:t>
      </w:r>
      <w:r w:rsidRPr="00DB5643">
        <w:rPr>
          <w:snapToGrid w:val="0"/>
          <w:kern w:val="22"/>
          <w:szCs w:val="22"/>
          <w:lang w:val="ru-RU"/>
        </w:rPr>
        <w:t xml:space="preserve"> в настоящем документе проанализирована и обобщена информация об осуществлении Протокола, </w:t>
      </w:r>
      <w:r w:rsidR="00377498" w:rsidRPr="00DB5643">
        <w:rPr>
          <w:snapToGrid w:val="0"/>
          <w:kern w:val="22"/>
          <w:szCs w:val="22"/>
          <w:lang w:val="ru-RU"/>
        </w:rPr>
        <w:t xml:space="preserve">связанная с </w:t>
      </w:r>
      <w:r w:rsidRPr="00DB5643">
        <w:rPr>
          <w:snapToGrid w:val="0"/>
          <w:kern w:val="22"/>
          <w:szCs w:val="22"/>
          <w:lang w:val="ru-RU"/>
        </w:rPr>
        <w:t>четверт</w:t>
      </w:r>
      <w:r w:rsidR="00377498" w:rsidRPr="00DB5643">
        <w:rPr>
          <w:snapToGrid w:val="0"/>
          <w:kern w:val="22"/>
          <w:szCs w:val="22"/>
          <w:lang w:val="ru-RU"/>
        </w:rPr>
        <w:t>ым</w:t>
      </w:r>
      <w:r w:rsidRPr="00DB5643">
        <w:rPr>
          <w:snapToGrid w:val="0"/>
          <w:kern w:val="22"/>
          <w:szCs w:val="22"/>
          <w:lang w:val="ru-RU"/>
        </w:rPr>
        <w:t xml:space="preserve"> цикл</w:t>
      </w:r>
      <w:r w:rsidR="00377498" w:rsidRPr="00DB5643">
        <w:rPr>
          <w:snapToGrid w:val="0"/>
          <w:kern w:val="22"/>
          <w:szCs w:val="22"/>
          <w:lang w:val="ru-RU"/>
        </w:rPr>
        <w:t>ом</w:t>
      </w:r>
      <w:r w:rsidRPr="00DB5643">
        <w:rPr>
          <w:snapToGrid w:val="0"/>
          <w:kern w:val="22"/>
          <w:szCs w:val="22"/>
          <w:lang w:val="ru-RU"/>
        </w:rPr>
        <w:t xml:space="preserve"> отчетности</w:t>
      </w:r>
      <w:r w:rsidR="004569FB" w:rsidRPr="00DB5643">
        <w:rPr>
          <w:snapToGrid w:val="0"/>
          <w:kern w:val="22"/>
          <w:szCs w:val="22"/>
          <w:lang w:val="ru-RU"/>
        </w:rPr>
        <w:t xml:space="preserve">, </w:t>
      </w:r>
      <w:r w:rsidR="00377498" w:rsidRPr="00DB5643">
        <w:rPr>
          <w:snapToGrid w:val="0"/>
          <w:kern w:val="22"/>
          <w:szCs w:val="22"/>
          <w:lang w:val="ru-RU"/>
        </w:rPr>
        <w:t xml:space="preserve">в сравнении с </w:t>
      </w:r>
      <w:r w:rsidR="00192FFE" w:rsidRPr="00DB5643">
        <w:rPr>
          <w:snapToGrid w:val="0"/>
          <w:kern w:val="22"/>
          <w:szCs w:val="22"/>
          <w:lang w:val="ru-RU"/>
        </w:rPr>
        <w:t>исходным</w:t>
      </w:r>
      <w:r w:rsidR="00377498" w:rsidRPr="00DB5643">
        <w:rPr>
          <w:snapToGrid w:val="0"/>
          <w:kern w:val="22"/>
          <w:szCs w:val="22"/>
          <w:lang w:val="ru-RU"/>
        </w:rPr>
        <w:t xml:space="preserve"> уровнем</w:t>
      </w:r>
      <w:r w:rsidR="004569FB" w:rsidRPr="00DB5643">
        <w:rPr>
          <w:snapToGrid w:val="0"/>
          <w:kern w:val="22"/>
          <w:szCs w:val="22"/>
          <w:lang w:val="ru-RU"/>
        </w:rPr>
        <w:t xml:space="preserve">. </w:t>
      </w:r>
    </w:p>
    <w:p w14:paraId="3A3571ED" w14:textId="04CE5631" w:rsidR="004569FB" w:rsidRPr="00DB5643" w:rsidRDefault="00377498"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Информация для настоящего анализа была получена из четвертых национальных докладов, представленных к</w:t>
      </w:r>
      <w:r w:rsidR="004569FB" w:rsidRPr="00DB5643">
        <w:rPr>
          <w:snapToGrid w:val="0"/>
          <w:kern w:val="22"/>
          <w:szCs w:val="22"/>
          <w:lang w:val="ru-RU"/>
        </w:rPr>
        <w:t xml:space="preserve"> 15 </w:t>
      </w:r>
      <w:r w:rsidRPr="00DB5643">
        <w:rPr>
          <w:snapToGrid w:val="0"/>
          <w:kern w:val="22"/>
          <w:szCs w:val="22"/>
          <w:lang w:val="ru-RU"/>
        </w:rPr>
        <w:t>января</w:t>
      </w:r>
      <w:r w:rsidR="004569FB" w:rsidRPr="00DB5643">
        <w:rPr>
          <w:snapToGrid w:val="0"/>
          <w:kern w:val="22"/>
          <w:szCs w:val="22"/>
          <w:lang w:val="ru-RU"/>
        </w:rPr>
        <w:t xml:space="preserve"> 2020</w:t>
      </w:r>
      <w:r w:rsidRPr="00DB5643">
        <w:rPr>
          <w:snapToGrid w:val="0"/>
          <w:kern w:val="22"/>
          <w:szCs w:val="22"/>
          <w:lang w:val="ru-RU"/>
        </w:rPr>
        <w:t xml:space="preserve"> года</w:t>
      </w:r>
      <w:r w:rsidR="004569FB" w:rsidRPr="00DB5643">
        <w:rPr>
          <w:rStyle w:val="ac"/>
          <w:snapToGrid w:val="0"/>
          <w:kern w:val="22"/>
          <w:szCs w:val="22"/>
        </w:rPr>
        <w:footnoteReference w:id="5"/>
      </w:r>
      <w:r w:rsidRPr="00DB5643">
        <w:rPr>
          <w:snapToGrid w:val="0"/>
          <w:kern w:val="22"/>
          <w:szCs w:val="22"/>
          <w:lang w:val="ru-RU"/>
        </w:rPr>
        <w:t xml:space="preserve">, сведений из </w:t>
      </w:r>
      <w:proofErr w:type="spellStart"/>
      <w:r w:rsidRPr="00DB5643">
        <w:rPr>
          <w:snapToGrid w:val="0"/>
          <w:kern w:val="22"/>
          <w:szCs w:val="22"/>
          <w:lang w:val="ru-RU"/>
        </w:rPr>
        <w:t>МПБ</w:t>
      </w:r>
      <w:proofErr w:type="spellEnd"/>
      <w:r w:rsidR="004569FB" w:rsidRPr="00DB5643">
        <w:rPr>
          <w:snapToGrid w:val="0"/>
          <w:kern w:val="22"/>
          <w:szCs w:val="22"/>
          <w:lang w:val="ru-RU"/>
        </w:rPr>
        <w:t xml:space="preserve"> </w:t>
      </w:r>
      <w:r w:rsidRPr="00DB5643">
        <w:rPr>
          <w:snapToGrid w:val="0"/>
          <w:kern w:val="22"/>
          <w:szCs w:val="22"/>
          <w:lang w:val="ru-RU"/>
        </w:rPr>
        <w:t xml:space="preserve">и опыта осуществления проектов по созданию потенциала и </w:t>
      </w:r>
      <w:r w:rsidR="009A3EF2">
        <w:rPr>
          <w:snapToGrid w:val="0"/>
          <w:kern w:val="22"/>
          <w:szCs w:val="22"/>
          <w:lang w:val="ru-RU"/>
        </w:rPr>
        <w:t xml:space="preserve">работы </w:t>
      </w:r>
      <w:r w:rsidRPr="00DB5643">
        <w:rPr>
          <w:snapToGrid w:val="0"/>
          <w:kern w:val="22"/>
          <w:szCs w:val="22"/>
          <w:lang w:val="ru-RU"/>
        </w:rPr>
        <w:t>Комитета по соблюдению</w:t>
      </w:r>
      <w:r w:rsidR="004569FB" w:rsidRPr="00DB5643">
        <w:rPr>
          <w:rStyle w:val="ac"/>
          <w:snapToGrid w:val="0"/>
          <w:kern w:val="22"/>
          <w:szCs w:val="22"/>
        </w:rPr>
        <w:footnoteReference w:id="6"/>
      </w:r>
      <w:r w:rsidRPr="00DB5643">
        <w:rPr>
          <w:snapToGrid w:val="0"/>
          <w:kern w:val="22"/>
          <w:szCs w:val="22"/>
          <w:lang w:val="ru-RU"/>
        </w:rPr>
        <w:t>.</w:t>
      </w:r>
    </w:p>
    <w:p w14:paraId="2F606BFD" w14:textId="4EFEDA58" w:rsidR="004569FB" w:rsidRPr="00DB5643" w:rsidRDefault="00192FF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Исходный</w:t>
      </w:r>
      <w:r w:rsidR="00B50C81" w:rsidRPr="00DB5643">
        <w:rPr>
          <w:snapToGrid w:val="0"/>
          <w:kern w:val="22"/>
          <w:szCs w:val="22"/>
          <w:lang w:val="ru-RU"/>
        </w:rPr>
        <w:t xml:space="preserve"> уровень, используемый для оценки прогресса, был установлен посредством решения </w:t>
      </w:r>
      <w:r w:rsidR="004569FB" w:rsidRPr="00DB5643">
        <w:rPr>
          <w:snapToGrid w:val="0"/>
          <w:kern w:val="22"/>
          <w:szCs w:val="22"/>
        </w:rPr>
        <w:t>BS</w:t>
      </w:r>
      <w:r w:rsidR="004569FB" w:rsidRPr="00DB5643">
        <w:rPr>
          <w:snapToGrid w:val="0"/>
          <w:kern w:val="22"/>
          <w:szCs w:val="22"/>
          <w:lang w:val="ru-RU"/>
        </w:rPr>
        <w:t>-</w:t>
      </w:r>
      <w:r w:rsidR="004569FB" w:rsidRPr="00DB5643">
        <w:rPr>
          <w:snapToGrid w:val="0"/>
          <w:kern w:val="22"/>
          <w:szCs w:val="22"/>
        </w:rPr>
        <w:t>VI</w:t>
      </w:r>
      <w:r w:rsidR="004569FB" w:rsidRPr="00DB5643">
        <w:rPr>
          <w:snapToGrid w:val="0"/>
          <w:kern w:val="22"/>
          <w:szCs w:val="22"/>
          <w:lang w:val="ru-RU"/>
        </w:rPr>
        <w:t>/15</w:t>
      </w:r>
      <w:r w:rsidR="00E95B8C" w:rsidRPr="00DB5643">
        <w:rPr>
          <w:snapToGrid w:val="0"/>
          <w:kern w:val="22"/>
          <w:szCs w:val="22"/>
          <w:lang w:val="ru-RU"/>
        </w:rPr>
        <w:t xml:space="preserve">. </w:t>
      </w:r>
      <w:r w:rsidRPr="00DB5643">
        <w:rPr>
          <w:snapToGrid w:val="0"/>
          <w:kern w:val="22"/>
          <w:szCs w:val="22"/>
          <w:lang w:val="ru-RU"/>
        </w:rPr>
        <w:t xml:space="preserve">Исходный </w:t>
      </w:r>
      <w:r w:rsidR="00B50C81" w:rsidRPr="00DB5643">
        <w:rPr>
          <w:snapToGrid w:val="0"/>
          <w:kern w:val="22"/>
          <w:szCs w:val="22"/>
          <w:lang w:val="ru-RU"/>
        </w:rPr>
        <w:t>уровень включает информацию главным образом из вторых национальных докладов</w:t>
      </w:r>
      <w:r w:rsidR="008C6876" w:rsidRPr="00DB5643">
        <w:rPr>
          <w:snapToGrid w:val="0"/>
          <w:kern w:val="22"/>
          <w:szCs w:val="22"/>
          <w:lang w:val="ru-RU"/>
        </w:rPr>
        <w:t xml:space="preserve">, </w:t>
      </w:r>
      <w:proofErr w:type="spellStart"/>
      <w:r w:rsidR="00B50C81" w:rsidRPr="00DB5643">
        <w:rPr>
          <w:snapToGrid w:val="0"/>
          <w:kern w:val="22"/>
          <w:szCs w:val="22"/>
          <w:lang w:val="ru-RU"/>
        </w:rPr>
        <w:t>МПБ</w:t>
      </w:r>
      <w:proofErr w:type="spellEnd"/>
      <w:r w:rsidR="00B50C81" w:rsidRPr="00DB5643">
        <w:rPr>
          <w:snapToGrid w:val="0"/>
          <w:kern w:val="22"/>
          <w:szCs w:val="22"/>
          <w:lang w:val="ru-RU"/>
        </w:rPr>
        <w:t xml:space="preserve"> и специализированного обследования для сбора информации, соответствующей индикаторам в Стратегическом плане, которая не может быть получена из вторых национальных докладов или посредством других существующих механизмов </w:t>
      </w:r>
      <w:r w:rsidR="008C6876" w:rsidRPr="00DB5643">
        <w:rPr>
          <w:snapToGrid w:val="0"/>
          <w:kern w:val="22"/>
          <w:szCs w:val="22"/>
          <w:lang w:val="ru-RU"/>
        </w:rPr>
        <w:t>(</w:t>
      </w:r>
      <w:r w:rsidRPr="00DB5643">
        <w:rPr>
          <w:snapToGrid w:val="0"/>
          <w:kern w:val="22"/>
          <w:szCs w:val="22"/>
          <w:lang w:val="ru-RU"/>
        </w:rPr>
        <w:t>далее именуется «Обследованием»</w:t>
      </w:r>
      <w:r w:rsidR="00B50C81" w:rsidRPr="00DB5643">
        <w:rPr>
          <w:snapToGrid w:val="0"/>
          <w:kern w:val="22"/>
          <w:szCs w:val="22"/>
          <w:lang w:val="ru-RU"/>
        </w:rPr>
        <w:t>)</w:t>
      </w:r>
      <w:r w:rsidR="008C6876" w:rsidRPr="00DB5643">
        <w:rPr>
          <w:kern w:val="22"/>
          <w:szCs w:val="22"/>
          <w:vertAlign w:val="superscript"/>
        </w:rPr>
        <w:footnoteReference w:id="7"/>
      </w:r>
      <w:r w:rsidR="00B50C81" w:rsidRPr="00DB5643">
        <w:rPr>
          <w:snapToGrid w:val="0"/>
          <w:kern w:val="22"/>
          <w:szCs w:val="22"/>
          <w:lang w:val="ru-RU"/>
        </w:rPr>
        <w:t>.</w:t>
      </w:r>
    </w:p>
    <w:p w14:paraId="211B890D" w14:textId="06532A84" w:rsidR="004569FB" w:rsidRPr="00DB5643" w:rsidRDefault="00192FF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Информация, представленная в четвертых национальных докладах,</w:t>
      </w:r>
      <w:r w:rsidR="004569FB" w:rsidRPr="00DB5643">
        <w:rPr>
          <w:snapToGrid w:val="0"/>
          <w:kern w:val="22"/>
          <w:szCs w:val="22"/>
          <w:lang w:val="ru-RU"/>
        </w:rPr>
        <w:t xml:space="preserve"> </w:t>
      </w:r>
      <w:r w:rsidRPr="00DB5643">
        <w:rPr>
          <w:snapToGrid w:val="0"/>
          <w:kern w:val="22"/>
          <w:szCs w:val="22"/>
          <w:lang w:val="ru-RU"/>
        </w:rPr>
        <w:t>была сравнена с информацией исходного уровня</w:t>
      </w:r>
      <w:r w:rsidR="004569FB" w:rsidRPr="00DB5643">
        <w:rPr>
          <w:snapToGrid w:val="0"/>
          <w:kern w:val="22"/>
          <w:szCs w:val="22"/>
          <w:lang w:val="ru-RU"/>
        </w:rPr>
        <w:t xml:space="preserve">. </w:t>
      </w:r>
      <w:r w:rsidRPr="00DB5643">
        <w:rPr>
          <w:snapToGrid w:val="0"/>
          <w:kern w:val="22"/>
          <w:szCs w:val="22"/>
          <w:lang w:val="ru-RU"/>
        </w:rPr>
        <w:t xml:space="preserve">Сравнение </w:t>
      </w:r>
      <w:r w:rsidR="00927C8C" w:rsidRPr="00DB5643">
        <w:rPr>
          <w:snapToGrid w:val="0"/>
          <w:kern w:val="22"/>
          <w:szCs w:val="22"/>
          <w:lang w:val="ru-RU"/>
        </w:rPr>
        <w:t>этих данных было получено с использованием онлайнового анализатора национальных докладов</w:t>
      </w:r>
      <w:r w:rsidR="004569FB" w:rsidRPr="00DB5643">
        <w:rPr>
          <w:snapToGrid w:val="0"/>
          <w:kern w:val="22"/>
          <w:szCs w:val="22"/>
          <w:vertAlign w:val="superscript"/>
        </w:rPr>
        <w:footnoteReference w:id="8"/>
      </w:r>
      <w:r w:rsidR="00927C8C" w:rsidRPr="00DB5643">
        <w:rPr>
          <w:snapToGrid w:val="0"/>
          <w:kern w:val="22"/>
          <w:szCs w:val="22"/>
          <w:lang w:val="ru-RU"/>
        </w:rPr>
        <w:t>.</w:t>
      </w:r>
      <w:r w:rsidR="004569FB" w:rsidRPr="00DB5643">
        <w:rPr>
          <w:snapToGrid w:val="0"/>
          <w:kern w:val="22"/>
          <w:szCs w:val="22"/>
          <w:lang w:val="ru-RU"/>
        </w:rPr>
        <w:t xml:space="preserve"> </w:t>
      </w:r>
      <w:r w:rsidR="00927C8C" w:rsidRPr="00DB5643">
        <w:rPr>
          <w:snapToGrid w:val="0"/>
          <w:kern w:val="22"/>
          <w:szCs w:val="22"/>
          <w:lang w:val="ru-RU"/>
        </w:rPr>
        <w:t xml:space="preserve">Информация из </w:t>
      </w:r>
      <w:proofErr w:type="spellStart"/>
      <w:r w:rsidR="00927C8C" w:rsidRPr="00DB5643">
        <w:rPr>
          <w:snapToGrid w:val="0"/>
          <w:kern w:val="22"/>
          <w:szCs w:val="22"/>
          <w:lang w:val="ru-RU"/>
        </w:rPr>
        <w:t>МПБ</w:t>
      </w:r>
      <w:proofErr w:type="spellEnd"/>
      <w:r w:rsidR="00927C8C" w:rsidRPr="00DB5643">
        <w:rPr>
          <w:snapToGrid w:val="0"/>
          <w:kern w:val="22"/>
          <w:szCs w:val="22"/>
          <w:lang w:val="ru-RU"/>
        </w:rPr>
        <w:t>, связанная с четвертым циклом отчетности, была сравнена с аналогичной информацией исходного уровня</w:t>
      </w:r>
      <w:r w:rsidR="004569FB" w:rsidRPr="00DB5643">
        <w:rPr>
          <w:snapToGrid w:val="0"/>
          <w:kern w:val="22"/>
          <w:szCs w:val="22"/>
          <w:lang w:val="ru-RU"/>
        </w:rPr>
        <w:t xml:space="preserve">. </w:t>
      </w:r>
      <w:r w:rsidR="00927C8C" w:rsidRPr="00DB5643">
        <w:rPr>
          <w:snapToGrid w:val="0"/>
          <w:kern w:val="22"/>
          <w:szCs w:val="22"/>
          <w:lang w:val="ru-RU"/>
        </w:rPr>
        <w:t>Для каждого индикатора источник использованной информации указан в таблице источников информации</w:t>
      </w:r>
      <w:r w:rsidR="004569FB" w:rsidRPr="00DB5643">
        <w:rPr>
          <w:rStyle w:val="ac"/>
          <w:snapToGrid w:val="0"/>
          <w:kern w:val="22"/>
          <w:szCs w:val="22"/>
        </w:rPr>
        <w:footnoteReference w:id="9"/>
      </w:r>
      <w:r w:rsidR="00927C8C" w:rsidRPr="00DB5643">
        <w:rPr>
          <w:snapToGrid w:val="0"/>
          <w:kern w:val="22"/>
          <w:szCs w:val="22"/>
          <w:lang w:val="ru-RU"/>
        </w:rPr>
        <w:t>.</w:t>
      </w:r>
    </w:p>
    <w:p w14:paraId="41B99B84" w14:textId="7C597708" w:rsidR="00C06D13" w:rsidRPr="00DB5643" w:rsidRDefault="00C52412"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Кроме того</w:t>
      </w:r>
      <w:r w:rsidR="00C06D13" w:rsidRPr="00DB5643">
        <w:rPr>
          <w:snapToGrid w:val="0"/>
          <w:kern w:val="22"/>
          <w:szCs w:val="22"/>
          <w:lang w:val="ru-RU"/>
        </w:rPr>
        <w:t xml:space="preserve">, </w:t>
      </w:r>
      <w:r w:rsidRPr="00DB5643">
        <w:rPr>
          <w:snapToGrid w:val="0"/>
          <w:kern w:val="22"/>
          <w:szCs w:val="22"/>
          <w:lang w:val="ru-RU"/>
        </w:rPr>
        <w:t>анализ основан на данных только тех Сторон, представивших свои четвертые национальные доклады</w:t>
      </w:r>
      <w:r w:rsidR="00F078D1" w:rsidRPr="00DB5643">
        <w:rPr>
          <w:snapToGrid w:val="0"/>
          <w:kern w:val="22"/>
          <w:szCs w:val="22"/>
          <w:lang w:val="ru-RU"/>
        </w:rPr>
        <w:t xml:space="preserve"> </w:t>
      </w:r>
      <w:r w:rsidRPr="00DB5643">
        <w:rPr>
          <w:snapToGrid w:val="0"/>
          <w:kern w:val="22"/>
          <w:szCs w:val="22"/>
          <w:lang w:val="ru-RU"/>
        </w:rPr>
        <w:t>к</w:t>
      </w:r>
      <w:r w:rsidR="00A62EF7" w:rsidRPr="00DB5643">
        <w:rPr>
          <w:snapToGrid w:val="0"/>
          <w:kern w:val="22"/>
          <w:szCs w:val="22"/>
          <w:lang w:val="ru-RU"/>
        </w:rPr>
        <w:t xml:space="preserve"> 15 </w:t>
      </w:r>
      <w:r w:rsidRPr="00DB5643">
        <w:rPr>
          <w:snapToGrid w:val="0"/>
          <w:kern w:val="22"/>
          <w:szCs w:val="22"/>
          <w:lang w:val="ru-RU"/>
        </w:rPr>
        <w:t xml:space="preserve">января </w:t>
      </w:r>
      <w:r w:rsidR="00A62EF7" w:rsidRPr="00DB5643">
        <w:rPr>
          <w:snapToGrid w:val="0"/>
          <w:kern w:val="22"/>
          <w:szCs w:val="22"/>
          <w:lang w:val="ru-RU"/>
        </w:rPr>
        <w:t>2020</w:t>
      </w:r>
      <w:r w:rsidRPr="00DB5643">
        <w:rPr>
          <w:snapToGrid w:val="0"/>
          <w:kern w:val="22"/>
          <w:szCs w:val="22"/>
          <w:lang w:val="ru-RU"/>
        </w:rPr>
        <w:t xml:space="preserve"> года, которые также представили соответствующие данные исходного уровня</w:t>
      </w:r>
      <w:r w:rsidR="00F078D1" w:rsidRPr="00DB5643">
        <w:rPr>
          <w:snapToGrid w:val="0"/>
          <w:kern w:val="22"/>
          <w:szCs w:val="22"/>
          <w:lang w:val="ru-RU"/>
        </w:rPr>
        <w:t xml:space="preserve">. </w:t>
      </w:r>
      <w:r w:rsidR="0071289C" w:rsidRPr="00DB5643">
        <w:rPr>
          <w:snapToGrid w:val="0"/>
          <w:kern w:val="22"/>
          <w:szCs w:val="22"/>
          <w:lang w:val="ru-RU"/>
        </w:rPr>
        <w:t xml:space="preserve">Этот подход направлен на обеспечение возможности последовательного </w:t>
      </w:r>
      <w:r w:rsidR="0071289C" w:rsidRPr="00DB5643">
        <w:rPr>
          <w:snapToGrid w:val="0"/>
          <w:kern w:val="22"/>
          <w:szCs w:val="22"/>
          <w:lang w:val="ru-RU"/>
        </w:rPr>
        <w:lastRenderedPageBreak/>
        <w:t>и сопоставимого обзора прогресса с течением времени и соответствует подходу, принятому для третьей оценки и обзора Протокола и промежуточной оценки Стратегического плана</w:t>
      </w:r>
      <w:r w:rsidR="00F078D1" w:rsidRPr="00DB5643">
        <w:rPr>
          <w:rStyle w:val="ac"/>
          <w:snapToGrid w:val="0"/>
          <w:kern w:val="22"/>
          <w:szCs w:val="22"/>
        </w:rPr>
        <w:footnoteReference w:id="10"/>
      </w:r>
      <w:r w:rsidR="0071289C" w:rsidRPr="00DB5643">
        <w:rPr>
          <w:snapToGrid w:val="0"/>
          <w:kern w:val="22"/>
          <w:szCs w:val="22"/>
          <w:lang w:val="ru-RU"/>
        </w:rPr>
        <w:t>.</w:t>
      </w:r>
    </w:p>
    <w:p w14:paraId="38657DC8" w14:textId="31604BC5" w:rsidR="004569FB" w:rsidRPr="00DB5643" w:rsidRDefault="008F03C0"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Из</w:t>
      </w:r>
      <w:r w:rsidR="004569FB" w:rsidRPr="00DB5643">
        <w:rPr>
          <w:snapToGrid w:val="0"/>
          <w:kern w:val="22"/>
          <w:szCs w:val="22"/>
          <w:lang w:val="ru-RU"/>
        </w:rPr>
        <w:t xml:space="preserve"> 99 </w:t>
      </w:r>
      <w:r w:rsidRPr="00DB5643">
        <w:rPr>
          <w:snapToGrid w:val="0"/>
          <w:kern w:val="22"/>
          <w:szCs w:val="22"/>
          <w:lang w:val="ru-RU"/>
        </w:rPr>
        <w:t>Сторон</w:t>
      </w:r>
      <w:r w:rsidR="00EF2C49" w:rsidRPr="00DB5643">
        <w:rPr>
          <w:snapToGrid w:val="0"/>
          <w:kern w:val="22"/>
          <w:szCs w:val="22"/>
          <w:lang w:val="ru-RU"/>
        </w:rPr>
        <w:t>, представивших полны</w:t>
      </w:r>
      <w:r w:rsidR="00D37DB4" w:rsidRPr="00DB5643">
        <w:rPr>
          <w:snapToGrid w:val="0"/>
          <w:kern w:val="22"/>
          <w:szCs w:val="22"/>
          <w:lang w:val="ru-RU"/>
        </w:rPr>
        <w:t>й</w:t>
      </w:r>
      <w:r w:rsidR="00EF2C49" w:rsidRPr="00DB5643">
        <w:rPr>
          <w:snapToGrid w:val="0"/>
          <w:kern w:val="22"/>
          <w:szCs w:val="22"/>
          <w:lang w:val="ru-RU"/>
        </w:rPr>
        <w:t xml:space="preserve"> четверты</w:t>
      </w:r>
      <w:r w:rsidR="00D37DB4" w:rsidRPr="00DB5643">
        <w:rPr>
          <w:snapToGrid w:val="0"/>
          <w:kern w:val="22"/>
          <w:szCs w:val="22"/>
          <w:lang w:val="ru-RU"/>
        </w:rPr>
        <w:t>й</w:t>
      </w:r>
      <w:r w:rsidR="00EF2C49" w:rsidRPr="00DB5643">
        <w:rPr>
          <w:snapToGrid w:val="0"/>
          <w:kern w:val="22"/>
          <w:szCs w:val="22"/>
          <w:lang w:val="ru-RU"/>
        </w:rPr>
        <w:t xml:space="preserve"> национальны</w:t>
      </w:r>
      <w:r w:rsidR="00D37DB4" w:rsidRPr="00DB5643">
        <w:rPr>
          <w:snapToGrid w:val="0"/>
          <w:kern w:val="22"/>
          <w:szCs w:val="22"/>
          <w:lang w:val="ru-RU"/>
        </w:rPr>
        <w:t>й</w:t>
      </w:r>
      <w:r w:rsidR="00EF2C49" w:rsidRPr="00DB5643">
        <w:rPr>
          <w:snapToGrid w:val="0"/>
          <w:kern w:val="22"/>
          <w:szCs w:val="22"/>
          <w:lang w:val="ru-RU"/>
        </w:rPr>
        <w:t xml:space="preserve"> </w:t>
      </w:r>
      <w:r w:rsidR="00D37DB4" w:rsidRPr="00DB5643">
        <w:rPr>
          <w:snapToGrid w:val="0"/>
          <w:kern w:val="22"/>
          <w:szCs w:val="22"/>
          <w:lang w:val="ru-RU"/>
        </w:rPr>
        <w:t>доклад</w:t>
      </w:r>
      <w:r w:rsidR="00F37E77" w:rsidRPr="00DB5643">
        <w:rPr>
          <w:snapToGrid w:val="0"/>
          <w:kern w:val="22"/>
          <w:szCs w:val="22"/>
          <w:lang w:val="ru-RU"/>
        </w:rPr>
        <w:t xml:space="preserve"> </w:t>
      </w:r>
      <w:r w:rsidR="00EF2C49" w:rsidRPr="00DB5643">
        <w:rPr>
          <w:snapToGrid w:val="0"/>
          <w:kern w:val="22"/>
          <w:szCs w:val="22"/>
          <w:lang w:val="ru-RU"/>
        </w:rPr>
        <w:t>к</w:t>
      </w:r>
      <w:r w:rsidR="00D37DB4" w:rsidRPr="00DB5643">
        <w:rPr>
          <w:snapToGrid w:val="0"/>
          <w:kern w:val="22"/>
          <w:szCs w:val="22"/>
          <w:lang w:val="ru-RU"/>
        </w:rPr>
        <w:t xml:space="preserve"> </w:t>
      </w:r>
      <w:r w:rsidR="00A62EF7" w:rsidRPr="00DB5643">
        <w:rPr>
          <w:snapToGrid w:val="0"/>
          <w:kern w:val="22"/>
          <w:szCs w:val="22"/>
          <w:lang w:val="ru-RU"/>
        </w:rPr>
        <w:t xml:space="preserve">15 </w:t>
      </w:r>
      <w:r w:rsidR="00EF2C49" w:rsidRPr="00DB5643">
        <w:rPr>
          <w:snapToGrid w:val="0"/>
          <w:kern w:val="22"/>
          <w:szCs w:val="22"/>
          <w:lang w:val="ru-RU"/>
        </w:rPr>
        <w:t xml:space="preserve">января </w:t>
      </w:r>
      <w:r w:rsidR="00D37DB4" w:rsidRPr="00DB5643">
        <w:rPr>
          <w:snapToGrid w:val="0"/>
          <w:kern w:val="22"/>
          <w:szCs w:val="22"/>
          <w:lang w:val="ru-RU"/>
        </w:rPr>
        <w:br/>
      </w:r>
      <w:r w:rsidR="00A62EF7" w:rsidRPr="00DB5643">
        <w:rPr>
          <w:snapToGrid w:val="0"/>
          <w:kern w:val="22"/>
          <w:szCs w:val="22"/>
          <w:lang w:val="ru-RU"/>
        </w:rPr>
        <w:t>2020</w:t>
      </w:r>
      <w:r w:rsidR="00EF2C49" w:rsidRPr="00DB5643">
        <w:rPr>
          <w:snapToGrid w:val="0"/>
          <w:kern w:val="22"/>
          <w:szCs w:val="22"/>
          <w:lang w:val="ru-RU"/>
        </w:rPr>
        <w:t xml:space="preserve"> года</w:t>
      </w:r>
      <w:r w:rsidR="004569FB" w:rsidRPr="00DB5643">
        <w:rPr>
          <w:snapToGrid w:val="0"/>
          <w:kern w:val="22"/>
          <w:szCs w:val="22"/>
          <w:lang w:val="ru-RU"/>
        </w:rPr>
        <w:t xml:space="preserve">, 94 </w:t>
      </w:r>
      <w:r w:rsidR="00EF2C49" w:rsidRPr="00DB5643">
        <w:rPr>
          <w:snapToGrid w:val="0"/>
          <w:kern w:val="22"/>
          <w:szCs w:val="22"/>
          <w:lang w:val="ru-RU"/>
        </w:rPr>
        <w:t>Стороны также представили втор</w:t>
      </w:r>
      <w:r w:rsidR="00691F3A" w:rsidRPr="00DB5643">
        <w:rPr>
          <w:snapToGrid w:val="0"/>
          <w:kern w:val="22"/>
          <w:szCs w:val="22"/>
          <w:lang w:val="ru-RU"/>
        </w:rPr>
        <w:t>ой национальный доклад</w:t>
      </w:r>
      <w:r w:rsidR="004569FB" w:rsidRPr="00DB5643">
        <w:rPr>
          <w:snapToGrid w:val="0"/>
          <w:kern w:val="22"/>
          <w:szCs w:val="22"/>
          <w:lang w:val="ru-RU"/>
        </w:rPr>
        <w:t xml:space="preserve"> </w:t>
      </w:r>
      <w:r w:rsidR="00691F3A" w:rsidRPr="00DB5643">
        <w:rPr>
          <w:snapToGrid w:val="0"/>
          <w:kern w:val="22"/>
          <w:szCs w:val="22"/>
          <w:lang w:val="ru-RU"/>
        </w:rPr>
        <w:t xml:space="preserve">и </w:t>
      </w:r>
      <w:r w:rsidR="0044550B" w:rsidRPr="00DB5643">
        <w:rPr>
          <w:snapToGrid w:val="0"/>
          <w:kern w:val="22"/>
          <w:szCs w:val="22"/>
          <w:lang w:val="ru-RU"/>
        </w:rPr>
        <w:t>71</w:t>
      </w:r>
      <w:r w:rsidR="00691F3A" w:rsidRPr="00DB5643">
        <w:rPr>
          <w:snapToGrid w:val="0"/>
          <w:kern w:val="22"/>
          <w:szCs w:val="22"/>
          <w:lang w:val="ru-RU"/>
        </w:rPr>
        <w:t xml:space="preserve"> Сторона</w:t>
      </w:r>
      <w:r w:rsidR="00F6658B">
        <w:rPr>
          <w:snapToGrid w:val="0"/>
          <w:kern w:val="22"/>
          <w:szCs w:val="22"/>
          <w:lang w:val="ru-RU"/>
        </w:rPr>
        <w:t xml:space="preserve"> приняла участие</w:t>
      </w:r>
      <w:r w:rsidR="00691F3A" w:rsidRPr="00DB5643">
        <w:rPr>
          <w:snapToGrid w:val="0"/>
          <w:kern w:val="22"/>
          <w:szCs w:val="22"/>
          <w:lang w:val="ru-RU"/>
        </w:rPr>
        <w:t xml:space="preserve"> </w:t>
      </w:r>
      <w:r w:rsidR="00F6658B">
        <w:rPr>
          <w:snapToGrid w:val="0"/>
          <w:kern w:val="22"/>
          <w:szCs w:val="22"/>
          <w:lang w:val="ru-RU"/>
        </w:rPr>
        <w:t>в</w:t>
      </w:r>
      <w:r w:rsidR="00691F3A" w:rsidRPr="00DB5643">
        <w:rPr>
          <w:snapToGrid w:val="0"/>
          <w:kern w:val="22"/>
          <w:szCs w:val="22"/>
          <w:lang w:val="ru-RU"/>
        </w:rPr>
        <w:t xml:space="preserve"> Обследовани</w:t>
      </w:r>
      <w:r w:rsidR="00F6658B">
        <w:rPr>
          <w:snapToGrid w:val="0"/>
          <w:kern w:val="22"/>
          <w:szCs w:val="22"/>
          <w:lang w:val="ru-RU"/>
        </w:rPr>
        <w:t>и</w:t>
      </w:r>
      <w:r w:rsidR="0034527D" w:rsidRPr="00DB5643">
        <w:rPr>
          <w:snapToGrid w:val="0"/>
          <w:kern w:val="22"/>
          <w:szCs w:val="22"/>
          <w:lang w:val="ru-RU"/>
        </w:rPr>
        <w:t xml:space="preserve">. </w:t>
      </w:r>
      <w:r w:rsidR="00691F3A" w:rsidRPr="00DB5643">
        <w:rPr>
          <w:snapToGrid w:val="0"/>
          <w:kern w:val="22"/>
          <w:szCs w:val="22"/>
          <w:lang w:val="ru-RU"/>
        </w:rPr>
        <w:t xml:space="preserve">Не все Стороны представили ответы на все вопросы в национальных докладах и в Обследовании, поэтому общее </w:t>
      </w:r>
      <w:r w:rsidR="008D13CB" w:rsidRPr="00DB5643">
        <w:rPr>
          <w:snapToGrid w:val="0"/>
          <w:kern w:val="22"/>
          <w:szCs w:val="22"/>
          <w:lang w:val="ru-RU"/>
        </w:rPr>
        <w:t>число</w:t>
      </w:r>
      <w:r w:rsidR="00691F3A" w:rsidRPr="00DB5643">
        <w:rPr>
          <w:snapToGrid w:val="0"/>
          <w:kern w:val="22"/>
          <w:szCs w:val="22"/>
          <w:lang w:val="ru-RU"/>
        </w:rPr>
        <w:t xml:space="preserve"> Сторон, на котор</w:t>
      </w:r>
      <w:r w:rsidR="00F6658B">
        <w:rPr>
          <w:snapToGrid w:val="0"/>
          <w:kern w:val="22"/>
          <w:szCs w:val="22"/>
          <w:lang w:val="ru-RU"/>
        </w:rPr>
        <w:t>о</w:t>
      </w:r>
      <w:r w:rsidR="00691F3A" w:rsidRPr="00DB5643">
        <w:rPr>
          <w:snapToGrid w:val="0"/>
          <w:kern w:val="22"/>
          <w:szCs w:val="22"/>
          <w:lang w:val="ru-RU"/>
        </w:rPr>
        <w:t>е</w:t>
      </w:r>
      <w:r w:rsidR="0084154B" w:rsidRPr="00DB5643">
        <w:rPr>
          <w:snapToGrid w:val="0"/>
          <w:kern w:val="22"/>
          <w:szCs w:val="22"/>
          <w:lang w:val="ru-RU"/>
        </w:rPr>
        <w:t xml:space="preserve"> ссыл</w:t>
      </w:r>
      <w:r w:rsidR="00F6658B">
        <w:rPr>
          <w:snapToGrid w:val="0"/>
          <w:kern w:val="22"/>
          <w:szCs w:val="22"/>
          <w:lang w:val="ru-RU"/>
        </w:rPr>
        <w:t>ается анализ</w:t>
      </w:r>
      <w:r w:rsidR="0084154B" w:rsidRPr="00DB5643">
        <w:rPr>
          <w:snapToGrid w:val="0"/>
          <w:kern w:val="22"/>
          <w:szCs w:val="22"/>
          <w:lang w:val="ru-RU"/>
        </w:rPr>
        <w:t>, различается для разных индикаторов</w:t>
      </w:r>
      <w:r w:rsidR="00077201" w:rsidRPr="00DB5643">
        <w:rPr>
          <w:snapToGrid w:val="0"/>
          <w:kern w:val="22"/>
          <w:szCs w:val="22"/>
          <w:lang w:val="ru-RU"/>
        </w:rPr>
        <w:t xml:space="preserve">. </w:t>
      </w:r>
    </w:p>
    <w:p w14:paraId="28973521" w14:textId="694B2A6F" w:rsidR="004569FB" w:rsidRPr="00DB5643" w:rsidRDefault="003D2FC9"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настояще</w:t>
      </w:r>
      <w:r w:rsidR="00A6540F">
        <w:rPr>
          <w:snapToGrid w:val="0"/>
          <w:kern w:val="22"/>
          <w:szCs w:val="22"/>
          <w:lang w:val="ru-RU"/>
        </w:rPr>
        <w:t>й записке</w:t>
      </w:r>
      <w:r w:rsidR="004569FB" w:rsidRPr="00DB5643">
        <w:rPr>
          <w:snapToGrid w:val="0"/>
          <w:kern w:val="22"/>
          <w:szCs w:val="22"/>
          <w:lang w:val="ru-RU"/>
        </w:rPr>
        <w:t xml:space="preserve"> </w:t>
      </w:r>
      <w:r w:rsidRPr="00DB5643">
        <w:rPr>
          <w:snapToGrid w:val="0"/>
          <w:kern w:val="22"/>
          <w:szCs w:val="22"/>
          <w:lang w:val="ru-RU"/>
        </w:rPr>
        <w:t>представлен анализ информации, полученной в рамках четвертого цикла отчетности</w:t>
      </w:r>
      <w:r w:rsidR="004569FB" w:rsidRPr="00DB5643">
        <w:rPr>
          <w:snapToGrid w:val="0"/>
          <w:kern w:val="22"/>
          <w:szCs w:val="22"/>
          <w:lang w:val="ru-RU"/>
        </w:rPr>
        <w:t xml:space="preserve"> (</w:t>
      </w:r>
      <w:r w:rsidRPr="00DB5643">
        <w:rPr>
          <w:snapToGrid w:val="0"/>
          <w:kern w:val="22"/>
          <w:szCs w:val="22"/>
          <w:lang w:val="ru-RU"/>
        </w:rPr>
        <w:t>текущее положение дел</w:t>
      </w:r>
      <w:r w:rsidR="004569FB" w:rsidRPr="00DB5643">
        <w:rPr>
          <w:snapToGrid w:val="0"/>
          <w:kern w:val="22"/>
          <w:szCs w:val="22"/>
          <w:lang w:val="ru-RU"/>
        </w:rPr>
        <w:t>)</w:t>
      </w:r>
      <w:r w:rsidRPr="00DB5643">
        <w:rPr>
          <w:snapToGrid w:val="0"/>
          <w:kern w:val="22"/>
          <w:szCs w:val="22"/>
          <w:lang w:val="ru-RU"/>
        </w:rPr>
        <w:t>, и сообщенных изменений по отношению к исходному уровню</w:t>
      </w:r>
      <w:r w:rsidR="004569FB" w:rsidRPr="00DB5643">
        <w:rPr>
          <w:snapToGrid w:val="0"/>
          <w:kern w:val="22"/>
          <w:szCs w:val="22"/>
          <w:lang w:val="ru-RU"/>
        </w:rPr>
        <w:t xml:space="preserve">. </w:t>
      </w:r>
      <w:r w:rsidRPr="00DB5643">
        <w:rPr>
          <w:snapToGrid w:val="0"/>
          <w:kern w:val="22"/>
          <w:szCs w:val="22"/>
          <w:lang w:val="ru-RU"/>
        </w:rPr>
        <w:t>Изменения представлены как «увеличение»</w:t>
      </w:r>
      <w:r w:rsidR="004569FB" w:rsidRPr="00DB5643">
        <w:rPr>
          <w:snapToGrid w:val="0"/>
          <w:kern w:val="22"/>
          <w:szCs w:val="22"/>
          <w:lang w:val="ru-RU"/>
        </w:rPr>
        <w:t xml:space="preserve"> (</w:t>
      </w:r>
      <w:r w:rsidRPr="00DB5643">
        <w:rPr>
          <w:snapToGrid w:val="0"/>
          <w:kern w:val="22"/>
          <w:szCs w:val="22"/>
          <w:lang w:val="ru-RU"/>
        </w:rPr>
        <w:t>«</w:t>
      </w:r>
      <w:r w:rsidR="004569FB" w:rsidRPr="00DB5643">
        <w:rPr>
          <w:snapToGrid w:val="0"/>
          <w:kern w:val="22"/>
          <w:szCs w:val="22"/>
          <w:lang w:val="ru-RU"/>
        </w:rPr>
        <w:t>(+</w:t>
      </w:r>
      <w:r w:rsidR="004569FB" w:rsidRPr="00DB5643">
        <w:rPr>
          <w:snapToGrid w:val="0"/>
          <w:kern w:val="22"/>
          <w:szCs w:val="22"/>
        </w:rPr>
        <w:t>x</w:t>
      </w:r>
      <w:r w:rsidR="00A6540F">
        <w:rPr>
          <w:snapToGrid w:val="0"/>
          <w:kern w:val="22"/>
          <w:szCs w:val="22"/>
          <w:lang w:val="ru-RU"/>
        </w:rPr>
        <w:t> </w:t>
      </w:r>
      <w:r w:rsidR="004569FB" w:rsidRPr="00DB5643">
        <w:rPr>
          <w:snapToGrid w:val="0"/>
          <w:kern w:val="22"/>
          <w:szCs w:val="22"/>
          <w:lang w:val="ru-RU"/>
        </w:rPr>
        <w:t>%)</w:t>
      </w:r>
      <w:r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или «уменьшение»</w:t>
      </w:r>
      <w:r w:rsidR="004569FB" w:rsidRPr="00DB5643">
        <w:rPr>
          <w:snapToGrid w:val="0"/>
          <w:kern w:val="22"/>
          <w:szCs w:val="22"/>
          <w:lang w:val="ru-RU"/>
        </w:rPr>
        <w:t xml:space="preserve"> (</w:t>
      </w:r>
      <w:r w:rsidRPr="00DB5643">
        <w:rPr>
          <w:snapToGrid w:val="0"/>
          <w:kern w:val="22"/>
          <w:szCs w:val="22"/>
          <w:lang w:val="ru-RU"/>
        </w:rPr>
        <w:t>«</w:t>
      </w:r>
      <w:r w:rsidR="004569FB" w:rsidRPr="00DB5643">
        <w:rPr>
          <w:snapToGrid w:val="0"/>
          <w:kern w:val="22"/>
          <w:szCs w:val="22"/>
          <w:lang w:val="ru-RU"/>
        </w:rPr>
        <w:t>(-</w:t>
      </w:r>
      <w:r w:rsidR="004569FB" w:rsidRPr="00DB5643">
        <w:rPr>
          <w:snapToGrid w:val="0"/>
          <w:kern w:val="22"/>
          <w:szCs w:val="22"/>
        </w:rPr>
        <w:t>x</w:t>
      </w:r>
      <w:r w:rsidR="00A6540F">
        <w:rPr>
          <w:snapToGrid w:val="0"/>
          <w:kern w:val="22"/>
          <w:szCs w:val="22"/>
          <w:lang w:val="ru-RU"/>
        </w:rPr>
        <w:t> </w:t>
      </w:r>
      <w:r w:rsidR="004569FB" w:rsidRPr="00DB5643">
        <w:rPr>
          <w:snapToGrid w:val="0"/>
          <w:kern w:val="22"/>
          <w:szCs w:val="22"/>
          <w:lang w:val="ru-RU"/>
        </w:rPr>
        <w:t>%)</w:t>
      </w:r>
      <w:r w:rsidRPr="00DB5643">
        <w:rPr>
          <w:snapToGrid w:val="0"/>
          <w:kern w:val="22"/>
          <w:szCs w:val="22"/>
          <w:lang w:val="ru-RU"/>
        </w:rPr>
        <w:t>»</w:t>
      </w:r>
      <w:r w:rsidR="004569FB" w:rsidRPr="00DB5643">
        <w:rPr>
          <w:snapToGrid w:val="0"/>
          <w:kern w:val="22"/>
          <w:szCs w:val="22"/>
          <w:lang w:val="ru-RU"/>
        </w:rPr>
        <w:t>)</w:t>
      </w:r>
      <w:r w:rsidR="00DA3AB3" w:rsidRPr="00DB5643">
        <w:rPr>
          <w:snapToGrid w:val="0"/>
          <w:kern w:val="22"/>
          <w:szCs w:val="22"/>
          <w:lang w:val="ru-RU"/>
        </w:rPr>
        <w:t xml:space="preserve"> </w:t>
      </w:r>
      <w:r w:rsidRPr="00DB5643">
        <w:rPr>
          <w:snapToGrid w:val="0"/>
          <w:kern w:val="22"/>
          <w:szCs w:val="22"/>
          <w:lang w:val="ru-RU"/>
        </w:rPr>
        <w:t>и отражают чистые изменения</w:t>
      </w:r>
      <w:r w:rsidR="00DA3AB3" w:rsidRPr="00DB5643">
        <w:rPr>
          <w:snapToGrid w:val="0"/>
          <w:kern w:val="22"/>
          <w:szCs w:val="22"/>
          <w:lang w:val="ru-RU"/>
        </w:rPr>
        <w:t>,</w:t>
      </w:r>
      <w:r w:rsidRPr="00DB5643">
        <w:rPr>
          <w:snapToGrid w:val="0"/>
          <w:kern w:val="22"/>
          <w:szCs w:val="22"/>
          <w:lang w:val="ru-RU"/>
        </w:rPr>
        <w:t xml:space="preserve"> а не изменения, сообщенные отдельными Сторонами</w:t>
      </w:r>
      <w:r w:rsidR="009D45AC" w:rsidRPr="00DB5643">
        <w:rPr>
          <w:rStyle w:val="ac"/>
          <w:snapToGrid w:val="0"/>
          <w:kern w:val="22"/>
          <w:szCs w:val="22"/>
        </w:rPr>
        <w:footnoteReference w:id="11"/>
      </w:r>
      <w:r w:rsidRPr="00DB5643">
        <w:rPr>
          <w:snapToGrid w:val="0"/>
          <w:kern w:val="22"/>
          <w:szCs w:val="22"/>
          <w:lang w:val="ru-RU"/>
        </w:rPr>
        <w:t>.</w:t>
      </w:r>
    </w:p>
    <w:p w14:paraId="4BDDF3CD" w14:textId="55D53BD1" w:rsidR="004569FB" w:rsidRPr="00DB5643" w:rsidRDefault="00900E3D"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Помимо предоставления информации о текущем положении дел и изменениях по отношению к исходному уровню в глобальном масштабе, для ряда индикаторов представлена также разбивка по регионам с целью прояснения сообщенного положения дел или изменений по отношению к исходному уровню</w:t>
      </w:r>
      <w:r w:rsidR="004569FB" w:rsidRPr="00DB5643">
        <w:rPr>
          <w:snapToGrid w:val="0"/>
          <w:kern w:val="22"/>
          <w:szCs w:val="22"/>
          <w:lang w:val="ru-RU"/>
        </w:rPr>
        <w:t xml:space="preserve"> </w:t>
      </w:r>
      <w:r w:rsidRPr="00DB5643">
        <w:rPr>
          <w:snapToGrid w:val="0"/>
          <w:kern w:val="22"/>
          <w:szCs w:val="22"/>
          <w:lang w:val="ru-RU"/>
        </w:rPr>
        <w:t>в глобальном масштабе</w:t>
      </w:r>
      <w:r w:rsidR="004569FB" w:rsidRPr="00DB5643">
        <w:rPr>
          <w:snapToGrid w:val="0"/>
          <w:kern w:val="22"/>
          <w:szCs w:val="22"/>
          <w:lang w:val="ru-RU"/>
        </w:rPr>
        <w:t xml:space="preserve">. </w:t>
      </w:r>
      <w:r w:rsidRPr="00DB5643">
        <w:rPr>
          <w:snapToGrid w:val="0"/>
          <w:kern w:val="22"/>
          <w:szCs w:val="22"/>
          <w:lang w:val="ru-RU"/>
        </w:rPr>
        <w:t xml:space="preserve">Так как количество Сторон в некоторых региональных группах </w:t>
      </w:r>
      <w:r w:rsidR="007E281C" w:rsidRPr="00DB5643">
        <w:rPr>
          <w:snapToGrid w:val="0"/>
          <w:kern w:val="22"/>
          <w:szCs w:val="22"/>
          <w:lang w:val="ru-RU"/>
        </w:rPr>
        <w:t>невелико</w:t>
      </w:r>
      <w:r w:rsidR="004569FB" w:rsidRPr="00DB5643">
        <w:rPr>
          <w:snapToGrid w:val="0"/>
          <w:kern w:val="22"/>
          <w:szCs w:val="22"/>
          <w:lang w:val="ru-RU"/>
        </w:rPr>
        <w:t xml:space="preserve">, </w:t>
      </w:r>
      <w:r w:rsidRPr="00DB5643">
        <w:rPr>
          <w:snapToGrid w:val="0"/>
          <w:kern w:val="22"/>
          <w:szCs w:val="22"/>
          <w:lang w:val="ru-RU"/>
        </w:rPr>
        <w:t>небольшие изменения могут прив</w:t>
      </w:r>
      <w:r w:rsidR="007E281C" w:rsidRPr="00DB5643">
        <w:rPr>
          <w:snapToGrid w:val="0"/>
          <w:kern w:val="22"/>
          <w:szCs w:val="22"/>
          <w:lang w:val="ru-RU"/>
        </w:rPr>
        <w:t>одить</w:t>
      </w:r>
      <w:r w:rsidRPr="00DB5643">
        <w:rPr>
          <w:snapToGrid w:val="0"/>
          <w:kern w:val="22"/>
          <w:szCs w:val="22"/>
          <w:lang w:val="ru-RU"/>
        </w:rPr>
        <w:t xml:space="preserve"> к значительным различиям </w:t>
      </w:r>
      <w:r w:rsidR="00A6540F">
        <w:rPr>
          <w:snapToGrid w:val="0"/>
          <w:kern w:val="22"/>
          <w:szCs w:val="22"/>
          <w:lang w:val="ru-RU"/>
        </w:rPr>
        <w:t>в</w:t>
      </w:r>
      <w:r w:rsidRPr="00DB5643">
        <w:rPr>
          <w:snapToGrid w:val="0"/>
          <w:kern w:val="22"/>
          <w:szCs w:val="22"/>
          <w:lang w:val="ru-RU"/>
        </w:rPr>
        <w:t xml:space="preserve"> процентном выражении</w:t>
      </w:r>
      <w:r w:rsidR="004569FB" w:rsidRPr="00DB5643">
        <w:rPr>
          <w:snapToGrid w:val="0"/>
          <w:kern w:val="22"/>
          <w:szCs w:val="22"/>
          <w:lang w:val="ru-RU"/>
        </w:rPr>
        <w:t xml:space="preserve">. </w:t>
      </w:r>
    </w:p>
    <w:p w14:paraId="00B47805" w14:textId="5097BA5B" w:rsidR="004569FB" w:rsidRPr="00DB5643" w:rsidRDefault="007E281C"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Анализ охватывает каждую оперативную цель Стратегического плана и использует соответствующие индикаторы для оценки достигнутого прогресса в реализации оперативных целей</w:t>
      </w:r>
      <w:r w:rsidR="004569FB" w:rsidRPr="00DB5643">
        <w:rPr>
          <w:rStyle w:val="ac"/>
          <w:snapToGrid w:val="0"/>
          <w:kern w:val="22"/>
          <w:szCs w:val="22"/>
        </w:rPr>
        <w:footnoteReference w:id="12"/>
      </w:r>
      <w:r w:rsidRPr="00DB5643">
        <w:rPr>
          <w:snapToGrid w:val="0"/>
          <w:kern w:val="22"/>
          <w:szCs w:val="22"/>
          <w:lang w:val="ru-RU"/>
        </w:rPr>
        <w:t>.</w:t>
      </w:r>
      <w:r w:rsidR="004569FB" w:rsidRPr="00DB5643">
        <w:rPr>
          <w:snapToGrid w:val="0"/>
          <w:kern w:val="22"/>
          <w:szCs w:val="22"/>
          <w:lang w:val="ru-RU"/>
        </w:rPr>
        <w:t xml:space="preserve"> </w:t>
      </w:r>
      <w:r w:rsidR="00BF4021" w:rsidRPr="00DB5643">
        <w:rPr>
          <w:snapToGrid w:val="0"/>
          <w:kern w:val="22"/>
          <w:szCs w:val="22"/>
          <w:lang w:val="ru-RU"/>
        </w:rPr>
        <w:t>Одни</w:t>
      </w:r>
      <w:r w:rsidRPr="00DB5643">
        <w:rPr>
          <w:snapToGrid w:val="0"/>
          <w:kern w:val="22"/>
          <w:szCs w:val="22"/>
          <w:lang w:val="ru-RU"/>
        </w:rPr>
        <w:t xml:space="preserve"> индикаторы </w:t>
      </w:r>
      <w:r w:rsidR="00BF4021" w:rsidRPr="00DB5643">
        <w:rPr>
          <w:snapToGrid w:val="0"/>
          <w:kern w:val="22"/>
          <w:szCs w:val="22"/>
          <w:lang w:val="ru-RU"/>
        </w:rPr>
        <w:t>выражают</w:t>
      </w:r>
      <w:r w:rsidR="00EE5B57" w:rsidRPr="00DB5643">
        <w:rPr>
          <w:snapToGrid w:val="0"/>
          <w:kern w:val="22"/>
          <w:szCs w:val="22"/>
          <w:lang w:val="ru-RU"/>
        </w:rPr>
        <w:t xml:space="preserve"> </w:t>
      </w:r>
      <w:r w:rsidR="00BF4021" w:rsidRPr="00DB5643">
        <w:rPr>
          <w:snapToGrid w:val="0"/>
          <w:kern w:val="22"/>
          <w:szCs w:val="22"/>
          <w:lang w:val="ru-RU"/>
        </w:rPr>
        <w:t>«процентную долю Сторон»</w:t>
      </w:r>
      <w:r w:rsidR="004569FB" w:rsidRPr="00DB5643">
        <w:rPr>
          <w:snapToGrid w:val="0"/>
          <w:kern w:val="22"/>
          <w:szCs w:val="22"/>
          <w:lang w:val="ru-RU"/>
        </w:rPr>
        <w:t xml:space="preserve">, </w:t>
      </w:r>
      <w:r w:rsidR="00BF4021" w:rsidRPr="00DB5643">
        <w:rPr>
          <w:snapToGrid w:val="0"/>
          <w:kern w:val="22"/>
          <w:szCs w:val="22"/>
          <w:lang w:val="ru-RU"/>
        </w:rPr>
        <w:t>а другие – «</w:t>
      </w:r>
      <w:r w:rsidR="008D13CB" w:rsidRPr="00DB5643">
        <w:rPr>
          <w:snapToGrid w:val="0"/>
          <w:kern w:val="22"/>
          <w:szCs w:val="22"/>
          <w:lang w:val="ru-RU"/>
        </w:rPr>
        <w:t>число</w:t>
      </w:r>
      <w:r w:rsidR="00BF4021" w:rsidRPr="00DB5643">
        <w:rPr>
          <w:snapToGrid w:val="0"/>
          <w:kern w:val="22"/>
          <w:szCs w:val="22"/>
          <w:lang w:val="ru-RU"/>
        </w:rPr>
        <w:t xml:space="preserve"> Сторон»</w:t>
      </w:r>
      <w:r w:rsidR="00EE5B57" w:rsidRPr="00DB5643">
        <w:rPr>
          <w:snapToGrid w:val="0"/>
          <w:kern w:val="22"/>
          <w:szCs w:val="22"/>
          <w:lang w:val="ru-RU"/>
        </w:rPr>
        <w:t xml:space="preserve">. </w:t>
      </w:r>
      <w:r w:rsidR="00BF4021" w:rsidRPr="00DB5643">
        <w:rPr>
          <w:snapToGrid w:val="0"/>
          <w:kern w:val="22"/>
          <w:szCs w:val="22"/>
          <w:lang w:val="ru-RU"/>
        </w:rPr>
        <w:t>В соответствии с анализом, подготовленным для третьей оценки и обзора Протокола и промежуточной оценки Стратегического плана</w:t>
      </w:r>
      <w:r w:rsidR="000A6B13" w:rsidRPr="00DB5643">
        <w:rPr>
          <w:snapToGrid w:val="0"/>
          <w:kern w:val="22"/>
          <w:szCs w:val="22"/>
          <w:lang w:val="ru-RU"/>
        </w:rPr>
        <w:t xml:space="preserve">, </w:t>
      </w:r>
      <w:r w:rsidR="00BF4021" w:rsidRPr="00DB5643">
        <w:rPr>
          <w:snapToGrid w:val="0"/>
          <w:kern w:val="22"/>
          <w:szCs w:val="22"/>
          <w:lang w:val="ru-RU"/>
        </w:rPr>
        <w:t xml:space="preserve">в </w:t>
      </w:r>
      <w:r w:rsidR="00BF4021" w:rsidRPr="00DB5643">
        <w:rPr>
          <w:kern w:val="22"/>
          <w:lang w:val="ru-RU"/>
        </w:rPr>
        <w:t xml:space="preserve">настоящем анализе приводятся процентные доли, а также указывается </w:t>
      </w:r>
      <w:r w:rsidR="008D13CB" w:rsidRPr="00DB5643">
        <w:rPr>
          <w:kern w:val="22"/>
          <w:lang w:val="ru-RU"/>
        </w:rPr>
        <w:t>число</w:t>
      </w:r>
      <w:r w:rsidR="00BF4021" w:rsidRPr="00DB5643">
        <w:rPr>
          <w:kern w:val="22"/>
          <w:lang w:val="ru-RU"/>
        </w:rPr>
        <w:t xml:space="preserve"> Сторон в скобках для показателей на глобальном уровне</w:t>
      </w:r>
      <w:r w:rsidR="00B03BF1" w:rsidRPr="00DB5643">
        <w:rPr>
          <w:kern w:val="22"/>
          <w:lang w:val="ru-RU"/>
        </w:rPr>
        <w:t xml:space="preserve">. </w:t>
      </w:r>
      <w:r w:rsidR="007A1902" w:rsidRPr="00DB5643">
        <w:rPr>
          <w:kern w:val="22"/>
          <w:lang w:val="ru-RU"/>
        </w:rPr>
        <w:t>Для региональных разбивок и тенденций приводятся только процентные величины</w:t>
      </w:r>
      <w:r w:rsidR="000A6B13" w:rsidRPr="00DB5643">
        <w:rPr>
          <w:snapToGrid w:val="0"/>
          <w:kern w:val="22"/>
          <w:szCs w:val="22"/>
          <w:lang w:val="ru-RU"/>
        </w:rPr>
        <w:t xml:space="preserve">. </w:t>
      </w:r>
    </w:p>
    <w:p w14:paraId="266D1689" w14:textId="46A1AC43" w:rsidR="004569FB" w:rsidRPr="00DB5643" w:rsidRDefault="008F03C0" w:rsidP="00253344">
      <w:pPr>
        <w:keepNext/>
        <w:numPr>
          <w:ilvl w:val="0"/>
          <w:numId w:val="3"/>
        </w:numPr>
        <w:suppressLineNumbers/>
        <w:suppressAutoHyphens/>
        <w:spacing w:before="120" w:after="120"/>
        <w:ind w:left="1134" w:hanging="567"/>
        <w:jc w:val="left"/>
        <w:outlineLvl w:val="0"/>
        <w:rPr>
          <w:b/>
          <w:bCs/>
          <w:caps/>
          <w:snapToGrid w:val="0"/>
          <w:kern w:val="22"/>
          <w:szCs w:val="22"/>
          <w:lang w:val="ru-RU"/>
        </w:rPr>
      </w:pPr>
      <w:r w:rsidRPr="00DB5643">
        <w:rPr>
          <w:b/>
          <w:bCs/>
          <w:caps/>
          <w:snapToGrid w:val="0"/>
          <w:kern w:val="22"/>
          <w:szCs w:val="22"/>
          <w:lang w:val="ru-RU"/>
        </w:rPr>
        <w:t xml:space="preserve">анализ положения дел и тенденций касательно осуществления </w:t>
      </w:r>
      <w:proofErr w:type="spellStart"/>
      <w:r w:rsidRPr="00DB5643">
        <w:rPr>
          <w:b/>
          <w:bCs/>
          <w:caps/>
          <w:snapToGrid w:val="0"/>
          <w:kern w:val="22"/>
          <w:szCs w:val="22"/>
          <w:lang w:val="ru-RU"/>
        </w:rPr>
        <w:t>картахенского</w:t>
      </w:r>
      <w:proofErr w:type="spellEnd"/>
      <w:r w:rsidRPr="00DB5643">
        <w:rPr>
          <w:b/>
          <w:bCs/>
          <w:caps/>
          <w:snapToGrid w:val="0"/>
          <w:kern w:val="22"/>
          <w:szCs w:val="22"/>
          <w:lang w:val="ru-RU"/>
        </w:rPr>
        <w:t xml:space="preserve"> протокола по биобезопасности</w:t>
      </w:r>
    </w:p>
    <w:p w14:paraId="42063A85" w14:textId="019FC3F3" w:rsidR="004569FB" w:rsidRPr="00DB5643" w:rsidRDefault="007A1902"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этом разделе представлен сравнительный анализ положения дел и тенденций касательно осуществления </w:t>
      </w:r>
      <w:proofErr w:type="spellStart"/>
      <w:r w:rsidRPr="00DB5643">
        <w:rPr>
          <w:snapToGrid w:val="0"/>
          <w:kern w:val="22"/>
          <w:szCs w:val="22"/>
          <w:lang w:val="ru-RU"/>
        </w:rPr>
        <w:t>Картахенского</w:t>
      </w:r>
      <w:proofErr w:type="spellEnd"/>
      <w:r w:rsidRPr="00DB5643">
        <w:rPr>
          <w:snapToGrid w:val="0"/>
          <w:kern w:val="22"/>
          <w:szCs w:val="22"/>
          <w:lang w:val="ru-RU"/>
        </w:rPr>
        <w:t xml:space="preserve"> протокола по биобезопасности</w:t>
      </w:r>
      <w:r w:rsidR="004569FB" w:rsidRPr="00DB5643">
        <w:rPr>
          <w:snapToGrid w:val="0"/>
          <w:kern w:val="22"/>
          <w:szCs w:val="22"/>
          <w:lang w:val="ru-RU"/>
        </w:rPr>
        <w:t xml:space="preserve">. </w:t>
      </w:r>
    </w:p>
    <w:p w14:paraId="0A6246AB" w14:textId="2A4840A5" w:rsidR="004569FB" w:rsidRPr="00DB5643" w:rsidRDefault="00CD6B3A"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Для оказания содействия комплексной оценке наметившихся тенденций в осуществлении </w:t>
      </w:r>
      <w:proofErr w:type="spellStart"/>
      <w:r w:rsidRPr="00DB5643">
        <w:rPr>
          <w:snapToGrid w:val="0"/>
          <w:kern w:val="22"/>
          <w:szCs w:val="22"/>
          <w:lang w:val="ru-RU"/>
        </w:rPr>
        <w:t>Картахенского</w:t>
      </w:r>
      <w:proofErr w:type="spellEnd"/>
      <w:r w:rsidRPr="00DB5643">
        <w:rPr>
          <w:snapToGrid w:val="0"/>
          <w:kern w:val="22"/>
          <w:szCs w:val="22"/>
          <w:lang w:val="ru-RU"/>
        </w:rPr>
        <w:t xml:space="preserve"> протокола по биобезопасности и во избежание дублирования информации соответствующие оперативные цели Стратегического плана анализировались и обсуждались в рамках 12 общих областей, а именно: национальные механизмы обеспечения биобезопасности; координация и поддержка; оценка рисков и регулирование рисков; живые измененные организмы (</w:t>
      </w:r>
      <w:proofErr w:type="spellStart"/>
      <w:r w:rsidRPr="00DB5643">
        <w:rPr>
          <w:snapToGrid w:val="0"/>
          <w:kern w:val="22"/>
          <w:szCs w:val="22"/>
          <w:lang w:val="ru-RU"/>
        </w:rPr>
        <w:t>ЖИО</w:t>
      </w:r>
      <w:proofErr w:type="spellEnd"/>
      <w:r w:rsidRPr="00DB5643">
        <w:rPr>
          <w:snapToGrid w:val="0"/>
          <w:kern w:val="22"/>
          <w:szCs w:val="22"/>
          <w:lang w:val="ru-RU"/>
        </w:rPr>
        <w:t>) или специфические признаки, которые могут оказывать неблагоприятное воздействие; ответственность и возмещение; обработка, транспортировка, упаковка и идентификация; социально-экономические аспекты; транзит, использование живых измененных организмов в замкнутых системах, непреднамеренные трансграничные перемещения и чрезвычайные меры; обмен информацией; соблюдение и обзор; осведомленность и участие общественности, просвещение и подготовка кадров в сфере биобезопасности; а также информационно-просветительская работа и сотрудничество</w:t>
      </w:r>
      <w:r w:rsidR="004569FB" w:rsidRPr="00DB5643">
        <w:rPr>
          <w:snapToGrid w:val="0"/>
          <w:kern w:val="22"/>
          <w:szCs w:val="22"/>
          <w:lang w:val="ru-RU"/>
        </w:rPr>
        <w:t>.</w:t>
      </w:r>
    </w:p>
    <w:p w14:paraId="65B6FBA0" w14:textId="290A2F57" w:rsidR="003354C8" w:rsidRPr="00DB5643" w:rsidRDefault="00CD6B3A"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lastRenderedPageBreak/>
        <w:t>Краткое резюме прогресса в каждой из этих областей, основанное на приведенном ниже анализе, включено в документ</w:t>
      </w:r>
      <w:r w:rsidR="009F6B06" w:rsidRPr="00DB5643">
        <w:rPr>
          <w:snapToGrid w:val="0"/>
          <w:kern w:val="22"/>
          <w:szCs w:val="22"/>
          <w:lang w:val="ru-RU"/>
        </w:rPr>
        <w:t xml:space="preserve"> </w:t>
      </w:r>
      <w:proofErr w:type="spellStart"/>
      <w:r w:rsidR="00187F5E" w:rsidRPr="00DB5643">
        <w:rPr>
          <w:snapToGrid w:val="0"/>
          <w:kern w:val="22"/>
          <w:szCs w:val="22"/>
        </w:rPr>
        <w:t>CBD</w:t>
      </w:r>
      <w:proofErr w:type="spellEnd"/>
      <w:r w:rsidR="00187F5E" w:rsidRPr="00DB5643">
        <w:rPr>
          <w:snapToGrid w:val="0"/>
          <w:kern w:val="22"/>
          <w:szCs w:val="22"/>
          <w:lang w:val="ru-RU"/>
        </w:rPr>
        <w:t>/</w:t>
      </w:r>
      <w:proofErr w:type="spellStart"/>
      <w:r w:rsidR="00187F5E" w:rsidRPr="00DB5643">
        <w:rPr>
          <w:snapToGrid w:val="0"/>
          <w:kern w:val="22"/>
          <w:szCs w:val="22"/>
        </w:rPr>
        <w:t>SBI</w:t>
      </w:r>
      <w:proofErr w:type="spellEnd"/>
      <w:r w:rsidR="00187F5E" w:rsidRPr="00DB5643">
        <w:rPr>
          <w:snapToGrid w:val="0"/>
          <w:kern w:val="22"/>
          <w:szCs w:val="22"/>
          <w:lang w:val="ru-RU"/>
        </w:rPr>
        <w:t>/3/3.</w:t>
      </w:r>
    </w:p>
    <w:p w14:paraId="773DD36D" w14:textId="698BD22B" w:rsidR="004569FB" w:rsidRPr="00DB5643" w:rsidRDefault="00C54AA6" w:rsidP="004115D5">
      <w:pPr>
        <w:keepNext/>
        <w:numPr>
          <w:ilvl w:val="0"/>
          <w:numId w:val="17"/>
        </w:numPr>
        <w:suppressLineNumbers/>
        <w:tabs>
          <w:tab w:val="clear" w:pos="2070"/>
          <w:tab w:val="left" w:pos="2340"/>
        </w:tabs>
        <w:suppressAutoHyphens/>
        <w:spacing w:before="120" w:after="120"/>
        <w:ind w:left="2352" w:hanging="509"/>
        <w:jc w:val="left"/>
        <w:outlineLvl w:val="1"/>
        <w:rPr>
          <w:b/>
          <w:iCs/>
          <w:snapToGrid w:val="0"/>
          <w:kern w:val="22"/>
          <w:szCs w:val="22"/>
          <w:lang w:val="ru-RU"/>
        </w:rPr>
      </w:pPr>
      <w:r w:rsidRPr="00DB5643">
        <w:rPr>
          <w:b/>
          <w:iCs/>
          <w:snapToGrid w:val="0"/>
          <w:kern w:val="22"/>
          <w:szCs w:val="22"/>
          <w:lang w:val="ru-RU"/>
        </w:rPr>
        <w:t>Национальные механизмы обеспечения биобезопасности</w:t>
      </w:r>
      <w:r w:rsidR="004569FB" w:rsidRPr="00DB5643">
        <w:rPr>
          <w:b/>
          <w:iCs/>
          <w:snapToGrid w:val="0"/>
          <w:kern w:val="22"/>
          <w:szCs w:val="22"/>
          <w:lang w:val="ru-RU"/>
        </w:rPr>
        <w:t xml:space="preserve"> (</w:t>
      </w:r>
      <w:r w:rsidRPr="00DB5643">
        <w:rPr>
          <w:b/>
          <w:iCs/>
          <w:snapToGrid w:val="0"/>
          <w:kern w:val="22"/>
          <w:szCs w:val="22"/>
          <w:lang w:val="ru-RU"/>
        </w:rPr>
        <w:t>оперативные цели</w:t>
      </w:r>
      <w:r w:rsidR="004569FB" w:rsidRPr="00DB5643">
        <w:rPr>
          <w:b/>
          <w:iCs/>
          <w:snapToGrid w:val="0"/>
          <w:kern w:val="22"/>
          <w:szCs w:val="22"/>
          <w:lang w:val="ru-RU"/>
        </w:rPr>
        <w:t xml:space="preserve"> 1.1 </w:t>
      </w:r>
      <w:r w:rsidRPr="00DB5643">
        <w:rPr>
          <w:b/>
          <w:iCs/>
          <w:snapToGrid w:val="0"/>
          <w:kern w:val="22"/>
          <w:szCs w:val="22"/>
          <w:lang w:val="ru-RU"/>
        </w:rPr>
        <w:t>и</w:t>
      </w:r>
      <w:r w:rsidR="004569FB" w:rsidRPr="00DB5643">
        <w:rPr>
          <w:b/>
          <w:iCs/>
          <w:snapToGrid w:val="0"/>
          <w:kern w:val="22"/>
          <w:szCs w:val="22"/>
          <w:lang w:val="ru-RU"/>
        </w:rPr>
        <w:t xml:space="preserve"> 2.1)</w:t>
      </w:r>
    </w:p>
    <w:p w14:paraId="19E4FD7A" w14:textId="244C4697" w:rsidR="004569FB" w:rsidRPr="00DB5643" w:rsidRDefault="00C54AA6" w:rsidP="000A5388">
      <w:pPr>
        <w:keepNext/>
        <w:suppressLineNumbers/>
        <w:suppressAutoHyphens/>
        <w:spacing w:before="120" w:after="120"/>
        <w:textAlignment w:val="baseline"/>
        <w:outlineLvl w:val="2"/>
        <w:rPr>
          <w:b/>
          <w:iCs/>
          <w:snapToGrid w:val="0"/>
          <w:kern w:val="22"/>
          <w:szCs w:val="22"/>
          <w:lang w:val="ru-RU"/>
        </w:rPr>
      </w:pPr>
      <w:r w:rsidRPr="00DB5643">
        <w:rPr>
          <w:b/>
          <w:iCs/>
          <w:snapToGrid w:val="0"/>
          <w:kern w:val="22"/>
          <w:szCs w:val="22"/>
          <w:lang w:val="ru-RU"/>
        </w:rPr>
        <w:t>Оперативная цель</w:t>
      </w:r>
      <w:r w:rsidR="004569FB" w:rsidRPr="00DB5643">
        <w:rPr>
          <w:b/>
          <w:iCs/>
          <w:snapToGrid w:val="0"/>
          <w:kern w:val="22"/>
          <w:szCs w:val="22"/>
          <w:lang w:val="ru-RU"/>
        </w:rPr>
        <w:t xml:space="preserve"> 1.1</w:t>
      </w:r>
      <w:r w:rsidRPr="00DB5643">
        <w:rPr>
          <w:b/>
          <w:iCs/>
          <w:snapToGrid w:val="0"/>
          <w:kern w:val="22"/>
          <w:szCs w:val="22"/>
          <w:lang w:val="ru-RU"/>
        </w:rPr>
        <w:t>.</w:t>
      </w:r>
      <w:r w:rsidR="004569FB" w:rsidRPr="00DB5643">
        <w:rPr>
          <w:b/>
          <w:iCs/>
          <w:snapToGrid w:val="0"/>
          <w:kern w:val="22"/>
          <w:szCs w:val="22"/>
          <w:lang w:val="ru-RU"/>
        </w:rPr>
        <w:t xml:space="preserve"> </w:t>
      </w:r>
      <w:r w:rsidRPr="00DB5643">
        <w:rPr>
          <w:b/>
          <w:iCs/>
          <w:snapToGrid w:val="0"/>
          <w:kern w:val="22"/>
          <w:szCs w:val="22"/>
          <w:lang w:val="ru-RU"/>
        </w:rPr>
        <w:t>Национальные механизмы обеспечения биобезопасности</w:t>
      </w:r>
    </w:p>
    <w:p w14:paraId="00DCF4FC" w14:textId="7487B0A3" w:rsidR="004569FB" w:rsidRPr="00DB5643" w:rsidRDefault="00183AE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Оперативная цель 1.1 направлена на создание условий у всех Сторон для внедрения функциональных национальных механизмов обеспечения биобезопасности для осуществления Протокола. Было определено пять индикаторов для оценки результатов выполнения данной оперативной цели</w:t>
      </w:r>
      <w:r w:rsidR="004569FB" w:rsidRPr="00DB5643">
        <w:rPr>
          <w:snapToGrid w:val="0"/>
          <w:kern w:val="22"/>
          <w:szCs w:val="22"/>
          <w:lang w:val="ru-RU"/>
        </w:rPr>
        <w:t>.</w:t>
      </w:r>
    </w:p>
    <w:p w14:paraId="37AF1BD9" w14:textId="501E525E" w:rsidR="004569FB" w:rsidRPr="00DB5643" w:rsidRDefault="00183AE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1.1.1</w:t>
      </w:r>
      <w:r w:rsidR="004569FB" w:rsidRPr="00DB5643">
        <w:rPr>
          <w:snapToGrid w:val="0"/>
          <w:kern w:val="22"/>
          <w:szCs w:val="22"/>
          <w:lang w:val="ru-RU"/>
        </w:rPr>
        <w:t xml:space="preserve"> (</w:t>
      </w:r>
      <w:r w:rsidRPr="00DB5643">
        <w:rPr>
          <w:snapToGrid w:val="0"/>
          <w:kern w:val="22"/>
          <w:szCs w:val="22"/>
          <w:lang w:val="ru-RU"/>
        </w:rPr>
        <w:t>число Сторон, в частности в центрах происхождения, принявших национальное законодательство в области биобезопасности и выполняющих руководящие указания не позднее чем через шесть лет после присоединения к Протоколу/ ратификации Протокола</w:t>
      </w:r>
      <w:r w:rsidR="00382C0A" w:rsidRPr="00DB5643">
        <w:rPr>
          <w:snapToGrid w:val="0"/>
          <w:kern w:val="22"/>
          <w:szCs w:val="22"/>
          <w:lang w:val="ru-RU"/>
        </w:rPr>
        <w:t>)</w:t>
      </w:r>
      <w:r w:rsidR="004569FB" w:rsidRPr="00DB5643">
        <w:rPr>
          <w:snapToGrid w:val="0"/>
          <w:kern w:val="22"/>
          <w:szCs w:val="22"/>
          <w:lang w:val="ru-RU"/>
        </w:rPr>
        <w:t xml:space="preserve"> 55</w:t>
      </w:r>
      <w:r w:rsidR="00382C0A"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(51 </w:t>
      </w:r>
      <w:r w:rsidRPr="00DB5643">
        <w:rPr>
          <w:snapToGrid w:val="0"/>
          <w:kern w:val="22"/>
          <w:szCs w:val="22"/>
          <w:lang w:val="ru-RU"/>
        </w:rPr>
        <w:t>Сторона</w:t>
      </w:r>
      <w:r w:rsidR="004569FB" w:rsidRPr="00DB5643">
        <w:rPr>
          <w:snapToGrid w:val="0"/>
          <w:kern w:val="22"/>
          <w:szCs w:val="22"/>
          <w:lang w:val="ru-RU"/>
        </w:rPr>
        <w:t xml:space="preserve">) </w:t>
      </w:r>
      <w:r w:rsidR="00382C0A" w:rsidRPr="00DB5643">
        <w:rPr>
          <w:snapToGrid w:val="0"/>
          <w:kern w:val="22"/>
          <w:szCs w:val="22"/>
          <w:lang w:val="ru-RU"/>
        </w:rPr>
        <w:t>сообщили о полномасштабном введении необходимых правовых, административных и других мер для осуществления Протокола, что соответствует увеличению на</w:t>
      </w:r>
      <w:r w:rsidR="004569FB" w:rsidRPr="00DB5643">
        <w:rPr>
          <w:snapToGrid w:val="0"/>
          <w:kern w:val="22"/>
          <w:szCs w:val="22"/>
          <w:lang w:val="ru-RU"/>
        </w:rPr>
        <w:t xml:space="preserve"> 8</w:t>
      </w:r>
      <w:r w:rsidR="00382C0A" w:rsidRPr="00DB5643">
        <w:rPr>
          <w:snapToGrid w:val="0"/>
          <w:kern w:val="22"/>
          <w:szCs w:val="22"/>
          <w:lang w:val="ru-RU"/>
        </w:rPr>
        <w:t> </w:t>
      </w:r>
      <w:r w:rsidR="004569FB" w:rsidRPr="00DB5643">
        <w:rPr>
          <w:snapToGrid w:val="0"/>
          <w:kern w:val="22"/>
          <w:szCs w:val="22"/>
          <w:lang w:val="ru-RU"/>
        </w:rPr>
        <w:t>%</w:t>
      </w:r>
      <w:r w:rsidR="00050673" w:rsidRPr="00DB5643">
        <w:rPr>
          <w:snapToGrid w:val="0"/>
          <w:kern w:val="22"/>
          <w:szCs w:val="22"/>
          <w:lang w:val="ru-RU"/>
        </w:rPr>
        <w:t xml:space="preserve"> (7 </w:t>
      </w:r>
      <w:r w:rsidR="00382C0A" w:rsidRPr="00DB5643">
        <w:rPr>
          <w:snapToGrid w:val="0"/>
          <w:kern w:val="22"/>
          <w:szCs w:val="22"/>
          <w:lang w:val="ru-RU"/>
        </w:rPr>
        <w:t>Сторон</w:t>
      </w:r>
      <w:r w:rsidR="00050673" w:rsidRPr="00DB5643">
        <w:rPr>
          <w:snapToGrid w:val="0"/>
          <w:kern w:val="22"/>
          <w:szCs w:val="22"/>
          <w:lang w:val="ru-RU"/>
        </w:rPr>
        <w:t>)</w:t>
      </w:r>
      <w:r w:rsidR="004569FB" w:rsidRPr="00DB5643">
        <w:rPr>
          <w:snapToGrid w:val="0"/>
          <w:kern w:val="22"/>
          <w:szCs w:val="22"/>
          <w:lang w:val="ru-RU"/>
        </w:rPr>
        <w:t xml:space="preserve"> </w:t>
      </w:r>
      <w:r w:rsidR="00382C0A" w:rsidRPr="00DB5643">
        <w:rPr>
          <w:snapToGrid w:val="0"/>
          <w:kern w:val="22"/>
          <w:szCs w:val="22"/>
          <w:lang w:val="ru-RU"/>
        </w:rPr>
        <w:t>по отношению к исходному уровню</w:t>
      </w:r>
      <w:r w:rsidR="004569FB" w:rsidRPr="00DB5643">
        <w:rPr>
          <w:snapToGrid w:val="0"/>
          <w:kern w:val="22"/>
          <w:szCs w:val="22"/>
          <w:lang w:val="ru-RU"/>
        </w:rPr>
        <w:t xml:space="preserve">. </w:t>
      </w:r>
      <w:r w:rsidR="00382C0A" w:rsidRPr="00DB5643">
        <w:rPr>
          <w:snapToGrid w:val="0"/>
          <w:kern w:val="22"/>
          <w:szCs w:val="22"/>
          <w:lang w:val="ru-RU"/>
        </w:rPr>
        <w:t>Имеются значительные региональные различия</w:t>
      </w:r>
      <w:r w:rsidR="004569FB" w:rsidRPr="00DB5643">
        <w:rPr>
          <w:snapToGrid w:val="0"/>
          <w:kern w:val="22"/>
          <w:szCs w:val="22"/>
          <w:lang w:val="ru-RU"/>
        </w:rPr>
        <w:t>.</w:t>
      </w:r>
      <w:r w:rsidR="000E3A1B" w:rsidRPr="00DB5643">
        <w:rPr>
          <w:snapToGrid w:val="0"/>
          <w:kern w:val="22"/>
          <w:szCs w:val="22"/>
          <w:lang w:val="ru-RU"/>
        </w:rPr>
        <w:t xml:space="preserve"> О полномасштабном введении мер сообщили</w:t>
      </w:r>
      <w:r w:rsidR="004569FB" w:rsidRPr="00DB5643">
        <w:rPr>
          <w:snapToGrid w:val="0"/>
          <w:kern w:val="22"/>
          <w:szCs w:val="22"/>
          <w:lang w:val="ru-RU"/>
        </w:rPr>
        <w:t xml:space="preserve">: </w:t>
      </w:r>
      <w:r w:rsidR="000E3A1B" w:rsidRPr="00DB5643">
        <w:rPr>
          <w:snapToGrid w:val="0"/>
          <w:kern w:val="22"/>
          <w:szCs w:val="22"/>
          <w:lang w:val="ru-RU"/>
        </w:rPr>
        <w:t>все Стороны в</w:t>
      </w:r>
      <w:r w:rsidR="009B7BD7" w:rsidRPr="00DB5643">
        <w:rPr>
          <w:snapToGrid w:val="0"/>
          <w:kern w:val="22"/>
          <w:szCs w:val="22"/>
          <w:lang w:val="ru-RU"/>
        </w:rPr>
        <w:t xml:space="preserve"> регионе западноевропейских и других государств</w:t>
      </w:r>
      <w:r w:rsidR="000E3A1B" w:rsidRPr="00DB5643">
        <w:rPr>
          <w:snapToGrid w:val="0"/>
          <w:kern w:val="22"/>
          <w:szCs w:val="22"/>
          <w:lang w:val="ru-RU"/>
        </w:rPr>
        <w:t xml:space="preserve"> </w:t>
      </w:r>
      <w:r w:rsidR="004569FB" w:rsidRPr="00DB5643">
        <w:rPr>
          <w:snapToGrid w:val="0"/>
          <w:kern w:val="22"/>
          <w:szCs w:val="22"/>
          <w:lang w:val="ru-RU"/>
        </w:rPr>
        <w:t>(</w:t>
      </w:r>
      <w:proofErr w:type="spellStart"/>
      <w:r w:rsidR="004569FB" w:rsidRPr="00DB5643">
        <w:rPr>
          <w:snapToGrid w:val="0"/>
          <w:kern w:val="22"/>
          <w:szCs w:val="22"/>
        </w:rPr>
        <w:t>WEOG</w:t>
      </w:r>
      <w:proofErr w:type="spellEnd"/>
      <w:r w:rsidR="004569FB" w:rsidRPr="00DB5643">
        <w:rPr>
          <w:snapToGrid w:val="0"/>
          <w:kern w:val="22"/>
          <w:szCs w:val="22"/>
          <w:lang w:val="ru-RU"/>
        </w:rPr>
        <w:t>) (+6</w:t>
      </w:r>
      <w:r w:rsidR="000E3A1B" w:rsidRPr="00DB5643">
        <w:rPr>
          <w:snapToGrid w:val="0"/>
          <w:kern w:val="22"/>
          <w:szCs w:val="22"/>
          <w:lang w:val="en-US"/>
        </w:rPr>
        <w:t> </w:t>
      </w:r>
      <w:r w:rsidR="004569FB" w:rsidRPr="00DB5643">
        <w:rPr>
          <w:snapToGrid w:val="0"/>
          <w:kern w:val="22"/>
          <w:szCs w:val="22"/>
          <w:lang w:val="ru-RU"/>
        </w:rPr>
        <w:t>%); 81</w:t>
      </w:r>
      <w:r w:rsidR="009B7BD7" w:rsidRPr="00DB5643">
        <w:rPr>
          <w:snapToGrid w:val="0"/>
          <w:kern w:val="22"/>
          <w:szCs w:val="22"/>
          <w:lang w:val="en-US"/>
        </w:rPr>
        <w:t> </w:t>
      </w:r>
      <w:r w:rsidR="004569FB" w:rsidRPr="00DB5643">
        <w:rPr>
          <w:snapToGrid w:val="0"/>
          <w:kern w:val="22"/>
          <w:szCs w:val="22"/>
          <w:lang w:val="ru-RU"/>
        </w:rPr>
        <w:t xml:space="preserve">% </w:t>
      </w:r>
      <w:r w:rsidR="009B7BD7" w:rsidRPr="00DB5643">
        <w:rPr>
          <w:snapToGrid w:val="0"/>
          <w:kern w:val="22"/>
          <w:szCs w:val="22"/>
          <w:lang w:val="ru-RU"/>
        </w:rPr>
        <w:t xml:space="preserve">Сторон в регионе Центральной и Восточной Европы </w:t>
      </w:r>
      <w:r w:rsidR="004569FB" w:rsidRPr="00DB5643">
        <w:rPr>
          <w:snapToGrid w:val="0"/>
          <w:kern w:val="22"/>
          <w:szCs w:val="22"/>
          <w:lang w:val="ru-RU"/>
        </w:rPr>
        <w:t>(</w:t>
      </w:r>
      <w:proofErr w:type="spellStart"/>
      <w:r w:rsidR="004569FB" w:rsidRPr="00DB5643">
        <w:rPr>
          <w:snapToGrid w:val="0"/>
          <w:kern w:val="22"/>
          <w:szCs w:val="22"/>
        </w:rPr>
        <w:t>CEE</w:t>
      </w:r>
      <w:proofErr w:type="spellEnd"/>
      <w:r w:rsidR="004569FB" w:rsidRPr="00DB5643">
        <w:rPr>
          <w:snapToGrid w:val="0"/>
          <w:kern w:val="22"/>
          <w:szCs w:val="22"/>
          <w:lang w:val="ru-RU"/>
        </w:rPr>
        <w:t>) (+6</w:t>
      </w:r>
      <w:r w:rsidR="009B7BD7" w:rsidRPr="00DB5643">
        <w:rPr>
          <w:snapToGrid w:val="0"/>
          <w:kern w:val="22"/>
          <w:szCs w:val="22"/>
          <w:lang w:val="en-US"/>
        </w:rPr>
        <w:t> </w:t>
      </w:r>
      <w:r w:rsidR="004569FB" w:rsidRPr="00DB5643">
        <w:rPr>
          <w:snapToGrid w:val="0"/>
          <w:kern w:val="22"/>
          <w:szCs w:val="22"/>
          <w:lang w:val="ru-RU"/>
        </w:rPr>
        <w:t>%); 63</w:t>
      </w:r>
      <w:r w:rsidR="009B7BD7" w:rsidRPr="00DB5643">
        <w:rPr>
          <w:snapToGrid w:val="0"/>
          <w:kern w:val="22"/>
          <w:szCs w:val="22"/>
          <w:lang w:val="en-US"/>
        </w:rPr>
        <w:t> </w:t>
      </w:r>
      <w:r w:rsidR="004569FB" w:rsidRPr="00DB5643">
        <w:rPr>
          <w:snapToGrid w:val="0"/>
          <w:kern w:val="22"/>
          <w:szCs w:val="22"/>
          <w:lang w:val="ru-RU"/>
        </w:rPr>
        <w:t xml:space="preserve">% </w:t>
      </w:r>
      <w:r w:rsidR="009B7BD7" w:rsidRPr="00DB5643">
        <w:rPr>
          <w:snapToGrid w:val="0"/>
          <w:kern w:val="22"/>
          <w:szCs w:val="22"/>
          <w:lang w:val="ru-RU"/>
        </w:rPr>
        <w:t>Сторон в Азиатско-Тихоокеанском регионе</w:t>
      </w:r>
      <w:r w:rsidR="004569FB" w:rsidRPr="00DB5643">
        <w:rPr>
          <w:snapToGrid w:val="0"/>
          <w:kern w:val="22"/>
          <w:szCs w:val="22"/>
          <w:lang w:val="ru-RU"/>
        </w:rPr>
        <w:t xml:space="preserve"> (+6</w:t>
      </w:r>
      <w:r w:rsidR="009B7BD7" w:rsidRPr="00DB5643">
        <w:rPr>
          <w:snapToGrid w:val="0"/>
          <w:kern w:val="22"/>
          <w:szCs w:val="22"/>
          <w:lang w:val="en-US"/>
        </w:rPr>
        <w:t> </w:t>
      </w:r>
      <w:r w:rsidR="004569FB" w:rsidRPr="00DB5643">
        <w:rPr>
          <w:snapToGrid w:val="0"/>
          <w:kern w:val="22"/>
          <w:szCs w:val="22"/>
          <w:lang w:val="ru-RU"/>
        </w:rPr>
        <w:t>%); 30</w:t>
      </w:r>
      <w:r w:rsidR="009B7BD7" w:rsidRPr="00DB5643">
        <w:rPr>
          <w:snapToGrid w:val="0"/>
          <w:kern w:val="22"/>
          <w:szCs w:val="22"/>
          <w:lang w:val="en-US"/>
        </w:rPr>
        <w:t> </w:t>
      </w:r>
      <w:r w:rsidR="004569FB" w:rsidRPr="00DB5643">
        <w:rPr>
          <w:snapToGrid w:val="0"/>
          <w:kern w:val="22"/>
          <w:szCs w:val="22"/>
          <w:lang w:val="ru-RU"/>
        </w:rPr>
        <w:t xml:space="preserve">% </w:t>
      </w:r>
      <w:r w:rsidR="009B7BD7" w:rsidRPr="00DB5643">
        <w:rPr>
          <w:snapToGrid w:val="0"/>
          <w:kern w:val="22"/>
          <w:szCs w:val="22"/>
          <w:lang w:val="ru-RU"/>
        </w:rPr>
        <w:t>Сторон в Африканском регионе</w:t>
      </w:r>
      <w:r w:rsidR="004569FB" w:rsidRPr="00DB5643">
        <w:rPr>
          <w:snapToGrid w:val="0"/>
          <w:kern w:val="22"/>
          <w:szCs w:val="22"/>
          <w:lang w:val="ru-RU"/>
        </w:rPr>
        <w:t xml:space="preserve"> (+10</w:t>
      </w:r>
      <w:r w:rsidR="009B7BD7" w:rsidRPr="00DB5643">
        <w:rPr>
          <w:snapToGrid w:val="0"/>
          <w:kern w:val="22"/>
          <w:szCs w:val="22"/>
          <w:lang w:val="ru-RU"/>
        </w:rPr>
        <w:t> </w:t>
      </w:r>
      <w:r w:rsidR="004569FB" w:rsidRPr="00DB5643">
        <w:rPr>
          <w:snapToGrid w:val="0"/>
          <w:kern w:val="22"/>
          <w:szCs w:val="22"/>
          <w:lang w:val="ru-RU"/>
        </w:rPr>
        <w:t xml:space="preserve">%) </w:t>
      </w:r>
      <w:r w:rsidR="009B7BD7" w:rsidRPr="00DB5643">
        <w:rPr>
          <w:snapToGrid w:val="0"/>
          <w:kern w:val="22"/>
          <w:szCs w:val="22"/>
          <w:lang w:val="ru-RU"/>
        </w:rPr>
        <w:t>и</w:t>
      </w:r>
      <w:r w:rsidR="004569FB" w:rsidRPr="00DB5643">
        <w:rPr>
          <w:snapToGrid w:val="0"/>
          <w:kern w:val="22"/>
          <w:szCs w:val="22"/>
          <w:lang w:val="ru-RU"/>
        </w:rPr>
        <w:t xml:space="preserve"> 8</w:t>
      </w:r>
      <w:r w:rsidR="009B7BD7" w:rsidRPr="00DB5643">
        <w:rPr>
          <w:snapToGrid w:val="0"/>
          <w:kern w:val="22"/>
          <w:szCs w:val="22"/>
          <w:lang w:val="ru-RU"/>
        </w:rPr>
        <w:t> </w:t>
      </w:r>
      <w:r w:rsidR="004569FB" w:rsidRPr="00DB5643">
        <w:rPr>
          <w:snapToGrid w:val="0"/>
          <w:kern w:val="22"/>
          <w:szCs w:val="22"/>
          <w:lang w:val="ru-RU"/>
        </w:rPr>
        <w:t xml:space="preserve">% </w:t>
      </w:r>
      <w:r w:rsidR="009B7BD7" w:rsidRPr="00DB5643">
        <w:rPr>
          <w:snapToGrid w:val="0"/>
          <w:kern w:val="22"/>
          <w:szCs w:val="22"/>
          <w:lang w:val="ru-RU"/>
        </w:rPr>
        <w:t>Сторон в Группе стран Латинской Америки и Карибского бассейна</w:t>
      </w:r>
      <w:r w:rsidR="004569FB" w:rsidRPr="00DB5643">
        <w:rPr>
          <w:snapToGrid w:val="0"/>
          <w:kern w:val="22"/>
          <w:szCs w:val="22"/>
          <w:lang w:val="ru-RU"/>
        </w:rPr>
        <w:t xml:space="preserve"> (</w:t>
      </w:r>
      <w:proofErr w:type="spellStart"/>
      <w:r w:rsidR="009B7BD7" w:rsidRPr="00DB5643">
        <w:rPr>
          <w:snapToGrid w:val="0"/>
          <w:kern w:val="22"/>
          <w:szCs w:val="22"/>
          <w:lang w:val="ru-RU"/>
        </w:rPr>
        <w:t>ГРУЛАК</w:t>
      </w:r>
      <w:proofErr w:type="spellEnd"/>
      <w:r w:rsidR="004569FB" w:rsidRPr="00DB5643">
        <w:rPr>
          <w:snapToGrid w:val="0"/>
          <w:kern w:val="22"/>
          <w:szCs w:val="22"/>
          <w:lang w:val="ru-RU"/>
        </w:rPr>
        <w:t>) (+8</w:t>
      </w:r>
      <w:r w:rsidR="009B7BD7" w:rsidRPr="00DB5643">
        <w:rPr>
          <w:snapToGrid w:val="0"/>
          <w:kern w:val="22"/>
          <w:szCs w:val="22"/>
          <w:lang w:val="ru-RU"/>
        </w:rPr>
        <w:t> </w:t>
      </w:r>
      <w:r w:rsidR="004569FB" w:rsidRPr="00DB5643">
        <w:rPr>
          <w:snapToGrid w:val="0"/>
          <w:kern w:val="22"/>
          <w:szCs w:val="22"/>
          <w:lang w:val="ru-RU"/>
        </w:rPr>
        <w:t xml:space="preserve">%). </w:t>
      </w:r>
    </w:p>
    <w:p w14:paraId="53CC256E" w14:textId="69E7C45F" w:rsidR="004569FB" w:rsidRPr="00DB5643" w:rsidRDefault="003425CF"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39</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(36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 о частичном введении национальных мер</w:t>
      </w:r>
      <w:r w:rsidR="004569FB" w:rsidRPr="00DB5643">
        <w:rPr>
          <w:snapToGrid w:val="0"/>
          <w:kern w:val="22"/>
          <w:szCs w:val="22"/>
          <w:lang w:val="ru-RU"/>
        </w:rPr>
        <w:t xml:space="preserve">, </w:t>
      </w:r>
      <w:r w:rsidRPr="00DB5643">
        <w:rPr>
          <w:snapToGrid w:val="0"/>
          <w:kern w:val="22"/>
          <w:szCs w:val="22"/>
          <w:lang w:val="ru-RU"/>
        </w:rPr>
        <w:t xml:space="preserve">что на </w:t>
      </w:r>
      <w:r w:rsidR="004569FB" w:rsidRPr="00DB5643">
        <w:rPr>
          <w:snapToGrid w:val="0"/>
          <w:kern w:val="22"/>
          <w:szCs w:val="22"/>
          <w:lang w:val="ru-RU"/>
        </w:rPr>
        <w:t>1</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меньше по сравнению с исходным уровнем</w:t>
      </w:r>
      <w:r w:rsidR="004569FB" w:rsidRPr="00DB5643">
        <w:rPr>
          <w:snapToGrid w:val="0"/>
          <w:kern w:val="22"/>
          <w:szCs w:val="22"/>
          <w:lang w:val="ru-RU"/>
        </w:rPr>
        <w:t xml:space="preserve">. </w:t>
      </w:r>
      <w:r w:rsidRPr="00DB5643">
        <w:rPr>
          <w:snapToGrid w:val="0"/>
          <w:kern w:val="22"/>
          <w:szCs w:val="22"/>
          <w:lang w:val="ru-RU"/>
        </w:rPr>
        <w:t xml:space="preserve">На региональном уровне о частичном введении мер сообщили </w:t>
      </w:r>
      <w:r w:rsidR="004569FB" w:rsidRPr="00DB5643">
        <w:rPr>
          <w:snapToGrid w:val="0"/>
          <w:kern w:val="22"/>
          <w:szCs w:val="22"/>
          <w:lang w:val="ru-RU"/>
        </w:rPr>
        <w:t>7</w:t>
      </w:r>
      <w:r w:rsidR="00F3565A" w:rsidRPr="00DB5643">
        <w:rPr>
          <w:snapToGrid w:val="0"/>
          <w:kern w:val="22"/>
          <w:szCs w:val="22"/>
          <w:lang w:val="ru-RU"/>
        </w:rPr>
        <w:t>7</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 xml:space="preserve">Сторон в регионе </w:t>
      </w:r>
      <w:proofErr w:type="spellStart"/>
      <w:r w:rsidRPr="00DB5643">
        <w:rPr>
          <w:snapToGrid w:val="0"/>
          <w:kern w:val="22"/>
          <w:szCs w:val="22"/>
          <w:lang w:val="ru-RU"/>
        </w:rPr>
        <w:t>ГРУЛАК</w:t>
      </w:r>
      <w:proofErr w:type="spellEnd"/>
      <w:r w:rsidR="004569FB" w:rsidRPr="00DB5643">
        <w:rPr>
          <w:snapToGrid w:val="0"/>
          <w:kern w:val="22"/>
          <w:szCs w:val="22"/>
          <w:lang w:val="ru-RU"/>
        </w:rPr>
        <w:t xml:space="preserve"> (+8</w:t>
      </w:r>
      <w:r w:rsidRPr="00DB5643">
        <w:rPr>
          <w:snapToGrid w:val="0"/>
          <w:kern w:val="22"/>
          <w:szCs w:val="22"/>
          <w:lang w:val="en-US"/>
        </w:rPr>
        <w:t> </w:t>
      </w:r>
      <w:r w:rsidR="004569FB" w:rsidRPr="00DB5643">
        <w:rPr>
          <w:snapToGrid w:val="0"/>
          <w:kern w:val="22"/>
          <w:szCs w:val="22"/>
          <w:lang w:val="ru-RU"/>
        </w:rPr>
        <w:t>%), 57</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 в Африке</w:t>
      </w:r>
      <w:r w:rsidR="004569FB" w:rsidRPr="00DB5643">
        <w:rPr>
          <w:snapToGrid w:val="0"/>
          <w:kern w:val="22"/>
          <w:szCs w:val="22"/>
          <w:lang w:val="ru-RU"/>
        </w:rPr>
        <w:t xml:space="preserve"> (</w:t>
      </w:r>
      <w:r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38</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Сторон в Ази</w:t>
      </w:r>
      <w:r w:rsidR="00AC1D5C">
        <w:rPr>
          <w:snapToGrid w:val="0"/>
          <w:kern w:val="22"/>
          <w:szCs w:val="22"/>
          <w:lang w:val="ru-RU"/>
        </w:rPr>
        <w:t>атско-Тихоокеанском регионе</w:t>
      </w:r>
      <w:r w:rsidRPr="00DB5643">
        <w:rPr>
          <w:snapToGrid w:val="0"/>
          <w:kern w:val="22"/>
          <w:szCs w:val="22"/>
          <w:lang w:val="ru-RU"/>
        </w:rPr>
        <w:t xml:space="preserve"> </w:t>
      </w:r>
      <w:r w:rsidR="004569FB" w:rsidRPr="00DB5643">
        <w:rPr>
          <w:snapToGrid w:val="0"/>
          <w:kern w:val="22"/>
          <w:szCs w:val="22"/>
          <w:lang w:val="ru-RU"/>
        </w:rPr>
        <w:t>(</w:t>
      </w:r>
      <w:r w:rsidR="000C3F8A" w:rsidRPr="00DB5643">
        <w:rPr>
          <w:snapToGrid w:val="0"/>
          <w:kern w:val="22"/>
          <w:szCs w:val="22"/>
          <w:lang w:val="ru-RU"/>
        </w:rPr>
        <w:t>-</w:t>
      </w:r>
      <w:r w:rsidR="004569FB" w:rsidRPr="00DB5643">
        <w:rPr>
          <w:snapToGrid w:val="0"/>
          <w:kern w:val="22"/>
          <w:szCs w:val="22"/>
          <w:lang w:val="ru-RU"/>
        </w:rPr>
        <w:t>6</w:t>
      </w:r>
      <w:r w:rsidRPr="00DB5643">
        <w:rPr>
          <w:snapToGrid w:val="0"/>
          <w:kern w:val="22"/>
          <w:szCs w:val="22"/>
          <w:lang w:val="ru-RU"/>
        </w:rPr>
        <w:t> </w:t>
      </w:r>
      <w:r w:rsidR="004569FB" w:rsidRPr="00DB5643">
        <w:rPr>
          <w:snapToGrid w:val="0"/>
          <w:kern w:val="22"/>
          <w:szCs w:val="22"/>
          <w:lang w:val="ru-RU"/>
        </w:rPr>
        <w:t>%), 19</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Сторон в регионе</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w:t>
      </w:r>
      <w:r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w:t>
      </w:r>
      <w:r w:rsidRPr="00DB5643">
        <w:rPr>
          <w:snapToGrid w:val="0"/>
          <w:kern w:val="22"/>
          <w:szCs w:val="22"/>
          <w:lang w:val="ru-RU"/>
        </w:rPr>
        <w:t xml:space="preserve"> и ни одна Сторон</w:t>
      </w:r>
      <w:r w:rsidR="000E601F" w:rsidRPr="00DB5643">
        <w:rPr>
          <w:snapToGrid w:val="0"/>
          <w:kern w:val="22"/>
          <w:szCs w:val="22"/>
          <w:lang w:val="ru-RU"/>
        </w:rPr>
        <w:t>а</w:t>
      </w:r>
      <w:r w:rsidRPr="00DB5643">
        <w:rPr>
          <w:snapToGrid w:val="0"/>
          <w:kern w:val="22"/>
          <w:szCs w:val="22"/>
          <w:lang w:val="ru-RU"/>
        </w:rPr>
        <w:t xml:space="preserve"> в регионе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(-6</w:t>
      </w:r>
      <w:r w:rsidRPr="00DB5643">
        <w:rPr>
          <w:snapToGrid w:val="0"/>
          <w:kern w:val="22"/>
          <w:szCs w:val="22"/>
          <w:lang w:val="ru-RU"/>
        </w:rPr>
        <w:t> </w:t>
      </w:r>
      <w:r w:rsidR="004569FB" w:rsidRPr="00DB5643">
        <w:rPr>
          <w:snapToGrid w:val="0"/>
          <w:kern w:val="22"/>
          <w:szCs w:val="22"/>
          <w:lang w:val="ru-RU"/>
        </w:rPr>
        <w:t xml:space="preserve">%). </w:t>
      </w:r>
      <w:r w:rsidR="0050773C" w:rsidRPr="00DB5643">
        <w:rPr>
          <w:snapToGrid w:val="0"/>
          <w:kern w:val="22"/>
          <w:szCs w:val="22"/>
          <w:lang w:val="ru-RU"/>
        </w:rPr>
        <w:t>Более подробная информация приведена</w:t>
      </w:r>
      <w:r w:rsidR="00894F61" w:rsidRPr="00DB5643">
        <w:rPr>
          <w:snapToGrid w:val="0"/>
          <w:kern w:val="22"/>
          <w:szCs w:val="22"/>
          <w:lang w:val="ru-RU"/>
        </w:rPr>
        <w:t xml:space="preserve"> </w:t>
      </w:r>
      <w:r w:rsidR="004F00F1" w:rsidRPr="00DB5643">
        <w:rPr>
          <w:snapToGrid w:val="0"/>
          <w:kern w:val="22"/>
          <w:szCs w:val="22"/>
          <w:lang w:val="ru-RU"/>
        </w:rPr>
        <w:t>в рамках области</w:t>
      </w:r>
      <w:r w:rsidR="0050773C" w:rsidRPr="00DB5643">
        <w:rPr>
          <w:snapToGrid w:val="0"/>
          <w:kern w:val="22"/>
          <w:szCs w:val="22"/>
          <w:lang w:val="ru-RU"/>
        </w:rPr>
        <w:t xml:space="preserve"> </w:t>
      </w:r>
      <w:r w:rsidR="00833A06" w:rsidRPr="00DB5643">
        <w:rPr>
          <w:snapToGrid w:val="0"/>
          <w:kern w:val="22"/>
          <w:szCs w:val="22"/>
        </w:rPr>
        <w:t>J</w:t>
      </w:r>
      <w:r w:rsidR="00833A06" w:rsidRPr="00DB5643">
        <w:rPr>
          <w:snapToGrid w:val="0"/>
          <w:kern w:val="22"/>
          <w:szCs w:val="22"/>
          <w:lang w:val="ru-RU"/>
        </w:rPr>
        <w:t xml:space="preserve"> (</w:t>
      </w:r>
      <w:r w:rsidR="0050773C" w:rsidRPr="00DB5643">
        <w:rPr>
          <w:snapToGrid w:val="0"/>
          <w:kern w:val="22"/>
          <w:szCs w:val="22"/>
          <w:lang w:val="ru-RU"/>
        </w:rPr>
        <w:t>соблюдение</w:t>
      </w:r>
      <w:r w:rsidR="00833A06" w:rsidRPr="00DB5643">
        <w:rPr>
          <w:snapToGrid w:val="0"/>
          <w:kern w:val="22"/>
          <w:szCs w:val="22"/>
          <w:lang w:val="ru-RU"/>
        </w:rPr>
        <w:t>)</w:t>
      </w:r>
      <w:r w:rsidR="004F00F1" w:rsidRPr="00DB5643">
        <w:rPr>
          <w:snapToGrid w:val="0"/>
          <w:kern w:val="22"/>
          <w:szCs w:val="22"/>
          <w:lang w:val="ru-RU"/>
        </w:rPr>
        <w:t xml:space="preserve"> в контексте индикатора</w:t>
      </w:r>
      <w:r w:rsidR="002D4853" w:rsidRPr="00DB5643">
        <w:rPr>
          <w:snapToGrid w:val="0"/>
          <w:kern w:val="22"/>
          <w:szCs w:val="22"/>
          <w:lang w:val="ru-RU"/>
        </w:rPr>
        <w:t xml:space="preserve"> 3.1.2, </w:t>
      </w:r>
      <w:r w:rsidR="004F00F1" w:rsidRPr="00DB5643">
        <w:rPr>
          <w:snapToGrid w:val="0"/>
          <w:kern w:val="22"/>
          <w:szCs w:val="22"/>
          <w:lang w:val="ru-RU"/>
        </w:rPr>
        <w:t>в частности на рисунке</w:t>
      </w:r>
      <w:r w:rsidR="00700366" w:rsidRPr="00DB5643">
        <w:rPr>
          <w:snapToGrid w:val="0"/>
          <w:kern w:val="22"/>
          <w:szCs w:val="22"/>
          <w:lang w:val="ru-RU"/>
        </w:rPr>
        <w:t xml:space="preserve"> 8.</w:t>
      </w:r>
    </w:p>
    <w:p w14:paraId="59C4CAD8" w14:textId="15173A72" w:rsidR="004569FB" w:rsidRPr="00DB5643" w:rsidRDefault="004F00F1" w:rsidP="004569FB">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DB5643">
        <w:rPr>
          <w:b/>
          <w:bCs/>
          <w:snapToGrid w:val="0"/>
          <w:kern w:val="22"/>
          <w:szCs w:val="22"/>
          <w:lang w:val="ru-RU"/>
        </w:rPr>
        <w:t>Индикатор</w:t>
      </w:r>
      <w:r w:rsidR="004569FB" w:rsidRPr="00DB5643">
        <w:rPr>
          <w:b/>
          <w:bCs/>
          <w:snapToGrid w:val="0"/>
          <w:kern w:val="22"/>
          <w:szCs w:val="22"/>
          <w:lang w:val="ru-RU"/>
        </w:rPr>
        <w:t xml:space="preserve"> 1.1.1</w:t>
      </w:r>
      <w:r w:rsidR="004569FB" w:rsidRPr="00DB5643">
        <w:rPr>
          <w:snapToGrid w:val="0"/>
          <w:kern w:val="22"/>
          <w:szCs w:val="22"/>
          <w:lang w:val="ru-RU"/>
        </w:rPr>
        <w:t xml:space="preserve"> </w:t>
      </w:r>
      <w:r w:rsidRPr="00DB5643">
        <w:rPr>
          <w:snapToGrid w:val="0"/>
          <w:kern w:val="22"/>
          <w:szCs w:val="22"/>
          <w:lang w:val="ru-RU"/>
        </w:rPr>
        <w:t>относится к Сторонам, которые ввели меры не позднее чем через шесть лет после присоединения к Протоколу</w:t>
      </w:r>
      <w:r w:rsidR="004569FB" w:rsidRPr="00DB5643">
        <w:rPr>
          <w:snapToGrid w:val="0"/>
          <w:kern w:val="22"/>
          <w:szCs w:val="22"/>
          <w:lang w:val="ru-RU"/>
        </w:rPr>
        <w:t xml:space="preserve">. </w:t>
      </w:r>
      <w:r w:rsidR="001B2CBB" w:rsidRPr="00DB5643">
        <w:rPr>
          <w:snapToGrid w:val="0"/>
          <w:kern w:val="22"/>
          <w:szCs w:val="22"/>
          <w:lang w:val="ru-RU"/>
        </w:rPr>
        <w:t>С декабря</w:t>
      </w:r>
      <w:r w:rsidR="004569FB" w:rsidRPr="00DB5643">
        <w:rPr>
          <w:snapToGrid w:val="0"/>
          <w:kern w:val="22"/>
          <w:szCs w:val="22"/>
          <w:lang w:val="ru-RU"/>
        </w:rPr>
        <w:t xml:space="preserve"> 2013</w:t>
      </w:r>
      <w:r w:rsidR="001B2CBB" w:rsidRPr="00DB5643">
        <w:rPr>
          <w:snapToGrid w:val="0"/>
          <w:kern w:val="22"/>
          <w:szCs w:val="22"/>
          <w:lang w:val="ru-RU"/>
        </w:rPr>
        <w:t xml:space="preserve"> года четыре страны стали Сторонами Протокола</w:t>
      </w:r>
      <w:r w:rsidR="004569FB" w:rsidRPr="00DB5643">
        <w:rPr>
          <w:rStyle w:val="ac"/>
          <w:snapToGrid w:val="0"/>
          <w:kern w:val="22"/>
          <w:szCs w:val="22"/>
        </w:rPr>
        <w:footnoteReference w:id="13"/>
      </w:r>
      <w:r w:rsidR="001B2CBB" w:rsidRPr="00DB5643">
        <w:rPr>
          <w:snapToGrid w:val="0"/>
          <w:kern w:val="22"/>
          <w:szCs w:val="22"/>
          <w:lang w:val="ru-RU"/>
        </w:rPr>
        <w:t>.</w:t>
      </w:r>
      <w:r w:rsidR="004569FB" w:rsidRPr="00DB5643">
        <w:rPr>
          <w:snapToGrid w:val="0"/>
          <w:kern w:val="22"/>
          <w:szCs w:val="22"/>
          <w:lang w:val="ru-RU"/>
        </w:rPr>
        <w:t xml:space="preserve"> </w:t>
      </w:r>
      <w:r w:rsidR="001B2CBB" w:rsidRPr="00DB5643">
        <w:rPr>
          <w:snapToGrid w:val="0"/>
          <w:kern w:val="22"/>
          <w:szCs w:val="22"/>
          <w:lang w:val="ru-RU"/>
        </w:rPr>
        <w:t xml:space="preserve">Еще одно государство представило свой документ о присоединении к Протоколу и стало Стороной </w:t>
      </w:r>
      <w:r w:rsidR="00B73447" w:rsidRPr="00DB5643">
        <w:rPr>
          <w:snapToGrid w:val="0"/>
          <w:kern w:val="22"/>
          <w:szCs w:val="22"/>
          <w:lang w:val="ru-RU"/>
        </w:rPr>
        <w:t xml:space="preserve">23 </w:t>
      </w:r>
      <w:r w:rsidR="001B2CBB" w:rsidRPr="00DB5643">
        <w:rPr>
          <w:snapToGrid w:val="0"/>
          <w:kern w:val="22"/>
          <w:szCs w:val="22"/>
          <w:lang w:val="ru-RU"/>
        </w:rPr>
        <w:t>января</w:t>
      </w:r>
      <w:r w:rsidR="004569FB" w:rsidRPr="00DB5643">
        <w:rPr>
          <w:snapToGrid w:val="0"/>
          <w:kern w:val="22"/>
          <w:szCs w:val="22"/>
          <w:lang w:val="ru-RU"/>
        </w:rPr>
        <w:t xml:space="preserve"> 2020</w:t>
      </w:r>
      <w:r w:rsidR="001B2CBB" w:rsidRPr="00DB5643">
        <w:rPr>
          <w:snapToGrid w:val="0"/>
          <w:kern w:val="22"/>
          <w:szCs w:val="22"/>
          <w:lang w:val="ru-RU"/>
        </w:rPr>
        <w:t xml:space="preserve"> года</w:t>
      </w:r>
      <w:r w:rsidR="004569FB" w:rsidRPr="00DB5643">
        <w:rPr>
          <w:rStyle w:val="ac"/>
          <w:snapToGrid w:val="0"/>
          <w:kern w:val="22"/>
          <w:szCs w:val="22"/>
        </w:rPr>
        <w:footnoteReference w:id="14"/>
      </w:r>
      <w:r w:rsidR="001B2CBB" w:rsidRPr="00DB5643">
        <w:rPr>
          <w:snapToGrid w:val="0"/>
          <w:kern w:val="22"/>
          <w:szCs w:val="22"/>
          <w:lang w:val="ru-RU"/>
        </w:rPr>
        <w:t>.</w:t>
      </w:r>
      <w:r w:rsidR="004569FB" w:rsidRPr="00DB5643">
        <w:rPr>
          <w:snapToGrid w:val="0"/>
          <w:kern w:val="22"/>
          <w:szCs w:val="22"/>
          <w:lang w:val="ru-RU"/>
        </w:rPr>
        <w:t xml:space="preserve"> </w:t>
      </w:r>
      <w:r w:rsidR="001B2CBB" w:rsidRPr="00DB5643">
        <w:rPr>
          <w:snapToGrid w:val="0"/>
          <w:kern w:val="22"/>
          <w:szCs w:val="22"/>
          <w:lang w:val="ru-RU"/>
        </w:rPr>
        <w:t>Сравнительный</w:t>
      </w:r>
      <w:r w:rsidR="001B2CBB" w:rsidRPr="00DB5643">
        <w:rPr>
          <w:snapToGrid w:val="0"/>
          <w:kern w:val="22"/>
          <w:szCs w:val="22"/>
          <w:lang w:val="en-US"/>
        </w:rPr>
        <w:t xml:space="preserve"> </w:t>
      </w:r>
      <w:r w:rsidR="001B2CBB" w:rsidRPr="00DB5643">
        <w:rPr>
          <w:snapToGrid w:val="0"/>
          <w:kern w:val="22"/>
          <w:szCs w:val="22"/>
          <w:lang w:val="ru-RU"/>
        </w:rPr>
        <w:t>анализ</w:t>
      </w:r>
      <w:r w:rsidR="001B2CBB" w:rsidRPr="00DB5643">
        <w:rPr>
          <w:snapToGrid w:val="0"/>
          <w:kern w:val="22"/>
          <w:szCs w:val="22"/>
          <w:lang w:val="en-US"/>
        </w:rPr>
        <w:t xml:space="preserve"> </w:t>
      </w:r>
      <w:r w:rsidR="001B2CBB" w:rsidRPr="00DB5643">
        <w:rPr>
          <w:snapToGrid w:val="0"/>
          <w:kern w:val="22"/>
          <w:szCs w:val="22"/>
          <w:lang w:val="ru-RU"/>
        </w:rPr>
        <w:t>не</w:t>
      </w:r>
      <w:r w:rsidR="001B2CBB" w:rsidRPr="00DB5643">
        <w:rPr>
          <w:snapToGrid w:val="0"/>
          <w:kern w:val="22"/>
          <w:szCs w:val="22"/>
          <w:lang w:val="en-US"/>
        </w:rPr>
        <w:t xml:space="preserve"> </w:t>
      </w:r>
      <w:r w:rsidR="001B2CBB" w:rsidRPr="00DB5643">
        <w:rPr>
          <w:snapToGrid w:val="0"/>
          <w:kern w:val="22"/>
          <w:szCs w:val="22"/>
          <w:lang w:val="ru-RU"/>
        </w:rPr>
        <w:t>отражает</w:t>
      </w:r>
      <w:r w:rsidR="001B2CBB" w:rsidRPr="00DB5643">
        <w:rPr>
          <w:snapToGrid w:val="0"/>
          <w:kern w:val="22"/>
          <w:szCs w:val="22"/>
          <w:lang w:val="en-US"/>
        </w:rPr>
        <w:t xml:space="preserve"> </w:t>
      </w:r>
      <w:r w:rsidR="001B2CBB" w:rsidRPr="00DB5643">
        <w:rPr>
          <w:snapToGrid w:val="0"/>
          <w:kern w:val="22"/>
          <w:szCs w:val="22"/>
          <w:lang w:val="ru-RU"/>
        </w:rPr>
        <w:t>данные</w:t>
      </w:r>
      <w:r w:rsidR="001B2CBB" w:rsidRPr="00DB5643">
        <w:rPr>
          <w:snapToGrid w:val="0"/>
          <w:kern w:val="22"/>
          <w:szCs w:val="22"/>
          <w:lang w:val="en-US"/>
        </w:rPr>
        <w:t xml:space="preserve">, </w:t>
      </w:r>
      <w:r w:rsidR="001B2CBB" w:rsidRPr="00DB5643">
        <w:rPr>
          <w:snapToGrid w:val="0"/>
          <w:kern w:val="22"/>
          <w:szCs w:val="22"/>
          <w:lang w:val="ru-RU"/>
        </w:rPr>
        <w:t>представленные</w:t>
      </w:r>
      <w:r w:rsidR="001B2CBB" w:rsidRPr="00DB5643">
        <w:rPr>
          <w:snapToGrid w:val="0"/>
          <w:kern w:val="22"/>
          <w:szCs w:val="22"/>
          <w:lang w:val="en-US"/>
        </w:rPr>
        <w:t xml:space="preserve"> </w:t>
      </w:r>
      <w:r w:rsidR="001B2CBB" w:rsidRPr="00DB5643">
        <w:rPr>
          <w:snapToGrid w:val="0"/>
          <w:kern w:val="22"/>
          <w:szCs w:val="22"/>
          <w:lang w:val="ru-RU"/>
        </w:rPr>
        <w:t>этими</w:t>
      </w:r>
      <w:r w:rsidR="001B2CBB" w:rsidRPr="00DB5643">
        <w:rPr>
          <w:snapToGrid w:val="0"/>
          <w:kern w:val="22"/>
          <w:szCs w:val="22"/>
          <w:lang w:val="en-US"/>
        </w:rPr>
        <w:t xml:space="preserve"> </w:t>
      </w:r>
      <w:r w:rsidR="001B2CBB" w:rsidRPr="00DB5643">
        <w:rPr>
          <w:snapToGrid w:val="0"/>
          <w:kern w:val="22"/>
          <w:szCs w:val="22"/>
          <w:lang w:val="ru-RU"/>
        </w:rPr>
        <w:t>Сторонами</w:t>
      </w:r>
      <w:r w:rsidR="004569FB" w:rsidRPr="00DB5643">
        <w:rPr>
          <w:rStyle w:val="ac"/>
          <w:snapToGrid w:val="0"/>
          <w:kern w:val="22"/>
          <w:szCs w:val="22"/>
        </w:rPr>
        <w:footnoteReference w:id="15"/>
      </w:r>
      <w:r w:rsidR="001B2CBB" w:rsidRPr="00DB5643">
        <w:rPr>
          <w:snapToGrid w:val="0"/>
          <w:kern w:val="22"/>
          <w:szCs w:val="22"/>
          <w:lang w:val="ru-RU"/>
        </w:rPr>
        <w:t>.</w:t>
      </w:r>
    </w:p>
    <w:p w14:paraId="6DA6B129" w14:textId="2A89DE16" w:rsidR="004569FB" w:rsidRPr="00DB5643" w:rsidRDefault="00295FA4" w:rsidP="004569FB">
      <w:pPr>
        <w:pStyle w:val="a3"/>
        <w:numPr>
          <w:ilvl w:val="0"/>
          <w:numId w:val="9"/>
        </w:numPr>
        <w:suppressLineNumbers/>
        <w:tabs>
          <w:tab w:val="clear" w:pos="3240"/>
        </w:tabs>
        <w:suppressAutoHyphens/>
        <w:snapToGrid w:val="0"/>
        <w:spacing w:before="120" w:after="120"/>
        <w:ind w:left="0" w:firstLine="0"/>
        <w:contextualSpacing w:val="0"/>
        <w:rPr>
          <w:b/>
          <w:i/>
          <w:snapToGrid w:val="0"/>
          <w:kern w:val="22"/>
          <w:szCs w:val="22"/>
          <w:lang w:val="ru-RU"/>
        </w:rPr>
      </w:pPr>
      <w:r w:rsidRPr="00DB5643">
        <w:rPr>
          <w:snapToGrid w:val="0"/>
          <w:kern w:val="22"/>
          <w:szCs w:val="22"/>
          <w:lang w:val="ru-RU"/>
        </w:rPr>
        <w:t>Из числа Сторон, сообщивших о полномасштабном или частичном введении необходимых правовых, административных и других мер для осуществления Протокола</w:t>
      </w:r>
      <w:r w:rsidR="004569FB" w:rsidRPr="00DB5643">
        <w:rPr>
          <w:snapToGrid w:val="0"/>
          <w:kern w:val="22"/>
          <w:szCs w:val="22"/>
          <w:lang w:val="ru-RU"/>
        </w:rPr>
        <w:t>, 24</w:t>
      </w:r>
      <w:r w:rsidRPr="00DB5643">
        <w:rPr>
          <w:snapToGrid w:val="0"/>
          <w:kern w:val="22"/>
          <w:szCs w:val="22"/>
          <w:lang w:val="ru-RU"/>
        </w:rPr>
        <w:t xml:space="preserve"> Стороны находятся в пределах центров происхождения</w:t>
      </w:r>
      <w:r w:rsidR="004569FB" w:rsidRPr="00DB5643">
        <w:rPr>
          <w:snapToGrid w:val="0"/>
          <w:kern w:val="22"/>
          <w:szCs w:val="22"/>
          <w:lang w:val="ru-RU"/>
        </w:rPr>
        <w:t xml:space="preserve"> (</w:t>
      </w:r>
      <w:r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w:t>
      </w:r>
      <w:r w:rsidR="004569FB" w:rsidRPr="00DB5643">
        <w:rPr>
          <w:rStyle w:val="ac"/>
          <w:snapToGrid w:val="0"/>
          <w:kern w:val="22"/>
          <w:szCs w:val="22"/>
        </w:rPr>
        <w:footnoteReference w:id="16"/>
      </w:r>
      <w:r w:rsidRPr="00DB5643">
        <w:rPr>
          <w:snapToGrid w:val="0"/>
          <w:kern w:val="22"/>
          <w:szCs w:val="22"/>
          <w:lang w:val="ru-RU"/>
        </w:rPr>
        <w:t>.</w:t>
      </w:r>
      <w:r w:rsidR="00C3794D" w:rsidRPr="00DB5643">
        <w:rPr>
          <w:snapToGrid w:val="0"/>
          <w:kern w:val="22"/>
          <w:szCs w:val="22"/>
          <w:lang w:val="ru-RU"/>
        </w:rPr>
        <w:t xml:space="preserve"> </w:t>
      </w:r>
      <w:r w:rsidR="004569FB" w:rsidRPr="00DB5643">
        <w:rPr>
          <w:snapToGrid w:val="0"/>
          <w:kern w:val="22"/>
          <w:szCs w:val="22"/>
          <w:lang w:val="ru-RU"/>
        </w:rPr>
        <w:t xml:space="preserve">13 </w:t>
      </w:r>
      <w:r w:rsidRPr="00DB5643">
        <w:rPr>
          <w:snapToGrid w:val="0"/>
          <w:kern w:val="22"/>
          <w:szCs w:val="22"/>
          <w:lang w:val="ru-RU"/>
        </w:rPr>
        <w:t>из этих Сторон сообщили о полномасштабном введении мер, что на 1 Сторону больше по сравнению с исходным уровнем</w:t>
      </w:r>
      <w:r w:rsidR="004569FB" w:rsidRPr="00DB5643">
        <w:rPr>
          <w:snapToGrid w:val="0"/>
          <w:kern w:val="22"/>
          <w:szCs w:val="22"/>
          <w:lang w:val="ru-RU"/>
        </w:rPr>
        <w:t>.</w:t>
      </w:r>
    </w:p>
    <w:p w14:paraId="2EE752EE" w14:textId="7F73C1B0" w:rsidR="004569FB" w:rsidRPr="00DB5643" w:rsidRDefault="00D079B2"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Что касается конкретных видов документов, о принятии которых для осуществления Протокола сообщили Стороны, </w:t>
      </w:r>
      <w:r w:rsidR="004569FB" w:rsidRPr="00DB5643">
        <w:rPr>
          <w:snapToGrid w:val="0"/>
          <w:kern w:val="22"/>
          <w:szCs w:val="22"/>
          <w:lang w:val="ru-RU"/>
        </w:rPr>
        <w:t xml:space="preserve">80 </w:t>
      </w:r>
      <w:r w:rsidRPr="00DB5643">
        <w:rPr>
          <w:snapToGrid w:val="0"/>
          <w:kern w:val="22"/>
          <w:szCs w:val="22"/>
          <w:lang w:val="ru-RU"/>
        </w:rPr>
        <w:t xml:space="preserve">Сторон сообщили о принятии одного или нескольких законов, </w:t>
      </w:r>
      <w:r w:rsidR="00E1715A" w:rsidRPr="00DB5643">
        <w:rPr>
          <w:snapToGrid w:val="0"/>
          <w:kern w:val="22"/>
          <w:szCs w:val="22"/>
          <w:lang w:val="ru-RU"/>
        </w:rPr>
        <w:t xml:space="preserve">сводов </w:t>
      </w:r>
      <w:r w:rsidRPr="00DB5643">
        <w:rPr>
          <w:snapToGrid w:val="0"/>
          <w:kern w:val="22"/>
          <w:szCs w:val="22"/>
          <w:lang w:val="ru-RU"/>
        </w:rPr>
        <w:t xml:space="preserve">правил или </w:t>
      </w:r>
      <w:r w:rsidR="00E1715A" w:rsidRPr="00DB5643">
        <w:rPr>
          <w:snapToGrid w:val="0"/>
          <w:kern w:val="22"/>
          <w:szCs w:val="22"/>
          <w:lang w:val="ru-RU"/>
        </w:rPr>
        <w:t xml:space="preserve">сводов руководящих указаний </w:t>
      </w:r>
      <w:r w:rsidRPr="00DB5643">
        <w:rPr>
          <w:snapToGrid w:val="0"/>
          <w:kern w:val="22"/>
          <w:szCs w:val="22"/>
          <w:lang w:val="ru-RU"/>
        </w:rPr>
        <w:t>по биобезопасности</w:t>
      </w:r>
      <w:r w:rsidR="004569FB" w:rsidRPr="00DB5643">
        <w:rPr>
          <w:snapToGrid w:val="0"/>
          <w:kern w:val="22"/>
          <w:szCs w:val="22"/>
          <w:lang w:val="ru-RU"/>
        </w:rPr>
        <w:t xml:space="preserve">. </w:t>
      </w:r>
      <w:r w:rsidR="00E1715A" w:rsidRPr="00DB5643">
        <w:rPr>
          <w:snapToGrid w:val="0"/>
          <w:kern w:val="22"/>
          <w:szCs w:val="22"/>
          <w:lang w:val="ru-RU"/>
        </w:rPr>
        <w:t xml:space="preserve">По сравнению с исходным </w:t>
      </w:r>
      <w:r w:rsidR="00E1715A" w:rsidRPr="00DB5643">
        <w:rPr>
          <w:snapToGrid w:val="0"/>
          <w:kern w:val="22"/>
          <w:szCs w:val="22"/>
          <w:lang w:val="ru-RU"/>
        </w:rPr>
        <w:lastRenderedPageBreak/>
        <w:t>уровнем</w:t>
      </w:r>
      <w:r w:rsidR="004569FB" w:rsidRPr="00DB5643">
        <w:rPr>
          <w:snapToGrid w:val="0"/>
          <w:kern w:val="22"/>
          <w:szCs w:val="22"/>
          <w:lang w:val="ru-RU"/>
        </w:rPr>
        <w:t xml:space="preserve"> </w:t>
      </w:r>
      <w:r w:rsidR="00E1715A" w:rsidRPr="00DB5643">
        <w:rPr>
          <w:snapToGrid w:val="0"/>
          <w:kern w:val="22"/>
          <w:szCs w:val="22"/>
          <w:lang w:val="ru-RU"/>
        </w:rPr>
        <w:t>еще</w:t>
      </w:r>
      <w:r w:rsidR="004569FB" w:rsidRPr="00DB5643">
        <w:rPr>
          <w:snapToGrid w:val="0"/>
          <w:kern w:val="22"/>
          <w:szCs w:val="22"/>
          <w:lang w:val="ru-RU"/>
        </w:rPr>
        <w:t xml:space="preserve"> 10 </w:t>
      </w:r>
      <w:r w:rsidR="00E1715A" w:rsidRPr="00DB5643">
        <w:rPr>
          <w:snapToGrid w:val="0"/>
          <w:kern w:val="22"/>
          <w:szCs w:val="22"/>
          <w:lang w:val="ru-RU"/>
        </w:rPr>
        <w:t>Сторон сообщили о принятии одного или нескольких законов по биобезопасности, еще</w:t>
      </w:r>
      <w:r w:rsidR="004569FB" w:rsidRPr="00DB5643">
        <w:rPr>
          <w:snapToGrid w:val="0"/>
          <w:kern w:val="22"/>
          <w:szCs w:val="22"/>
          <w:lang w:val="ru-RU"/>
        </w:rPr>
        <w:t xml:space="preserve"> 12 </w:t>
      </w:r>
      <w:r w:rsidR="00E1715A" w:rsidRPr="00DB5643">
        <w:rPr>
          <w:snapToGrid w:val="0"/>
          <w:kern w:val="22"/>
          <w:szCs w:val="22"/>
          <w:lang w:val="ru-RU"/>
        </w:rPr>
        <w:t>Сторон сообщили о принятии одного или нескольких сводов правил по биобезопасности</w:t>
      </w:r>
      <w:r w:rsidR="004569FB" w:rsidRPr="00DB5643">
        <w:rPr>
          <w:snapToGrid w:val="0"/>
          <w:kern w:val="22"/>
          <w:szCs w:val="22"/>
          <w:lang w:val="ru-RU"/>
        </w:rPr>
        <w:t xml:space="preserve"> </w:t>
      </w:r>
      <w:r w:rsidR="00E1715A" w:rsidRPr="00DB5643">
        <w:rPr>
          <w:snapToGrid w:val="0"/>
          <w:kern w:val="22"/>
          <w:szCs w:val="22"/>
          <w:lang w:val="ru-RU"/>
        </w:rPr>
        <w:t xml:space="preserve">и еще </w:t>
      </w:r>
      <w:r w:rsidR="004569FB" w:rsidRPr="00DB5643">
        <w:rPr>
          <w:snapToGrid w:val="0"/>
          <w:kern w:val="22"/>
          <w:szCs w:val="22"/>
          <w:lang w:val="ru-RU"/>
        </w:rPr>
        <w:t xml:space="preserve">12 </w:t>
      </w:r>
      <w:r w:rsidR="00E1715A" w:rsidRPr="00DB5643">
        <w:rPr>
          <w:snapToGrid w:val="0"/>
          <w:kern w:val="22"/>
          <w:szCs w:val="22"/>
          <w:lang w:val="ru-RU"/>
        </w:rPr>
        <w:t>Сторон сообщили о принятии одного или нескольких сводов руководящих указаний по биобезопасности</w:t>
      </w:r>
      <w:r w:rsidR="004569FB" w:rsidRPr="00DB5643">
        <w:rPr>
          <w:rStyle w:val="ac"/>
          <w:snapToGrid w:val="0"/>
          <w:kern w:val="22"/>
          <w:szCs w:val="22"/>
        </w:rPr>
        <w:footnoteReference w:id="17"/>
      </w:r>
      <w:r w:rsidR="00E1715A" w:rsidRPr="00DB5643">
        <w:rPr>
          <w:snapToGrid w:val="0"/>
          <w:kern w:val="22"/>
          <w:szCs w:val="22"/>
          <w:lang w:val="ru-RU"/>
        </w:rPr>
        <w:t>.</w:t>
      </w:r>
      <w:r w:rsidR="004569FB" w:rsidRPr="00DB5643">
        <w:rPr>
          <w:snapToGrid w:val="0"/>
          <w:kern w:val="22"/>
          <w:szCs w:val="22"/>
          <w:lang w:val="ru-RU"/>
        </w:rPr>
        <w:t xml:space="preserve"> </w:t>
      </w:r>
      <w:r w:rsidR="00206854" w:rsidRPr="00DB5643">
        <w:rPr>
          <w:snapToGrid w:val="0"/>
          <w:kern w:val="22"/>
          <w:szCs w:val="22"/>
          <w:lang w:val="ru-RU"/>
        </w:rPr>
        <w:t xml:space="preserve">В общей сложности </w:t>
      </w:r>
      <w:r w:rsidR="004569FB" w:rsidRPr="00DB5643">
        <w:rPr>
          <w:snapToGrid w:val="0"/>
          <w:kern w:val="22"/>
          <w:szCs w:val="22"/>
          <w:lang w:val="ru-RU"/>
        </w:rPr>
        <w:t>5</w:t>
      </w:r>
      <w:r w:rsidR="00F3565A" w:rsidRPr="00DB5643">
        <w:rPr>
          <w:snapToGrid w:val="0"/>
          <w:kern w:val="22"/>
          <w:szCs w:val="22"/>
          <w:lang w:val="ru-RU"/>
        </w:rPr>
        <w:t>5</w:t>
      </w:r>
      <w:r w:rsidR="004569FB" w:rsidRPr="00DB5643">
        <w:rPr>
          <w:snapToGrid w:val="0"/>
          <w:kern w:val="22"/>
          <w:szCs w:val="22"/>
          <w:lang w:val="ru-RU"/>
        </w:rPr>
        <w:t xml:space="preserve"> </w:t>
      </w:r>
      <w:r w:rsidR="00206854" w:rsidRPr="00DB5643">
        <w:rPr>
          <w:snapToGrid w:val="0"/>
          <w:kern w:val="22"/>
          <w:szCs w:val="22"/>
          <w:lang w:val="ru-RU"/>
        </w:rPr>
        <w:t>Сторон сообщили</w:t>
      </w:r>
      <w:r w:rsidR="00794F0C" w:rsidRPr="00DB5643">
        <w:rPr>
          <w:snapToGrid w:val="0"/>
          <w:kern w:val="22"/>
          <w:szCs w:val="22"/>
          <w:lang w:val="ru-RU"/>
        </w:rPr>
        <w:t xml:space="preserve"> о принятии </w:t>
      </w:r>
      <w:r w:rsidR="00206854" w:rsidRPr="00DB5643">
        <w:rPr>
          <w:snapToGrid w:val="0"/>
          <w:kern w:val="22"/>
          <w:szCs w:val="22"/>
          <w:lang w:val="ru-RU"/>
        </w:rPr>
        <w:t>други</w:t>
      </w:r>
      <w:r w:rsidR="00794F0C" w:rsidRPr="00DB5643">
        <w:rPr>
          <w:snapToGrid w:val="0"/>
          <w:kern w:val="22"/>
          <w:szCs w:val="22"/>
          <w:lang w:val="ru-RU"/>
        </w:rPr>
        <w:t>х</w:t>
      </w:r>
      <w:r w:rsidR="00206854" w:rsidRPr="00DB5643">
        <w:rPr>
          <w:snapToGrid w:val="0"/>
          <w:kern w:val="22"/>
          <w:szCs w:val="22"/>
          <w:lang w:val="ru-RU"/>
        </w:rPr>
        <w:t xml:space="preserve"> закон</w:t>
      </w:r>
      <w:r w:rsidR="00794F0C" w:rsidRPr="00DB5643">
        <w:rPr>
          <w:snapToGrid w:val="0"/>
          <w:kern w:val="22"/>
          <w:szCs w:val="22"/>
          <w:lang w:val="ru-RU"/>
        </w:rPr>
        <w:t>ов</w:t>
      </w:r>
      <w:r w:rsidR="00206854" w:rsidRPr="00DB5643">
        <w:rPr>
          <w:snapToGrid w:val="0"/>
          <w:kern w:val="22"/>
          <w:szCs w:val="22"/>
          <w:lang w:val="ru-RU"/>
        </w:rPr>
        <w:t xml:space="preserve">, </w:t>
      </w:r>
      <w:r w:rsidR="00794F0C" w:rsidRPr="00DB5643">
        <w:rPr>
          <w:snapToGrid w:val="0"/>
          <w:kern w:val="22"/>
          <w:szCs w:val="22"/>
          <w:lang w:val="ru-RU"/>
        </w:rPr>
        <w:t>правил</w:t>
      </w:r>
      <w:r w:rsidR="00206854" w:rsidRPr="00DB5643">
        <w:rPr>
          <w:snapToGrid w:val="0"/>
          <w:kern w:val="22"/>
          <w:szCs w:val="22"/>
          <w:lang w:val="ru-RU"/>
        </w:rPr>
        <w:t xml:space="preserve"> или руководящи</w:t>
      </w:r>
      <w:r w:rsidR="00794F0C" w:rsidRPr="00DB5643">
        <w:rPr>
          <w:snapToGrid w:val="0"/>
          <w:kern w:val="22"/>
          <w:szCs w:val="22"/>
          <w:lang w:val="ru-RU"/>
        </w:rPr>
        <w:t>х</w:t>
      </w:r>
      <w:r w:rsidR="00206854" w:rsidRPr="00DB5643">
        <w:rPr>
          <w:snapToGrid w:val="0"/>
          <w:kern w:val="22"/>
          <w:szCs w:val="22"/>
          <w:lang w:val="ru-RU"/>
        </w:rPr>
        <w:t xml:space="preserve"> указани</w:t>
      </w:r>
      <w:r w:rsidR="00794F0C" w:rsidRPr="00DB5643">
        <w:rPr>
          <w:snapToGrid w:val="0"/>
          <w:kern w:val="22"/>
          <w:szCs w:val="22"/>
          <w:lang w:val="ru-RU"/>
        </w:rPr>
        <w:t>й</w:t>
      </w:r>
      <w:r w:rsidR="00206854" w:rsidRPr="00DB5643">
        <w:rPr>
          <w:snapToGrid w:val="0"/>
          <w:kern w:val="22"/>
          <w:szCs w:val="22"/>
          <w:lang w:val="ru-RU"/>
        </w:rPr>
        <w:t xml:space="preserve">, </w:t>
      </w:r>
      <w:r w:rsidR="00794F0C" w:rsidRPr="00DB5643">
        <w:rPr>
          <w:snapToGrid w:val="0"/>
          <w:kern w:val="22"/>
          <w:szCs w:val="22"/>
          <w:lang w:val="ru-RU"/>
        </w:rPr>
        <w:t xml:space="preserve">опосредованно применяемых к биобезопасности </w:t>
      </w:r>
      <w:r w:rsidR="004569FB" w:rsidRPr="00DB5643">
        <w:rPr>
          <w:snapToGrid w:val="0"/>
          <w:kern w:val="22"/>
          <w:szCs w:val="22"/>
          <w:lang w:val="ru-RU"/>
        </w:rPr>
        <w:t>(</w:t>
      </w:r>
      <w:r w:rsidR="00794F0C" w:rsidRPr="00DB5643">
        <w:rPr>
          <w:snapToGrid w:val="0"/>
          <w:kern w:val="22"/>
          <w:szCs w:val="22"/>
          <w:lang w:val="ru-RU"/>
        </w:rPr>
        <w:t xml:space="preserve">на </w:t>
      </w:r>
      <w:r w:rsidR="004569FB" w:rsidRPr="00DB5643">
        <w:rPr>
          <w:snapToGrid w:val="0"/>
          <w:kern w:val="22"/>
          <w:szCs w:val="22"/>
          <w:lang w:val="ru-RU"/>
        </w:rPr>
        <w:t xml:space="preserve">1 </w:t>
      </w:r>
      <w:r w:rsidR="00794F0C" w:rsidRPr="00DB5643">
        <w:rPr>
          <w:snapToGrid w:val="0"/>
          <w:kern w:val="22"/>
          <w:szCs w:val="22"/>
          <w:lang w:val="ru-RU"/>
        </w:rPr>
        <w:t>Сторону меньше по сравнению с исходным уровнем</w:t>
      </w:r>
      <w:r w:rsidR="004569FB" w:rsidRPr="00DB5643">
        <w:rPr>
          <w:snapToGrid w:val="0"/>
          <w:kern w:val="22"/>
          <w:szCs w:val="22"/>
          <w:lang w:val="ru-RU"/>
        </w:rPr>
        <w:t xml:space="preserve">). 5 </w:t>
      </w:r>
      <w:r w:rsidR="00794F0C" w:rsidRPr="00DB5643">
        <w:rPr>
          <w:snapToGrid w:val="0"/>
          <w:kern w:val="22"/>
          <w:szCs w:val="22"/>
          <w:lang w:val="ru-RU"/>
        </w:rPr>
        <w:t>Сторон сообщили об отсутствии принят</w:t>
      </w:r>
      <w:r w:rsidR="009765FF">
        <w:rPr>
          <w:snapToGrid w:val="0"/>
          <w:kern w:val="22"/>
          <w:szCs w:val="22"/>
          <w:lang w:val="ru-RU"/>
        </w:rPr>
        <w:t>ых</w:t>
      </w:r>
      <w:r w:rsidR="00794F0C" w:rsidRPr="00DB5643">
        <w:rPr>
          <w:snapToGrid w:val="0"/>
          <w:kern w:val="22"/>
          <w:szCs w:val="22"/>
          <w:lang w:val="ru-RU"/>
        </w:rPr>
        <w:t xml:space="preserve"> документ</w:t>
      </w:r>
      <w:r w:rsidR="009765FF">
        <w:rPr>
          <w:snapToGrid w:val="0"/>
          <w:kern w:val="22"/>
          <w:szCs w:val="22"/>
          <w:lang w:val="ru-RU"/>
        </w:rPr>
        <w:t>ов</w:t>
      </w:r>
      <w:r w:rsidR="00794F0C" w:rsidRPr="00DB5643">
        <w:rPr>
          <w:snapToGrid w:val="0"/>
          <w:kern w:val="22"/>
          <w:szCs w:val="22"/>
          <w:lang w:val="ru-RU"/>
        </w:rPr>
        <w:t xml:space="preserve">, что </w:t>
      </w:r>
      <w:r w:rsidR="009765FF">
        <w:rPr>
          <w:snapToGrid w:val="0"/>
          <w:kern w:val="22"/>
          <w:szCs w:val="22"/>
          <w:lang w:val="ru-RU"/>
        </w:rPr>
        <w:t xml:space="preserve">соответствует данным </w:t>
      </w:r>
      <w:r w:rsidR="00794F0C" w:rsidRPr="00DB5643">
        <w:rPr>
          <w:snapToGrid w:val="0"/>
          <w:kern w:val="22"/>
          <w:szCs w:val="22"/>
          <w:lang w:val="ru-RU"/>
        </w:rPr>
        <w:t>исходно</w:t>
      </w:r>
      <w:r w:rsidR="009765FF">
        <w:rPr>
          <w:snapToGrid w:val="0"/>
          <w:kern w:val="22"/>
          <w:szCs w:val="22"/>
          <w:lang w:val="ru-RU"/>
        </w:rPr>
        <w:t>го</w:t>
      </w:r>
      <w:r w:rsidR="00794F0C" w:rsidRPr="00DB5643">
        <w:rPr>
          <w:snapToGrid w:val="0"/>
          <w:kern w:val="22"/>
          <w:szCs w:val="22"/>
          <w:lang w:val="ru-RU"/>
        </w:rPr>
        <w:t xml:space="preserve"> уровн</w:t>
      </w:r>
      <w:r w:rsidR="009765FF">
        <w:rPr>
          <w:snapToGrid w:val="0"/>
          <w:kern w:val="22"/>
          <w:szCs w:val="22"/>
          <w:lang w:val="ru-RU"/>
        </w:rPr>
        <w:t>я</w:t>
      </w:r>
      <w:r w:rsidR="004569FB" w:rsidRPr="00DB5643">
        <w:rPr>
          <w:snapToGrid w:val="0"/>
          <w:kern w:val="22"/>
          <w:szCs w:val="22"/>
          <w:lang w:val="ru-RU"/>
        </w:rPr>
        <w:t xml:space="preserve">. </w:t>
      </w:r>
      <w:r w:rsidR="00356AE6" w:rsidRPr="00DB5643">
        <w:rPr>
          <w:snapToGrid w:val="0"/>
          <w:kern w:val="22"/>
          <w:szCs w:val="22"/>
          <w:lang w:val="ru-RU"/>
        </w:rPr>
        <w:t>Многие Стороны, сообщившие о принятии документов по биобезопасности, также сообщили о принятии других документов, опосредованно применяемых к биобезопасности</w:t>
      </w:r>
      <w:r w:rsidR="004569FB" w:rsidRPr="00DB5643">
        <w:rPr>
          <w:snapToGrid w:val="0"/>
          <w:kern w:val="22"/>
          <w:szCs w:val="22"/>
          <w:lang w:val="ru-RU"/>
        </w:rPr>
        <w:t>.</w:t>
      </w:r>
    </w:p>
    <w:p w14:paraId="740764DB" w14:textId="292EF952" w:rsidR="004569FB" w:rsidRPr="00DB5643" w:rsidRDefault="001A4869" w:rsidP="00B44100">
      <w:pPr>
        <w:pStyle w:val="a3"/>
        <w:numPr>
          <w:ilvl w:val="0"/>
          <w:numId w:val="9"/>
        </w:numPr>
        <w:tabs>
          <w:tab w:val="clear" w:pos="3240"/>
        </w:tab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своих письменных материалах </w:t>
      </w:r>
      <w:r w:rsidR="009765FF">
        <w:rPr>
          <w:snapToGrid w:val="0"/>
          <w:kern w:val="22"/>
          <w:szCs w:val="22"/>
          <w:lang w:val="ru-RU"/>
        </w:rPr>
        <w:t>несколько</w:t>
      </w:r>
      <w:r w:rsidRPr="00DB5643">
        <w:rPr>
          <w:snapToGrid w:val="0"/>
          <w:kern w:val="22"/>
          <w:szCs w:val="22"/>
          <w:lang w:val="ru-RU"/>
        </w:rPr>
        <w:t xml:space="preserve"> Сторон разъяснили трудности, с которыми они сталкиваются в связи с принятием правовых, административных и других мер для осуществления Протокола</w:t>
      </w:r>
      <w:r w:rsidR="004569FB" w:rsidRPr="00DB5643">
        <w:rPr>
          <w:snapToGrid w:val="0"/>
          <w:kern w:val="22"/>
          <w:szCs w:val="22"/>
          <w:lang w:val="ru-RU"/>
        </w:rPr>
        <w:t xml:space="preserve">. </w:t>
      </w:r>
      <w:r w:rsidRPr="00DB5643">
        <w:rPr>
          <w:iCs/>
          <w:snapToGrid w:val="0"/>
          <w:kern w:val="22"/>
          <w:szCs w:val="22"/>
          <w:lang w:val="ru-RU"/>
        </w:rPr>
        <w:t>Несколько Сторон сообщили, что осуществляется разработка правовых документов или документы уже разработаны, но ожидается их принятие</w:t>
      </w:r>
      <w:r w:rsidR="004569FB" w:rsidRPr="00DB5643">
        <w:rPr>
          <w:iCs/>
          <w:snapToGrid w:val="0"/>
          <w:kern w:val="22"/>
          <w:szCs w:val="22"/>
          <w:lang w:val="ru-RU"/>
        </w:rPr>
        <w:t xml:space="preserve">. </w:t>
      </w:r>
      <w:r w:rsidRPr="00DB5643">
        <w:rPr>
          <w:iCs/>
          <w:snapToGrid w:val="0"/>
          <w:kern w:val="22"/>
          <w:szCs w:val="22"/>
          <w:lang w:val="ru-RU"/>
        </w:rPr>
        <w:t xml:space="preserve">Некоторые из этих Сторон сообщили, что </w:t>
      </w:r>
      <w:r w:rsidR="00BB0CCC" w:rsidRPr="00DB5643">
        <w:rPr>
          <w:iCs/>
          <w:snapToGrid w:val="0"/>
          <w:kern w:val="22"/>
          <w:szCs w:val="22"/>
          <w:lang w:val="ru-RU"/>
        </w:rPr>
        <w:t>ожидается принятие этих документов для укрепления организационных структур и повышения степени доступности</w:t>
      </w:r>
      <w:r w:rsidR="004569FB" w:rsidRPr="00DB5643">
        <w:rPr>
          <w:iCs/>
          <w:snapToGrid w:val="0"/>
          <w:kern w:val="22"/>
          <w:szCs w:val="22"/>
          <w:lang w:val="ru-RU"/>
        </w:rPr>
        <w:t xml:space="preserve"> </w:t>
      </w:r>
      <w:r w:rsidR="00BB0CCC" w:rsidRPr="00DB5643">
        <w:rPr>
          <w:iCs/>
          <w:snapToGrid w:val="0"/>
          <w:kern w:val="22"/>
          <w:szCs w:val="22"/>
          <w:lang w:val="ru-RU"/>
        </w:rPr>
        <w:t>ресурсов</w:t>
      </w:r>
      <w:r w:rsidR="004569FB" w:rsidRPr="00DB5643">
        <w:rPr>
          <w:iCs/>
          <w:snapToGrid w:val="0"/>
          <w:kern w:val="22"/>
          <w:szCs w:val="22"/>
          <w:lang w:val="ru-RU"/>
        </w:rPr>
        <w:t xml:space="preserve">. </w:t>
      </w:r>
      <w:r w:rsidR="00BB0CCC" w:rsidRPr="00DB5643">
        <w:rPr>
          <w:iCs/>
          <w:snapToGrid w:val="0"/>
          <w:kern w:val="22"/>
          <w:szCs w:val="22"/>
          <w:lang w:val="ru-RU"/>
        </w:rPr>
        <w:t>Некоторые Стороны отметили важность</w:t>
      </w:r>
      <w:r w:rsidR="004569FB" w:rsidRPr="00DB5643">
        <w:rPr>
          <w:iCs/>
          <w:snapToGrid w:val="0"/>
          <w:kern w:val="22"/>
          <w:szCs w:val="22"/>
          <w:lang w:val="ru-RU"/>
        </w:rPr>
        <w:t xml:space="preserve"> </w:t>
      </w:r>
      <w:r w:rsidR="00BB0CCC" w:rsidRPr="00DB5643">
        <w:rPr>
          <w:iCs/>
          <w:snapToGrid w:val="0"/>
          <w:kern w:val="22"/>
          <w:szCs w:val="22"/>
          <w:lang w:val="ru-RU"/>
        </w:rPr>
        <w:t xml:space="preserve">включения вопросов биобезопасности в различные секторальные и </w:t>
      </w:r>
      <w:proofErr w:type="spellStart"/>
      <w:r w:rsidR="00BB0CCC" w:rsidRPr="00DB5643">
        <w:rPr>
          <w:iCs/>
          <w:snapToGrid w:val="0"/>
          <w:kern w:val="22"/>
          <w:szCs w:val="22"/>
          <w:lang w:val="ru-RU"/>
        </w:rPr>
        <w:t>межсекторальные</w:t>
      </w:r>
      <w:proofErr w:type="spellEnd"/>
      <w:r w:rsidR="00BB0CCC" w:rsidRPr="00DB5643">
        <w:rPr>
          <w:iCs/>
          <w:snapToGrid w:val="0"/>
          <w:kern w:val="22"/>
          <w:szCs w:val="22"/>
          <w:lang w:val="ru-RU"/>
        </w:rPr>
        <w:t xml:space="preserve"> политические и правовые документы</w:t>
      </w:r>
      <w:r w:rsidR="004569FB" w:rsidRPr="00DB5643">
        <w:rPr>
          <w:iCs/>
          <w:snapToGrid w:val="0"/>
          <w:kern w:val="22"/>
          <w:szCs w:val="22"/>
          <w:lang w:val="ru-RU"/>
        </w:rPr>
        <w:t xml:space="preserve">. </w:t>
      </w:r>
      <w:r w:rsidR="0016473C" w:rsidRPr="00DB5643">
        <w:rPr>
          <w:iCs/>
          <w:snapToGrid w:val="0"/>
          <w:kern w:val="22"/>
          <w:szCs w:val="22"/>
          <w:lang w:val="ru-RU"/>
        </w:rPr>
        <w:t>Некоторые Стороны сообщили об эффективном учете аспектов</w:t>
      </w:r>
      <w:r w:rsidR="004569FB" w:rsidRPr="00DB5643">
        <w:rPr>
          <w:iCs/>
          <w:snapToGrid w:val="0"/>
          <w:kern w:val="22"/>
          <w:szCs w:val="22"/>
          <w:lang w:val="ru-RU"/>
        </w:rPr>
        <w:t xml:space="preserve"> </w:t>
      </w:r>
      <w:r w:rsidR="0016473C" w:rsidRPr="00DB5643">
        <w:rPr>
          <w:iCs/>
          <w:snapToGrid w:val="0"/>
          <w:kern w:val="22"/>
          <w:szCs w:val="22"/>
          <w:lang w:val="ru-RU"/>
        </w:rPr>
        <w:t xml:space="preserve">биобезопасности в секторальных и </w:t>
      </w:r>
      <w:proofErr w:type="spellStart"/>
      <w:r w:rsidR="0016473C" w:rsidRPr="00DB5643">
        <w:rPr>
          <w:iCs/>
          <w:snapToGrid w:val="0"/>
          <w:kern w:val="22"/>
          <w:szCs w:val="22"/>
          <w:lang w:val="ru-RU"/>
        </w:rPr>
        <w:t>межсекторальных</w:t>
      </w:r>
      <w:proofErr w:type="spellEnd"/>
      <w:r w:rsidR="0016473C" w:rsidRPr="00DB5643">
        <w:rPr>
          <w:iCs/>
          <w:snapToGrid w:val="0"/>
          <w:kern w:val="22"/>
          <w:szCs w:val="22"/>
          <w:lang w:val="ru-RU"/>
        </w:rPr>
        <w:t xml:space="preserve"> стратегиях или законах</w:t>
      </w:r>
      <w:r w:rsidR="004569FB" w:rsidRPr="00DB5643">
        <w:rPr>
          <w:iCs/>
          <w:snapToGrid w:val="0"/>
          <w:kern w:val="22"/>
          <w:szCs w:val="22"/>
          <w:lang w:val="ru-RU"/>
        </w:rPr>
        <w:t xml:space="preserve">. </w:t>
      </w:r>
      <w:r w:rsidR="0016473C" w:rsidRPr="00DB5643">
        <w:rPr>
          <w:iCs/>
          <w:snapToGrid w:val="0"/>
          <w:kern w:val="22"/>
          <w:szCs w:val="22"/>
          <w:lang w:val="ru-RU"/>
        </w:rPr>
        <w:t>Несколько Сторон отметили, что недостаток ресурсов и потенциала негативно влияет на</w:t>
      </w:r>
      <w:r w:rsidR="0016473C" w:rsidRPr="00DB5643">
        <w:rPr>
          <w:snapToGrid w:val="0"/>
          <w:kern w:val="22"/>
          <w:szCs w:val="22"/>
          <w:lang w:val="ru-RU"/>
        </w:rPr>
        <w:t xml:space="preserve"> осуществление Протокола</w:t>
      </w:r>
      <w:r w:rsidR="004569FB" w:rsidRPr="00DB5643">
        <w:rPr>
          <w:iCs/>
          <w:snapToGrid w:val="0"/>
          <w:kern w:val="22"/>
          <w:szCs w:val="22"/>
          <w:lang w:val="ru-RU"/>
        </w:rPr>
        <w:t>.</w:t>
      </w:r>
    </w:p>
    <w:p w14:paraId="6FC49A9F" w14:textId="2D6FFEE1" w:rsidR="004569FB" w:rsidRPr="00DB5643" w:rsidRDefault="0016473C"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1.1.2</w:t>
      </w:r>
      <w:r w:rsidR="004569FB" w:rsidRPr="00DB5643">
        <w:rPr>
          <w:snapToGrid w:val="0"/>
          <w:kern w:val="22"/>
          <w:szCs w:val="22"/>
          <w:lang w:val="ru-RU"/>
        </w:rPr>
        <w:t xml:space="preserve"> (</w:t>
      </w:r>
      <w:r w:rsidRPr="00DB5643">
        <w:rPr>
          <w:snapToGrid w:val="0"/>
          <w:kern w:val="22"/>
          <w:szCs w:val="22"/>
          <w:lang w:val="ru-RU"/>
        </w:rPr>
        <w:t xml:space="preserve">процентная доля Сторон, внедривших административные правила и процедуры рассмотрения уведомлений и заявок на утверждение импорта </w:t>
      </w:r>
      <w:proofErr w:type="spellStart"/>
      <w:r w:rsidRPr="00DB5643">
        <w:rPr>
          <w:snapToGrid w:val="0"/>
          <w:kern w:val="22"/>
          <w:szCs w:val="22"/>
          <w:lang w:val="ru-RU"/>
        </w:rPr>
        <w:t>ЖИО</w:t>
      </w:r>
      <w:proofErr w:type="spellEnd"/>
      <w:r w:rsidRPr="00DB5643">
        <w:rPr>
          <w:snapToGrid w:val="0"/>
          <w:kern w:val="22"/>
          <w:szCs w:val="22"/>
          <w:lang w:val="ru-RU"/>
        </w:rPr>
        <w:t xml:space="preserve">, предназначенных для непосредственного использования в качестве продовольствия или корма или для обработки </w:t>
      </w:r>
      <w:r w:rsidR="003B176C" w:rsidRPr="00DB5643">
        <w:rPr>
          <w:snapToGrid w:val="0"/>
          <w:kern w:val="22"/>
          <w:szCs w:val="22"/>
          <w:lang w:val="ru-RU"/>
        </w:rPr>
        <w:t>(</w:t>
      </w:r>
      <w:proofErr w:type="spellStart"/>
      <w:r w:rsidRPr="00DB5643">
        <w:rPr>
          <w:snapToGrid w:val="0"/>
          <w:kern w:val="22"/>
          <w:szCs w:val="22"/>
          <w:lang w:val="ru-RU"/>
        </w:rPr>
        <w:t>ЖИО-ПКО</w:t>
      </w:r>
      <w:proofErr w:type="spellEnd"/>
      <w:r w:rsidR="003B176C"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использования в замкнутых системах и для интродукции в окружающую среду</w:t>
      </w:r>
      <w:r w:rsidR="004569FB" w:rsidRPr="00DB5643">
        <w:rPr>
          <w:snapToGrid w:val="0"/>
          <w:kern w:val="22"/>
          <w:szCs w:val="22"/>
          <w:lang w:val="ru-RU"/>
        </w:rPr>
        <w:t xml:space="preserve">) </w:t>
      </w:r>
      <w:r w:rsidRPr="00DB5643">
        <w:rPr>
          <w:snapToGrid w:val="0"/>
          <w:kern w:val="22"/>
          <w:szCs w:val="22"/>
          <w:lang w:val="ru-RU"/>
        </w:rPr>
        <w:t>в общей сложности</w:t>
      </w:r>
      <w:r w:rsidR="004569FB" w:rsidRPr="00DB5643">
        <w:rPr>
          <w:snapToGrid w:val="0"/>
          <w:kern w:val="22"/>
          <w:szCs w:val="22"/>
          <w:lang w:val="ru-RU"/>
        </w:rPr>
        <w:t xml:space="preserve"> 83</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(77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 о наличии у них</w:t>
      </w:r>
      <w:r w:rsidRPr="00DB5643">
        <w:rPr>
          <w:rFonts w:eastAsia="Times New Roman" w:cs="Times New Roman"/>
          <w:color w:val="000000"/>
          <w:kern w:val="22"/>
          <w:szCs w:val="22"/>
          <w:lang w:val="ru-RU" w:eastAsia="ru-RU"/>
        </w:rPr>
        <w:t xml:space="preserve"> </w:t>
      </w:r>
      <w:r w:rsidRPr="00DB5643">
        <w:rPr>
          <w:snapToGrid w:val="0"/>
          <w:kern w:val="22"/>
          <w:szCs w:val="22"/>
          <w:lang w:val="ru-RU"/>
        </w:rPr>
        <w:t xml:space="preserve">законов, правил или административных мер для принятия решений об импорте </w:t>
      </w:r>
      <w:proofErr w:type="spellStart"/>
      <w:r w:rsidRPr="00DB5643">
        <w:rPr>
          <w:snapToGrid w:val="0"/>
          <w:kern w:val="22"/>
          <w:szCs w:val="22"/>
          <w:lang w:val="ru-RU"/>
        </w:rPr>
        <w:t>ЖИО</w:t>
      </w:r>
      <w:proofErr w:type="spellEnd"/>
      <w:r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предназначенных для непосредственного использования</w:t>
      </w:r>
      <w:r w:rsidR="00047351">
        <w:rPr>
          <w:snapToGrid w:val="0"/>
          <w:kern w:val="22"/>
          <w:szCs w:val="22"/>
          <w:lang w:val="ru-RU"/>
        </w:rPr>
        <w:t xml:space="preserve"> в качестве продовольствия или</w:t>
      </w:r>
      <w:r w:rsidRPr="00DB5643">
        <w:rPr>
          <w:snapToGrid w:val="0"/>
          <w:kern w:val="22"/>
          <w:szCs w:val="22"/>
          <w:lang w:val="ru-RU"/>
        </w:rPr>
        <w:t xml:space="preserve"> корма или для обработки</w:t>
      </w:r>
      <w:r w:rsidR="004569FB" w:rsidRPr="00DB5643">
        <w:rPr>
          <w:snapToGrid w:val="0"/>
          <w:kern w:val="22"/>
          <w:szCs w:val="22"/>
          <w:lang w:val="ru-RU"/>
        </w:rPr>
        <w:t xml:space="preserve">, </w:t>
      </w:r>
      <w:r w:rsidR="002C3A79" w:rsidRPr="00DB5643">
        <w:rPr>
          <w:snapToGrid w:val="0"/>
          <w:kern w:val="22"/>
          <w:szCs w:val="22"/>
          <w:lang w:val="ru-RU"/>
        </w:rPr>
        <w:t xml:space="preserve">что соответствует увеличению на </w:t>
      </w:r>
      <w:r w:rsidR="004569FB" w:rsidRPr="00DB5643">
        <w:rPr>
          <w:snapToGrid w:val="0"/>
          <w:kern w:val="22"/>
          <w:szCs w:val="22"/>
          <w:lang w:val="ru-RU"/>
        </w:rPr>
        <w:t>13</w:t>
      </w:r>
      <w:r w:rsidR="002C3A79" w:rsidRPr="00DB5643">
        <w:rPr>
          <w:snapToGrid w:val="0"/>
          <w:kern w:val="22"/>
          <w:szCs w:val="22"/>
          <w:lang w:val="ru-RU"/>
        </w:rPr>
        <w:t> </w:t>
      </w:r>
      <w:r w:rsidR="004569FB" w:rsidRPr="00DB5643">
        <w:rPr>
          <w:snapToGrid w:val="0"/>
          <w:kern w:val="22"/>
          <w:szCs w:val="22"/>
          <w:lang w:val="ru-RU"/>
        </w:rPr>
        <w:t xml:space="preserve">% </w:t>
      </w:r>
      <w:r w:rsidR="002C3A79" w:rsidRPr="00DB5643">
        <w:rPr>
          <w:snapToGrid w:val="0"/>
          <w:kern w:val="22"/>
          <w:szCs w:val="22"/>
          <w:lang w:val="ru-RU"/>
        </w:rPr>
        <w:t>по отношению к исходному уровню</w:t>
      </w:r>
      <w:r w:rsidR="004569FB" w:rsidRPr="00DB5643">
        <w:rPr>
          <w:snapToGrid w:val="0"/>
          <w:kern w:val="22"/>
          <w:szCs w:val="22"/>
          <w:lang w:val="ru-RU"/>
        </w:rPr>
        <w:t xml:space="preserve">. </w:t>
      </w:r>
      <w:r w:rsidR="002C3A79" w:rsidRPr="00DB5643">
        <w:rPr>
          <w:snapToGrid w:val="0"/>
          <w:kern w:val="22"/>
          <w:szCs w:val="22"/>
          <w:lang w:val="ru-RU"/>
        </w:rPr>
        <w:t>Было сообщено об увеличении во всех регионах</w:t>
      </w:r>
      <w:r w:rsidR="004569FB" w:rsidRPr="00DB5643">
        <w:rPr>
          <w:snapToGrid w:val="0"/>
          <w:kern w:val="22"/>
          <w:szCs w:val="22"/>
          <w:lang w:val="ru-RU"/>
        </w:rPr>
        <w:t xml:space="preserve"> (</w:t>
      </w:r>
      <w:proofErr w:type="spellStart"/>
      <w:r w:rsidR="002C3A79" w:rsidRPr="00DB5643">
        <w:rPr>
          <w:snapToGrid w:val="0"/>
          <w:kern w:val="22"/>
          <w:szCs w:val="22"/>
          <w:lang w:val="ru-RU"/>
        </w:rPr>
        <w:t>ГРУЛАК</w:t>
      </w:r>
      <w:proofErr w:type="spellEnd"/>
      <w:r w:rsidR="002C3A79" w:rsidRPr="00DB5643">
        <w:rPr>
          <w:snapToGrid w:val="0"/>
          <w:kern w:val="22"/>
          <w:szCs w:val="22"/>
          <w:lang w:val="ru-RU"/>
        </w:rPr>
        <w:t>:</w:t>
      </w:r>
      <w:r w:rsidR="004569FB" w:rsidRPr="00DB5643">
        <w:rPr>
          <w:snapToGrid w:val="0"/>
          <w:kern w:val="22"/>
          <w:szCs w:val="22"/>
          <w:lang w:val="ru-RU"/>
        </w:rPr>
        <w:t xml:space="preserve"> +31</w:t>
      </w:r>
      <w:r w:rsidR="002C3A79" w:rsidRPr="00DB5643">
        <w:rPr>
          <w:snapToGrid w:val="0"/>
          <w:kern w:val="22"/>
          <w:szCs w:val="22"/>
          <w:lang w:val="ru-RU"/>
        </w:rPr>
        <w:t> </w:t>
      </w:r>
      <w:r w:rsidR="004569FB" w:rsidRPr="00DB5643">
        <w:rPr>
          <w:snapToGrid w:val="0"/>
          <w:kern w:val="22"/>
          <w:szCs w:val="22"/>
          <w:lang w:val="ru-RU"/>
        </w:rPr>
        <w:t xml:space="preserve">%; </w:t>
      </w:r>
      <w:r w:rsidR="002C3A79" w:rsidRPr="00DB5643">
        <w:rPr>
          <w:snapToGrid w:val="0"/>
          <w:kern w:val="22"/>
          <w:szCs w:val="22"/>
          <w:lang w:val="ru-RU"/>
        </w:rPr>
        <w:t>Азиатско-Тихоокеанский регион:</w:t>
      </w:r>
      <w:r w:rsidR="004569FB" w:rsidRPr="00DB5643">
        <w:rPr>
          <w:snapToGrid w:val="0"/>
          <w:kern w:val="22"/>
          <w:szCs w:val="22"/>
          <w:lang w:val="ru-RU"/>
        </w:rPr>
        <w:t xml:space="preserve"> +19</w:t>
      </w:r>
      <w:r w:rsidR="002C3A79"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2C3A79" w:rsidRPr="00DB5643">
        <w:rPr>
          <w:snapToGrid w:val="0"/>
          <w:kern w:val="22"/>
          <w:szCs w:val="22"/>
          <w:lang w:val="ru-RU"/>
        </w:rPr>
        <w:t>:</w:t>
      </w:r>
      <w:r w:rsidR="004569FB" w:rsidRPr="00DB5643">
        <w:rPr>
          <w:snapToGrid w:val="0"/>
          <w:kern w:val="22"/>
          <w:szCs w:val="22"/>
          <w:lang w:val="ru-RU"/>
        </w:rPr>
        <w:t xml:space="preserve"> +11</w:t>
      </w:r>
      <w:r w:rsidR="002C3A79" w:rsidRPr="00DB5643">
        <w:rPr>
          <w:snapToGrid w:val="0"/>
          <w:kern w:val="22"/>
          <w:szCs w:val="22"/>
          <w:lang w:val="ru-RU"/>
        </w:rPr>
        <w:t> </w:t>
      </w:r>
      <w:r w:rsidR="004569FB" w:rsidRPr="00DB5643">
        <w:rPr>
          <w:snapToGrid w:val="0"/>
          <w:kern w:val="22"/>
          <w:szCs w:val="22"/>
          <w:lang w:val="ru-RU"/>
        </w:rPr>
        <w:t xml:space="preserve">%; </w:t>
      </w:r>
      <w:r w:rsidR="002C3A79" w:rsidRPr="00DB5643">
        <w:rPr>
          <w:snapToGrid w:val="0"/>
          <w:kern w:val="22"/>
          <w:szCs w:val="22"/>
          <w:lang w:val="ru-RU"/>
        </w:rPr>
        <w:t>Африка:</w:t>
      </w:r>
      <w:r w:rsidR="004569FB" w:rsidRPr="00DB5643">
        <w:rPr>
          <w:snapToGrid w:val="0"/>
          <w:kern w:val="22"/>
          <w:szCs w:val="22"/>
          <w:lang w:val="ru-RU"/>
        </w:rPr>
        <w:t xml:space="preserve"> +7</w:t>
      </w:r>
      <w:r w:rsidR="002C3A79"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2C3A79" w:rsidRPr="00DB5643">
        <w:rPr>
          <w:snapToGrid w:val="0"/>
          <w:kern w:val="22"/>
          <w:szCs w:val="22"/>
          <w:lang w:val="ru-RU"/>
        </w:rPr>
        <w:t>:</w:t>
      </w:r>
      <w:r w:rsidR="004569FB" w:rsidRPr="00DB5643">
        <w:rPr>
          <w:snapToGrid w:val="0"/>
          <w:kern w:val="22"/>
          <w:szCs w:val="22"/>
          <w:lang w:val="ru-RU"/>
        </w:rPr>
        <w:t xml:space="preserve"> +6</w:t>
      </w:r>
      <w:r w:rsidR="002C3A79" w:rsidRPr="00DB5643">
        <w:rPr>
          <w:snapToGrid w:val="0"/>
          <w:kern w:val="22"/>
          <w:szCs w:val="22"/>
          <w:lang w:val="ru-RU"/>
        </w:rPr>
        <w:t> </w:t>
      </w:r>
      <w:r w:rsidR="004569FB" w:rsidRPr="00DB5643">
        <w:rPr>
          <w:snapToGrid w:val="0"/>
          <w:kern w:val="22"/>
          <w:szCs w:val="22"/>
          <w:lang w:val="ru-RU"/>
        </w:rPr>
        <w:t>%).</w:t>
      </w:r>
    </w:p>
    <w:p w14:paraId="3BAB89C9" w14:textId="742EA9B0" w:rsidR="004569FB" w:rsidRPr="00DB5643" w:rsidRDefault="008F06C0"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80</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(74 </w:t>
      </w:r>
      <w:r w:rsidRPr="00DB5643">
        <w:rPr>
          <w:snapToGrid w:val="0"/>
          <w:kern w:val="22"/>
          <w:szCs w:val="22"/>
          <w:lang w:val="ru-RU"/>
        </w:rPr>
        <w:t>Стороны</w:t>
      </w:r>
      <w:r w:rsidR="004569FB" w:rsidRPr="00DB5643">
        <w:rPr>
          <w:snapToGrid w:val="0"/>
          <w:kern w:val="22"/>
          <w:szCs w:val="22"/>
          <w:lang w:val="ru-RU"/>
        </w:rPr>
        <w:t xml:space="preserve">) </w:t>
      </w:r>
      <w:r w:rsidRPr="00DB5643">
        <w:rPr>
          <w:snapToGrid w:val="0"/>
          <w:kern w:val="22"/>
          <w:szCs w:val="22"/>
          <w:lang w:val="ru-RU"/>
        </w:rPr>
        <w:t>сообщили о регулировании использования в замкнутых системах</w:t>
      </w:r>
      <w:r w:rsidR="004569FB" w:rsidRPr="00DB5643">
        <w:rPr>
          <w:snapToGrid w:val="0"/>
          <w:kern w:val="22"/>
          <w:szCs w:val="22"/>
          <w:lang w:val="ru-RU"/>
        </w:rPr>
        <w:t xml:space="preserve">, </w:t>
      </w:r>
      <w:r w:rsidRPr="00DB5643">
        <w:rPr>
          <w:snapToGrid w:val="0"/>
          <w:kern w:val="22"/>
          <w:szCs w:val="22"/>
          <w:lang w:val="ru-RU"/>
        </w:rPr>
        <w:t>что на</w:t>
      </w:r>
      <w:r w:rsidR="004569FB" w:rsidRPr="00DB5643">
        <w:rPr>
          <w:snapToGrid w:val="0"/>
          <w:kern w:val="22"/>
          <w:szCs w:val="22"/>
          <w:lang w:val="ru-RU"/>
        </w:rPr>
        <w:t xml:space="preserve"> 7</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больше по сравнению с исходным уровнем</w:t>
      </w:r>
      <w:r w:rsidR="004569FB" w:rsidRPr="00DB5643">
        <w:rPr>
          <w:snapToGrid w:val="0"/>
          <w:kern w:val="22"/>
          <w:szCs w:val="22"/>
          <w:lang w:val="ru-RU"/>
        </w:rPr>
        <w:t xml:space="preserve">. </w:t>
      </w:r>
      <w:r w:rsidRPr="00DB5643">
        <w:rPr>
          <w:snapToGrid w:val="0"/>
          <w:kern w:val="22"/>
          <w:szCs w:val="22"/>
          <w:lang w:val="ru-RU"/>
        </w:rPr>
        <w:t xml:space="preserve">Было сообщено об увеличении в Азиатско-Тихоокеанском регионе </w:t>
      </w:r>
      <w:r w:rsidR="004569FB" w:rsidRPr="00DB5643">
        <w:rPr>
          <w:snapToGrid w:val="0"/>
          <w:kern w:val="22"/>
          <w:szCs w:val="22"/>
          <w:lang w:val="ru-RU"/>
        </w:rPr>
        <w:t>(+19</w:t>
      </w:r>
      <w:r w:rsidRPr="00DB5643">
        <w:rPr>
          <w:snapToGrid w:val="0"/>
          <w:kern w:val="22"/>
          <w:szCs w:val="22"/>
          <w:lang w:val="en-US"/>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(+13</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 xml:space="preserve">и </w:t>
      </w:r>
      <w:proofErr w:type="spellStart"/>
      <w:r w:rsidRPr="00DB5643">
        <w:rPr>
          <w:snapToGrid w:val="0"/>
          <w:kern w:val="22"/>
          <w:szCs w:val="22"/>
          <w:lang w:val="ru-RU"/>
        </w:rPr>
        <w:t>ГРУЛАК</w:t>
      </w:r>
      <w:proofErr w:type="spellEnd"/>
      <w:r w:rsidR="004569FB" w:rsidRPr="00DB5643">
        <w:rPr>
          <w:snapToGrid w:val="0"/>
          <w:kern w:val="22"/>
          <w:szCs w:val="22"/>
          <w:lang w:val="ru-RU"/>
        </w:rPr>
        <w:t xml:space="preserve"> (+7</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 xml:space="preserve">тогда как в Африке и </w:t>
      </w:r>
      <w:proofErr w:type="spellStart"/>
      <w:r w:rsidR="004569FB" w:rsidRPr="00DB5643">
        <w:rPr>
          <w:snapToGrid w:val="0"/>
          <w:kern w:val="22"/>
          <w:szCs w:val="22"/>
        </w:rPr>
        <w:t>WEOG</w:t>
      </w:r>
      <w:proofErr w:type="spellEnd"/>
      <w:r w:rsidRPr="00DB5643">
        <w:rPr>
          <w:snapToGrid w:val="0"/>
          <w:kern w:val="22"/>
          <w:szCs w:val="22"/>
          <w:lang w:val="ru-RU"/>
        </w:rPr>
        <w:t xml:space="preserve"> не было отмечено изменений по сравнению с исходным уровнем</w:t>
      </w:r>
      <w:r w:rsidR="004569FB" w:rsidRPr="00DB5643">
        <w:rPr>
          <w:snapToGrid w:val="0"/>
          <w:kern w:val="22"/>
          <w:szCs w:val="22"/>
          <w:lang w:val="ru-RU"/>
        </w:rPr>
        <w:t xml:space="preserve">. </w:t>
      </w:r>
    </w:p>
    <w:p w14:paraId="0FA41024" w14:textId="71476A8C" w:rsidR="004569FB" w:rsidRPr="00DB5643" w:rsidRDefault="00E1490C"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Далее</w:t>
      </w:r>
      <w:r w:rsidR="004569FB" w:rsidRPr="00DB5643">
        <w:rPr>
          <w:snapToGrid w:val="0"/>
          <w:kern w:val="22"/>
          <w:szCs w:val="22"/>
          <w:lang w:val="ru-RU"/>
        </w:rPr>
        <w:t>, 66</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(61 </w:t>
      </w:r>
      <w:r w:rsidRPr="00DB5643">
        <w:rPr>
          <w:snapToGrid w:val="0"/>
          <w:kern w:val="22"/>
          <w:szCs w:val="22"/>
          <w:lang w:val="ru-RU"/>
        </w:rPr>
        <w:t>Сторона</w:t>
      </w:r>
      <w:r w:rsidR="004569FB" w:rsidRPr="00DB5643">
        <w:rPr>
          <w:snapToGrid w:val="0"/>
          <w:kern w:val="22"/>
          <w:szCs w:val="22"/>
          <w:lang w:val="ru-RU"/>
        </w:rPr>
        <w:t xml:space="preserve">) </w:t>
      </w:r>
      <w:r w:rsidRPr="00DB5643">
        <w:rPr>
          <w:snapToGrid w:val="0"/>
          <w:kern w:val="22"/>
          <w:szCs w:val="22"/>
          <w:lang w:val="ru-RU"/>
        </w:rPr>
        <w:t xml:space="preserve">сообщили об установлении ими юридических требований к экспортерам, находящимся в их внутренней юрисдикции, о письменном уведомлении компетентного национального органа Стороны импорта перед преднамеренным трансграничным перемещением </w:t>
      </w:r>
      <w:proofErr w:type="spellStart"/>
      <w:r w:rsidRPr="00DB5643">
        <w:rPr>
          <w:snapToGrid w:val="0"/>
          <w:kern w:val="22"/>
          <w:szCs w:val="22"/>
          <w:lang w:val="ru-RU"/>
        </w:rPr>
        <w:t>ЖИО</w:t>
      </w:r>
      <w:proofErr w:type="spellEnd"/>
      <w:r w:rsidRPr="00DB5643">
        <w:rPr>
          <w:snapToGrid w:val="0"/>
          <w:kern w:val="22"/>
          <w:szCs w:val="22"/>
          <w:lang w:val="ru-RU"/>
        </w:rPr>
        <w:t>, на который распространяется действие процедуры</w:t>
      </w:r>
      <w:r w:rsidR="00DB19B3" w:rsidRPr="00DB5643">
        <w:rPr>
          <w:snapToGrid w:val="0"/>
          <w:kern w:val="22"/>
          <w:szCs w:val="22"/>
          <w:lang w:val="ru-RU"/>
        </w:rPr>
        <w:t xml:space="preserve"> заблаговременного обоснованного согласия</w:t>
      </w:r>
      <w:r w:rsidRPr="00DB5643">
        <w:rPr>
          <w:snapToGrid w:val="0"/>
          <w:kern w:val="22"/>
          <w:szCs w:val="22"/>
          <w:lang w:val="ru-RU"/>
        </w:rPr>
        <w:t xml:space="preserve"> </w:t>
      </w:r>
      <w:r w:rsidR="00DB19B3" w:rsidRPr="00DB5643">
        <w:rPr>
          <w:snapToGrid w:val="0"/>
          <w:kern w:val="22"/>
          <w:szCs w:val="22"/>
          <w:lang w:val="ru-RU"/>
        </w:rPr>
        <w:t>(</w:t>
      </w:r>
      <w:proofErr w:type="spellStart"/>
      <w:r w:rsidRPr="00DB5643">
        <w:rPr>
          <w:snapToGrid w:val="0"/>
          <w:kern w:val="22"/>
          <w:szCs w:val="22"/>
          <w:lang w:val="ru-RU"/>
        </w:rPr>
        <w:t>ЗОС</w:t>
      </w:r>
      <w:proofErr w:type="spellEnd"/>
      <w:r w:rsidR="00DB19B3" w:rsidRPr="00DB5643">
        <w:rPr>
          <w:snapToGrid w:val="0"/>
          <w:kern w:val="22"/>
          <w:szCs w:val="22"/>
          <w:lang w:val="ru-RU"/>
        </w:rPr>
        <w:t>)</w:t>
      </w:r>
      <w:r w:rsidR="004569FB" w:rsidRPr="00DB5643">
        <w:rPr>
          <w:snapToGrid w:val="0"/>
          <w:kern w:val="22"/>
          <w:szCs w:val="22"/>
          <w:lang w:val="ru-RU"/>
        </w:rPr>
        <w:t xml:space="preserve">, </w:t>
      </w:r>
      <w:r w:rsidR="00DB19B3" w:rsidRPr="00DB5643">
        <w:rPr>
          <w:snapToGrid w:val="0"/>
          <w:kern w:val="22"/>
          <w:szCs w:val="22"/>
          <w:lang w:val="ru-RU"/>
        </w:rPr>
        <w:t xml:space="preserve">что на </w:t>
      </w:r>
      <w:r w:rsidR="004569FB" w:rsidRPr="00DB5643">
        <w:rPr>
          <w:snapToGrid w:val="0"/>
          <w:kern w:val="22"/>
          <w:szCs w:val="22"/>
          <w:lang w:val="ru-RU"/>
        </w:rPr>
        <w:t>5</w:t>
      </w:r>
      <w:r w:rsidR="00DB19B3" w:rsidRPr="00DB5643">
        <w:rPr>
          <w:snapToGrid w:val="0"/>
          <w:kern w:val="22"/>
          <w:szCs w:val="22"/>
          <w:lang w:val="ru-RU"/>
        </w:rPr>
        <w:t> </w:t>
      </w:r>
      <w:r w:rsidR="004569FB" w:rsidRPr="00DB5643">
        <w:rPr>
          <w:snapToGrid w:val="0"/>
          <w:kern w:val="22"/>
          <w:szCs w:val="22"/>
          <w:lang w:val="ru-RU"/>
        </w:rPr>
        <w:t xml:space="preserve">% </w:t>
      </w:r>
      <w:r w:rsidR="00DB19B3" w:rsidRPr="00DB5643">
        <w:rPr>
          <w:snapToGrid w:val="0"/>
          <w:kern w:val="22"/>
          <w:szCs w:val="22"/>
          <w:lang w:val="ru-RU"/>
        </w:rPr>
        <w:t>больше по сравнению с исходным уровнем</w:t>
      </w:r>
      <w:r w:rsidR="004569FB" w:rsidRPr="00DB5643">
        <w:rPr>
          <w:snapToGrid w:val="0"/>
          <w:kern w:val="22"/>
          <w:szCs w:val="22"/>
          <w:lang w:val="ru-RU"/>
        </w:rPr>
        <w:t xml:space="preserve">. </w:t>
      </w:r>
      <w:r w:rsidR="00DB19B3" w:rsidRPr="00DB5643">
        <w:rPr>
          <w:snapToGrid w:val="0"/>
          <w:kern w:val="22"/>
          <w:szCs w:val="22"/>
          <w:lang w:val="ru-RU"/>
        </w:rPr>
        <w:t>Кроме того</w:t>
      </w:r>
      <w:r w:rsidR="004569FB" w:rsidRPr="00DB5643">
        <w:rPr>
          <w:snapToGrid w:val="0"/>
          <w:kern w:val="22"/>
          <w:szCs w:val="22"/>
          <w:lang w:val="ru-RU"/>
        </w:rPr>
        <w:t>, 10</w:t>
      </w:r>
      <w:r w:rsidR="00DB19B3" w:rsidRPr="00DB5643">
        <w:rPr>
          <w:snapToGrid w:val="0"/>
          <w:kern w:val="22"/>
          <w:szCs w:val="22"/>
          <w:lang w:val="en-US"/>
        </w:rPr>
        <w:t> </w:t>
      </w:r>
      <w:r w:rsidR="004569FB" w:rsidRPr="00DB5643">
        <w:rPr>
          <w:snapToGrid w:val="0"/>
          <w:kern w:val="22"/>
          <w:szCs w:val="22"/>
          <w:lang w:val="ru-RU"/>
        </w:rPr>
        <w:t xml:space="preserve">% </w:t>
      </w:r>
      <w:r w:rsidR="00DB19B3" w:rsidRPr="00DB5643">
        <w:rPr>
          <w:snapToGrid w:val="0"/>
          <w:kern w:val="22"/>
          <w:szCs w:val="22"/>
          <w:lang w:val="ru-RU"/>
        </w:rPr>
        <w:t>Сторон</w:t>
      </w:r>
      <w:r w:rsidR="004569FB" w:rsidRPr="00DB5643">
        <w:rPr>
          <w:snapToGrid w:val="0"/>
          <w:kern w:val="22"/>
          <w:szCs w:val="22"/>
          <w:lang w:val="ru-RU"/>
        </w:rPr>
        <w:t xml:space="preserve"> (9 </w:t>
      </w:r>
      <w:r w:rsidR="00DB19B3" w:rsidRPr="00DB5643">
        <w:rPr>
          <w:snapToGrid w:val="0"/>
          <w:kern w:val="22"/>
          <w:szCs w:val="22"/>
          <w:lang w:val="ru-RU"/>
        </w:rPr>
        <w:t>Сторон</w:t>
      </w:r>
      <w:r w:rsidR="004569FB" w:rsidRPr="00DB5643">
        <w:rPr>
          <w:snapToGrid w:val="0"/>
          <w:kern w:val="22"/>
          <w:szCs w:val="22"/>
          <w:lang w:val="ru-RU"/>
        </w:rPr>
        <w:t xml:space="preserve">) </w:t>
      </w:r>
      <w:r w:rsidR="00DB19B3" w:rsidRPr="00DB5643">
        <w:rPr>
          <w:snapToGrid w:val="0"/>
          <w:kern w:val="22"/>
          <w:szCs w:val="22"/>
          <w:lang w:val="ru-RU"/>
        </w:rPr>
        <w:t xml:space="preserve">сообщили об установлении ими таких юридических требований к экспортерам в </w:t>
      </w:r>
      <w:r w:rsidR="00827900" w:rsidRPr="00DB5643">
        <w:rPr>
          <w:snapToGrid w:val="0"/>
          <w:kern w:val="22"/>
          <w:szCs w:val="22"/>
          <w:lang w:val="ru-RU"/>
        </w:rPr>
        <w:t>некоторой</w:t>
      </w:r>
      <w:r w:rsidR="00DB19B3" w:rsidRPr="00DB5643">
        <w:rPr>
          <w:snapToGrid w:val="0"/>
          <w:kern w:val="22"/>
          <w:szCs w:val="22"/>
          <w:lang w:val="ru-RU"/>
        </w:rPr>
        <w:t xml:space="preserve"> степени</w:t>
      </w:r>
      <w:r w:rsidR="004569FB" w:rsidRPr="00DB5643">
        <w:rPr>
          <w:rStyle w:val="ac"/>
          <w:snapToGrid w:val="0"/>
          <w:kern w:val="22"/>
          <w:szCs w:val="22"/>
        </w:rPr>
        <w:footnoteReference w:id="18"/>
      </w:r>
      <w:r w:rsidR="00DB19B3" w:rsidRPr="00DB5643">
        <w:rPr>
          <w:snapToGrid w:val="0"/>
          <w:kern w:val="22"/>
          <w:szCs w:val="22"/>
          <w:lang w:val="ru-RU"/>
        </w:rPr>
        <w:t>.</w:t>
      </w:r>
      <w:r w:rsidR="004569FB" w:rsidRPr="00DB5643">
        <w:rPr>
          <w:snapToGrid w:val="0"/>
          <w:kern w:val="22"/>
          <w:szCs w:val="22"/>
          <w:lang w:val="ru-RU"/>
        </w:rPr>
        <w:t xml:space="preserve"> </w:t>
      </w:r>
      <w:r w:rsidR="00DB19B3" w:rsidRPr="00DB5643">
        <w:rPr>
          <w:snapToGrid w:val="0"/>
          <w:kern w:val="22"/>
          <w:szCs w:val="22"/>
          <w:lang w:val="ru-RU"/>
        </w:rPr>
        <w:t>Взятые в целом</w:t>
      </w:r>
      <w:r w:rsidR="004569FB" w:rsidRPr="00DB5643">
        <w:rPr>
          <w:snapToGrid w:val="0"/>
          <w:kern w:val="22"/>
          <w:szCs w:val="22"/>
          <w:lang w:val="ru-RU"/>
        </w:rPr>
        <w:t>, 76</w:t>
      </w:r>
      <w:r w:rsidR="00DB19B3" w:rsidRPr="00DB5643">
        <w:rPr>
          <w:snapToGrid w:val="0"/>
          <w:kern w:val="22"/>
          <w:szCs w:val="22"/>
          <w:lang w:val="en-US"/>
        </w:rPr>
        <w:t> </w:t>
      </w:r>
      <w:r w:rsidR="004569FB" w:rsidRPr="00DB5643">
        <w:rPr>
          <w:snapToGrid w:val="0"/>
          <w:kern w:val="22"/>
          <w:szCs w:val="22"/>
          <w:lang w:val="ru-RU"/>
        </w:rPr>
        <w:t xml:space="preserve">% </w:t>
      </w:r>
      <w:r w:rsidR="00DB19B3" w:rsidRPr="00DB5643">
        <w:rPr>
          <w:snapToGrid w:val="0"/>
          <w:kern w:val="22"/>
          <w:szCs w:val="22"/>
          <w:lang w:val="ru-RU"/>
        </w:rPr>
        <w:t>Сторон сообщили</w:t>
      </w:r>
      <w:r w:rsidR="004569FB" w:rsidRPr="00DB5643">
        <w:rPr>
          <w:snapToGrid w:val="0"/>
          <w:kern w:val="22"/>
          <w:szCs w:val="22"/>
          <w:lang w:val="ru-RU"/>
        </w:rPr>
        <w:t xml:space="preserve"> </w:t>
      </w:r>
      <w:r w:rsidR="00DB19B3" w:rsidRPr="00DB5643">
        <w:rPr>
          <w:snapToGrid w:val="0"/>
          <w:kern w:val="22"/>
          <w:szCs w:val="22"/>
          <w:lang w:val="ru-RU"/>
        </w:rPr>
        <w:t>об установлении ими таких юридических требований</w:t>
      </w:r>
      <w:r w:rsidR="004569FB" w:rsidRPr="00DB5643">
        <w:rPr>
          <w:snapToGrid w:val="0"/>
          <w:kern w:val="22"/>
          <w:szCs w:val="22"/>
          <w:lang w:val="ru-RU"/>
        </w:rPr>
        <w:t xml:space="preserve">, </w:t>
      </w:r>
      <w:r w:rsidR="00DB19B3" w:rsidRPr="00DB5643">
        <w:rPr>
          <w:snapToGrid w:val="0"/>
          <w:kern w:val="22"/>
          <w:szCs w:val="22"/>
          <w:lang w:val="ru-RU"/>
        </w:rPr>
        <w:t xml:space="preserve">что на </w:t>
      </w:r>
      <w:r w:rsidR="004569FB" w:rsidRPr="00DB5643">
        <w:rPr>
          <w:snapToGrid w:val="0"/>
          <w:kern w:val="22"/>
          <w:szCs w:val="22"/>
          <w:lang w:val="ru-RU"/>
        </w:rPr>
        <w:t>14</w:t>
      </w:r>
      <w:r w:rsidR="00DB19B3" w:rsidRPr="00DB5643">
        <w:rPr>
          <w:snapToGrid w:val="0"/>
          <w:kern w:val="22"/>
          <w:szCs w:val="22"/>
          <w:lang w:val="ru-RU"/>
        </w:rPr>
        <w:t> </w:t>
      </w:r>
      <w:r w:rsidR="004569FB" w:rsidRPr="00DB5643">
        <w:rPr>
          <w:snapToGrid w:val="0"/>
          <w:kern w:val="22"/>
          <w:szCs w:val="22"/>
          <w:lang w:val="ru-RU"/>
        </w:rPr>
        <w:t>%</w:t>
      </w:r>
      <w:r w:rsidR="00303635" w:rsidRPr="00DB5643">
        <w:rPr>
          <w:rStyle w:val="ac"/>
          <w:snapToGrid w:val="0"/>
          <w:kern w:val="22"/>
          <w:szCs w:val="22"/>
        </w:rPr>
        <w:footnoteReference w:id="19"/>
      </w:r>
      <w:r w:rsidR="004569FB" w:rsidRPr="00DB5643">
        <w:rPr>
          <w:snapToGrid w:val="0"/>
          <w:kern w:val="22"/>
          <w:szCs w:val="22"/>
          <w:lang w:val="ru-RU"/>
        </w:rPr>
        <w:t xml:space="preserve"> </w:t>
      </w:r>
      <w:r w:rsidR="00DB19B3" w:rsidRPr="00DB5643">
        <w:rPr>
          <w:snapToGrid w:val="0"/>
          <w:kern w:val="22"/>
          <w:szCs w:val="22"/>
          <w:lang w:val="ru-RU"/>
        </w:rPr>
        <w:t xml:space="preserve">больше по сравнению с исходным уровнем </w:t>
      </w:r>
      <w:r w:rsidR="004569FB" w:rsidRPr="00DB5643">
        <w:rPr>
          <w:snapToGrid w:val="0"/>
          <w:kern w:val="22"/>
          <w:szCs w:val="22"/>
          <w:lang w:val="ru-RU"/>
        </w:rPr>
        <w:t>(</w:t>
      </w:r>
      <w:r w:rsidR="007E67E3" w:rsidRPr="00DB5643">
        <w:rPr>
          <w:snapToGrid w:val="0"/>
          <w:kern w:val="22"/>
          <w:szCs w:val="22"/>
          <w:lang w:val="ru-RU"/>
        </w:rPr>
        <w:t>при следующих региональных изменениях</w:t>
      </w:r>
      <w:r w:rsidR="004569FB" w:rsidRPr="00DB5643">
        <w:rPr>
          <w:snapToGrid w:val="0"/>
          <w:kern w:val="22"/>
          <w:szCs w:val="22"/>
          <w:lang w:val="ru-RU"/>
        </w:rPr>
        <w:t xml:space="preserve">: </w:t>
      </w:r>
      <w:r w:rsidR="00DB19B3" w:rsidRPr="00DB5643">
        <w:rPr>
          <w:snapToGrid w:val="0"/>
          <w:kern w:val="22"/>
          <w:szCs w:val="22"/>
          <w:lang w:val="ru-RU"/>
        </w:rPr>
        <w:t xml:space="preserve">Азиатско-Тихоокеанский регион: </w:t>
      </w:r>
      <w:r w:rsidR="004569FB" w:rsidRPr="00DB5643">
        <w:rPr>
          <w:snapToGrid w:val="0"/>
          <w:kern w:val="22"/>
          <w:szCs w:val="22"/>
          <w:lang w:val="ru-RU"/>
        </w:rPr>
        <w:t>+38</w:t>
      </w:r>
      <w:r w:rsidR="00DB19B3" w:rsidRPr="00DB5643">
        <w:rPr>
          <w:snapToGrid w:val="0"/>
          <w:kern w:val="22"/>
          <w:szCs w:val="22"/>
          <w:lang w:val="ru-RU"/>
        </w:rPr>
        <w:t> </w:t>
      </w:r>
      <w:r w:rsidR="004569FB" w:rsidRPr="00DB5643">
        <w:rPr>
          <w:snapToGrid w:val="0"/>
          <w:kern w:val="22"/>
          <w:szCs w:val="22"/>
          <w:lang w:val="ru-RU"/>
        </w:rPr>
        <w:t xml:space="preserve">%; </w:t>
      </w:r>
      <w:proofErr w:type="spellStart"/>
      <w:r w:rsidR="00DB19B3" w:rsidRPr="00DB5643">
        <w:rPr>
          <w:snapToGrid w:val="0"/>
          <w:kern w:val="22"/>
          <w:szCs w:val="22"/>
          <w:lang w:val="ru-RU"/>
        </w:rPr>
        <w:t>ГРУЛАК</w:t>
      </w:r>
      <w:proofErr w:type="spellEnd"/>
      <w:r w:rsidR="00DB19B3" w:rsidRPr="00DB5643">
        <w:rPr>
          <w:snapToGrid w:val="0"/>
          <w:kern w:val="22"/>
          <w:szCs w:val="22"/>
          <w:lang w:val="ru-RU"/>
        </w:rPr>
        <w:t>:</w:t>
      </w:r>
      <w:r w:rsidR="004569FB" w:rsidRPr="00DB5643">
        <w:rPr>
          <w:snapToGrid w:val="0"/>
          <w:kern w:val="22"/>
          <w:szCs w:val="22"/>
          <w:lang w:val="ru-RU"/>
        </w:rPr>
        <w:t xml:space="preserve"> +3</w:t>
      </w:r>
      <w:r w:rsidR="00512F64" w:rsidRPr="00DB5643">
        <w:rPr>
          <w:snapToGrid w:val="0"/>
          <w:kern w:val="22"/>
          <w:szCs w:val="22"/>
          <w:lang w:val="ru-RU"/>
        </w:rPr>
        <w:t>1</w:t>
      </w:r>
      <w:r w:rsidR="00DB19B3" w:rsidRPr="00DB5643">
        <w:rPr>
          <w:snapToGrid w:val="0"/>
          <w:kern w:val="22"/>
          <w:szCs w:val="22"/>
          <w:lang w:val="ru-RU"/>
        </w:rPr>
        <w:t> </w:t>
      </w:r>
      <w:r w:rsidR="004569FB" w:rsidRPr="00DB5643">
        <w:rPr>
          <w:snapToGrid w:val="0"/>
          <w:kern w:val="22"/>
          <w:szCs w:val="22"/>
          <w:lang w:val="ru-RU"/>
        </w:rPr>
        <w:t xml:space="preserve">%; </w:t>
      </w:r>
      <w:r w:rsidR="00DB19B3" w:rsidRPr="00DB5643">
        <w:rPr>
          <w:snapToGrid w:val="0"/>
          <w:kern w:val="22"/>
          <w:szCs w:val="22"/>
          <w:lang w:val="ru-RU"/>
        </w:rPr>
        <w:t>Африка:</w:t>
      </w:r>
      <w:r w:rsidR="004569FB" w:rsidRPr="00DB5643">
        <w:rPr>
          <w:snapToGrid w:val="0"/>
          <w:kern w:val="22"/>
          <w:szCs w:val="22"/>
          <w:lang w:val="ru-RU"/>
        </w:rPr>
        <w:t xml:space="preserve"> +7</w:t>
      </w:r>
      <w:r w:rsidR="00DB19B3"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DB19B3" w:rsidRPr="00DB5643">
        <w:rPr>
          <w:snapToGrid w:val="0"/>
          <w:kern w:val="22"/>
          <w:szCs w:val="22"/>
          <w:lang w:val="ru-RU"/>
        </w:rPr>
        <w:t>:</w:t>
      </w:r>
      <w:r w:rsidR="004569FB" w:rsidRPr="00DB5643">
        <w:rPr>
          <w:snapToGrid w:val="0"/>
          <w:kern w:val="22"/>
          <w:szCs w:val="22"/>
          <w:lang w:val="ru-RU"/>
        </w:rPr>
        <w:t xml:space="preserve"> +6</w:t>
      </w:r>
      <w:r w:rsidR="00DB19B3"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DB19B3" w:rsidRPr="00DB5643">
        <w:rPr>
          <w:snapToGrid w:val="0"/>
          <w:kern w:val="22"/>
          <w:szCs w:val="22"/>
          <w:lang w:val="ru-RU"/>
        </w:rPr>
        <w:t>:</w:t>
      </w:r>
      <w:r w:rsidR="004569FB" w:rsidRPr="00DB5643">
        <w:rPr>
          <w:snapToGrid w:val="0"/>
          <w:kern w:val="22"/>
          <w:szCs w:val="22"/>
          <w:lang w:val="ru-RU"/>
        </w:rPr>
        <w:t xml:space="preserve"> </w:t>
      </w:r>
      <w:r w:rsidR="00DB19B3"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r w:rsidR="00DB19B3" w:rsidRPr="00DB5643">
        <w:rPr>
          <w:snapToGrid w:val="0"/>
          <w:kern w:val="22"/>
          <w:szCs w:val="22"/>
          <w:lang w:val="ru-RU"/>
        </w:rPr>
        <w:t xml:space="preserve">В общей </w:t>
      </w:r>
      <w:r w:rsidR="00DB19B3" w:rsidRPr="00DB5643">
        <w:rPr>
          <w:snapToGrid w:val="0"/>
          <w:kern w:val="22"/>
          <w:szCs w:val="22"/>
          <w:lang w:val="ru-RU"/>
        </w:rPr>
        <w:lastRenderedPageBreak/>
        <w:t>сложности</w:t>
      </w:r>
      <w:r w:rsidR="004569FB" w:rsidRPr="00DB5643">
        <w:rPr>
          <w:snapToGrid w:val="0"/>
          <w:kern w:val="22"/>
          <w:szCs w:val="22"/>
          <w:lang w:val="ru-RU"/>
        </w:rPr>
        <w:t xml:space="preserve"> 25</w:t>
      </w:r>
      <w:r w:rsidR="00DB19B3" w:rsidRPr="00DB5643">
        <w:rPr>
          <w:snapToGrid w:val="0"/>
          <w:kern w:val="22"/>
          <w:szCs w:val="22"/>
          <w:lang w:val="en-US"/>
        </w:rPr>
        <w:t> </w:t>
      </w:r>
      <w:r w:rsidR="004569FB" w:rsidRPr="00DB5643">
        <w:rPr>
          <w:snapToGrid w:val="0"/>
          <w:kern w:val="22"/>
          <w:szCs w:val="22"/>
          <w:lang w:val="ru-RU"/>
        </w:rPr>
        <w:t xml:space="preserve">% </w:t>
      </w:r>
      <w:r w:rsidR="00DB19B3" w:rsidRPr="00DB5643">
        <w:rPr>
          <w:snapToGrid w:val="0"/>
          <w:kern w:val="22"/>
          <w:szCs w:val="22"/>
          <w:lang w:val="ru-RU"/>
        </w:rPr>
        <w:t>Сторон</w:t>
      </w:r>
      <w:r w:rsidR="004569FB" w:rsidRPr="00DB5643">
        <w:rPr>
          <w:snapToGrid w:val="0"/>
          <w:kern w:val="22"/>
          <w:szCs w:val="22"/>
          <w:lang w:val="ru-RU"/>
        </w:rPr>
        <w:t xml:space="preserve"> (23 </w:t>
      </w:r>
      <w:r w:rsidR="00DB19B3" w:rsidRPr="00DB5643">
        <w:rPr>
          <w:snapToGrid w:val="0"/>
          <w:kern w:val="22"/>
          <w:szCs w:val="22"/>
          <w:lang w:val="ru-RU"/>
        </w:rPr>
        <w:t>Стороны</w:t>
      </w:r>
      <w:r w:rsidR="004569FB" w:rsidRPr="00DB5643">
        <w:rPr>
          <w:snapToGrid w:val="0"/>
          <w:kern w:val="22"/>
          <w:szCs w:val="22"/>
          <w:lang w:val="ru-RU"/>
        </w:rPr>
        <w:t xml:space="preserve">) </w:t>
      </w:r>
      <w:r w:rsidR="00DB19B3" w:rsidRPr="00DB5643">
        <w:rPr>
          <w:snapToGrid w:val="0"/>
          <w:kern w:val="22"/>
          <w:szCs w:val="22"/>
          <w:lang w:val="ru-RU"/>
        </w:rPr>
        <w:t>сообщили о том, что они не установили таких юридических требований</w:t>
      </w:r>
      <w:r w:rsidR="004569FB" w:rsidRPr="00DB5643">
        <w:rPr>
          <w:snapToGrid w:val="0"/>
          <w:kern w:val="22"/>
          <w:szCs w:val="22"/>
          <w:lang w:val="ru-RU"/>
        </w:rPr>
        <w:t xml:space="preserve">, </w:t>
      </w:r>
      <w:r w:rsidR="00DB19B3" w:rsidRPr="00DB5643">
        <w:rPr>
          <w:snapToGrid w:val="0"/>
          <w:kern w:val="22"/>
          <w:szCs w:val="22"/>
          <w:lang w:val="ru-RU"/>
        </w:rPr>
        <w:t xml:space="preserve">что соответствует уменьшению на </w:t>
      </w:r>
      <w:r w:rsidR="004569FB" w:rsidRPr="00DB5643">
        <w:rPr>
          <w:snapToGrid w:val="0"/>
          <w:kern w:val="22"/>
          <w:szCs w:val="22"/>
          <w:lang w:val="ru-RU"/>
        </w:rPr>
        <w:t>14</w:t>
      </w:r>
      <w:r w:rsidR="00DB19B3" w:rsidRPr="00DB5643">
        <w:rPr>
          <w:snapToGrid w:val="0"/>
          <w:kern w:val="22"/>
          <w:szCs w:val="22"/>
          <w:lang w:val="ru-RU"/>
        </w:rPr>
        <w:t> </w:t>
      </w:r>
      <w:r w:rsidR="004569FB" w:rsidRPr="00DB5643">
        <w:rPr>
          <w:snapToGrid w:val="0"/>
          <w:kern w:val="22"/>
          <w:szCs w:val="22"/>
          <w:lang w:val="ru-RU"/>
        </w:rPr>
        <w:t>%.</w:t>
      </w:r>
    </w:p>
    <w:p w14:paraId="240BE688" w14:textId="33D5D2E7" w:rsidR="004569FB" w:rsidRPr="00DB5643" w:rsidRDefault="00946F2E" w:rsidP="00B44100">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r>
        <w:rPr>
          <w:snapToGrid w:val="0"/>
          <w:kern w:val="22"/>
          <w:szCs w:val="22"/>
          <w:lang w:val="ru-RU"/>
        </w:rPr>
        <w:t>Что касается</w:t>
      </w:r>
      <w:r w:rsidR="004569FB" w:rsidRPr="00DB5643">
        <w:rPr>
          <w:snapToGrid w:val="0"/>
          <w:kern w:val="22"/>
          <w:szCs w:val="22"/>
          <w:lang w:val="ru-RU"/>
        </w:rPr>
        <w:t xml:space="preserve"> </w:t>
      </w:r>
      <w:r w:rsidR="00DB19B3" w:rsidRPr="00DB5643">
        <w:rPr>
          <w:b/>
          <w:snapToGrid w:val="0"/>
          <w:kern w:val="22"/>
          <w:szCs w:val="22"/>
          <w:lang w:val="ru-RU"/>
        </w:rPr>
        <w:t>индикатора</w:t>
      </w:r>
      <w:r w:rsidR="004569FB" w:rsidRPr="00DB5643">
        <w:rPr>
          <w:b/>
          <w:snapToGrid w:val="0"/>
          <w:kern w:val="22"/>
          <w:szCs w:val="22"/>
          <w:lang w:val="ru-RU"/>
        </w:rPr>
        <w:t xml:space="preserve"> 1.1.3</w:t>
      </w:r>
      <w:r w:rsidR="004569FB" w:rsidRPr="00DB5643">
        <w:rPr>
          <w:snapToGrid w:val="0"/>
          <w:kern w:val="22"/>
          <w:szCs w:val="22"/>
          <w:lang w:val="ru-RU"/>
        </w:rPr>
        <w:t xml:space="preserve"> (</w:t>
      </w:r>
      <w:r w:rsidR="00764BF1" w:rsidRPr="00DB5643">
        <w:rPr>
          <w:snapToGrid w:val="0"/>
          <w:kern w:val="22"/>
          <w:szCs w:val="22"/>
          <w:lang w:val="ru-RU"/>
        </w:rPr>
        <w:t>процентная доля Сторон, назначивших национальные координационные центры и компетентные национальные органы)</w:t>
      </w:r>
      <w:r>
        <w:rPr>
          <w:snapToGrid w:val="0"/>
          <w:kern w:val="22"/>
          <w:szCs w:val="22"/>
          <w:lang w:val="ru-RU"/>
        </w:rPr>
        <w:t>,</w:t>
      </w:r>
      <w:r w:rsidR="004569FB" w:rsidRPr="00DB5643">
        <w:rPr>
          <w:snapToGrid w:val="0"/>
          <w:kern w:val="22"/>
          <w:szCs w:val="22"/>
          <w:lang w:val="ru-RU"/>
        </w:rPr>
        <w:t xml:space="preserve"> 98</w:t>
      </w:r>
      <w:r w:rsidR="00764BF1" w:rsidRPr="00DB5643">
        <w:rPr>
          <w:snapToGrid w:val="0"/>
          <w:kern w:val="22"/>
          <w:szCs w:val="22"/>
          <w:lang w:val="ru-RU"/>
        </w:rPr>
        <w:t> </w:t>
      </w:r>
      <w:r w:rsidR="004569FB" w:rsidRPr="00DB5643">
        <w:rPr>
          <w:snapToGrid w:val="0"/>
          <w:kern w:val="22"/>
          <w:szCs w:val="22"/>
          <w:lang w:val="ru-RU"/>
        </w:rPr>
        <w:t xml:space="preserve">% </w:t>
      </w:r>
      <w:r w:rsidR="00764BF1" w:rsidRPr="00DB5643">
        <w:rPr>
          <w:snapToGrid w:val="0"/>
          <w:kern w:val="22"/>
          <w:szCs w:val="22"/>
          <w:lang w:val="ru-RU"/>
        </w:rPr>
        <w:t>всех Сторон Протокола</w:t>
      </w:r>
      <w:r w:rsidR="008753CB" w:rsidRPr="00DB5643">
        <w:rPr>
          <w:snapToGrid w:val="0"/>
          <w:kern w:val="22"/>
          <w:szCs w:val="22"/>
          <w:lang w:val="ru-RU"/>
        </w:rPr>
        <w:t xml:space="preserve"> (168 </w:t>
      </w:r>
      <w:r w:rsidR="00764BF1" w:rsidRPr="00DB5643">
        <w:rPr>
          <w:snapToGrid w:val="0"/>
          <w:kern w:val="22"/>
          <w:szCs w:val="22"/>
          <w:lang w:val="ru-RU"/>
        </w:rPr>
        <w:t>из</w:t>
      </w:r>
      <w:r w:rsidR="005F7EB9" w:rsidRPr="00DB5643">
        <w:rPr>
          <w:snapToGrid w:val="0"/>
          <w:kern w:val="22"/>
          <w:szCs w:val="22"/>
          <w:lang w:val="ru-RU"/>
        </w:rPr>
        <w:t xml:space="preserve"> 171 </w:t>
      </w:r>
      <w:r w:rsidR="00764BF1" w:rsidRPr="00DB5643">
        <w:rPr>
          <w:snapToGrid w:val="0"/>
          <w:kern w:val="22"/>
          <w:szCs w:val="22"/>
          <w:lang w:val="ru-RU"/>
        </w:rPr>
        <w:t>Сторон</w:t>
      </w:r>
      <w:r>
        <w:rPr>
          <w:snapToGrid w:val="0"/>
          <w:kern w:val="22"/>
          <w:szCs w:val="22"/>
          <w:lang w:val="ru-RU"/>
        </w:rPr>
        <w:t>ы</w:t>
      </w:r>
      <w:r w:rsidR="008753CB" w:rsidRPr="00DB5643">
        <w:rPr>
          <w:snapToGrid w:val="0"/>
          <w:kern w:val="22"/>
          <w:szCs w:val="22"/>
          <w:lang w:val="ru-RU"/>
        </w:rPr>
        <w:t xml:space="preserve">) </w:t>
      </w:r>
      <w:r w:rsidR="00764BF1" w:rsidRPr="00DB5643">
        <w:rPr>
          <w:snapToGrid w:val="0"/>
          <w:kern w:val="22"/>
          <w:szCs w:val="22"/>
          <w:lang w:val="ru-RU"/>
        </w:rPr>
        <w:t xml:space="preserve">назначили свои национальные координационные центры </w:t>
      </w:r>
      <w:r w:rsidR="009D11D8">
        <w:rPr>
          <w:snapToGrid w:val="0"/>
          <w:kern w:val="22"/>
          <w:szCs w:val="22"/>
          <w:lang w:val="ru-RU"/>
        </w:rPr>
        <w:t>по</w:t>
      </w:r>
      <w:r w:rsidR="00764BF1" w:rsidRPr="00DB5643">
        <w:rPr>
          <w:snapToGrid w:val="0"/>
          <w:kern w:val="22"/>
          <w:szCs w:val="22"/>
          <w:lang w:val="ru-RU"/>
        </w:rPr>
        <w:t xml:space="preserve"> </w:t>
      </w:r>
      <w:proofErr w:type="spellStart"/>
      <w:r w:rsidR="00764BF1" w:rsidRPr="00DB5643">
        <w:rPr>
          <w:snapToGrid w:val="0"/>
          <w:kern w:val="22"/>
          <w:szCs w:val="22"/>
          <w:lang w:val="ru-RU"/>
        </w:rPr>
        <w:t>Картахенско</w:t>
      </w:r>
      <w:r w:rsidR="009D11D8">
        <w:rPr>
          <w:snapToGrid w:val="0"/>
          <w:kern w:val="22"/>
          <w:szCs w:val="22"/>
          <w:lang w:val="ru-RU"/>
        </w:rPr>
        <w:t>му</w:t>
      </w:r>
      <w:proofErr w:type="spellEnd"/>
      <w:r w:rsidR="00764BF1" w:rsidRPr="00DB5643">
        <w:rPr>
          <w:snapToGrid w:val="0"/>
          <w:kern w:val="22"/>
          <w:szCs w:val="22"/>
          <w:lang w:val="ru-RU"/>
        </w:rPr>
        <w:t xml:space="preserve"> протокол</w:t>
      </w:r>
      <w:r w:rsidR="009D11D8">
        <w:rPr>
          <w:snapToGrid w:val="0"/>
          <w:kern w:val="22"/>
          <w:szCs w:val="22"/>
          <w:lang w:val="ru-RU"/>
        </w:rPr>
        <w:t>у</w:t>
      </w:r>
      <w:r w:rsidR="00122860" w:rsidRPr="00DB5643">
        <w:rPr>
          <w:snapToGrid w:val="0"/>
          <w:kern w:val="22"/>
          <w:szCs w:val="22"/>
          <w:lang w:val="ru-RU"/>
        </w:rPr>
        <w:t xml:space="preserve">. </w:t>
      </w:r>
      <w:r w:rsidR="00764BF1" w:rsidRPr="00DB5643">
        <w:rPr>
          <w:snapToGrid w:val="0"/>
          <w:kern w:val="22"/>
          <w:szCs w:val="22"/>
          <w:lang w:val="ru-RU"/>
        </w:rPr>
        <w:t xml:space="preserve">Это соответствует уменьшению на </w:t>
      </w:r>
      <w:r w:rsidR="00122860" w:rsidRPr="00DB5643">
        <w:rPr>
          <w:snapToGrid w:val="0"/>
          <w:kern w:val="22"/>
          <w:szCs w:val="22"/>
          <w:lang w:val="ru-RU"/>
        </w:rPr>
        <w:t>1</w:t>
      </w:r>
      <w:r w:rsidR="00764BF1" w:rsidRPr="00DB5643">
        <w:rPr>
          <w:snapToGrid w:val="0"/>
          <w:kern w:val="22"/>
          <w:szCs w:val="22"/>
          <w:lang w:val="en-US"/>
        </w:rPr>
        <w:t> </w:t>
      </w:r>
      <w:r w:rsidR="008753CB" w:rsidRPr="00DB5643">
        <w:rPr>
          <w:snapToGrid w:val="0"/>
          <w:kern w:val="22"/>
          <w:szCs w:val="22"/>
          <w:lang w:val="ru-RU"/>
        </w:rPr>
        <w:t xml:space="preserve">% </w:t>
      </w:r>
      <w:r w:rsidR="00764BF1" w:rsidRPr="00DB5643">
        <w:rPr>
          <w:snapToGrid w:val="0"/>
          <w:kern w:val="22"/>
          <w:szCs w:val="22"/>
          <w:lang w:val="ru-RU"/>
        </w:rPr>
        <w:t>по сравнению с исходным уровнем</w:t>
      </w:r>
      <w:r w:rsidR="00122860" w:rsidRPr="00DB5643">
        <w:rPr>
          <w:snapToGrid w:val="0"/>
          <w:kern w:val="22"/>
          <w:szCs w:val="22"/>
          <w:lang w:val="ru-RU"/>
        </w:rPr>
        <w:t xml:space="preserve">, </w:t>
      </w:r>
      <w:r w:rsidR="00764BF1" w:rsidRPr="00DB5643">
        <w:rPr>
          <w:snapToGrid w:val="0"/>
          <w:kern w:val="22"/>
          <w:szCs w:val="22"/>
          <w:lang w:val="ru-RU"/>
        </w:rPr>
        <w:t>при котором этот показатель составлял</w:t>
      </w:r>
      <w:r w:rsidR="00122860" w:rsidRPr="00DB5643">
        <w:rPr>
          <w:snapToGrid w:val="0"/>
          <w:kern w:val="22"/>
          <w:szCs w:val="22"/>
          <w:lang w:val="ru-RU"/>
        </w:rPr>
        <w:t xml:space="preserve"> 99</w:t>
      </w:r>
      <w:r w:rsidR="00764BF1" w:rsidRPr="00DB5643">
        <w:rPr>
          <w:snapToGrid w:val="0"/>
          <w:kern w:val="22"/>
          <w:szCs w:val="22"/>
          <w:lang w:val="en-US"/>
        </w:rPr>
        <w:t> </w:t>
      </w:r>
      <w:r w:rsidR="00122860" w:rsidRPr="00DB5643">
        <w:rPr>
          <w:snapToGrid w:val="0"/>
          <w:kern w:val="22"/>
          <w:szCs w:val="22"/>
          <w:lang w:val="ru-RU"/>
        </w:rPr>
        <w:t xml:space="preserve">% (159 </w:t>
      </w:r>
      <w:r w:rsidR="00764BF1" w:rsidRPr="00DB5643">
        <w:rPr>
          <w:snapToGrid w:val="0"/>
          <w:kern w:val="22"/>
          <w:szCs w:val="22"/>
          <w:lang w:val="ru-RU"/>
        </w:rPr>
        <w:t>из</w:t>
      </w:r>
      <w:r w:rsidR="00122860" w:rsidRPr="00DB5643">
        <w:rPr>
          <w:snapToGrid w:val="0"/>
          <w:kern w:val="22"/>
          <w:szCs w:val="22"/>
          <w:lang w:val="ru-RU"/>
        </w:rPr>
        <w:t xml:space="preserve"> 161 </w:t>
      </w:r>
      <w:r w:rsidR="00764BF1" w:rsidRPr="00DB5643">
        <w:rPr>
          <w:snapToGrid w:val="0"/>
          <w:kern w:val="22"/>
          <w:szCs w:val="22"/>
          <w:lang w:val="ru-RU"/>
        </w:rPr>
        <w:t>Стороны на тот момент</w:t>
      </w:r>
      <w:r w:rsidR="008753CB" w:rsidRPr="00DB5643">
        <w:rPr>
          <w:snapToGrid w:val="0"/>
          <w:kern w:val="22"/>
          <w:szCs w:val="22"/>
          <w:lang w:val="ru-RU"/>
        </w:rPr>
        <w:t>)</w:t>
      </w:r>
      <w:r w:rsidR="00764BF1" w:rsidRPr="00DB5643">
        <w:rPr>
          <w:snapToGrid w:val="0"/>
          <w:kern w:val="22"/>
          <w:szCs w:val="22"/>
          <w:lang w:val="ru-RU"/>
        </w:rPr>
        <w:t xml:space="preserve">. В общей сложности </w:t>
      </w:r>
      <w:r w:rsidR="00CE7EF4" w:rsidRPr="00DB5643">
        <w:rPr>
          <w:snapToGrid w:val="0"/>
          <w:kern w:val="22"/>
          <w:szCs w:val="22"/>
          <w:lang w:val="ru-RU"/>
        </w:rPr>
        <w:t>99</w:t>
      </w:r>
      <w:r w:rsidR="00764BF1" w:rsidRPr="00DB5643">
        <w:rPr>
          <w:snapToGrid w:val="0"/>
          <w:kern w:val="22"/>
          <w:szCs w:val="22"/>
          <w:lang w:val="en-US"/>
        </w:rPr>
        <w:t> </w:t>
      </w:r>
      <w:r w:rsidR="00CE7EF4" w:rsidRPr="00DB5643">
        <w:rPr>
          <w:snapToGrid w:val="0"/>
          <w:kern w:val="22"/>
          <w:szCs w:val="22"/>
          <w:lang w:val="ru-RU"/>
        </w:rPr>
        <w:t xml:space="preserve">% </w:t>
      </w:r>
      <w:r w:rsidR="00764BF1" w:rsidRPr="00DB5643">
        <w:rPr>
          <w:snapToGrid w:val="0"/>
          <w:kern w:val="22"/>
          <w:szCs w:val="22"/>
          <w:lang w:val="ru-RU"/>
        </w:rPr>
        <w:t>всех Сторон Протокола</w:t>
      </w:r>
      <w:r w:rsidR="00CE7EF4" w:rsidRPr="00DB5643">
        <w:rPr>
          <w:snapToGrid w:val="0"/>
          <w:kern w:val="22"/>
          <w:szCs w:val="22"/>
          <w:lang w:val="ru-RU"/>
        </w:rPr>
        <w:t xml:space="preserve"> </w:t>
      </w:r>
      <w:r w:rsidR="003B5E9D" w:rsidRPr="00DB5643">
        <w:rPr>
          <w:snapToGrid w:val="0"/>
          <w:kern w:val="22"/>
          <w:szCs w:val="22"/>
          <w:lang w:val="ru-RU"/>
        </w:rPr>
        <w:t xml:space="preserve">(169 </w:t>
      </w:r>
      <w:r w:rsidR="00764BF1" w:rsidRPr="00DB5643">
        <w:rPr>
          <w:snapToGrid w:val="0"/>
          <w:kern w:val="22"/>
          <w:szCs w:val="22"/>
          <w:lang w:val="ru-RU"/>
        </w:rPr>
        <w:t>Сторон</w:t>
      </w:r>
      <w:r w:rsidR="003B5E9D" w:rsidRPr="00DB5643">
        <w:rPr>
          <w:snapToGrid w:val="0"/>
          <w:kern w:val="22"/>
          <w:szCs w:val="22"/>
          <w:lang w:val="ru-RU"/>
        </w:rPr>
        <w:t>)</w:t>
      </w:r>
      <w:r w:rsidR="00764BF1" w:rsidRPr="00DB5643">
        <w:rPr>
          <w:snapToGrid w:val="0"/>
          <w:kern w:val="22"/>
          <w:szCs w:val="22"/>
          <w:lang w:val="ru-RU"/>
        </w:rPr>
        <w:t xml:space="preserve"> назначили</w:t>
      </w:r>
      <w:r w:rsidR="003B5E9D" w:rsidRPr="00DB5643">
        <w:rPr>
          <w:snapToGrid w:val="0"/>
          <w:kern w:val="22"/>
          <w:szCs w:val="22"/>
          <w:lang w:val="ru-RU"/>
        </w:rPr>
        <w:t xml:space="preserve"> </w:t>
      </w:r>
      <w:r w:rsidR="00764BF1" w:rsidRPr="00DB5643">
        <w:rPr>
          <w:snapToGrid w:val="0"/>
          <w:kern w:val="22"/>
          <w:szCs w:val="22"/>
          <w:lang w:val="ru-RU"/>
        </w:rPr>
        <w:t>свои координационные центры</w:t>
      </w:r>
      <w:r w:rsidR="00CE7EF4" w:rsidRPr="00DB5643">
        <w:rPr>
          <w:snapToGrid w:val="0"/>
          <w:kern w:val="22"/>
          <w:szCs w:val="22"/>
          <w:lang w:val="ru-RU"/>
        </w:rPr>
        <w:t xml:space="preserve"> </w:t>
      </w:r>
      <w:r w:rsidR="009D11D8">
        <w:rPr>
          <w:snapToGrid w:val="0"/>
          <w:kern w:val="22"/>
          <w:szCs w:val="22"/>
          <w:lang w:val="ru-RU"/>
        </w:rPr>
        <w:t>по</w:t>
      </w:r>
      <w:r w:rsidR="00764BF1" w:rsidRPr="00DB5643">
        <w:rPr>
          <w:snapToGrid w:val="0"/>
          <w:kern w:val="22"/>
          <w:szCs w:val="22"/>
          <w:lang w:val="ru-RU"/>
        </w:rPr>
        <w:t xml:space="preserve"> </w:t>
      </w:r>
      <w:proofErr w:type="spellStart"/>
      <w:r w:rsidR="00764BF1" w:rsidRPr="00DB5643">
        <w:rPr>
          <w:snapToGrid w:val="0"/>
          <w:kern w:val="22"/>
          <w:szCs w:val="22"/>
          <w:lang w:val="ru-RU"/>
        </w:rPr>
        <w:t>МПБ</w:t>
      </w:r>
      <w:proofErr w:type="spellEnd"/>
      <w:r w:rsidR="00122860" w:rsidRPr="00DB5643">
        <w:rPr>
          <w:snapToGrid w:val="0"/>
          <w:kern w:val="22"/>
          <w:szCs w:val="22"/>
          <w:lang w:val="ru-RU"/>
        </w:rPr>
        <w:t xml:space="preserve">. </w:t>
      </w:r>
      <w:r w:rsidR="00F8299B" w:rsidRPr="00DB5643">
        <w:rPr>
          <w:snapToGrid w:val="0"/>
          <w:kern w:val="22"/>
          <w:szCs w:val="22"/>
          <w:lang w:val="ru-RU"/>
        </w:rPr>
        <w:t>Это значение не изменилось по сравнению с исходным уровнем</w:t>
      </w:r>
      <w:r w:rsidR="00122860" w:rsidRPr="00DB5643">
        <w:rPr>
          <w:snapToGrid w:val="0"/>
          <w:kern w:val="22"/>
          <w:szCs w:val="22"/>
          <w:lang w:val="ru-RU"/>
        </w:rPr>
        <w:t xml:space="preserve">, </w:t>
      </w:r>
      <w:r w:rsidR="00F8299B" w:rsidRPr="00DB5643">
        <w:rPr>
          <w:snapToGrid w:val="0"/>
          <w:kern w:val="22"/>
          <w:szCs w:val="22"/>
          <w:lang w:val="ru-RU"/>
        </w:rPr>
        <w:t>когда оно также составляло</w:t>
      </w:r>
      <w:r w:rsidR="00122860" w:rsidRPr="00DB5643">
        <w:rPr>
          <w:snapToGrid w:val="0"/>
          <w:kern w:val="22"/>
          <w:szCs w:val="22"/>
          <w:lang w:val="ru-RU"/>
        </w:rPr>
        <w:t xml:space="preserve"> 99</w:t>
      </w:r>
      <w:r w:rsidR="00F8299B" w:rsidRPr="00DB5643">
        <w:rPr>
          <w:snapToGrid w:val="0"/>
          <w:kern w:val="22"/>
          <w:szCs w:val="22"/>
          <w:lang w:val="ru-RU"/>
        </w:rPr>
        <w:t> </w:t>
      </w:r>
      <w:r w:rsidR="00122860" w:rsidRPr="00DB5643">
        <w:rPr>
          <w:snapToGrid w:val="0"/>
          <w:kern w:val="22"/>
          <w:szCs w:val="22"/>
          <w:lang w:val="ru-RU"/>
        </w:rPr>
        <w:t xml:space="preserve">% (160 </w:t>
      </w:r>
      <w:r w:rsidR="00F8299B" w:rsidRPr="00DB5643">
        <w:rPr>
          <w:snapToGrid w:val="0"/>
          <w:kern w:val="22"/>
          <w:szCs w:val="22"/>
          <w:lang w:val="ru-RU"/>
        </w:rPr>
        <w:t>из</w:t>
      </w:r>
      <w:r w:rsidR="00122860" w:rsidRPr="00DB5643">
        <w:rPr>
          <w:snapToGrid w:val="0"/>
          <w:kern w:val="22"/>
          <w:szCs w:val="22"/>
          <w:lang w:val="ru-RU"/>
        </w:rPr>
        <w:t xml:space="preserve"> 161 </w:t>
      </w:r>
      <w:r w:rsidR="00F8299B" w:rsidRPr="00DB5643">
        <w:rPr>
          <w:snapToGrid w:val="0"/>
          <w:kern w:val="22"/>
          <w:szCs w:val="22"/>
          <w:lang w:val="ru-RU"/>
        </w:rPr>
        <w:t>Стороны на тот момент</w:t>
      </w:r>
      <w:r w:rsidR="00122860" w:rsidRPr="00DB5643">
        <w:rPr>
          <w:snapToGrid w:val="0"/>
          <w:kern w:val="22"/>
          <w:szCs w:val="22"/>
          <w:lang w:val="ru-RU"/>
        </w:rPr>
        <w:t>)</w:t>
      </w:r>
      <w:r w:rsidR="005F7EB9" w:rsidRPr="00DB5643">
        <w:rPr>
          <w:snapToGrid w:val="0"/>
          <w:kern w:val="22"/>
          <w:szCs w:val="22"/>
          <w:lang w:val="ru-RU"/>
        </w:rPr>
        <w:t>.</w:t>
      </w:r>
      <w:r w:rsidR="00CE7EF4" w:rsidRPr="00DB5643">
        <w:rPr>
          <w:snapToGrid w:val="0"/>
          <w:kern w:val="22"/>
          <w:szCs w:val="22"/>
          <w:lang w:val="ru-RU"/>
        </w:rPr>
        <w:t xml:space="preserve"> </w:t>
      </w:r>
      <w:r w:rsidR="00F8299B" w:rsidRPr="00DB5643">
        <w:rPr>
          <w:snapToGrid w:val="0"/>
          <w:kern w:val="22"/>
          <w:szCs w:val="22"/>
          <w:lang w:val="ru-RU"/>
        </w:rPr>
        <w:t xml:space="preserve">В общей сложности </w:t>
      </w:r>
      <w:r w:rsidR="003B5E9D" w:rsidRPr="00DB5643">
        <w:rPr>
          <w:snapToGrid w:val="0"/>
          <w:kern w:val="22"/>
          <w:szCs w:val="22"/>
          <w:lang w:val="ru-RU"/>
        </w:rPr>
        <w:t>89</w:t>
      </w:r>
      <w:r w:rsidR="00F8299B" w:rsidRPr="00DB5643">
        <w:rPr>
          <w:snapToGrid w:val="0"/>
          <w:kern w:val="22"/>
          <w:szCs w:val="22"/>
          <w:lang w:val="en-US"/>
        </w:rPr>
        <w:t> </w:t>
      </w:r>
      <w:r w:rsidR="003B5E9D" w:rsidRPr="00DB5643">
        <w:rPr>
          <w:snapToGrid w:val="0"/>
          <w:kern w:val="22"/>
          <w:szCs w:val="22"/>
          <w:lang w:val="ru-RU"/>
        </w:rPr>
        <w:t xml:space="preserve">% </w:t>
      </w:r>
      <w:r w:rsidR="00F8299B" w:rsidRPr="00DB5643">
        <w:rPr>
          <w:snapToGrid w:val="0"/>
          <w:kern w:val="22"/>
          <w:szCs w:val="22"/>
          <w:lang w:val="ru-RU"/>
        </w:rPr>
        <w:t xml:space="preserve">всех Сторон Протокола </w:t>
      </w:r>
      <w:r w:rsidR="003B5E9D" w:rsidRPr="00DB5643">
        <w:rPr>
          <w:snapToGrid w:val="0"/>
          <w:kern w:val="22"/>
          <w:szCs w:val="22"/>
          <w:lang w:val="ru-RU"/>
        </w:rPr>
        <w:t xml:space="preserve">(152 </w:t>
      </w:r>
      <w:r w:rsidR="00F8299B" w:rsidRPr="00DB5643">
        <w:rPr>
          <w:snapToGrid w:val="0"/>
          <w:kern w:val="22"/>
          <w:szCs w:val="22"/>
          <w:lang w:val="ru-RU"/>
        </w:rPr>
        <w:t>Стороны</w:t>
      </w:r>
      <w:r w:rsidR="003B5E9D" w:rsidRPr="00DB5643">
        <w:rPr>
          <w:snapToGrid w:val="0"/>
          <w:kern w:val="22"/>
          <w:szCs w:val="22"/>
          <w:lang w:val="ru-RU"/>
        </w:rPr>
        <w:t xml:space="preserve">) </w:t>
      </w:r>
      <w:r w:rsidR="00F8299B" w:rsidRPr="00DB5643">
        <w:rPr>
          <w:snapToGrid w:val="0"/>
          <w:kern w:val="22"/>
          <w:szCs w:val="22"/>
          <w:lang w:val="ru-RU"/>
        </w:rPr>
        <w:t>назначили один или несколько компетентных национальных органов</w:t>
      </w:r>
      <w:r w:rsidR="00122860" w:rsidRPr="00DB5643">
        <w:rPr>
          <w:snapToGrid w:val="0"/>
          <w:kern w:val="22"/>
          <w:szCs w:val="22"/>
          <w:lang w:val="ru-RU"/>
        </w:rPr>
        <w:t xml:space="preserve">. </w:t>
      </w:r>
      <w:r w:rsidR="00F8299B" w:rsidRPr="00DB5643">
        <w:rPr>
          <w:snapToGrid w:val="0"/>
          <w:kern w:val="22"/>
          <w:szCs w:val="22"/>
          <w:lang w:val="ru-RU"/>
        </w:rPr>
        <w:t>Это соответствует увеличению на</w:t>
      </w:r>
      <w:r w:rsidR="00122860" w:rsidRPr="00DB5643">
        <w:rPr>
          <w:snapToGrid w:val="0"/>
          <w:kern w:val="22"/>
          <w:szCs w:val="22"/>
          <w:lang w:val="ru-RU"/>
        </w:rPr>
        <w:t xml:space="preserve"> </w:t>
      </w:r>
      <w:r w:rsidR="005F606F" w:rsidRPr="00DB5643">
        <w:rPr>
          <w:snapToGrid w:val="0"/>
          <w:kern w:val="22"/>
          <w:szCs w:val="22"/>
          <w:lang w:val="ru-RU"/>
        </w:rPr>
        <w:t>1</w:t>
      </w:r>
      <w:r w:rsidR="00F8299B" w:rsidRPr="00DB5643">
        <w:rPr>
          <w:snapToGrid w:val="0"/>
          <w:kern w:val="22"/>
          <w:szCs w:val="22"/>
          <w:lang w:val="en-US"/>
        </w:rPr>
        <w:t> </w:t>
      </w:r>
      <w:r w:rsidR="00122860" w:rsidRPr="00DB5643">
        <w:rPr>
          <w:snapToGrid w:val="0"/>
          <w:kern w:val="22"/>
          <w:szCs w:val="22"/>
          <w:lang w:val="ru-RU"/>
        </w:rPr>
        <w:t xml:space="preserve">% </w:t>
      </w:r>
      <w:r w:rsidR="00F8299B" w:rsidRPr="00DB5643">
        <w:rPr>
          <w:snapToGrid w:val="0"/>
          <w:kern w:val="22"/>
          <w:szCs w:val="22"/>
          <w:lang w:val="ru-RU"/>
        </w:rPr>
        <w:t>по сравнению с исходным уровнем</w:t>
      </w:r>
      <w:r w:rsidR="00122860" w:rsidRPr="00DB5643">
        <w:rPr>
          <w:snapToGrid w:val="0"/>
          <w:kern w:val="22"/>
          <w:szCs w:val="22"/>
          <w:lang w:val="ru-RU"/>
        </w:rPr>
        <w:t xml:space="preserve">, </w:t>
      </w:r>
      <w:r w:rsidR="003E39DE" w:rsidRPr="00DB5643">
        <w:rPr>
          <w:snapToGrid w:val="0"/>
          <w:kern w:val="22"/>
          <w:szCs w:val="22"/>
          <w:lang w:val="ru-RU"/>
        </w:rPr>
        <w:t xml:space="preserve">при котором этот показатель составлял </w:t>
      </w:r>
      <w:r w:rsidR="00122860" w:rsidRPr="00DB5643">
        <w:rPr>
          <w:snapToGrid w:val="0"/>
          <w:kern w:val="22"/>
          <w:szCs w:val="22"/>
          <w:lang w:val="ru-RU"/>
        </w:rPr>
        <w:t>88</w:t>
      </w:r>
      <w:r w:rsidR="003E39DE" w:rsidRPr="00DB5643">
        <w:rPr>
          <w:snapToGrid w:val="0"/>
          <w:kern w:val="22"/>
          <w:szCs w:val="22"/>
          <w:lang w:val="ru-RU"/>
        </w:rPr>
        <w:t> </w:t>
      </w:r>
      <w:r w:rsidR="00122860" w:rsidRPr="00DB5643">
        <w:rPr>
          <w:snapToGrid w:val="0"/>
          <w:kern w:val="22"/>
          <w:szCs w:val="22"/>
          <w:lang w:val="ru-RU"/>
        </w:rPr>
        <w:t xml:space="preserve">% (142 </w:t>
      </w:r>
      <w:r w:rsidR="003E39DE" w:rsidRPr="00DB5643">
        <w:rPr>
          <w:snapToGrid w:val="0"/>
          <w:kern w:val="22"/>
          <w:szCs w:val="22"/>
          <w:lang w:val="ru-RU"/>
        </w:rPr>
        <w:t>из</w:t>
      </w:r>
      <w:r w:rsidR="00122860" w:rsidRPr="00DB5643">
        <w:rPr>
          <w:snapToGrid w:val="0"/>
          <w:kern w:val="22"/>
          <w:szCs w:val="22"/>
          <w:lang w:val="ru-RU"/>
        </w:rPr>
        <w:t xml:space="preserve"> 161 </w:t>
      </w:r>
      <w:r w:rsidR="003E39DE" w:rsidRPr="00DB5643">
        <w:rPr>
          <w:snapToGrid w:val="0"/>
          <w:kern w:val="22"/>
          <w:szCs w:val="22"/>
          <w:lang w:val="ru-RU"/>
        </w:rPr>
        <w:t>Стороны на тот момент</w:t>
      </w:r>
      <w:r w:rsidR="003B5E9D" w:rsidRPr="00DB5643">
        <w:rPr>
          <w:snapToGrid w:val="0"/>
          <w:kern w:val="22"/>
          <w:szCs w:val="22"/>
          <w:lang w:val="ru-RU"/>
        </w:rPr>
        <w:t xml:space="preserve">). </w:t>
      </w:r>
      <w:r w:rsidR="003E39DE" w:rsidRPr="00DB5643">
        <w:rPr>
          <w:snapToGrid w:val="0"/>
          <w:kern w:val="22"/>
          <w:szCs w:val="22"/>
          <w:lang w:val="ru-RU"/>
        </w:rPr>
        <w:t>Более того</w:t>
      </w:r>
      <w:r w:rsidR="003B5E9D" w:rsidRPr="00DB5643">
        <w:rPr>
          <w:snapToGrid w:val="0"/>
          <w:kern w:val="22"/>
          <w:szCs w:val="22"/>
          <w:lang w:val="ru-RU"/>
        </w:rPr>
        <w:t xml:space="preserve">, </w:t>
      </w:r>
      <w:r w:rsidR="003E39DE" w:rsidRPr="00DB5643">
        <w:rPr>
          <w:snapToGrid w:val="0"/>
          <w:kern w:val="22"/>
          <w:szCs w:val="22"/>
          <w:lang w:val="ru-RU"/>
        </w:rPr>
        <w:t>в общей сложности</w:t>
      </w:r>
      <w:r w:rsidR="003B5E9D" w:rsidRPr="00DB5643">
        <w:rPr>
          <w:snapToGrid w:val="0"/>
          <w:kern w:val="22"/>
          <w:szCs w:val="22"/>
          <w:lang w:val="ru-RU"/>
        </w:rPr>
        <w:t xml:space="preserve"> 78</w:t>
      </w:r>
      <w:r w:rsidR="003E39DE" w:rsidRPr="00DB5643">
        <w:rPr>
          <w:snapToGrid w:val="0"/>
          <w:kern w:val="22"/>
          <w:szCs w:val="22"/>
          <w:lang w:val="en-US"/>
        </w:rPr>
        <w:t> </w:t>
      </w:r>
      <w:r w:rsidR="003B5E9D" w:rsidRPr="00DB5643">
        <w:rPr>
          <w:snapToGrid w:val="0"/>
          <w:kern w:val="22"/>
          <w:szCs w:val="22"/>
          <w:lang w:val="ru-RU"/>
        </w:rPr>
        <w:t xml:space="preserve">% </w:t>
      </w:r>
      <w:r w:rsidR="003E39DE" w:rsidRPr="00DB5643">
        <w:rPr>
          <w:snapToGrid w:val="0"/>
          <w:kern w:val="22"/>
          <w:szCs w:val="22"/>
          <w:lang w:val="ru-RU"/>
        </w:rPr>
        <w:t>всех Сторон Протокола</w:t>
      </w:r>
      <w:r w:rsidR="003B5E9D" w:rsidRPr="00DB5643">
        <w:rPr>
          <w:snapToGrid w:val="0"/>
          <w:kern w:val="22"/>
          <w:szCs w:val="22"/>
          <w:lang w:val="ru-RU"/>
        </w:rPr>
        <w:t xml:space="preserve"> (133 </w:t>
      </w:r>
      <w:r w:rsidR="003E39DE" w:rsidRPr="00DB5643">
        <w:rPr>
          <w:snapToGrid w:val="0"/>
          <w:kern w:val="22"/>
          <w:szCs w:val="22"/>
          <w:lang w:val="ru-RU"/>
        </w:rPr>
        <w:t>Стороны</w:t>
      </w:r>
      <w:r w:rsidR="003B5E9D" w:rsidRPr="00DB5643">
        <w:rPr>
          <w:snapToGrid w:val="0"/>
          <w:kern w:val="22"/>
          <w:szCs w:val="22"/>
          <w:lang w:val="ru-RU"/>
        </w:rPr>
        <w:t xml:space="preserve">) </w:t>
      </w:r>
      <w:r w:rsidR="003E39DE" w:rsidRPr="00DB5643">
        <w:rPr>
          <w:snapToGrid w:val="0"/>
          <w:kern w:val="22"/>
          <w:szCs w:val="22"/>
          <w:lang w:val="ru-RU"/>
        </w:rPr>
        <w:t xml:space="preserve">предоставили в </w:t>
      </w:r>
      <w:proofErr w:type="spellStart"/>
      <w:r w:rsidR="006F0E95" w:rsidRPr="00DB5643">
        <w:rPr>
          <w:snapToGrid w:val="0"/>
          <w:kern w:val="22"/>
          <w:szCs w:val="22"/>
          <w:lang w:val="ru-RU"/>
        </w:rPr>
        <w:t>МПБ</w:t>
      </w:r>
      <w:proofErr w:type="spellEnd"/>
      <w:r w:rsidR="006F0E95" w:rsidRPr="00DB5643">
        <w:rPr>
          <w:snapToGrid w:val="0"/>
          <w:kern w:val="22"/>
          <w:szCs w:val="22"/>
          <w:lang w:val="ru-RU"/>
        </w:rPr>
        <w:t xml:space="preserve"> информацию об их контактных пунктах для получения уведомлений, предусмотренных статьей</w:t>
      </w:r>
      <w:r w:rsidR="003E39DE" w:rsidRPr="00DB5643">
        <w:rPr>
          <w:snapToGrid w:val="0"/>
          <w:kern w:val="22"/>
          <w:szCs w:val="22"/>
          <w:lang w:val="ru-RU"/>
        </w:rPr>
        <w:t xml:space="preserve"> </w:t>
      </w:r>
      <w:r w:rsidR="003B5E9D" w:rsidRPr="00DB5643">
        <w:rPr>
          <w:snapToGrid w:val="0"/>
          <w:kern w:val="22"/>
          <w:szCs w:val="22"/>
          <w:lang w:val="ru-RU"/>
        </w:rPr>
        <w:t>17</w:t>
      </w:r>
      <w:r w:rsidR="00122860" w:rsidRPr="00DB5643">
        <w:rPr>
          <w:snapToGrid w:val="0"/>
          <w:kern w:val="22"/>
          <w:szCs w:val="22"/>
          <w:lang w:val="ru-RU"/>
        </w:rPr>
        <w:t xml:space="preserve">. </w:t>
      </w:r>
      <w:r w:rsidR="006F0E95" w:rsidRPr="00DB5643">
        <w:rPr>
          <w:snapToGrid w:val="0"/>
          <w:kern w:val="22"/>
          <w:szCs w:val="22"/>
          <w:lang w:val="ru-RU"/>
        </w:rPr>
        <w:t>Это соответствует увеличению на</w:t>
      </w:r>
      <w:r w:rsidR="00122860" w:rsidRPr="00DB5643">
        <w:rPr>
          <w:snapToGrid w:val="0"/>
          <w:kern w:val="22"/>
          <w:szCs w:val="22"/>
          <w:lang w:val="ru-RU"/>
        </w:rPr>
        <w:t xml:space="preserve"> 34</w:t>
      </w:r>
      <w:r w:rsidR="006F0E95" w:rsidRPr="00DB5643">
        <w:rPr>
          <w:snapToGrid w:val="0"/>
          <w:kern w:val="22"/>
          <w:szCs w:val="22"/>
          <w:lang w:val="en-US"/>
        </w:rPr>
        <w:t> </w:t>
      </w:r>
      <w:r w:rsidR="003B5E9D" w:rsidRPr="00DB5643">
        <w:rPr>
          <w:snapToGrid w:val="0"/>
          <w:kern w:val="22"/>
          <w:szCs w:val="22"/>
          <w:lang w:val="ru-RU"/>
        </w:rPr>
        <w:t xml:space="preserve">% </w:t>
      </w:r>
      <w:r w:rsidR="006F0E95" w:rsidRPr="00DB5643">
        <w:rPr>
          <w:snapToGrid w:val="0"/>
          <w:kern w:val="22"/>
          <w:szCs w:val="22"/>
          <w:lang w:val="ru-RU"/>
        </w:rPr>
        <w:t xml:space="preserve">по сравнению с исходным уровнем, при котором этот показатель составлял </w:t>
      </w:r>
      <w:r w:rsidR="00122860" w:rsidRPr="00DB5643">
        <w:rPr>
          <w:snapToGrid w:val="0"/>
          <w:kern w:val="22"/>
          <w:szCs w:val="22"/>
          <w:lang w:val="ru-RU"/>
        </w:rPr>
        <w:t>44</w:t>
      </w:r>
      <w:r w:rsidR="006F0E95" w:rsidRPr="00DB5643">
        <w:rPr>
          <w:snapToGrid w:val="0"/>
          <w:kern w:val="22"/>
          <w:szCs w:val="22"/>
          <w:lang w:val="ru-RU"/>
        </w:rPr>
        <w:t> </w:t>
      </w:r>
      <w:r w:rsidR="00122860" w:rsidRPr="00DB5643">
        <w:rPr>
          <w:snapToGrid w:val="0"/>
          <w:kern w:val="22"/>
          <w:szCs w:val="22"/>
          <w:lang w:val="ru-RU"/>
        </w:rPr>
        <w:t xml:space="preserve">% (71 </w:t>
      </w:r>
      <w:r w:rsidR="006F0E95" w:rsidRPr="00DB5643">
        <w:rPr>
          <w:snapToGrid w:val="0"/>
          <w:kern w:val="22"/>
          <w:szCs w:val="22"/>
          <w:lang w:val="ru-RU"/>
        </w:rPr>
        <w:t>из</w:t>
      </w:r>
      <w:r w:rsidR="00122860" w:rsidRPr="00DB5643">
        <w:rPr>
          <w:snapToGrid w:val="0"/>
          <w:kern w:val="22"/>
          <w:szCs w:val="22"/>
          <w:lang w:val="ru-RU"/>
        </w:rPr>
        <w:t xml:space="preserve"> 161 </w:t>
      </w:r>
      <w:r w:rsidR="006F0E95" w:rsidRPr="00DB5643">
        <w:rPr>
          <w:snapToGrid w:val="0"/>
          <w:kern w:val="22"/>
          <w:szCs w:val="22"/>
          <w:lang w:val="ru-RU"/>
        </w:rPr>
        <w:t>Стороны на тот момент</w:t>
      </w:r>
      <w:r w:rsidR="00122860" w:rsidRPr="00DB5643">
        <w:rPr>
          <w:snapToGrid w:val="0"/>
          <w:kern w:val="22"/>
          <w:szCs w:val="22"/>
          <w:lang w:val="ru-RU"/>
        </w:rPr>
        <w:t>)</w:t>
      </w:r>
      <w:r w:rsidR="003B5E9D" w:rsidRPr="00DB5643">
        <w:rPr>
          <w:snapToGrid w:val="0"/>
          <w:kern w:val="22"/>
          <w:szCs w:val="22"/>
          <w:lang w:val="ru-RU"/>
        </w:rPr>
        <w:t xml:space="preserve">. </w:t>
      </w:r>
    </w:p>
    <w:p w14:paraId="1463CF52" w14:textId="03844E4C" w:rsidR="004569FB" w:rsidRPr="00DB5643" w:rsidRDefault="00946F2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Что касается</w:t>
      </w:r>
      <w:r w:rsidR="004569FB" w:rsidRPr="00DB5643">
        <w:rPr>
          <w:snapToGrid w:val="0"/>
          <w:kern w:val="22"/>
          <w:szCs w:val="22"/>
          <w:lang w:val="ru-RU"/>
        </w:rPr>
        <w:t xml:space="preserve"> </w:t>
      </w:r>
      <w:r w:rsidR="00F81333" w:rsidRPr="00DB5643">
        <w:rPr>
          <w:b/>
          <w:snapToGrid w:val="0"/>
          <w:kern w:val="22"/>
          <w:szCs w:val="22"/>
          <w:lang w:val="ru-RU"/>
        </w:rPr>
        <w:t>индикатора</w:t>
      </w:r>
      <w:r w:rsidR="004569FB" w:rsidRPr="00DB5643">
        <w:rPr>
          <w:b/>
          <w:snapToGrid w:val="0"/>
          <w:kern w:val="22"/>
          <w:szCs w:val="22"/>
          <w:lang w:val="ru-RU"/>
        </w:rPr>
        <w:t xml:space="preserve"> 1.1.4 </w:t>
      </w:r>
      <w:r w:rsidR="004569FB" w:rsidRPr="00DB5643">
        <w:rPr>
          <w:snapToGrid w:val="0"/>
          <w:kern w:val="22"/>
          <w:szCs w:val="22"/>
          <w:lang w:val="ru-RU"/>
        </w:rPr>
        <w:t>(</w:t>
      </w:r>
      <w:r w:rsidR="00F81333" w:rsidRPr="00DB5643">
        <w:rPr>
          <w:snapToGrid w:val="0"/>
          <w:kern w:val="22"/>
          <w:szCs w:val="22"/>
          <w:lang w:val="ru-RU"/>
        </w:rPr>
        <w:t xml:space="preserve">процентная доля Сторон, </w:t>
      </w:r>
      <w:r w:rsidR="00AE6BA0" w:rsidRPr="00AE6BA0">
        <w:rPr>
          <w:snapToGrid w:val="0"/>
          <w:kern w:val="22"/>
          <w:szCs w:val="22"/>
          <w:lang w:val="ru-RU"/>
        </w:rPr>
        <w:t>получивших уведомления согласно статье 8 Протокола или соответствующим положениям внутреннего законодательства</w:t>
      </w:r>
      <w:r w:rsidR="004569FB" w:rsidRPr="00DB5643">
        <w:rPr>
          <w:snapToGrid w:val="0"/>
          <w:kern w:val="22"/>
          <w:szCs w:val="22"/>
          <w:lang w:val="ru-RU"/>
        </w:rPr>
        <w:t>)</w:t>
      </w:r>
      <w:r>
        <w:rPr>
          <w:snapToGrid w:val="0"/>
          <w:kern w:val="22"/>
          <w:szCs w:val="22"/>
          <w:lang w:val="ru-RU"/>
        </w:rPr>
        <w:t>,</w:t>
      </w:r>
      <w:r w:rsidR="004569FB" w:rsidRPr="00DB5643">
        <w:rPr>
          <w:snapToGrid w:val="0"/>
          <w:kern w:val="22"/>
          <w:szCs w:val="22"/>
          <w:lang w:val="ru-RU"/>
        </w:rPr>
        <w:t xml:space="preserve"> 21</w:t>
      </w:r>
      <w:r w:rsidR="00D241FF" w:rsidRPr="00DB5643">
        <w:rPr>
          <w:snapToGrid w:val="0"/>
          <w:kern w:val="22"/>
          <w:szCs w:val="22"/>
          <w:lang w:val="en-US"/>
        </w:rPr>
        <w:t> </w:t>
      </w:r>
      <w:r w:rsidR="004569FB" w:rsidRPr="00DB5643">
        <w:rPr>
          <w:snapToGrid w:val="0"/>
          <w:kern w:val="22"/>
          <w:szCs w:val="22"/>
          <w:lang w:val="ru-RU"/>
        </w:rPr>
        <w:t xml:space="preserve">% </w:t>
      </w:r>
      <w:r w:rsidR="00D241FF" w:rsidRPr="00DB5643">
        <w:rPr>
          <w:snapToGrid w:val="0"/>
          <w:kern w:val="22"/>
          <w:szCs w:val="22"/>
          <w:lang w:val="ru-RU"/>
        </w:rPr>
        <w:t>Сторон</w:t>
      </w:r>
      <w:r w:rsidR="004569FB" w:rsidRPr="00DB5643">
        <w:rPr>
          <w:snapToGrid w:val="0"/>
          <w:kern w:val="22"/>
          <w:szCs w:val="22"/>
          <w:lang w:val="ru-RU"/>
        </w:rPr>
        <w:t xml:space="preserve"> (19</w:t>
      </w:r>
      <w:r w:rsidR="00BF2137" w:rsidRPr="00DB5643">
        <w:rPr>
          <w:snapToGrid w:val="0"/>
          <w:kern w:val="22"/>
          <w:szCs w:val="22"/>
        </w:rPr>
        <w:t> </w:t>
      </w:r>
      <w:r w:rsidR="00D241FF" w:rsidRPr="00DB5643">
        <w:rPr>
          <w:snapToGrid w:val="0"/>
          <w:kern w:val="22"/>
          <w:szCs w:val="22"/>
          <w:lang w:val="ru-RU"/>
        </w:rPr>
        <w:t>Сторон</w:t>
      </w:r>
      <w:r w:rsidR="004569FB" w:rsidRPr="00DB5643">
        <w:rPr>
          <w:snapToGrid w:val="0"/>
          <w:kern w:val="22"/>
          <w:szCs w:val="22"/>
          <w:lang w:val="ru-RU"/>
        </w:rPr>
        <w:t xml:space="preserve">) </w:t>
      </w:r>
      <w:r w:rsidR="00D241FF" w:rsidRPr="00DB5643">
        <w:rPr>
          <w:snapToGrid w:val="0"/>
          <w:kern w:val="22"/>
          <w:szCs w:val="22"/>
          <w:lang w:val="ru-RU"/>
        </w:rPr>
        <w:t>сообщили о получении ими уведомления о преднамеренных трансграничных перемещениях</w:t>
      </w:r>
      <w:r w:rsidR="004569FB" w:rsidRPr="00DB5643">
        <w:rPr>
          <w:snapToGrid w:val="0"/>
          <w:kern w:val="22"/>
          <w:szCs w:val="22"/>
          <w:lang w:val="ru-RU"/>
        </w:rPr>
        <w:t xml:space="preserve"> </w:t>
      </w:r>
      <w:proofErr w:type="spellStart"/>
      <w:r w:rsidR="00D241FF" w:rsidRPr="00DB5643">
        <w:rPr>
          <w:snapToGrid w:val="0"/>
          <w:kern w:val="22"/>
          <w:szCs w:val="22"/>
          <w:lang w:val="ru-RU"/>
        </w:rPr>
        <w:t>ЖИО</w:t>
      </w:r>
      <w:proofErr w:type="spellEnd"/>
      <w:r w:rsidR="00D241FF" w:rsidRPr="00DB5643">
        <w:rPr>
          <w:snapToGrid w:val="0"/>
          <w:kern w:val="22"/>
          <w:szCs w:val="22"/>
          <w:lang w:val="ru-RU"/>
        </w:rPr>
        <w:t xml:space="preserve"> для преднамеренной интродукции в окружающую среду</w:t>
      </w:r>
      <w:r w:rsidR="004569FB" w:rsidRPr="00DB5643">
        <w:rPr>
          <w:snapToGrid w:val="0"/>
          <w:kern w:val="22"/>
          <w:szCs w:val="22"/>
          <w:lang w:val="ru-RU"/>
        </w:rPr>
        <w:t xml:space="preserve">, </w:t>
      </w:r>
      <w:r w:rsidR="00D241FF" w:rsidRPr="00DB5643">
        <w:rPr>
          <w:snapToGrid w:val="0"/>
          <w:kern w:val="22"/>
          <w:szCs w:val="22"/>
          <w:lang w:val="ru-RU"/>
        </w:rPr>
        <w:t xml:space="preserve">что соответствует уменьшению на </w:t>
      </w:r>
      <w:r w:rsidR="004569FB" w:rsidRPr="00DB5643">
        <w:rPr>
          <w:snapToGrid w:val="0"/>
          <w:kern w:val="22"/>
          <w:szCs w:val="22"/>
          <w:lang w:val="ru-RU"/>
        </w:rPr>
        <w:t>13</w:t>
      </w:r>
      <w:r w:rsidR="00D241FF" w:rsidRPr="00DB5643">
        <w:rPr>
          <w:snapToGrid w:val="0"/>
          <w:kern w:val="22"/>
          <w:szCs w:val="22"/>
          <w:lang w:val="ru-RU"/>
        </w:rPr>
        <w:t> </w:t>
      </w:r>
      <w:r w:rsidR="004569FB" w:rsidRPr="00DB5643">
        <w:rPr>
          <w:snapToGrid w:val="0"/>
          <w:kern w:val="22"/>
          <w:szCs w:val="22"/>
          <w:lang w:val="ru-RU"/>
        </w:rPr>
        <w:t xml:space="preserve">% </w:t>
      </w:r>
      <w:r w:rsidR="00D241FF" w:rsidRPr="00DB5643">
        <w:rPr>
          <w:snapToGrid w:val="0"/>
          <w:kern w:val="22"/>
          <w:szCs w:val="22"/>
          <w:lang w:val="ru-RU"/>
        </w:rPr>
        <w:t xml:space="preserve">по сравнению с исходным уровнем </w:t>
      </w:r>
      <w:r w:rsidR="004569FB" w:rsidRPr="00DB5643">
        <w:rPr>
          <w:snapToGrid w:val="0"/>
          <w:kern w:val="22"/>
          <w:szCs w:val="22"/>
          <w:lang w:val="ru-RU"/>
        </w:rPr>
        <w:t>(</w:t>
      </w:r>
      <w:r w:rsidR="007E67E3" w:rsidRPr="00DB5643">
        <w:rPr>
          <w:snapToGrid w:val="0"/>
          <w:kern w:val="22"/>
          <w:szCs w:val="22"/>
          <w:lang w:val="ru-RU"/>
        </w:rPr>
        <w:t>при следующих региональных изменениях</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D241FF" w:rsidRPr="00DB5643">
        <w:rPr>
          <w:snapToGrid w:val="0"/>
          <w:kern w:val="22"/>
          <w:szCs w:val="22"/>
          <w:lang w:val="ru-RU"/>
        </w:rPr>
        <w:t>:</w:t>
      </w:r>
      <w:r w:rsidR="004569FB" w:rsidRPr="00DB5643">
        <w:rPr>
          <w:snapToGrid w:val="0"/>
          <w:kern w:val="22"/>
          <w:szCs w:val="22"/>
          <w:lang w:val="ru-RU"/>
        </w:rPr>
        <w:t xml:space="preserve"> -4</w:t>
      </w:r>
      <w:r w:rsidR="00512F64" w:rsidRPr="00DB5643">
        <w:rPr>
          <w:snapToGrid w:val="0"/>
          <w:kern w:val="22"/>
          <w:szCs w:val="22"/>
          <w:lang w:val="ru-RU"/>
        </w:rPr>
        <w:t>4</w:t>
      </w:r>
      <w:r w:rsidR="00D241FF"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D241FF" w:rsidRPr="00DB5643">
        <w:rPr>
          <w:snapToGrid w:val="0"/>
          <w:kern w:val="22"/>
          <w:szCs w:val="22"/>
          <w:lang w:val="ru-RU"/>
        </w:rPr>
        <w:t>:</w:t>
      </w:r>
      <w:r w:rsidR="004569FB" w:rsidRPr="00DB5643">
        <w:rPr>
          <w:snapToGrid w:val="0"/>
          <w:kern w:val="22"/>
          <w:szCs w:val="22"/>
          <w:lang w:val="ru-RU"/>
        </w:rPr>
        <w:t xml:space="preserve"> -19</w:t>
      </w:r>
      <w:r w:rsidR="00D241FF" w:rsidRPr="00DB5643">
        <w:rPr>
          <w:snapToGrid w:val="0"/>
          <w:kern w:val="22"/>
          <w:szCs w:val="22"/>
          <w:lang w:val="ru-RU"/>
        </w:rPr>
        <w:t> </w:t>
      </w:r>
      <w:r w:rsidR="004569FB" w:rsidRPr="00DB5643">
        <w:rPr>
          <w:snapToGrid w:val="0"/>
          <w:kern w:val="22"/>
          <w:szCs w:val="22"/>
          <w:lang w:val="ru-RU"/>
        </w:rPr>
        <w:t xml:space="preserve">%; </w:t>
      </w:r>
      <w:proofErr w:type="spellStart"/>
      <w:r>
        <w:rPr>
          <w:snapToGrid w:val="0"/>
          <w:kern w:val="22"/>
          <w:szCs w:val="22"/>
          <w:lang w:val="ru-RU"/>
        </w:rPr>
        <w:t>ГРУЛАК</w:t>
      </w:r>
      <w:proofErr w:type="spellEnd"/>
      <w:r w:rsidR="00D241FF" w:rsidRPr="00DB5643">
        <w:rPr>
          <w:snapToGrid w:val="0"/>
          <w:kern w:val="22"/>
          <w:szCs w:val="22"/>
          <w:lang w:val="ru-RU"/>
        </w:rPr>
        <w:t>:</w:t>
      </w:r>
      <w:r w:rsidR="004569FB" w:rsidRPr="00DB5643">
        <w:rPr>
          <w:snapToGrid w:val="0"/>
          <w:kern w:val="22"/>
          <w:szCs w:val="22"/>
          <w:lang w:val="ru-RU"/>
        </w:rPr>
        <w:t xml:space="preserve"> -8</w:t>
      </w:r>
      <w:r w:rsidR="00D241FF" w:rsidRPr="00DB5643">
        <w:rPr>
          <w:snapToGrid w:val="0"/>
          <w:kern w:val="22"/>
          <w:szCs w:val="22"/>
          <w:lang w:val="ru-RU"/>
        </w:rPr>
        <w:t> </w:t>
      </w:r>
      <w:r w:rsidR="004569FB" w:rsidRPr="00DB5643">
        <w:rPr>
          <w:snapToGrid w:val="0"/>
          <w:kern w:val="22"/>
          <w:szCs w:val="22"/>
          <w:lang w:val="ru-RU"/>
        </w:rPr>
        <w:t xml:space="preserve">%; </w:t>
      </w:r>
      <w:r w:rsidR="00F971E3" w:rsidRPr="00DB5643">
        <w:rPr>
          <w:snapToGrid w:val="0"/>
          <w:kern w:val="22"/>
          <w:szCs w:val="22"/>
          <w:lang w:val="ru-RU"/>
        </w:rPr>
        <w:t>Африка и Азиатско-Тихоокеанский регион</w:t>
      </w:r>
      <w:r w:rsidR="004569FB" w:rsidRPr="00DB5643">
        <w:rPr>
          <w:snapToGrid w:val="0"/>
          <w:kern w:val="22"/>
          <w:szCs w:val="22"/>
          <w:lang w:val="ru-RU"/>
        </w:rPr>
        <w:t xml:space="preserve">: </w:t>
      </w:r>
      <w:r w:rsidR="00F971E3"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r w:rsidR="00F971E3" w:rsidRPr="00DB5643">
        <w:rPr>
          <w:snapToGrid w:val="0"/>
          <w:kern w:val="22"/>
          <w:szCs w:val="22"/>
          <w:lang w:val="ru-RU"/>
        </w:rPr>
        <w:t xml:space="preserve">Некоторые из этих изменений могут быть связаны с </w:t>
      </w:r>
      <w:r w:rsidR="00AE4955" w:rsidRPr="00DB5643">
        <w:rPr>
          <w:snapToGrid w:val="0"/>
          <w:kern w:val="22"/>
          <w:szCs w:val="22"/>
          <w:lang w:val="ru-RU"/>
        </w:rPr>
        <w:t>пересмотром вопроса в формате четвертого национального доклада</w:t>
      </w:r>
      <w:r w:rsidR="004569FB" w:rsidRPr="00DB5643">
        <w:rPr>
          <w:snapToGrid w:val="0"/>
          <w:kern w:val="22"/>
          <w:szCs w:val="22"/>
          <w:lang w:val="ru-RU"/>
        </w:rPr>
        <w:t xml:space="preserve">, </w:t>
      </w:r>
      <w:r w:rsidR="00AE4955" w:rsidRPr="00DB5643">
        <w:rPr>
          <w:snapToGrid w:val="0"/>
          <w:kern w:val="22"/>
          <w:szCs w:val="22"/>
          <w:lang w:val="ru-RU"/>
        </w:rPr>
        <w:t>который</w:t>
      </w:r>
      <w:r w:rsidR="004569FB" w:rsidRPr="00DB5643">
        <w:rPr>
          <w:snapToGrid w:val="0"/>
          <w:kern w:val="22"/>
          <w:szCs w:val="22"/>
          <w:lang w:val="ru-RU"/>
        </w:rPr>
        <w:t xml:space="preserve"> </w:t>
      </w:r>
      <w:r w:rsidR="00AE4955" w:rsidRPr="00DB5643">
        <w:rPr>
          <w:snapToGrid w:val="0"/>
          <w:kern w:val="22"/>
          <w:szCs w:val="22"/>
          <w:lang w:val="ru-RU"/>
        </w:rPr>
        <w:t>был ограничен отчетным периодом</w:t>
      </w:r>
      <w:r w:rsidR="004569FB" w:rsidRPr="00DB5643">
        <w:rPr>
          <w:snapToGrid w:val="0"/>
          <w:kern w:val="22"/>
          <w:szCs w:val="22"/>
          <w:lang w:val="ru-RU"/>
        </w:rPr>
        <w:t xml:space="preserve">, </w:t>
      </w:r>
      <w:r w:rsidR="00AE4955" w:rsidRPr="00DB5643">
        <w:rPr>
          <w:snapToGrid w:val="0"/>
          <w:kern w:val="22"/>
          <w:szCs w:val="22"/>
          <w:lang w:val="ru-RU"/>
        </w:rPr>
        <w:t>тогда как во втором национальном докладе он был открытым</w:t>
      </w:r>
      <w:r w:rsidR="004569FB" w:rsidRPr="00DB5643">
        <w:rPr>
          <w:snapToGrid w:val="0"/>
          <w:kern w:val="22"/>
          <w:szCs w:val="22"/>
          <w:lang w:val="ru-RU"/>
        </w:rPr>
        <w:t xml:space="preserve">. </w:t>
      </w:r>
    </w:p>
    <w:p w14:paraId="5415410C" w14:textId="6A5BDBBF" w:rsidR="004569FB" w:rsidRPr="00DB5643" w:rsidRDefault="00AE4955"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Наконец</w:t>
      </w:r>
      <w:r w:rsidR="004569FB" w:rsidRPr="00DB5643">
        <w:rPr>
          <w:snapToGrid w:val="0"/>
          <w:kern w:val="22"/>
          <w:szCs w:val="22"/>
          <w:lang w:val="ru-RU"/>
        </w:rPr>
        <w:t xml:space="preserve">, </w:t>
      </w:r>
      <w:r w:rsidR="00AE6BA0">
        <w:rPr>
          <w:snapToGrid w:val="0"/>
          <w:kern w:val="22"/>
          <w:szCs w:val="22"/>
          <w:lang w:val="ru-RU"/>
        </w:rPr>
        <w:t>что касается</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1.1.5</w:t>
      </w:r>
      <w:r w:rsidR="004569FB" w:rsidRPr="00DB5643">
        <w:rPr>
          <w:snapToGrid w:val="0"/>
          <w:kern w:val="22"/>
          <w:szCs w:val="22"/>
          <w:lang w:val="ru-RU"/>
        </w:rPr>
        <w:t xml:space="preserve"> (</w:t>
      </w:r>
      <w:r w:rsidRPr="00DB5643">
        <w:rPr>
          <w:snapToGrid w:val="0"/>
          <w:kern w:val="22"/>
          <w:szCs w:val="22"/>
          <w:lang w:val="ru-RU"/>
        </w:rPr>
        <w:t xml:space="preserve">процент Сторон, </w:t>
      </w:r>
      <w:r w:rsidR="00AE6BA0" w:rsidRPr="00AE6BA0">
        <w:rPr>
          <w:snapToGrid w:val="0"/>
          <w:kern w:val="22"/>
          <w:szCs w:val="22"/>
          <w:lang w:val="ru-RU"/>
        </w:rPr>
        <w:t>принявших решения об импорте согласно статье 10 Протокола или соответствующим положениям внутреннего законодательства</w:t>
      </w:r>
      <w:r w:rsidR="004569FB" w:rsidRPr="00DB5643">
        <w:rPr>
          <w:snapToGrid w:val="0"/>
          <w:kern w:val="22"/>
          <w:szCs w:val="22"/>
          <w:lang w:val="ru-RU"/>
        </w:rPr>
        <w:t>)</w:t>
      </w:r>
      <w:r w:rsidR="00AE6BA0">
        <w:rPr>
          <w:snapToGrid w:val="0"/>
          <w:kern w:val="22"/>
          <w:szCs w:val="22"/>
          <w:lang w:val="ru-RU"/>
        </w:rPr>
        <w:t>,</w:t>
      </w:r>
      <w:r w:rsidR="004569FB" w:rsidRPr="00DB5643">
        <w:rPr>
          <w:snapToGrid w:val="0"/>
          <w:kern w:val="22"/>
          <w:szCs w:val="22"/>
          <w:lang w:val="ru-RU"/>
        </w:rPr>
        <w:t xml:space="preserve"> 19</w:t>
      </w:r>
      <w:r w:rsidR="0075792A" w:rsidRPr="00DB5643">
        <w:rPr>
          <w:snapToGrid w:val="0"/>
          <w:kern w:val="22"/>
          <w:szCs w:val="22"/>
          <w:lang w:val="en-US"/>
        </w:rPr>
        <w:t> </w:t>
      </w:r>
      <w:r w:rsidR="004569FB" w:rsidRPr="00DB5643">
        <w:rPr>
          <w:snapToGrid w:val="0"/>
          <w:kern w:val="22"/>
          <w:szCs w:val="22"/>
          <w:lang w:val="ru-RU"/>
        </w:rPr>
        <w:t xml:space="preserve">% </w:t>
      </w:r>
      <w:r w:rsidR="0075792A" w:rsidRPr="00DB5643">
        <w:rPr>
          <w:snapToGrid w:val="0"/>
          <w:kern w:val="22"/>
          <w:szCs w:val="22"/>
          <w:lang w:val="ru-RU"/>
        </w:rPr>
        <w:t>Сторон</w:t>
      </w:r>
      <w:r w:rsidR="004569FB" w:rsidRPr="00DB5643">
        <w:rPr>
          <w:snapToGrid w:val="0"/>
          <w:kern w:val="22"/>
          <w:szCs w:val="22"/>
          <w:lang w:val="ru-RU"/>
        </w:rPr>
        <w:t xml:space="preserve"> (15 </w:t>
      </w:r>
      <w:r w:rsidR="0075792A" w:rsidRPr="00DB5643">
        <w:rPr>
          <w:snapToGrid w:val="0"/>
          <w:kern w:val="22"/>
          <w:szCs w:val="22"/>
          <w:lang w:val="ru-RU"/>
        </w:rPr>
        <w:t>Сторон</w:t>
      </w:r>
      <w:r w:rsidR="004569FB" w:rsidRPr="00DB5643">
        <w:rPr>
          <w:snapToGrid w:val="0"/>
          <w:kern w:val="22"/>
          <w:szCs w:val="22"/>
          <w:lang w:val="ru-RU"/>
        </w:rPr>
        <w:t xml:space="preserve">) </w:t>
      </w:r>
      <w:r w:rsidR="0075792A" w:rsidRPr="00DB5643">
        <w:rPr>
          <w:snapToGrid w:val="0"/>
          <w:kern w:val="22"/>
          <w:szCs w:val="22"/>
          <w:lang w:val="ru-RU"/>
        </w:rPr>
        <w:t xml:space="preserve">сообщили о принятии ими решений в ответ на уведомление о преднамеренных трансграничных перемещениях </w:t>
      </w:r>
      <w:proofErr w:type="spellStart"/>
      <w:r w:rsidR="0075792A" w:rsidRPr="00DB5643">
        <w:rPr>
          <w:snapToGrid w:val="0"/>
          <w:kern w:val="22"/>
          <w:szCs w:val="22"/>
          <w:lang w:val="ru-RU"/>
        </w:rPr>
        <w:t>ЖИО</w:t>
      </w:r>
      <w:proofErr w:type="spellEnd"/>
      <w:r w:rsidR="0075792A" w:rsidRPr="00DB5643">
        <w:rPr>
          <w:snapToGrid w:val="0"/>
          <w:kern w:val="22"/>
          <w:szCs w:val="22"/>
          <w:lang w:val="ru-RU"/>
        </w:rPr>
        <w:t xml:space="preserve"> для преднамеренной интродукции в окружающую среду в течение данного отчетного цикла</w:t>
      </w:r>
      <w:r w:rsidR="004569FB" w:rsidRPr="00DB5643">
        <w:rPr>
          <w:snapToGrid w:val="0"/>
          <w:kern w:val="22"/>
          <w:szCs w:val="22"/>
          <w:lang w:val="ru-RU"/>
        </w:rPr>
        <w:t xml:space="preserve">, </w:t>
      </w:r>
      <w:r w:rsidR="0075792A" w:rsidRPr="00DB5643">
        <w:rPr>
          <w:snapToGrid w:val="0"/>
          <w:kern w:val="22"/>
          <w:szCs w:val="22"/>
          <w:lang w:val="ru-RU"/>
        </w:rPr>
        <w:t>что соответствует уменьшению на</w:t>
      </w:r>
      <w:r w:rsidR="004569FB" w:rsidRPr="00DB5643">
        <w:rPr>
          <w:snapToGrid w:val="0"/>
          <w:kern w:val="22"/>
          <w:szCs w:val="22"/>
          <w:lang w:val="ru-RU"/>
        </w:rPr>
        <w:t xml:space="preserve"> 14</w:t>
      </w:r>
      <w:r w:rsidR="0075792A" w:rsidRPr="00DB5643">
        <w:rPr>
          <w:snapToGrid w:val="0"/>
          <w:kern w:val="22"/>
          <w:szCs w:val="22"/>
          <w:lang w:val="ru-RU"/>
        </w:rPr>
        <w:t> </w:t>
      </w:r>
      <w:r w:rsidR="004569FB" w:rsidRPr="00DB5643">
        <w:rPr>
          <w:snapToGrid w:val="0"/>
          <w:kern w:val="22"/>
          <w:szCs w:val="22"/>
          <w:lang w:val="ru-RU"/>
        </w:rPr>
        <w:t>% (</w:t>
      </w:r>
      <w:r w:rsidR="007E67E3" w:rsidRPr="00DB5643">
        <w:rPr>
          <w:snapToGrid w:val="0"/>
          <w:kern w:val="22"/>
          <w:szCs w:val="22"/>
          <w:lang w:val="ru-RU"/>
        </w:rPr>
        <w:t>при следующих региональных изменениях</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75792A" w:rsidRPr="00DB5643">
        <w:rPr>
          <w:snapToGrid w:val="0"/>
          <w:kern w:val="22"/>
          <w:szCs w:val="22"/>
          <w:lang w:val="ru-RU"/>
        </w:rPr>
        <w:t>:</w:t>
      </w:r>
      <w:r w:rsidR="004569FB" w:rsidRPr="00DB5643">
        <w:rPr>
          <w:snapToGrid w:val="0"/>
          <w:kern w:val="22"/>
          <w:szCs w:val="22"/>
          <w:lang w:val="ru-RU"/>
        </w:rPr>
        <w:t xml:space="preserve"> -41</w:t>
      </w:r>
      <w:r w:rsidR="0075792A"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75792A" w:rsidRPr="00DB5643">
        <w:rPr>
          <w:snapToGrid w:val="0"/>
          <w:kern w:val="22"/>
          <w:szCs w:val="22"/>
          <w:lang w:val="ru-RU"/>
        </w:rPr>
        <w:t>:</w:t>
      </w:r>
      <w:r w:rsidR="004569FB" w:rsidRPr="00DB5643">
        <w:rPr>
          <w:snapToGrid w:val="0"/>
          <w:kern w:val="22"/>
          <w:szCs w:val="22"/>
          <w:lang w:val="ru-RU"/>
        </w:rPr>
        <w:t xml:space="preserve"> -20</w:t>
      </w:r>
      <w:r w:rsidR="0075792A" w:rsidRPr="00DB5643">
        <w:rPr>
          <w:snapToGrid w:val="0"/>
          <w:kern w:val="22"/>
          <w:szCs w:val="22"/>
          <w:lang w:val="ru-RU"/>
        </w:rPr>
        <w:t> </w:t>
      </w:r>
      <w:r w:rsidR="004569FB" w:rsidRPr="00DB5643">
        <w:rPr>
          <w:snapToGrid w:val="0"/>
          <w:kern w:val="22"/>
          <w:szCs w:val="22"/>
          <w:lang w:val="ru-RU"/>
        </w:rPr>
        <w:t xml:space="preserve">%; </w:t>
      </w:r>
      <w:proofErr w:type="spellStart"/>
      <w:r w:rsidR="0075792A" w:rsidRPr="00DB5643">
        <w:rPr>
          <w:snapToGrid w:val="0"/>
          <w:kern w:val="22"/>
          <w:szCs w:val="22"/>
          <w:lang w:val="ru-RU"/>
        </w:rPr>
        <w:t>ГРУЛАК</w:t>
      </w:r>
      <w:proofErr w:type="spellEnd"/>
      <w:r w:rsidR="0075792A" w:rsidRPr="00DB5643">
        <w:rPr>
          <w:snapToGrid w:val="0"/>
          <w:kern w:val="22"/>
          <w:szCs w:val="22"/>
          <w:lang w:val="ru-RU"/>
        </w:rPr>
        <w:t>:</w:t>
      </w:r>
      <w:r w:rsidR="004569FB" w:rsidRPr="00DB5643">
        <w:rPr>
          <w:snapToGrid w:val="0"/>
          <w:kern w:val="22"/>
          <w:szCs w:val="22"/>
          <w:lang w:val="ru-RU"/>
        </w:rPr>
        <w:t xml:space="preserve"> -10</w:t>
      </w:r>
      <w:r w:rsidR="0075792A" w:rsidRPr="00DB5643">
        <w:rPr>
          <w:snapToGrid w:val="0"/>
          <w:kern w:val="22"/>
          <w:szCs w:val="22"/>
          <w:lang w:val="ru-RU"/>
        </w:rPr>
        <w:t> </w:t>
      </w:r>
      <w:r w:rsidR="004569FB" w:rsidRPr="00DB5643">
        <w:rPr>
          <w:snapToGrid w:val="0"/>
          <w:kern w:val="22"/>
          <w:szCs w:val="22"/>
          <w:lang w:val="ru-RU"/>
        </w:rPr>
        <w:t xml:space="preserve">%; </w:t>
      </w:r>
      <w:r w:rsidR="0075792A" w:rsidRPr="00DB5643">
        <w:rPr>
          <w:snapToGrid w:val="0"/>
          <w:kern w:val="22"/>
          <w:szCs w:val="22"/>
          <w:lang w:val="ru-RU"/>
        </w:rPr>
        <w:t xml:space="preserve">Азиатско-Тихоокеанский регион: </w:t>
      </w:r>
      <w:r w:rsidR="004569FB" w:rsidRPr="00DB5643">
        <w:rPr>
          <w:snapToGrid w:val="0"/>
          <w:kern w:val="22"/>
          <w:szCs w:val="22"/>
          <w:lang w:val="ru-RU"/>
        </w:rPr>
        <w:t>-</w:t>
      </w:r>
      <w:r w:rsidR="00490ACD" w:rsidRPr="00DB5643">
        <w:rPr>
          <w:snapToGrid w:val="0"/>
          <w:kern w:val="22"/>
          <w:szCs w:val="22"/>
          <w:lang w:val="ru-RU"/>
        </w:rPr>
        <w:t>8</w:t>
      </w:r>
      <w:r w:rsidR="0075792A" w:rsidRPr="00DB5643">
        <w:rPr>
          <w:snapToGrid w:val="0"/>
          <w:kern w:val="22"/>
          <w:szCs w:val="22"/>
          <w:lang w:val="ru-RU"/>
        </w:rPr>
        <w:t> </w:t>
      </w:r>
      <w:r w:rsidR="004569FB" w:rsidRPr="00DB5643">
        <w:rPr>
          <w:snapToGrid w:val="0"/>
          <w:kern w:val="22"/>
          <w:szCs w:val="22"/>
          <w:lang w:val="ru-RU"/>
        </w:rPr>
        <w:t xml:space="preserve">%; </w:t>
      </w:r>
      <w:r w:rsidR="0075792A" w:rsidRPr="00DB5643">
        <w:rPr>
          <w:snapToGrid w:val="0"/>
          <w:kern w:val="22"/>
          <w:szCs w:val="22"/>
          <w:lang w:val="ru-RU"/>
        </w:rPr>
        <w:t>Африка</w:t>
      </w:r>
      <w:r w:rsidR="004569FB" w:rsidRPr="00DB5643">
        <w:rPr>
          <w:snapToGrid w:val="0"/>
          <w:kern w:val="22"/>
          <w:szCs w:val="22"/>
          <w:lang w:val="ru-RU"/>
        </w:rPr>
        <w:t xml:space="preserve">: </w:t>
      </w:r>
      <w:r w:rsidR="0075792A"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r w:rsidR="00AE6BA0">
        <w:rPr>
          <w:snapToGrid w:val="0"/>
          <w:kern w:val="22"/>
          <w:szCs w:val="22"/>
          <w:lang w:val="ru-RU"/>
        </w:rPr>
        <w:br/>
      </w:r>
      <w:r w:rsidR="004569FB" w:rsidRPr="00DB5643">
        <w:rPr>
          <w:snapToGrid w:val="0"/>
          <w:kern w:val="22"/>
          <w:szCs w:val="22"/>
          <w:lang w:val="ru-RU"/>
        </w:rPr>
        <w:t xml:space="preserve">7 </w:t>
      </w:r>
      <w:r w:rsidR="0075792A" w:rsidRPr="00DB5643">
        <w:rPr>
          <w:snapToGrid w:val="0"/>
          <w:kern w:val="22"/>
          <w:szCs w:val="22"/>
          <w:lang w:val="ru-RU"/>
        </w:rPr>
        <w:t>Сторон, принявших такое решение, сообщили о том, что решение касалось разрешения импорта с условиями</w:t>
      </w:r>
      <w:r w:rsidR="004569FB" w:rsidRPr="00DB5643">
        <w:rPr>
          <w:snapToGrid w:val="0"/>
          <w:kern w:val="22"/>
          <w:szCs w:val="22"/>
          <w:lang w:val="ru-RU"/>
        </w:rPr>
        <w:t xml:space="preserve">, </w:t>
      </w:r>
      <w:r w:rsidR="0075792A" w:rsidRPr="00DB5643">
        <w:rPr>
          <w:snapToGrid w:val="0"/>
          <w:kern w:val="22"/>
          <w:szCs w:val="22"/>
          <w:lang w:val="ru-RU"/>
        </w:rPr>
        <w:t>тогда как</w:t>
      </w:r>
      <w:r w:rsidR="004569FB" w:rsidRPr="00DB5643">
        <w:rPr>
          <w:snapToGrid w:val="0"/>
          <w:kern w:val="22"/>
          <w:szCs w:val="22"/>
          <w:lang w:val="ru-RU"/>
        </w:rPr>
        <w:t xml:space="preserve"> 2 </w:t>
      </w:r>
      <w:r w:rsidR="0075792A" w:rsidRPr="00DB5643">
        <w:rPr>
          <w:snapToGrid w:val="0"/>
          <w:kern w:val="22"/>
          <w:szCs w:val="22"/>
          <w:lang w:val="ru-RU"/>
        </w:rPr>
        <w:t>Стороны сообщили о том, что решения касались разрешения без условий</w:t>
      </w:r>
      <w:r w:rsidR="004569FB" w:rsidRPr="00DB5643">
        <w:rPr>
          <w:snapToGrid w:val="0"/>
          <w:kern w:val="22"/>
          <w:szCs w:val="22"/>
          <w:lang w:val="ru-RU"/>
        </w:rPr>
        <w:t xml:space="preserve">. </w:t>
      </w:r>
      <w:r w:rsidR="0075792A" w:rsidRPr="00DB5643">
        <w:rPr>
          <w:snapToGrid w:val="0"/>
          <w:kern w:val="22"/>
          <w:szCs w:val="22"/>
          <w:lang w:val="ru-RU"/>
        </w:rPr>
        <w:t xml:space="preserve">Еще </w:t>
      </w:r>
      <w:r w:rsidR="004569FB" w:rsidRPr="00DB5643">
        <w:rPr>
          <w:snapToGrid w:val="0"/>
          <w:kern w:val="22"/>
          <w:szCs w:val="22"/>
          <w:lang w:val="ru-RU"/>
        </w:rPr>
        <w:t xml:space="preserve">2 </w:t>
      </w:r>
      <w:r w:rsidR="0075792A" w:rsidRPr="00DB5643">
        <w:rPr>
          <w:snapToGrid w:val="0"/>
          <w:kern w:val="22"/>
          <w:szCs w:val="22"/>
          <w:lang w:val="ru-RU"/>
        </w:rPr>
        <w:t>Стороны сообщили о том, что решение касалось запрета импорта</w:t>
      </w:r>
      <w:r w:rsidR="004569FB" w:rsidRPr="00DB5643">
        <w:rPr>
          <w:snapToGrid w:val="0"/>
          <w:kern w:val="22"/>
          <w:szCs w:val="22"/>
          <w:lang w:val="ru-RU"/>
        </w:rPr>
        <w:t xml:space="preserve">. </w:t>
      </w:r>
    </w:p>
    <w:p w14:paraId="234884DF" w14:textId="0F1C84B8" w:rsidR="004569FB" w:rsidRPr="00DB5643" w:rsidRDefault="0075792A" w:rsidP="000A5388">
      <w:pPr>
        <w:pStyle w:val="a3"/>
        <w:suppressLineNumbers/>
        <w:suppressAutoHyphens/>
        <w:snapToGrid w:val="0"/>
        <w:spacing w:before="120" w:after="120"/>
        <w:ind w:left="0"/>
        <w:contextualSpacing w:val="0"/>
        <w:outlineLvl w:val="2"/>
        <w:rPr>
          <w:snapToGrid w:val="0"/>
          <w:kern w:val="22"/>
          <w:szCs w:val="22"/>
          <w:lang w:val="ru-RU"/>
        </w:rPr>
      </w:pPr>
      <w:r w:rsidRPr="00DB5643">
        <w:rPr>
          <w:b/>
          <w:iCs/>
          <w:snapToGrid w:val="0"/>
          <w:kern w:val="22"/>
          <w:szCs w:val="22"/>
          <w:lang w:val="ru-RU"/>
        </w:rPr>
        <w:t xml:space="preserve">Оперативная цель </w:t>
      </w:r>
      <w:r w:rsidR="004569FB" w:rsidRPr="00DB5643">
        <w:rPr>
          <w:b/>
          <w:iCs/>
          <w:snapToGrid w:val="0"/>
          <w:kern w:val="22"/>
          <w:szCs w:val="22"/>
          <w:lang w:val="ru-RU"/>
        </w:rPr>
        <w:t>2.1</w:t>
      </w:r>
      <w:r w:rsidR="00AA3A8C" w:rsidRPr="00DB5643">
        <w:rPr>
          <w:b/>
          <w:iCs/>
          <w:snapToGrid w:val="0"/>
          <w:kern w:val="22"/>
          <w:szCs w:val="22"/>
          <w:lang w:val="ru-RU"/>
        </w:rPr>
        <w:t>.</w:t>
      </w:r>
      <w:r w:rsidR="004569FB" w:rsidRPr="00DB5643">
        <w:rPr>
          <w:b/>
          <w:iCs/>
          <w:snapToGrid w:val="0"/>
          <w:kern w:val="22"/>
          <w:szCs w:val="22"/>
          <w:lang w:val="ru-RU"/>
        </w:rPr>
        <w:t xml:space="preserve"> </w:t>
      </w:r>
      <w:r w:rsidR="00A708DC" w:rsidRPr="00DB5643">
        <w:rPr>
          <w:b/>
          <w:iCs/>
          <w:snapToGrid w:val="0"/>
          <w:kern w:val="22"/>
          <w:szCs w:val="22"/>
          <w:lang w:val="ru-RU"/>
        </w:rPr>
        <w:t>Национальные механизмы обеспечения биобезопасности</w:t>
      </w:r>
    </w:p>
    <w:p w14:paraId="301E1F00" w14:textId="10694C58" w:rsidR="004569FB" w:rsidRPr="00DB5643" w:rsidRDefault="00A140AA"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рамках оперативной цели 2.1</w:t>
      </w:r>
      <w:r w:rsidR="004569FB" w:rsidRPr="00DB5643">
        <w:rPr>
          <w:snapToGrid w:val="0"/>
          <w:kern w:val="22"/>
          <w:szCs w:val="22"/>
          <w:lang w:val="ru-RU"/>
        </w:rPr>
        <w:t xml:space="preserve"> </w:t>
      </w:r>
      <w:r w:rsidRPr="00DB5643">
        <w:rPr>
          <w:snapToGrid w:val="0"/>
          <w:kern w:val="22"/>
          <w:szCs w:val="22"/>
          <w:lang w:val="ru-RU"/>
        </w:rPr>
        <w:t>Сторонам надлежит оказывать дальнейшую поддержку разработке и внедрению национальных систем регулирования и административных систем</w:t>
      </w:r>
      <w:r w:rsidR="004569FB" w:rsidRPr="00DB5643">
        <w:rPr>
          <w:snapToGrid w:val="0"/>
          <w:kern w:val="22"/>
          <w:szCs w:val="22"/>
          <w:lang w:val="ru-RU"/>
        </w:rPr>
        <w:t xml:space="preserve">. </w:t>
      </w:r>
      <w:r w:rsidRPr="00DB5643">
        <w:rPr>
          <w:snapToGrid w:val="0"/>
          <w:kern w:val="22"/>
          <w:szCs w:val="22"/>
          <w:lang w:val="ru-RU"/>
        </w:rPr>
        <w:t xml:space="preserve">Информация об </w:t>
      </w:r>
      <w:r w:rsidRPr="00DB5643">
        <w:rPr>
          <w:b/>
          <w:snapToGrid w:val="0"/>
          <w:kern w:val="22"/>
          <w:szCs w:val="22"/>
          <w:lang w:val="ru-RU"/>
        </w:rPr>
        <w:t>индикаторе</w:t>
      </w:r>
      <w:r w:rsidR="004569FB" w:rsidRPr="00DB5643">
        <w:rPr>
          <w:b/>
          <w:snapToGrid w:val="0"/>
          <w:kern w:val="22"/>
          <w:szCs w:val="22"/>
          <w:lang w:val="ru-RU"/>
        </w:rPr>
        <w:t xml:space="preserve"> 2.1.1</w:t>
      </w:r>
      <w:r w:rsidR="004569FB" w:rsidRPr="00DB5643">
        <w:rPr>
          <w:snapToGrid w:val="0"/>
          <w:kern w:val="22"/>
          <w:szCs w:val="22"/>
          <w:lang w:val="ru-RU"/>
        </w:rPr>
        <w:t xml:space="preserve"> (</w:t>
      </w:r>
      <w:r w:rsidR="008D13CB" w:rsidRPr="00DB5643">
        <w:rPr>
          <w:snapToGrid w:val="0"/>
          <w:kern w:val="22"/>
          <w:szCs w:val="22"/>
          <w:lang w:val="ru-RU"/>
        </w:rPr>
        <w:t>число</w:t>
      </w:r>
      <w:r w:rsidR="00B168B6" w:rsidRPr="00DB5643">
        <w:rPr>
          <w:snapToGrid w:val="0"/>
          <w:kern w:val="22"/>
          <w:szCs w:val="22"/>
          <w:lang w:val="ru-RU"/>
        </w:rPr>
        <w:t xml:space="preserve"> Сторон</w:t>
      </w:r>
      <w:r w:rsidR="00AE6BA0">
        <w:rPr>
          <w:snapToGrid w:val="0"/>
          <w:kern w:val="22"/>
          <w:szCs w:val="22"/>
          <w:lang w:val="ru-RU"/>
        </w:rPr>
        <w:t>,</w:t>
      </w:r>
      <w:r w:rsidR="00B168B6" w:rsidRPr="00DB5643">
        <w:rPr>
          <w:snapToGrid w:val="0"/>
          <w:kern w:val="22"/>
          <w:szCs w:val="22"/>
          <w:lang w:val="ru-RU"/>
        </w:rPr>
        <w:t xml:space="preserve"> </w:t>
      </w:r>
      <w:r w:rsidR="00AE6BA0" w:rsidRPr="00AE6BA0">
        <w:rPr>
          <w:snapToGrid w:val="0"/>
          <w:kern w:val="22"/>
          <w:szCs w:val="22"/>
          <w:lang w:val="ru-RU"/>
        </w:rPr>
        <w:t>располагающих функционирующими регулятивными системами</w:t>
      </w:r>
      <w:r w:rsidR="004569FB" w:rsidRPr="00DB5643">
        <w:rPr>
          <w:snapToGrid w:val="0"/>
          <w:kern w:val="22"/>
          <w:szCs w:val="22"/>
          <w:lang w:val="ru-RU"/>
        </w:rPr>
        <w:t xml:space="preserve">) </w:t>
      </w:r>
      <w:r w:rsidR="00B168B6" w:rsidRPr="00DB5643">
        <w:rPr>
          <w:snapToGrid w:val="0"/>
          <w:kern w:val="22"/>
          <w:szCs w:val="22"/>
          <w:lang w:val="ru-RU"/>
        </w:rPr>
        <w:t>представлена выше в контексте оперативной цели</w:t>
      </w:r>
      <w:r w:rsidR="005C0E21" w:rsidRPr="00DB5643">
        <w:rPr>
          <w:snapToGrid w:val="0"/>
          <w:kern w:val="22"/>
          <w:szCs w:val="22"/>
        </w:rPr>
        <w:t> </w:t>
      </w:r>
      <w:r w:rsidR="004569FB" w:rsidRPr="00DB5643">
        <w:rPr>
          <w:snapToGrid w:val="0"/>
          <w:kern w:val="22"/>
          <w:szCs w:val="22"/>
          <w:lang w:val="ru-RU"/>
        </w:rPr>
        <w:t>1.1.</w:t>
      </w:r>
    </w:p>
    <w:p w14:paraId="0E98217D" w14:textId="01F14C89" w:rsidR="004569FB" w:rsidRPr="00DB5643" w:rsidRDefault="00537493"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w:t>
      </w:r>
      <w:r w:rsidR="004569FB" w:rsidRPr="00DB5643">
        <w:rPr>
          <w:b/>
          <w:bCs/>
          <w:snapToGrid w:val="0"/>
          <w:kern w:val="22"/>
          <w:szCs w:val="22"/>
          <w:lang w:val="ru-RU"/>
        </w:rPr>
        <w:t>2.1.2</w:t>
      </w:r>
      <w:r w:rsidR="004569FB" w:rsidRPr="00DB5643">
        <w:rPr>
          <w:snapToGrid w:val="0"/>
          <w:kern w:val="22"/>
          <w:szCs w:val="22"/>
          <w:lang w:val="ru-RU"/>
        </w:rPr>
        <w:t xml:space="preserve"> (</w:t>
      </w:r>
      <w:r w:rsidR="008D13CB" w:rsidRPr="00DB5643">
        <w:rPr>
          <w:snapToGrid w:val="0"/>
          <w:kern w:val="22"/>
          <w:szCs w:val="22"/>
          <w:lang w:val="ru-RU"/>
        </w:rPr>
        <w:t>число</w:t>
      </w:r>
      <w:r w:rsidRPr="00DB5643">
        <w:rPr>
          <w:snapToGrid w:val="0"/>
          <w:kern w:val="22"/>
          <w:szCs w:val="22"/>
          <w:lang w:val="ru-RU"/>
        </w:rPr>
        <w:t xml:space="preserve"> Сторон</w:t>
      </w:r>
      <w:r w:rsidR="00AE6BA0">
        <w:rPr>
          <w:snapToGrid w:val="0"/>
          <w:kern w:val="22"/>
          <w:szCs w:val="22"/>
          <w:lang w:val="ru-RU"/>
        </w:rPr>
        <w:t>,</w:t>
      </w:r>
      <w:r w:rsidRPr="00DB5643">
        <w:rPr>
          <w:snapToGrid w:val="0"/>
          <w:kern w:val="22"/>
          <w:szCs w:val="22"/>
          <w:lang w:val="ru-RU"/>
        </w:rPr>
        <w:t xml:space="preserve"> </w:t>
      </w:r>
      <w:r w:rsidR="00AE6BA0" w:rsidRPr="00AE6BA0">
        <w:rPr>
          <w:snapToGrid w:val="0"/>
          <w:kern w:val="22"/>
          <w:szCs w:val="22"/>
          <w:lang w:val="ru-RU"/>
        </w:rPr>
        <w:t>располагающих функциональными административными структурами</w:t>
      </w:r>
      <w:r w:rsidR="00765FE9" w:rsidRPr="00DB5643">
        <w:rPr>
          <w:snapToGrid w:val="0"/>
          <w:kern w:val="22"/>
          <w:szCs w:val="22"/>
          <w:lang w:val="ru-RU"/>
        </w:rPr>
        <w:t xml:space="preserve">) формат четвертого национального доклада содержит ряд </w:t>
      </w:r>
      <w:r w:rsidR="00765FE9" w:rsidRPr="00DB5643">
        <w:rPr>
          <w:snapToGrid w:val="0"/>
          <w:kern w:val="22"/>
          <w:szCs w:val="22"/>
          <w:lang w:val="ru-RU"/>
        </w:rPr>
        <w:lastRenderedPageBreak/>
        <w:t>соответствующих вопросов</w:t>
      </w:r>
      <w:r w:rsidR="004569FB" w:rsidRPr="00DB5643">
        <w:rPr>
          <w:snapToGrid w:val="0"/>
          <w:kern w:val="22"/>
          <w:szCs w:val="22"/>
          <w:vertAlign w:val="superscript"/>
        </w:rPr>
        <w:footnoteReference w:id="20"/>
      </w:r>
      <w:r w:rsidR="00765FE9" w:rsidRPr="00DB5643">
        <w:rPr>
          <w:snapToGrid w:val="0"/>
          <w:kern w:val="22"/>
          <w:szCs w:val="22"/>
          <w:lang w:val="ru-RU"/>
        </w:rPr>
        <w:t xml:space="preserve">, хотя ни один из этих вопросов непосредственно не касается функциональности административных </w:t>
      </w:r>
      <w:r w:rsidR="00AE6BA0">
        <w:rPr>
          <w:snapToGrid w:val="0"/>
          <w:kern w:val="22"/>
          <w:szCs w:val="22"/>
          <w:lang w:val="ru-RU"/>
        </w:rPr>
        <w:t>структур</w:t>
      </w:r>
      <w:r w:rsidR="004569FB" w:rsidRPr="00DB5643">
        <w:rPr>
          <w:bCs/>
          <w:snapToGrid w:val="0"/>
          <w:kern w:val="22"/>
          <w:szCs w:val="22"/>
          <w:lang w:val="ru-RU"/>
        </w:rPr>
        <w:t xml:space="preserve">. </w:t>
      </w:r>
    </w:p>
    <w:p w14:paraId="7D496DC1" w14:textId="2F0B46D2" w:rsidR="004569FB" w:rsidRPr="00DB5643" w:rsidRDefault="00765FE9"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58</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(53 </w:t>
      </w:r>
      <w:r w:rsidRPr="00DB5643">
        <w:rPr>
          <w:snapToGrid w:val="0"/>
          <w:kern w:val="22"/>
          <w:szCs w:val="22"/>
          <w:lang w:val="ru-RU"/>
        </w:rPr>
        <w:t>Стороны</w:t>
      </w:r>
      <w:r w:rsidR="004569FB" w:rsidRPr="00DB5643">
        <w:rPr>
          <w:snapToGrid w:val="0"/>
          <w:kern w:val="22"/>
          <w:szCs w:val="22"/>
          <w:lang w:val="ru-RU"/>
        </w:rPr>
        <w:t xml:space="preserve">) </w:t>
      </w:r>
      <w:r w:rsidRPr="00DB5643">
        <w:rPr>
          <w:snapToGrid w:val="0"/>
          <w:kern w:val="22"/>
          <w:szCs w:val="22"/>
          <w:lang w:val="ru-RU"/>
        </w:rPr>
        <w:t>сообщили</w:t>
      </w:r>
      <w:r w:rsidR="004569FB" w:rsidRPr="00DB5643">
        <w:rPr>
          <w:snapToGrid w:val="0"/>
          <w:kern w:val="22"/>
          <w:szCs w:val="22"/>
          <w:lang w:val="ru-RU"/>
        </w:rPr>
        <w:t xml:space="preserve"> </w:t>
      </w:r>
      <w:r w:rsidRPr="00DB5643">
        <w:rPr>
          <w:snapToGrid w:val="0"/>
          <w:kern w:val="22"/>
          <w:szCs w:val="22"/>
          <w:lang w:val="ru-RU"/>
        </w:rPr>
        <w:t>о</w:t>
      </w:r>
      <w:r w:rsidR="00F22683" w:rsidRPr="00DB5643">
        <w:rPr>
          <w:snapToGrid w:val="0"/>
          <w:kern w:val="22"/>
          <w:szCs w:val="22"/>
          <w:lang w:val="ru-RU"/>
        </w:rPr>
        <w:t>б учреждении механизма для распределения бюджетных ассигнований на функционирование их национальных мер по биобезопасности</w:t>
      </w:r>
      <w:r w:rsidR="004569FB" w:rsidRPr="00DB5643">
        <w:rPr>
          <w:snapToGrid w:val="0"/>
          <w:kern w:val="22"/>
          <w:szCs w:val="22"/>
          <w:lang w:val="ru-RU"/>
        </w:rPr>
        <w:t xml:space="preserve"> (</w:t>
      </w:r>
      <w:r w:rsidR="00F22683" w:rsidRPr="00DB5643">
        <w:rPr>
          <w:snapToGrid w:val="0"/>
          <w:kern w:val="22"/>
          <w:szCs w:val="22"/>
          <w:lang w:val="ru-RU"/>
        </w:rPr>
        <w:t>уменьшение на</w:t>
      </w:r>
      <w:r w:rsidR="004569FB" w:rsidRPr="00DB5643">
        <w:rPr>
          <w:snapToGrid w:val="0"/>
          <w:kern w:val="22"/>
          <w:szCs w:val="22"/>
          <w:lang w:val="ru-RU"/>
        </w:rPr>
        <w:t xml:space="preserve"> 10</w:t>
      </w:r>
      <w:r w:rsidR="00F22683" w:rsidRPr="00DB5643">
        <w:rPr>
          <w:snapToGrid w:val="0"/>
          <w:kern w:val="22"/>
          <w:szCs w:val="22"/>
          <w:lang w:val="ru-RU"/>
        </w:rPr>
        <w:t> </w:t>
      </w:r>
      <w:r w:rsidR="004569FB" w:rsidRPr="00DB5643">
        <w:rPr>
          <w:snapToGrid w:val="0"/>
          <w:kern w:val="22"/>
          <w:szCs w:val="22"/>
          <w:lang w:val="ru-RU"/>
        </w:rPr>
        <w:t xml:space="preserve">% </w:t>
      </w:r>
      <w:r w:rsidR="00F22683" w:rsidRPr="00DB5643">
        <w:rPr>
          <w:snapToGrid w:val="0"/>
          <w:kern w:val="22"/>
          <w:szCs w:val="22"/>
          <w:lang w:val="ru-RU"/>
        </w:rPr>
        <w:t>по отношению к исходному уровню</w:t>
      </w:r>
      <w:r w:rsidR="004569FB" w:rsidRPr="00DB5643">
        <w:rPr>
          <w:snapToGrid w:val="0"/>
          <w:kern w:val="22"/>
          <w:szCs w:val="22"/>
          <w:lang w:val="ru-RU"/>
        </w:rPr>
        <w:t xml:space="preserve">), </w:t>
      </w:r>
      <w:r w:rsidR="00F22683" w:rsidRPr="00DB5643">
        <w:rPr>
          <w:snapToGrid w:val="0"/>
          <w:kern w:val="22"/>
          <w:szCs w:val="22"/>
          <w:lang w:val="ru-RU"/>
        </w:rPr>
        <w:t>тогда как</w:t>
      </w:r>
      <w:r w:rsidR="004569FB" w:rsidRPr="00DB5643">
        <w:rPr>
          <w:snapToGrid w:val="0"/>
          <w:kern w:val="22"/>
          <w:szCs w:val="22"/>
          <w:lang w:val="ru-RU"/>
        </w:rPr>
        <w:t xml:space="preserve"> 23</w:t>
      </w:r>
      <w:r w:rsidR="00F22683" w:rsidRPr="00DB5643">
        <w:rPr>
          <w:snapToGrid w:val="0"/>
          <w:kern w:val="22"/>
          <w:szCs w:val="22"/>
          <w:lang w:val="ru-RU"/>
        </w:rPr>
        <w:t> </w:t>
      </w:r>
      <w:r w:rsidR="004569FB" w:rsidRPr="00DB5643">
        <w:rPr>
          <w:snapToGrid w:val="0"/>
          <w:kern w:val="22"/>
          <w:szCs w:val="22"/>
          <w:lang w:val="ru-RU"/>
        </w:rPr>
        <w:t xml:space="preserve">% </w:t>
      </w:r>
      <w:r w:rsidR="00F22683" w:rsidRPr="00DB5643">
        <w:rPr>
          <w:snapToGrid w:val="0"/>
          <w:kern w:val="22"/>
          <w:szCs w:val="22"/>
          <w:lang w:val="ru-RU"/>
        </w:rPr>
        <w:t>Сторон</w:t>
      </w:r>
      <w:r w:rsidR="004569FB" w:rsidRPr="00DB5643">
        <w:rPr>
          <w:snapToGrid w:val="0"/>
          <w:kern w:val="22"/>
          <w:szCs w:val="22"/>
          <w:lang w:val="ru-RU"/>
        </w:rPr>
        <w:t xml:space="preserve"> (21 </w:t>
      </w:r>
      <w:r w:rsidR="00F22683" w:rsidRPr="00DB5643">
        <w:rPr>
          <w:snapToGrid w:val="0"/>
          <w:kern w:val="22"/>
          <w:szCs w:val="22"/>
          <w:lang w:val="ru-RU"/>
        </w:rPr>
        <w:t>Сторона</w:t>
      </w:r>
      <w:r w:rsidR="004569FB" w:rsidRPr="00DB5643">
        <w:rPr>
          <w:snapToGrid w:val="0"/>
          <w:kern w:val="22"/>
          <w:szCs w:val="22"/>
          <w:lang w:val="ru-RU"/>
        </w:rPr>
        <w:t xml:space="preserve">) </w:t>
      </w:r>
      <w:r w:rsidR="00F22683" w:rsidRPr="00DB5643">
        <w:rPr>
          <w:snapToGrid w:val="0"/>
          <w:kern w:val="22"/>
          <w:szCs w:val="22"/>
          <w:lang w:val="ru-RU"/>
        </w:rPr>
        <w:t>сообщили о</w:t>
      </w:r>
      <w:r w:rsidR="00EE60ED" w:rsidRPr="00DB5643">
        <w:rPr>
          <w:snapToGrid w:val="0"/>
          <w:kern w:val="22"/>
          <w:szCs w:val="22"/>
          <w:lang w:val="ru-RU"/>
        </w:rPr>
        <w:t xml:space="preserve"> выполнении этой задачи</w:t>
      </w:r>
      <w:r w:rsidR="00F22683" w:rsidRPr="00DB5643">
        <w:rPr>
          <w:snapToGrid w:val="0"/>
          <w:kern w:val="22"/>
          <w:szCs w:val="22"/>
          <w:lang w:val="ru-RU"/>
        </w:rPr>
        <w:t xml:space="preserve"> </w:t>
      </w:r>
      <w:r w:rsidR="00827900" w:rsidRPr="00DB5643">
        <w:rPr>
          <w:snapToGrid w:val="0"/>
          <w:kern w:val="22"/>
          <w:szCs w:val="22"/>
          <w:lang w:val="ru-RU"/>
        </w:rPr>
        <w:t>в некоторой степени</w:t>
      </w:r>
      <w:r w:rsidR="004569FB" w:rsidRPr="00DB5643">
        <w:rPr>
          <w:snapToGrid w:val="0"/>
          <w:kern w:val="22"/>
          <w:szCs w:val="22"/>
          <w:lang w:val="ru-RU"/>
        </w:rPr>
        <w:t xml:space="preserve">. </w:t>
      </w:r>
      <w:r w:rsidR="00EE60ED" w:rsidRPr="00DB5643">
        <w:rPr>
          <w:snapToGrid w:val="0"/>
          <w:kern w:val="22"/>
          <w:szCs w:val="22"/>
          <w:lang w:val="ru-RU"/>
        </w:rPr>
        <w:t xml:space="preserve">В совокупности это составляет увеличение на </w:t>
      </w:r>
      <w:r w:rsidR="004569FB" w:rsidRPr="00DB5643">
        <w:rPr>
          <w:snapToGrid w:val="0"/>
          <w:kern w:val="22"/>
          <w:szCs w:val="22"/>
          <w:lang w:val="ru-RU"/>
        </w:rPr>
        <w:t>13</w:t>
      </w:r>
      <w:r w:rsidR="00EE60ED" w:rsidRPr="00DB5643">
        <w:rPr>
          <w:snapToGrid w:val="0"/>
          <w:kern w:val="22"/>
          <w:szCs w:val="22"/>
          <w:lang w:val="en-US"/>
        </w:rPr>
        <w:t> </w:t>
      </w:r>
      <w:r w:rsidR="004569FB" w:rsidRPr="00DB5643">
        <w:rPr>
          <w:snapToGrid w:val="0"/>
          <w:kern w:val="22"/>
          <w:szCs w:val="22"/>
          <w:lang w:val="ru-RU"/>
        </w:rPr>
        <w:t xml:space="preserve">% (12 </w:t>
      </w:r>
      <w:r w:rsidR="00EE60ED" w:rsidRPr="00DB5643">
        <w:rPr>
          <w:snapToGrid w:val="0"/>
          <w:kern w:val="22"/>
          <w:szCs w:val="22"/>
          <w:lang w:val="ru-RU"/>
        </w:rPr>
        <w:t>Сторон</w:t>
      </w:r>
      <w:r w:rsidR="004569FB" w:rsidRPr="00DB5643">
        <w:rPr>
          <w:snapToGrid w:val="0"/>
          <w:kern w:val="22"/>
          <w:szCs w:val="22"/>
          <w:lang w:val="ru-RU"/>
        </w:rPr>
        <w:t>)</w:t>
      </w:r>
      <w:r w:rsidR="00EE60ED" w:rsidRPr="00DB5643">
        <w:rPr>
          <w:snapToGrid w:val="0"/>
          <w:kern w:val="22"/>
          <w:szCs w:val="22"/>
          <w:lang w:val="ru-RU"/>
        </w:rPr>
        <w:t xml:space="preserve"> по сравнению с исходным уровнем</w:t>
      </w:r>
      <w:r w:rsidR="004569FB" w:rsidRPr="00DB5643">
        <w:rPr>
          <w:snapToGrid w:val="0"/>
          <w:kern w:val="22"/>
          <w:szCs w:val="22"/>
          <w:lang w:val="ru-RU"/>
        </w:rPr>
        <w:t xml:space="preserve"> (</w:t>
      </w:r>
      <w:r w:rsidR="007E67E3" w:rsidRPr="00DB5643">
        <w:rPr>
          <w:snapToGrid w:val="0"/>
          <w:kern w:val="22"/>
          <w:szCs w:val="22"/>
          <w:lang w:val="ru-RU"/>
        </w:rPr>
        <w:t>при следующих региональных изменениях</w:t>
      </w:r>
      <w:r w:rsidR="004569FB" w:rsidRPr="00DB5643">
        <w:rPr>
          <w:snapToGrid w:val="0"/>
          <w:kern w:val="22"/>
          <w:szCs w:val="22"/>
          <w:lang w:val="ru-RU"/>
        </w:rPr>
        <w:t xml:space="preserve">: </w:t>
      </w:r>
      <w:r w:rsidR="00EE60ED" w:rsidRPr="00DB5643">
        <w:rPr>
          <w:snapToGrid w:val="0"/>
          <w:kern w:val="22"/>
          <w:szCs w:val="22"/>
          <w:lang w:val="ru-RU"/>
        </w:rPr>
        <w:t xml:space="preserve">Азиатско-Тихоокеанский регион: </w:t>
      </w:r>
      <w:r w:rsidR="004569FB" w:rsidRPr="00DB5643">
        <w:rPr>
          <w:snapToGrid w:val="0"/>
          <w:kern w:val="22"/>
          <w:szCs w:val="22"/>
          <w:lang w:val="ru-RU"/>
        </w:rPr>
        <w:t>+25</w:t>
      </w:r>
      <w:r w:rsidR="00EE60ED"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EE60ED" w:rsidRPr="00DB5643">
        <w:rPr>
          <w:snapToGrid w:val="0"/>
          <w:kern w:val="22"/>
          <w:szCs w:val="22"/>
          <w:lang w:val="ru-RU"/>
        </w:rPr>
        <w:t>:</w:t>
      </w:r>
      <w:r w:rsidR="004569FB" w:rsidRPr="00DB5643">
        <w:rPr>
          <w:snapToGrid w:val="0"/>
          <w:kern w:val="22"/>
          <w:szCs w:val="22"/>
          <w:lang w:val="ru-RU"/>
        </w:rPr>
        <w:t xml:space="preserve"> +24</w:t>
      </w:r>
      <w:r w:rsidR="00EE60ED" w:rsidRPr="00DB5643">
        <w:rPr>
          <w:snapToGrid w:val="0"/>
          <w:kern w:val="22"/>
          <w:szCs w:val="22"/>
          <w:lang w:val="ru-RU"/>
        </w:rPr>
        <w:t> </w:t>
      </w:r>
      <w:r w:rsidR="004569FB" w:rsidRPr="00DB5643">
        <w:rPr>
          <w:snapToGrid w:val="0"/>
          <w:kern w:val="22"/>
          <w:szCs w:val="22"/>
          <w:lang w:val="ru-RU"/>
        </w:rPr>
        <w:t xml:space="preserve">%; </w:t>
      </w:r>
      <w:r w:rsidR="00EE60ED" w:rsidRPr="00DB5643">
        <w:rPr>
          <w:snapToGrid w:val="0"/>
          <w:kern w:val="22"/>
          <w:szCs w:val="22"/>
          <w:lang w:val="ru-RU"/>
        </w:rPr>
        <w:t>Африка:</w:t>
      </w:r>
      <w:r w:rsidR="004569FB" w:rsidRPr="00DB5643">
        <w:rPr>
          <w:snapToGrid w:val="0"/>
          <w:kern w:val="22"/>
          <w:szCs w:val="22"/>
          <w:lang w:val="ru-RU"/>
        </w:rPr>
        <w:t xml:space="preserve"> +13</w:t>
      </w:r>
      <w:r w:rsidR="00EE60ED" w:rsidRPr="00DB5643">
        <w:rPr>
          <w:snapToGrid w:val="0"/>
          <w:kern w:val="22"/>
          <w:szCs w:val="22"/>
          <w:lang w:val="ru-RU"/>
        </w:rPr>
        <w:t> </w:t>
      </w:r>
      <w:r w:rsidR="004569FB" w:rsidRPr="00DB5643">
        <w:rPr>
          <w:snapToGrid w:val="0"/>
          <w:kern w:val="22"/>
          <w:szCs w:val="22"/>
          <w:lang w:val="ru-RU"/>
        </w:rPr>
        <w:t xml:space="preserve">%; </w:t>
      </w:r>
      <w:proofErr w:type="spellStart"/>
      <w:r w:rsidR="00EE60ED" w:rsidRPr="00DB5643">
        <w:rPr>
          <w:snapToGrid w:val="0"/>
          <w:kern w:val="22"/>
          <w:szCs w:val="22"/>
          <w:lang w:val="ru-RU"/>
        </w:rPr>
        <w:t>ГРУЛАК</w:t>
      </w:r>
      <w:proofErr w:type="spellEnd"/>
      <w:r w:rsidR="00EE60ED" w:rsidRPr="00DB5643">
        <w:rPr>
          <w:snapToGrid w:val="0"/>
          <w:kern w:val="22"/>
          <w:szCs w:val="22"/>
          <w:lang w:val="ru-RU"/>
        </w:rPr>
        <w:t>:</w:t>
      </w:r>
      <w:r w:rsidR="004569FB" w:rsidRPr="00DB5643">
        <w:rPr>
          <w:snapToGrid w:val="0"/>
          <w:kern w:val="22"/>
          <w:szCs w:val="22"/>
          <w:lang w:val="ru-RU"/>
        </w:rPr>
        <w:t xml:space="preserve"> -1</w:t>
      </w:r>
      <w:r w:rsidR="00EE60ED"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EE60ED" w:rsidRPr="00DB5643">
        <w:rPr>
          <w:snapToGrid w:val="0"/>
          <w:kern w:val="22"/>
          <w:szCs w:val="22"/>
          <w:lang w:val="ru-RU"/>
        </w:rPr>
        <w:t>:</w:t>
      </w:r>
      <w:r w:rsidR="004569FB" w:rsidRPr="00DB5643">
        <w:rPr>
          <w:snapToGrid w:val="0"/>
          <w:kern w:val="22"/>
          <w:szCs w:val="22"/>
          <w:lang w:val="ru-RU"/>
        </w:rPr>
        <w:t xml:space="preserve"> </w:t>
      </w:r>
      <w:r w:rsidR="00EE60ED" w:rsidRPr="00DB5643">
        <w:rPr>
          <w:snapToGrid w:val="0"/>
          <w:kern w:val="22"/>
          <w:szCs w:val="22"/>
          <w:lang w:val="ru-RU"/>
        </w:rPr>
        <w:t>без изменений</w:t>
      </w:r>
      <w:r w:rsidR="004569FB" w:rsidRPr="00DB5643">
        <w:rPr>
          <w:snapToGrid w:val="0"/>
          <w:kern w:val="22"/>
          <w:szCs w:val="22"/>
          <w:lang w:val="ru-RU"/>
        </w:rPr>
        <w:t>)</w:t>
      </w:r>
      <w:r w:rsidR="004569FB" w:rsidRPr="00DB5643">
        <w:rPr>
          <w:rStyle w:val="ac"/>
          <w:snapToGrid w:val="0"/>
          <w:kern w:val="22"/>
          <w:szCs w:val="22"/>
        </w:rPr>
        <w:footnoteReference w:id="21"/>
      </w:r>
      <w:r w:rsidR="00EE60ED" w:rsidRPr="00DB5643">
        <w:rPr>
          <w:snapToGrid w:val="0"/>
          <w:kern w:val="22"/>
          <w:szCs w:val="22"/>
          <w:lang w:val="ru-RU"/>
        </w:rPr>
        <w:t>.</w:t>
      </w:r>
    </w:p>
    <w:p w14:paraId="050491E8" w14:textId="0BAB9A7B" w:rsidR="004569FB" w:rsidRPr="00DB5643" w:rsidRDefault="00EE60ED"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94</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(87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 xml:space="preserve">сообщили </w:t>
      </w:r>
      <w:r w:rsidR="004C7845" w:rsidRPr="00DB5643">
        <w:rPr>
          <w:snapToGrid w:val="0"/>
          <w:kern w:val="22"/>
          <w:szCs w:val="22"/>
          <w:lang w:val="ru-RU"/>
        </w:rPr>
        <w:t>о наличии постоянного персонала для управления функциям, связанными с биобезопасностью</w:t>
      </w:r>
      <w:r w:rsidR="004569FB" w:rsidRPr="00DB5643">
        <w:rPr>
          <w:snapToGrid w:val="0"/>
          <w:kern w:val="22"/>
          <w:szCs w:val="22"/>
          <w:lang w:val="ru-RU"/>
        </w:rPr>
        <w:t xml:space="preserve">, </w:t>
      </w:r>
      <w:r w:rsidR="004C7845" w:rsidRPr="00DB5643">
        <w:rPr>
          <w:snapToGrid w:val="0"/>
          <w:kern w:val="22"/>
          <w:szCs w:val="22"/>
          <w:lang w:val="ru-RU"/>
        </w:rPr>
        <w:t>что соответствует увеличению на</w:t>
      </w:r>
      <w:r w:rsidR="004569FB" w:rsidRPr="00DB5643">
        <w:rPr>
          <w:snapToGrid w:val="0"/>
          <w:kern w:val="22"/>
          <w:szCs w:val="22"/>
          <w:lang w:val="ru-RU"/>
        </w:rPr>
        <w:t xml:space="preserve"> 8</w:t>
      </w:r>
      <w:r w:rsidR="004C7845" w:rsidRPr="00DB5643">
        <w:rPr>
          <w:snapToGrid w:val="0"/>
          <w:kern w:val="22"/>
          <w:szCs w:val="22"/>
          <w:lang w:val="ru-RU"/>
        </w:rPr>
        <w:t> </w:t>
      </w:r>
      <w:r w:rsidR="004569FB" w:rsidRPr="00DB5643">
        <w:rPr>
          <w:snapToGrid w:val="0"/>
          <w:kern w:val="22"/>
          <w:szCs w:val="22"/>
          <w:lang w:val="ru-RU"/>
        </w:rPr>
        <w:t xml:space="preserve">% </w:t>
      </w:r>
      <w:r w:rsidR="004C7845" w:rsidRPr="00DB5643">
        <w:rPr>
          <w:snapToGrid w:val="0"/>
          <w:kern w:val="22"/>
          <w:szCs w:val="22"/>
          <w:lang w:val="ru-RU"/>
        </w:rPr>
        <w:t xml:space="preserve">по сравнению с исходным уровнем </w:t>
      </w:r>
      <w:r w:rsidR="004569FB" w:rsidRPr="00DB5643">
        <w:rPr>
          <w:snapToGrid w:val="0"/>
          <w:kern w:val="22"/>
          <w:szCs w:val="22"/>
          <w:lang w:val="ru-RU"/>
        </w:rPr>
        <w:t>(</w:t>
      </w:r>
      <w:r w:rsidR="007E67E3" w:rsidRPr="00DB5643">
        <w:rPr>
          <w:snapToGrid w:val="0"/>
          <w:kern w:val="22"/>
          <w:szCs w:val="22"/>
          <w:lang w:val="ru-RU"/>
        </w:rPr>
        <w:t>при следующих региональных изменениях</w:t>
      </w:r>
      <w:r w:rsidR="004569FB" w:rsidRPr="00DB5643">
        <w:rPr>
          <w:snapToGrid w:val="0"/>
          <w:kern w:val="22"/>
          <w:szCs w:val="22"/>
          <w:lang w:val="ru-RU"/>
        </w:rPr>
        <w:t xml:space="preserve">: </w:t>
      </w:r>
      <w:r w:rsidR="004C7845" w:rsidRPr="00DB5643">
        <w:rPr>
          <w:snapToGrid w:val="0"/>
          <w:kern w:val="22"/>
          <w:szCs w:val="22"/>
          <w:lang w:val="ru-RU"/>
        </w:rPr>
        <w:t>Африка:</w:t>
      </w:r>
      <w:r w:rsidR="004569FB" w:rsidRPr="00DB5643">
        <w:rPr>
          <w:snapToGrid w:val="0"/>
          <w:kern w:val="22"/>
          <w:szCs w:val="22"/>
          <w:lang w:val="ru-RU"/>
        </w:rPr>
        <w:t xml:space="preserve"> +17</w:t>
      </w:r>
      <w:r w:rsidR="004C7845" w:rsidRPr="00DB5643">
        <w:rPr>
          <w:snapToGrid w:val="0"/>
          <w:kern w:val="22"/>
          <w:szCs w:val="22"/>
          <w:lang w:val="ru-RU"/>
        </w:rPr>
        <w:t> </w:t>
      </w:r>
      <w:r w:rsidR="004569FB" w:rsidRPr="00DB5643">
        <w:rPr>
          <w:snapToGrid w:val="0"/>
          <w:kern w:val="22"/>
          <w:szCs w:val="22"/>
          <w:lang w:val="ru-RU"/>
        </w:rPr>
        <w:t xml:space="preserve">%; </w:t>
      </w:r>
      <w:proofErr w:type="spellStart"/>
      <w:r w:rsidR="004C7845" w:rsidRPr="00DB5643">
        <w:rPr>
          <w:snapToGrid w:val="0"/>
          <w:kern w:val="22"/>
          <w:szCs w:val="22"/>
          <w:lang w:val="ru-RU"/>
        </w:rPr>
        <w:t>ГРУЛАК</w:t>
      </w:r>
      <w:proofErr w:type="spellEnd"/>
      <w:r w:rsidR="004C7845" w:rsidRPr="00DB5643">
        <w:rPr>
          <w:snapToGrid w:val="0"/>
          <w:kern w:val="22"/>
          <w:szCs w:val="22"/>
          <w:lang w:val="ru-RU"/>
        </w:rPr>
        <w:t>:</w:t>
      </w:r>
      <w:r w:rsidR="004569FB" w:rsidRPr="00DB5643">
        <w:rPr>
          <w:snapToGrid w:val="0"/>
          <w:kern w:val="22"/>
          <w:szCs w:val="22"/>
          <w:lang w:val="ru-RU"/>
        </w:rPr>
        <w:t xml:space="preserve"> +7</w:t>
      </w:r>
      <w:r w:rsidR="004C7845" w:rsidRPr="00DB5643">
        <w:rPr>
          <w:snapToGrid w:val="0"/>
          <w:kern w:val="22"/>
          <w:szCs w:val="22"/>
          <w:lang w:val="ru-RU"/>
        </w:rPr>
        <w:t xml:space="preserve">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C7845" w:rsidRPr="00DB5643">
        <w:rPr>
          <w:snapToGrid w:val="0"/>
          <w:kern w:val="22"/>
          <w:szCs w:val="22"/>
          <w:lang w:val="ru-RU"/>
        </w:rPr>
        <w:t>:</w:t>
      </w:r>
      <w:r w:rsidR="004569FB" w:rsidRPr="00DB5643">
        <w:rPr>
          <w:snapToGrid w:val="0"/>
          <w:kern w:val="22"/>
          <w:szCs w:val="22"/>
          <w:lang w:val="ru-RU"/>
        </w:rPr>
        <w:t xml:space="preserve"> +6</w:t>
      </w:r>
      <w:r w:rsidR="004C7845" w:rsidRPr="00DB5643">
        <w:rPr>
          <w:snapToGrid w:val="0"/>
          <w:kern w:val="22"/>
          <w:szCs w:val="22"/>
          <w:lang w:val="ru-RU"/>
        </w:rPr>
        <w:t> </w:t>
      </w:r>
      <w:r w:rsidR="004569FB" w:rsidRPr="00DB5643">
        <w:rPr>
          <w:snapToGrid w:val="0"/>
          <w:kern w:val="22"/>
          <w:szCs w:val="22"/>
          <w:lang w:val="ru-RU"/>
        </w:rPr>
        <w:t xml:space="preserve">%; </w:t>
      </w:r>
      <w:r w:rsidR="004C7845" w:rsidRPr="00DB5643">
        <w:rPr>
          <w:snapToGrid w:val="0"/>
          <w:kern w:val="22"/>
          <w:szCs w:val="22"/>
          <w:lang w:val="ru-RU"/>
        </w:rPr>
        <w:t>Азиатско-Тихоокеанский регион и</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w:t>
      </w:r>
      <w:r w:rsidR="004C7845"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r w:rsidR="004C7845" w:rsidRPr="00DB5643">
        <w:rPr>
          <w:snapToGrid w:val="0"/>
          <w:kern w:val="22"/>
          <w:szCs w:val="22"/>
          <w:lang w:val="ru-RU"/>
        </w:rPr>
        <w:t>В своих четвертых национальных докладах</w:t>
      </w:r>
      <w:r w:rsidR="000D5F29" w:rsidRPr="00DB5643">
        <w:rPr>
          <w:snapToGrid w:val="0"/>
          <w:kern w:val="22"/>
          <w:szCs w:val="22"/>
          <w:lang w:val="ru-RU"/>
        </w:rPr>
        <w:t xml:space="preserve"> </w:t>
      </w:r>
      <w:r w:rsidR="004C7845" w:rsidRPr="00DB5643">
        <w:rPr>
          <w:snapToGrid w:val="0"/>
          <w:kern w:val="22"/>
          <w:szCs w:val="22"/>
          <w:lang w:val="ru-RU"/>
        </w:rPr>
        <w:t>в общей сложности</w:t>
      </w:r>
      <w:r w:rsidR="004569FB" w:rsidRPr="00DB5643">
        <w:rPr>
          <w:snapToGrid w:val="0"/>
          <w:kern w:val="22"/>
          <w:szCs w:val="22"/>
          <w:lang w:val="ru-RU"/>
        </w:rPr>
        <w:t xml:space="preserve"> 47</w:t>
      </w:r>
      <w:r w:rsidR="004C7845" w:rsidRPr="00DB5643">
        <w:rPr>
          <w:snapToGrid w:val="0"/>
          <w:kern w:val="22"/>
          <w:szCs w:val="22"/>
          <w:lang w:val="en-US"/>
        </w:rPr>
        <w:t> </w:t>
      </w:r>
      <w:r w:rsidR="004569FB" w:rsidRPr="00DB5643">
        <w:rPr>
          <w:snapToGrid w:val="0"/>
          <w:kern w:val="22"/>
          <w:szCs w:val="22"/>
          <w:lang w:val="ru-RU"/>
        </w:rPr>
        <w:t xml:space="preserve">% </w:t>
      </w:r>
      <w:r w:rsidR="004C7845" w:rsidRPr="00DB5643">
        <w:rPr>
          <w:snapToGrid w:val="0"/>
          <w:kern w:val="22"/>
          <w:szCs w:val="22"/>
          <w:lang w:val="ru-RU"/>
        </w:rPr>
        <w:t>Сторон сообщили о достаточной численности такого персонала</w:t>
      </w:r>
      <w:r w:rsidR="00270B17" w:rsidRPr="00DB5643">
        <w:rPr>
          <w:rStyle w:val="ac"/>
          <w:bCs/>
          <w:snapToGrid w:val="0"/>
          <w:kern w:val="22"/>
          <w:szCs w:val="22"/>
        </w:rPr>
        <w:footnoteReference w:id="22"/>
      </w:r>
      <w:r w:rsidR="004C7845" w:rsidRPr="00DB5643">
        <w:rPr>
          <w:snapToGrid w:val="0"/>
          <w:kern w:val="22"/>
          <w:szCs w:val="22"/>
          <w:lang w:val="ru-RU"/>
        </w:rPr>
        <w:t>.</w:t>
      </w:r>
    </w:p>
    <w:p w14:paraId="1B5E3073" w14:textId="33B15352" w:rsidR="004569FB" w:rsidRPr="00DB5643" w:rsidRDefault="004C7845"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общей сложности </w:t>
      </w:r>
      <w:r w:rsidR="004569FB" w:rsidRPr="00DB5643">
        <w:rPr>
          <w:snapToGrid w:val="0"/>
          <w:kern w:val="22"/>
          <w:szCs w:val="22"/>
          <w:lang w:val="ru-RU"/>
        </w:rPr>
        <w:t>65</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(60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 о создании достаточного организационного потенциала</w:t>
      </w:r>
      <w:r w:rsidR="004569FB" w:rsidRPr="00DB5643">
        <w:rPr>
          <w:snapToGrid w:val="0"/>
          <w:kern w:val="22"/>
          <w:szCs w:val="22"/>
          <w:lang w:val="ru-RU"/>
        </w:rPr>
        <w:t xml:space="preserve"> </w:t>
      </w:r>
      <w:r w:rsidRPr="00DB5643">
        <w:rPr>
          <w:snapToGrid w:val="0"/>
          <w:kern w:val="22"/>
          <w:szCs w:val="22"/>
          <w:lang w:val="ru-RU"/>
        </w:rPr>
        <w:t xml:space="preserve">для </w:t>
      </w:r>
      <w:r w:rsidR="0052740F" w:rsidRPr="00DB5643">
        <w:rPr>
          <w:snapToGrid w:val="0"/>
          <w:kern w:val="22"/>
          <w:szCs w:val="22"/>
          <w:lang w:val="ru-RU"/>
        </w:rPr>
        <w:t xml:space="preserve">обеспечения возможности </w:t>
      </w:r>
      <w:r w:rsidRPr="00DB5643">
        <w:rPr>
          <w:snapToGrid w:val="0"/>
          <w:kern w:val="22"/>
          <w:szCs w:val="22"/>
          <w:lang w:val="ru-RU"/>
        </w:rPr>
        <w:t>выполнения</w:t>
      </w:r>
      <w:r w:rsidR="0052740F" w:rsidRPr="00DB5643">
        <w:rPr>
          <w:snapToGrid w:val="0"/>
          <w:kern w:val="22"/>
          <w:szCs w:val="22"/>
          <w:lang w:val="ru-RU"/>
        </w:rPr>
        <w:t xml:space="preserve"> компетентным органом административных функций, требуемых </w:t>
      </w:r>
      <w:proofErr w:type="spellStart"/>
      <w:r w:rsidR="0052740F" w:rsidRPr="00DB5643">
        <w:rPr>
          <w:snapToGrid w:val="0"/>
          <w:kern w:val="22"/>
          <w:szCs w:val="22"/>
          <w:lang w:val="ru-RU"/>
        </w:rPr>
        <w:t>Картахенским</w:t>
      </w:r>
      <w:proofErr w:type="spellEnd"/>
      <w:r w:rsidR="0052740F" w:rsidRPr="00DB5643">
        <w:rPr>
          <w:snapToGrid w:val="0"/>
          <w:kern w:val="22"/>
          <w:szCs w:val="22"/>
          <w:lang w:val="ru-RU"/>
        </w:rPr>
        <w:t xml:space="preserve"> протоколом</w:t>
      </w:r>
      <w:r w:rsidR="004569FB" w:rsidRPr="00DB5643">
        <w:rPr>
          <w:snapToGrid w:val="0"/>
          <w:kern w:val="22"/>
          <w:szCs w:val="22"/>
          <w:lang w:val="ru-RU"/>
        </w:rPr>
        <w:t xml:space="preserve"> (</w:t>
      </w:r>
      <w:r w:rsidR="0052740F" w:rsidRPr="00DB5643">
        <w:rPr>
          <w:snapToGrid w:val="0"/>
          <w:kern w:val="22"/>
          <w:szCs w:val="22"/>
          <w:lang w:val="ru-RU"/>
        </w:rPr>
        <w:t>увеличение на</w:t>
      </w:r>
      <w:r w:rsidR="004569FB" w:rsidRPr="00DB5643">
        <w:rPr>
          <w:snapToGrid w:val="0"/>
          <w:kern w:val="22"/>
          <w:szCs w:val="22"/>
          <w:lang w:val="ru-RU"/>
        </w:rPr>
        <w:t xml:space="preserve"> </w:t>
      </w:r>
      <w:r w:rsidR="008148F1" w:rsidRPr="00DB5643">
        <w:rPr>
          <w:snapToGrid w:val="0"/>
          <w:kern w:val="22"/>
          <w:szCs w:val="22"/>
          <w:lang w:val="ru-RU"/>
        </w:rPr>
        <w:t>20</w:t>
      </w:r>
      <w:r w:rsidR="0052740F" w:rsidRPr="00DB5643">
        <w:rPr>
          <w:snapToGrid w:val="0"/>
          <w:kern w:val="22"/>
          <w:szCs w:val="22"/>
          <w:lang w:val="ru-RU"/>
        </w:rPr>
        <w:t> </w:t>
      </w:r>
      <w:r w:rsidR="004569FB" w:rsidRPr="00DB5643">
        <w:rPr>
          <w:snapToGrid w:val="0"/>
          <w:kern w:val="22"/>
          <w:szCs w:val="22"/>
          <w:lang w:val="ru-RU"/>
        </w:rPr>
        <w:t xml:space="preserve">% </w:t>
      </w:r>
      <w:r w:rsidR="0052740F" w:rsidRPr="00DB5643">
        <w:rPr>
          <w:snapToGrid w:val="0"/>
          <w:kern w:val="22"/>
          <w:szCs w:val="22"/>
          <w:lang w:val="ru-RU"/>
        </w:rPr>
        <w:t>по отношению к исходному уровню</w:t>
      </w:r>
      <w:r w:rsidR="004569FB" w:rsidRPr="00DB5643">
        <w:rPr>
          <w:snapToGrid w:val="0"/>
          <w:kern w:val="22"/>
          <w:szCs w:val="22"/>
          <w:lang w:val="ru-RU"/>
        </w:rPr>
        <w:t xml:space="preserve">), </w:t>
      </w:r>
      <w:r w:rsidR="0052740F" w:rsidRPr="00DB5643">
        <w:rPr>
          <w:snapToGrid w:val="0"/>
          <w:kern w:val="22"/>
          <w:szCs w:val="22"/>
          <w:lang w:val="ru-RU"/>
        </w:rPr>
        <w:t xml:space="preserve">тогда как </w:t>
      </w:r>
      <w:r w:rsidR="004569FB" w:rsidRPr="00DB5643">
        <w:rPr>
          <w:snapToGrid w:val="0"/>
          <w:kern w:val="22"/>
          <w:szCs w:val="22"/>
          <w:lang w:val="ru-RU"/>
        </w:rPr>
        <w:t>26</w:t>
      </w:r>
      <w:r w:rsidR="0052740F" w:rsidRPr="00DB5643">
        <w:rPr>
          <w:snapToGrid w:val="0"/>
          <w:kern w:val="22"/>
          <w:szCs w:val="22"/>
          <w:lang w:val="ru-RU"/>
        </w:rPr>
        <w:t> </w:t>
      </w:r>
      <w:r w:rsidR="004569FB" w:rsidRPr="00DB5643">
        <w:rPr>
          <w:snapToGrid w:val="0"/>
          <w:kern w:val="22"/>
          <w:szCs w:val="22"/>
          <w:lang w:val="ru-RU"/>
        </w:rPr>
        <w:t xml:space="preserve">% </w:t>
      </w:r>
      <w:r w:rsidR="0052740F" w:rsidRPr="00DB5643">
        <w:rPr>
          <w:snapToGrid w:val="0"/>
          <w:kern w:val="22"/>
          <w:szCs w:val="22"/>
          <w:lang w:val="ru-RU"/>
        </w:rPr>
        <w:t>Сторон</w:t>
      </w:r>
      <w:r w:rsidR="004569FB" w:rsidRPr="00DB5643">
        <w:rPr>
          <w:snapToGrid w:val="0"/>
          <w:kern w:val="22"/>
          <w:szCs w:val="22"/>
          <w:lang w:val="ru-RU"/>
        </w:rPr>
        <w:t xml:space="preserve"> (24 </w:t>
      </w:r>
      <w:r w:rsidR="0052740F" w:rsidRPr="00DB5643">
        <w:rPr>
          <w:snapToGrid w:val="0"/>
          <w:kern w:val="22"/>
          <w:szCs w:val="22"/>
          <w:lang w:val="ru-RU"/>
        </w:rPr>
        <w:t>Стороны</w:t>
      </w:r>
      <w:r w:rsidR="004569FB" w:rsidRPr="00DB5643">
        <w:rPr>
          <w:snapToGrid w:val="0"/>
          <w:kern w:val="22"/>
          <w:szCs w:val="22"/>
          <w:lang w:val="ru-RU"/>
        </w:rPr>
        <w:t xml:space="preserve">) </w:t>
      </w:r>
      <w:r w:rsidR="0052740F" w:rsidRPr="00DB5643">
        <w:rPr>
          <w:snapToGrid w:val="0"/>
          <w:kern w:val="22"/>
          <w:szCs w:val="22"/>
          <w:lang w:val="ru-RU"/>
        </w:rPr>
        <w:t xml:space="preserve">сообщили о создании достаточного организационного потенциала </w:t>
      </w:r>
      <w:r w:rsidR="00827900" w:rsidRPr="00DB5643">
        <w:rPr>
          <w:snapToGrid w:val="0"/>
          <w:kern w:val="22"/>
          <w:szCs w:val="22"/>
          <w:lang w:val="ru-RU"/>
        </w:rPr>
        <w:t xml:space="preserve">в некоторой степени </w:t>
      </w:r>
      <w:r w:rsidR="004569FB" w:rsidRPr="00DB5643">
        <w:rPr>
          <w:snapToGrid w:val="0"/>
          <w:kern w:val="22"/>
          <w:szCs w:val="22"/>
          <w:lang w:val="ru-RU"/>
        </w:rPr>
        <w:t>(</w:t>
      </w:r>
      <w:r w:rsidR="0052740F" w:rsidRPr="00DB5643">
        <w:rPr>
          <w:snapToGrid w:val="0"/>
          <w:kern w:val="22"/>
          <w:szCs w:val="22"/>
          <w:lang w:val="ru-RU"/>
        </w:rPr>
        <w:t>уменьшение на</w:t>
      </w:r>
      <w:r w:rsidR="004569FB" w:rsidRPr="00DB5643">
        <w:rPr>
          <w:snapToGrid w:val="0"/>
          <w:kern w:val="22"/>
          <w:szCs w:val="22"/>
          <w:lang w:val="ru-RU"/>
        </w:rPr>
        <w:t xml:space="preserve"> 14</w:t>
      </w:r>
      <w:r w:rsidR="0052740F" w:rsidRPr="00DB5643">
        <w:rPr>
          <w:snapToGrid w:val="0"/>
          <w:kern w:val="22"/>
          <w:szCs w:val="22"/>
          <w:lang w:val="ru-RU"/>
        </w:rPr>
        <w:t> </w:t>
      </w:r>
      <w:r w:rsidR="004569FB" w:rsidRPr="00DB5643">
        <w:rPr>
          <w:snapToGrid w:val="0"/>
          <w:kern w:val="22"/>
          <w:szCs w:val="22"/>
          <w:lang w:val="ru-RU"/>
        </w:rPr>
        <w:t xml:space="preserve">% </w:t>
      </w:r>
      <w:r w:rsidR="0052740F" w:rsidRPr="00DB5643">
        <w:rPr>
          <w:snapToGrid w:val="0"/>
          <w:kern w:val="22"/>
          <w:szCs w:val="22"/>
          <w:lang w:val="ru-RU"/>
        </w:rPr>
        <w:t>по отношению к исходному уровню</w:t>
      </w:r>
      <w:r w:rsidR="004569FB" w:rsidRPr="00DB5643">
        <w:rPr>
          <w:snapToGrid w:val="0"/>
          <w:kern w:val="22"/>
          <w:szCs w:val="22"/>
          <w:lang w:val="ru-RU"/>
        </w:rPr>
        <w:t>).</w:t>
      </w:r>
    </w:p>
    <w:p w14:paraId="077563FA" w14:textId="1C22125A" w:rsidR="004569FB" w:rsidRPr="00DB5643" w:rsidRDefault="0062001C"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своих письменных материалах </w:t>
      </w:r>
      <w:r w:rsidR="00AC56CB">
        <w:rPr>
          <w:snapToGrid w:val="0"/>
          <w:kern w:val="22"/>
          <w:szCs w:val="22"/>
          <w:lang w:val="ru-RU"/>
        </w:rPr>
        <w:t>несколько</w:t>
      </w:r>
      <w:r w:rsidRPr="00DB5643">
        <w:rPr>
          <w:snapToGrid w:val="0"/>
          <w:kern w:val="22"/>
          <w:szCs w:val="22"/>
          <w:lang w:val="ru-RU"/>
        </w:rPr>
        <w:t xml:space="preserve"> стран отметили, что, несмотря на создание организационных структур, имеющийся потенциал и укомплектованность персоналом все еще недостаточны</w:t>
      </w:r>
      <w:r w:rsidR="004569FB" w:rsidRPr="00DB5643">
        <w:rPr>
          <w:snapToGrid w:val="0"/>
          <w:kern w:val="22"/>
          <w:szCs w:val="22"/>
          <w:lang w:val="ru-RU"/>
        </w:rPr>
        <w:t xml:space="preserve">. </w:t>
      </w:r>
      <w:r w:rsidRPr="00DB5643">
        <w:rPr>
          <w:snapToGrid w:val="0"/>
          <w:kern w:val="22"/>
          <w:szCs w:val="22"/>
          <w:lang w:val="ru-RU"/>
        </w:rPr>
        <w:t>Некоторые Стороны отметили, что необходимо развивать межведомственное сотрудничество</w:t>
      </w:r>
      <w:r w:rsidR="004569FB" w:rsidRPr="00DB5643">
        <w:rPr>
          <w:snapToGrid w:val="0"/>
          <w:kern w:val="22"/>
          <w:szCs w:val="22"/>
          <w:lang w:val="ru-RU"/>
        </w:rPr>
        <w:t xml:space="preserve">. </w:t>
      </w:r>
      <w:r w:rsidRPr="00DB5643">
        <w:rPr>
          <w:snapToGrid w:val="0"/>
          <w:kern w:val="22"/>
          <w:szCs w:val="22"/>
          <w:lang w:val="ru-RU"/>
        </w:rPr>
        <w:t>Некоторые Стороны отметили, что требуется дальнейшее укрепление мандатов в законодательном порядке</w:t>
      </w:r>
      <w:r w:rsidR="004569FB" w:rsidRPr="00DB5643">
        <w:rPr>
          <w:snapToGrid w:val="0"/>
          <w:kern w:val="22"/>
          <w:szCs w:val="22"/>
          <w:lang w:val="ru-RU"/>
        </w:rPr>
        <w:t xml:space="preserve">. </w:t>
      </w:r>
    </w:p>
    <w:p w14:paraId="52226305" w14:textId="6163CCB4" w:rsidR="004569FB" w:rsidRPr="00DB5643" w:rsidRDefault="00A140AA" w:rsidP="00AC56CB">
      <w:pPr>
        <w:keepNext/>
        <w:numPr>
          <w:ilvl w:val="0"/>
          <w:numId w:val="17"/>
        </w:numPr>
        <w:suppressLineNumbers/>
        <w:tabs>
          <w:tab w:val="clear" w:pos="2070"/>
        </w:tabs>
        <w:suppressAutoHyphens/>
        <w:spacing w:before="120" w:after="120"/>
        <w:ind w:left="357" w:hanging="357"/>
        <w:jc w:val="center"/>
        <w:outlineLvl w:val="1"/>
        <w:rPr>
          <w:b/>
          <w:iCs/>
          <w:snapToGrid w:val="0"/>
          <w:kern w:val="22"/>
          <w:szCs w:val="22"/>
          <w:lang w:val="ru-RU"/>
        </w:rPr>
      </w:pPr>
      <w:r w:rsidRPr="00DB5643">
        <w:rPr>
          <w:b/>
          <w:iCs/>
          <w:snapToGrid w:val="0"/>
          <w:kern w:val="22"/>
          <w:szCs w:val="22"/>
          <w:lang w:val="ru-RU"/>
        </w:rPr>
        <w:t xml:space="preserve">Координация и поддержка </w:t>
      </w:r>
      <w:r w:rsidR="004569FB" w:rsidRPr="00DB5643">
        <w:rPr>
          <w:b/>
          <w:iCs/>
          <w:snapToGrid w:val="0"/>
          <w:kern w:val="22"/>
          <w:szCs w:val="22"/>
          <w:lang w:val="ru-RU"/>
        </w:rPr>
        <w:t>(</w:t>
      </w:r>
      <w:r w:rsidRPr="00DB5643">
        <w:rPr>
          <w:b/>
          <w:iCs/>
          <w:snapToGrid w:val="0"/>
          <w:kern w:val="22"/>
          <w:szCs w:val="22"/>
          <w:lang w:val="ru-RU"/>
        </w:rPr>
        <w:t>оперативная цель</w:t>
      </w:r>
      <w:r w:rsidR="004569FB" w:rsidRPr="00DB5643">
        <w:rPr>
          <w:b/>
          <w:iCs/>
          <w:snapToGrid w:val="0"/>
          <w:kern w:val="22"/>
          <w:szCs w:val="22"/>
          <w:lang w:val="ru-RU"/>
        </w:rPr>
        <w:t xml:space="preserve"> 1.2)</w:t>
      </w:r>
    </w:p>
    <w:p w14:paraId="0C3D9CA6" w14:textId="4AB24E23" w:rsidR="004569FB" w:rsidRPr="00DB5643" w:rsidRDefault="008D13CB"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Оперативная цель 1.2 предусматривает внедрение эффективных механизмов для создания систем обеспечения биобезопасности наряду с необходимой поддержкой координации, финансирования и мониторинга</w:t>
      </w:r>
      <w:r w:rsidR="0019777C" w:rsidRPr="00DB5643">
        <w:rPr>
          <w:snapToGrid w:val="0"/>
          <w:kern w:val="22"/>
          <w:szCs w:val="22"/>
          <w:lang w:val="ru-RU"/>
        </w:rPr>
        <w:t xml:space="preserve">. </w:t>
      </w:r>
      <w:r w:rsidRPr="00DB5643">
        <w:rPr>
          <w:snapToGrid w:val="0"/>
          <w:kern w:val="22"/>
          <w:szCs w:val="22"/>
          <w:lang w:val="ru-RU"/>
        </w:rPr>
        <w:t>Для оценки результатов выполнения этой оперативной цели было разработано восемь индикаторов</w:t>
      </w:r>
      <w:r w:rsidR="004569FB" w:rsidRPr="00DB5643">
        <w:rPr>
          <w:snapToGrid w:val="0"/>
          <w:kern w:val="22"/>
          <w:szCs w:val="22"/>
          <w:lang w:val="ru-RU"/>
        </w:rPr>
        <w:t>.</w:t>
      </w:r>
    </w:p>
    <w:p w14:paraId="32AF3A03" w14:textId="0308BB94" w:rsidR="004569FB" w:rsidRPr="00DB5643" w:rsidRDefault="008D13CB"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1.2.1</w:t>
      </w:r>
      <w:r w:rsidR="004569FB" w:rsidRPr="00DB5643">
        <w:rPr>
          <w:snapToGrid w:val="0"/>
          <w:kern w:val="22"/>
          <w:szCs w:val="22"/>
          <w:lang w:val="ru-RU"/>
        </w:rPr>
        <w:t xml:space="preserve"> (</w:t>
      </w:r>
      <w:r w:rsidRPr="00DB5643">
        <w:rPr>
          <w:snapToGrid w:val="0"/>
          <w:kern w:val="22"/>
          <w:szCs w:val="22"/>
          <w:lang w:val="ru-RU"/>
        </w:rPr>
        <w:t>число Сторон, которые провели оценку своих потребностей в создании потенциала</w:t>
      </w:r>
      <w:r w:rsidR="004569FB" w:rsidRPr="00DB5643">
        <w:rPr>
          <w:snapToGrid w:val="0"/>
          <w:kern w:val="22"/>
          <w:szCs w:val="22"/>
          <w:lang w:val="ru-RU"/>
        </w:rPr>
        <w:t xml:space="preserve">, </w:t>
      </w:r>
      <w:r w:rsidR="005C5F1F" w:rsidRPr="00DB5643">
        <w:rPr>
          <w:snapToGrid w:val="0"/>
          <w:kern w:val="22"/>
          <w:szCs w:val="22"/>
          <w:lang w:val="ru-RU"/>
        </w:rPr>
        <w:t>включая потребности в подготовке кадров и организационные потребности</w:t>
      </w:r>
      <w:r w:rsidR="004569FB" w:rsidRPr="00DB5643">
        <w:rPr>
          <w:snapToGrid w:val="0"/>
          <w:kern w:val="22"/>
          <w:szCs w:val="22"/>
          <w:lang w:val="ru-RU"/>
        </w:rPr>
        <w:t xml:space="preserve">, </w:t>
      </w:r>
      <w:r w:rsidR="005C5F1F" w:rsidRPr="00DB5643">
        <w:rPr>
          <w:snapToGrid w:val="0"/>
          <w:kern w:val="22"/>
          <w:szCs w:val="22"/>
          <w:lang w:val="ru-RU"/>
        </w:rPr>
        <w:t xml:space="preserve">и представили информацию в </w:t>
      </w:r>
      <w:proofErr w:type="spellStart"/>
      <w:r w:rsidR="005C5F1F" w:rsidRPr="00DB5643">
        <w:rPr>
          <w:snapToGrid w:val="0"/>
          <w:kern w:val="22"/>
          <w:szCs w:val="22"/>
          <w:lang w:val="ru-RU"/>
        </w:rPr>
        <w:t>МПБ</w:t>
      </w:r>
      <w:proofErr w:type="spellEnd"/>
      <w:r w:rsidR="005C5F1F" w:rsidRPr="00DB5643">
        <w:rPr>
          <w:snapToGrid w:val="0"/>
          <w:kern w:val="22"/>
          <w:szCs w:val="22"/>
          <w:lang w:val="ru-RU"/>
        </w:rPr>
        <w:t>)</w:t>
      </w:r>
      <w:r w:rsidR="004569FB" w:rsidRPr="00DB5643">
        <w:rPr>
          <w:snapToGrid w:val="0"/>
          <w:kern w:val="22"/>
          <w:szCs w:val="22"/>
          <w:lang w:val="ru-RU"/>
        </w:rPr>
        <w:t xml:space="preserve"> 45</w:t>
      </w:r>
      <w:r w:rsidR="005C5F1F" w:rsidRPr="00DB5643">
        <w:rPr>
          <w:snapToGrid w:val="0"/>
          <w:kern w:val="22"/>
          <w:szCs w:val="22"/>
          <w:lang w:val="ru-RU"/>
        </w:rPr>
        <w:t> </w:t>
      </w:r>
      <w:r w:rsidR="004569FB" w:rsidRPr="00DB5643">
        <w:rPr>
          <w:snapToGrid w:val="0"/>
          <w:kern w:val="22"/>
          <w:szCs w:val="22"/>
          <w:lang w:val="ru-RU"/>
        </w:rPr>
        <w:t xml:space="preserve">% </w:t>
      </w:r>
      <w:r w:rsidR="005C5F1F" w:rsidRPr="00DB5643">
        <w:rPr>
          <w:snapToGrid w:val="0"/>
          <w:kern w:val="22"/>
          <w:szCs w:val="22"/>
          <w:lang w:val="ru-RU"/>
        </w:rPr>
        <w:t>Сторон</w:t>
      </w:r>
      <w:r w:rsidR="004569FB" w:rsidRPr="00DB5643">
        <w:rPr>
          <w:snapToGrid w:val="0"/>
          <w:kern w:val="22"/>
          <w:szCs w:val="22"/>
          <w:lang w:val="ru-RU"/>
        </w:rPr>
        <w:t xml:space="preserve"> (42 </w:t>
      </w:r>
      <w:r w:rsidR="005C5F1F" w:rsidRPr="00DB5643">
        <w:rPr>
          <w:snapToGrid w:val="0"/>
          <w:kern w:val="22"/>
          <w:szCs w:val="22"/>
          <w:lang w:val="ru-RU"/>
        </w:rPr>
        <w:t>Стороны</w:t>
      </w:r>
      <w:r w:rsidR="004569FB" w:rsidRPr="00DB5643">
        <w:rPr>
          <w:snapToGrid w:val="0"/>
          <w:kern w:val="22"/>
          <w:szCs w:val="22"/>
          <w:lang w:val="ru-RU"/>
        </w:rPr>
        <w:t xml:space="preserve">) </w:t>
      </w:r>
      <w:r w:rsidR="00404B8C" w:rsidRPr="00DB5643">
        <w:rPr>
          <w:snapToGrid w:val="0"/>
          <w:kern w:val="22"/>
          <w:szCs w:val="22"/>
          <w:lang w:val="ru-RU"/>
        </w:rPr>
        <w:t>сообщили о проведении оценки потребностей в создании потенциала</w:t>
      </w:r>
      <w:r w:rsidR="004569FB" w:rsidRPr="00DB5643">
        <w:rPr>
          <w:bCs/>
          <w:snapToGrid w:val="0"/>
          <w:kern w:val="22"/>
          <w:szCs w:val="22"/>
          <w:lang w:val="ru-RU"/>
        </w:rPr>
        <w:t>,</w:t>
      </w:r>
      <w:r w:rsidR="00404B8C" w:rsidRPr="00DB5643">
        <w:rPr>
          <w:bCs/>
          <w:snapToGrid w:val="0"/>
          <w:kern w:val="22"/>
          <w:szCs w:val="22"/>
          <w:lang w:val="ru-RU"/>
        </w:rPr>
        <w:t xml:space="preserve"> что соответствует уменьшению на</w:t>
      </w:r>
      <w:r w:rsidR="004569FB" w:rsidRPr="00DB5643">
        <w:rPr>
          <w:bCs/>
          <w:snapToGrid w:val="0"/>
          <w:kern w:val="22"/>
          <w:szCs w:val="22"/>
          <w:lang w:val="ru-RU"/>
        </w:rPr>
        <w:t xml:space="preserve"> 4</w:t>
      </w:r>
      <w:r w:rsidR="00404B8C" w:rsidRPr="00DB5643">
        <w:rPr>
          <w:bCs/>
          <w:snapToGrid w:val="0"/>
          <w:kern w:val="22"/>
          <w:szCs w:val="22"/>
          <w:lang w:val="ru-RU"/>
        </w:rPr>
        <w:t> </w:t>
      </w:r>
      <w:r w:rsidR="004569FB" w:rsidRPr="00DB5643">
        <w:rPr>
          <w:bCs/>
          <w:snapToGrid w:val="0"/>
          <w:kern w:val="22"/>
          <w:szCs w:val="22"/>
          <w:lang w:val="ru-RU"/>
        </w:rPr>
        <w:t xml:space="preserve">% </w:t>
      </w:r>
      <w:r w:rsidR="00404B8C" w:rsidRPr="00DB5643">
        <w:rPr>
          <w:snapToGrid w:val="0"/>
          <w:kern w:val="22"/>
          <w:szCs w:val="22"/>
          <w:lang w:val="ru-RU"/>
        </w:rPr>
        <w:t>по отношению к исходному уровню</w:t>
      </w:r>
      <w:r w:rsidR="004569FB" w:rsidRPr="00DB5643">
        <w:rPr>
          <w:bCs/>
          <w:snapToGrid w:val="0"/>
          <w:kern w:val="22"/>
          <w:szCs w:val="22"/>
          <w:lang w:val="ru-RU"/>
        </w:rPr>
        <w:t xml:space="preserve">. </w:t>
      </w:r>
      <w:r w:rsidR="00404B8C" w:rsidRPr="00DB5643">
        <w:rPr>
          <w:bCs/>
          <w:snapToGrid w:val="0"/>
          <w:kern w:val="22"/>
          <w:szCs w:val="22"/>
          <w:lang w:val="ru-RU"/>
        </w:rPr>
        <w:t>На региональном уровне цифры распределяются следующим образом</w:t>
      </w:r>
      <w:r w:rsidR="004569FB" w:rsidRPr="00DB5643">
        <w:rPr>
          <w:bCs/>
          <w:snapToGrid w:val="0"/>
          <w:kern w:val="22"/>
          <w:szCs w:val="22"/>
          <w:lang w:val="ru-RU"/>
        </w:rPr>
        <w:t>: 69</w:t>
      </w:r>
      <w:r w:rsidR="00404B8C" w:rsidRPr="00DB5643">
        <w:rPr>
          <w:bCs/>
          <w:snapToGrid w:val="0"/>
          <w:kern w:val="22"/>
          <w:szCs w:val="22"/>
          <w:lang w:val="ru-RU"/>
        </w:rPr>
        <w:t> </w:t>
      </w:r>
      <w:r w:rsidR="004569FB" w:rsidRPr="00DB5643">
        <w:rPr>
          <w:bCs/>
          <w:snapToGrid w:val="0"/>
          <w:kern w:val="22"/>
          <w:szCs w:val="22"/>
          <w:lang w:val="ru-RU"/>
        </w:rPr>
        <w:t xml:space="preserve">% </w:t>
      </w:r>
      <w:r w:rsidR="00404B8C" w:rsidRPr="00DB5643">
        <w:rPr>
          <w:bCs/>
          <w:snapToGrid w:val="0"/>
          <w:kern w:val="22"/>
          <w:szCs w:val="22"/>
          <w:lang w:val="ru-RU"/>
        </w:rPr>
        <w:t xml:space="preserve">в Азиатско-Тихоокеанском регионе </w:t>
      </w:r>
      <w:r w:rsidR="004569FB" w:rsidRPr="00DB5643">
        <w:rPr>
          <w:bCs/>
          <w:snapToGrid w:val="0"/>
          <w:kern w:val="22"/>
          <w:szCs w:val="22"/>
          <w:lang w:val="ru-RU"/>
        </w:rPr>
        <w:t>(+19</w:t>
      </w:r>
      <w:r w:rsidR="00404B8C" w:rsidRPr="00DB5643">
        <w:rPr>
          <w:bCs/>
          <w:snapToGrid w:val="0"/>
          <w:kern w:val="22"/>
          <w:szCs w:val="22"/>
          <w:lang w:val="ru-RU"/>
        </w:rPr>
        <w:t> </w:t>
      </w:r>
      <w:r w:rsidR="004569FB" w:rsidRPr="00DB5643">
        <w:rPr>
          <w:bCs/>
          <w:snapToGrid w:val="0"/>
          <w:kern w:val="22"/>
          <w:szCs w:val="22"/>
          <w:lang w:val="ru-RU"/>
        </w:rPr>
        <w:t>%); 63</w:t>
      </w:r>
      <w:r w:rsidR="00404B8C" w:rsidRPr="00DB5643">
        <w:rPr>
          <w:bCs/>
          <w:snapToGrid w:val="0"/>
          <w:kern w:val="22"/>
          <w:szCs w:val="22"/>
          <w:lang w:val="ru-RU"/>
        </w:rPr>
        <w:t> </w:t>
      </w:r>
      <w:r w:rsidR="004569FB" w:rsidRPr="00DB5643">
        <w:rPr>
          <w:bCs/>
          <w:snapToGrid w:val="0"/>
          <w:kern w:val="22"/>
          <w:szCs w:val="22"/>
          <w:lang w:val="ru-RU"/>
        </w:rPr>
        <w:t xml:space="preserve">% </w:t>
      </w:r>
      <w:r w:rsidR="00404B8C" w:rsidRPr="00DB5643">
        <w:rPr>
          <w:bCs/>
          <w:snapToGrid w:val="0"/>
          <w:kern w:val="22"/>
          <w:szCs w:val="22"/>
          <w:lang w:val="ru-RU"/>
        </w:rPr>
        <w:t>в Африке</w:t>
      </w:r>
      <w:r w:rsidR="004569FB" w:rsidRPr="00DB5643">
        <w:rPr>
          <w:bCs/>
          <w:snapToGrid w:val="0"/>
          <w:kern w:val="22"/>
          <w:szCs w:val="22"/>
          <w:lang w:val="ru-RU"/>
        </w:rPr>
        <w:t xml:space="preserve"> (+</w:t>
      </w:r>
      <w:r w:rsidR="00A12EE7" w:rsidRPr="00DB5643">
        <w:rPr>
          <w:bCs/>
          <w:snapToGrid w:val="0"/>
          <w:kern w:val="22"/>
          <w:szCs w:val="22"/>
          <w:lang w:val="ru-RU"/>
        </w:rPr>
        <w:t>7</w:t>
      </w:r>
      <w:r w:rsidR="00404B8C" w:rsidRPr="00DB5643">
        <w:rPr>
          <w:bCs/>
          <w:snapToGrid w:val="0"/>
          <w:kern w:val="22"/>
          <w:szCs w:val="22"/>
          <w:lang w:val="ru-RU"/>
        </w:rPr>
        <w:t> </w:t>
      </w:r>
      <w:r w:rsidR="004569FB" w:rsidRPr="00DB5643">
        <w:rPr>
          <w:bCs/>
          <w:snapToGrid w:val="0"/>
          <w:kern w:val="22"/>
          <w:szCs w:val="22"/>
          <w:lang w:val="ru-RU"/>
        </w:rPr>
        <w:t>%); 54</w:t>
      </w:r>
      <w:r w:rsidR="00404B8C" w:rsidRPr="00DB5643">
        <w:rPr>
          <w:bCs/>
          <w:snapToGrid w:val="0"/>
          <w:kern w:val="22"/>
          <w:szCs w:val="22"/>
          <w:lang w:val="ru-RU"/>
        </w:rPr>
        <w:t> </w:t>
      </w:r>
      <w:r w:rsidR="004569FB" w:rsidRPr="00DB5643">
        <w:rPr>
          <w:bCs/>
          <w:snapToGrid w:val="0"/>
          <w:kern w:val="22"/>
          <w:szCs w:val="22"/>
          <w:lang w:val="ru-RU"/>
        </w:rPr>
        <w:t xml:space="preserve">% </w:t>
      </w:r>
      <w:r w:rsidR="00404B8C" w:rsidRPr="00DB5643">
        <w:rPr>
          <w:bCs/>
          <w:snapToGrid w:val="0"/>
          <w:kern w:val="22"/>
          <w:szCs w:val="22"/>
          <w:lang w:val="ru-RU"/>
        </w:rPr>
        <w:t>в</w:t>
      </w:r>
      <w:r w:rsidR="001F37FF" w:rsidRPr="00DB5643">
        <w:rPr>
          <w:bCs/>
          <w:snapToGrid w:val="0"/>
          <w:kern w:val="22"/>
          <w:szCs w:val="22"/>
          <w:lang w:val="ru-RU"/>
        </w:rPr>
        <w:t xml:space="preserve"> регионе</w:t>
      </w:r>
      <w:r w:rsidR="00404B8C" w:rsidRPr="00DB5643">
        <w:rPr>
          <w:bCs/>
          <w:snapToGrid w:val="0"/>
          <w:kern w:val="22"/>
          <w:szCs w:val="22"/>
          <w:lang w:val="ru-RU"/>
        </w:rPr>
        <w:t xml:space="preserve"> </w:t>
      </w:r>
      <w:proofErr w:type="spellStart"/>
      <w:r w:rsidR="00404B8C" w:rsidRPr="00DB5643">
        <w:rPr>
          <w:bCs/>
          <w:snapToGrid w:val="0"/>
          <w:kern w:val="22"/>
          <w:szCs w:val="22"/>
          <w:lang w:val="ru-RU"/>
        </w:rPr>
        <w:t>ГРУЛАК</w:t>
      </w:r>
      <w:proofErr w:type="spellEnd"/>
      <w:r w:rsidR="004569FB" w:rsidRPr="00DB5643">
        <w:rPr>
          <w:bCs/>
          <w:snapToGrid w:val="0"/>
          <w:kern w:val="22"/>
          <w:szCs w:val="22"/>
          <w:lang w:val="ru-RU"/>
        </w:rPr>
        <w:t xml:space="preserve"> (-8</w:t>
      </w:r>
      <w:r w:rsidR="00404B8C" w:rsidRPr="00DB5643">
        <w:rPr>
          <w:bCs/>
          <w:snapToGrid w:val="0"/>
          <w:kern w:val="22"/>
          <w:szCs w:val="22"/>
          <w:lang w:val="ru-RU"/>
        </w:rPr>
        <w:t> </w:t>
      </w:r>
      <w:r w:rsidR="004569FB" w:rsidRPr="00DB5643">
        <w:rPr>
          <w:bCs/>
          <w:snapToGrid w:val="0"/>
          <w:kern w:val="22"/>
          <w:szCs w:val="22"/>
          <w:lang w:val="ru-RU"/>
        </w:rPr>
        <w:t>%); 19</w:t>
      </w:r>
      <w:r w:rsidR="00404B8C" w:rsidRPr="00DB5643">
        <w:rPr>
          <w:bCs/>
          <w:snapToGrid w:val="0"/>
          <w:kern w:val="22"/>
          <w:szCs w:val="22"/>
          <w:lang w:val="ru-RU"/>
        </w:rPr>
        <w:t> </w:t>
      </w:r>
      <w:r w:rsidR="004569FB" w:rsidRPr="00DB5643">
        <w:rPr>
          <w:bCs/>
          <w:snapToGrid w:val="0"/>
          <w:kern w:val="22"/>
          <w:szCs w:val="22"/>
          <w:lang w:val="ru-RU"/>
        </w:rPr>
        <w:t xml:space="preserve">% </w:t>
      </w:r>
      <w:r w:rsidR="00404B8C" w:rsidRPr="00DB5643">
        <w:rPr>
          <w:bCs/>
          <w:snapToGrid w:val="0"/>
          <w:kern w:val="22"/>
          <w:szCs w:val="22"/>
          <w:lang w:val="ru-RU"/>
        </w:rPr>
        <w:t>в</w:t>
      </w:r>
      <w:r w:rsidR="001F37FF" w:rsidRPr="00DB5643">
        <w:rPr>
          <w:bCs/>
          <w:snapToGrid w:val="0"/>
          <w:kern w:val="22"/>
          <w:szCs w:val="22"/>
          <w:lang w:val="ru-RU"/>
        </w:rPr>
        <w:t xml:space="preserve"> регионе</w:t>
      </w:r>
      <w:r w:rsidR="004569FB" w:rsidRPr="00DB5643">
        <w:rPr>
          <w:bCs/>
          <w:snapToGrid w:val="0"/>
          <w:kern w:val="22"/>
          <w:szCs w:val="22"/>
          <w:lang w:val="ru-RU"/>
        </w:rPr>
        <w:t xml:space="preserve"> </w:t>
      </w:r>
      <w:proofErr w:type="spellStart"/>
      <w:r w:rsidR="004569FB" w:rsidRPr="00DB5643">
        <w:rPr>
          <w:bCs/>
          <w:snapToGrid w:val="0"/>
          <w:kern w:val="22"/>
          <w:szCs w:val="22"/>
        </w:rPr>
        <w:t>CEE</w:t>
      </w:r>
      <w:proofErr w:type="spellEnd"/>
      <w:r w:rsidR="004569FB" w:rsidRPr="00DB5643">
        <w:rPr>
          <w:bCs/>
          <w:snapToGrid w:val="0"/>
          <w:kern w:val="22"/>
          <w:szCs w:val="22"/>
          <w:lang w:val="ru-RU"/>
        </w:rPr>
        <w:t xml:space="preserve"> (-44</w:t>
      </w:r>
      <w:r w:rsidR="00404B8C" w:rsidRPr="00DB5643">
        <w:rPr>
          <w:bCs/>
          <w:snapToGrid w:val="0"/>
          <w:kern w:val="22"/>
          <w:szCs w:val="22"/>
          <w:lang w:val="ru-RU"/>
        </w:rPr>
        <w:t> </w:t>
      </w:r>
      <w:r w:rsidR="004569FB" w:rsidRPr="00DB5643">
        <w:rPr>
          <w:bCs/>
          <w:snapToGrid w:val="0"/>
          <w:kern w:val="22"/>
          <w:szCs w:val="22"/>
          <w:lang w:val="ru-RU"/>
        </w:rPr>
        <w:t>%); 11</w:t>
      </w:r>
      <w:r w:rsidR="001F37FF" w:rsidRPr="00DB5643">
        <w:rPr>
          <w:bCs/>
          <w:snapToGrid w:val="0"/>
          <w:kern w:val="22"/>
          <w:szCs w:val="22"/>
          <w:lang w:val="ru-RU"/>
        </w:rPr>
        <w:t> </w:t>
      </w:r>
      <w:r w:rsidR="004569FB" w:rsidRPr="00DB5643">
        <w:rPr>
          <w:bCs/>
          <w:snapToGrid w:val="0"/>
          <w:kern w:val="22"/>
          <w:szCs w:val="22"/>
          <w:lang w:val="ru-RU"/>
        </w:rPr>
        <w:t>%</w:t>
      </w:r>
      <w:r w:rsidR="001F37FF" w:rsidRPr="00DB5643">
        <w:rPr>
          <w:bCs/>
          <w:snapToGrid w:val="0"/>
          <w:kern w:val="22"/>
          <w:szCs w:val="22"/>
          <w:lang w:val="ru-RU"/>
        </w:rPr>
        <w:t xml:space="preserve"> в регионе</w:t>
      </w:r>
      <w:r w:rsidR="004569FB" w:rsidRPr="00DB5643">
        <w:rPr>
          <w:bCs/>
          <w:snapToGrid w:val="0"/>
          <w:kern w:val="22"/>
          <w:szCs w:val="22"/>
          <w:lang w:val="ru-RU"/>
        </w:rPr>
        <w:t xml:space="preserve"> </w:t>
      </w:r>
      <w:proofErr w:type="spellStart"/>
      <w:r w:rsidR="001F37FF" w:rsidRPr="00DB5643">
        <w:rPr>
          <w:bCs/>
          <w:snapToGrid w:val="0"/>
          <w:kern w:val="22"/>
          <w:szCs w:val="22"/>
        </w:rPr>
        <w:t>WEOG</w:t>
      </w:r>
      <w:proofErr w:type="spellEnd"/>
      <w:r w:rsidR="001F37FF" w:rsidRPr="00DB5643">
        <w:rPr>
          <w:bCs/>
          <w:snapToGrid w:val="0"/>
          <w:kern w:val="22"/>
          <w:szCs w:val="22"/>
          <w:lang w:val="ru-RU"/>
        </w:rPr>
        <w:t xml:space="preserve"> </w:t>
      </w:r>
      <w:r w:rsidR="004569FB" w:rsidRPr="00DB5643">
        <w:rPr>
          <w:bCs/>
          <w:snapToGrid w:val="0"/>
          <w:kern w:val="22"/>
          <w:szCs w:val="22"/>
          <w:lang w:val="ru-RU"/>
        </w:rPr>
        <w:t>(-6</w:t>
      </w:r>
      <w:r w:rsidR="001F37FF" w:rsidRPr="00DB5643">
        <w:rPr>
          <w:bCs/>
          <w:snapToGrid w:val="0"/>
          <w:kern w:val="22"/>
          <w:szCs w:val="22"/>
          <w:lang w:val="ru-RU"/>
        </w:rPr>
        <w:t> </w:t>
      </w:r>
      <w:r w:rsidR="004569FB" w:rsidRPr="00DB5643">
        <w:rPr>
          <w:bCs/>
          <w:snapToGrid w:val="0"/>
          <w:kern w:val="22"/>
          <w:szCs w:val="22"/>
          <w:lang w:val="ru-RU"/>
        </w:rPr>
        <w:t xml:space="preserve">%). </w:t>
      </w:r>
    </w:p>
    <w:p w14:paraId="0751574A" w14:textId="0110E00E" w:rsidR="004569FB" w:rsidRPr="00DB5643" w:rsidRDefault="00A73B17"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отношении </w:t>
      </w:r>
      <w:r w:rsidRPr="00DB5643">
        <w:rPr>
          <w:b/>
          <w:snapToGrid w:val="0"/>
          <w:kern w:val="22"/>
          <w:szCs w:val="22"/>
          <w:lang w:val="ru-RU"/>
        </w:rPr>
        <w:t>индикатора</w:t>
      </w:r>
      <w:r w:rsidR="004569FB" w:rsidRPr="00DB5643">
        <w:rPr>
          <w:b/>
          <w:snapToGrid w:val="0"/>
          <w:kern w:val="22"/>
          <w:szCs w:val="22"/>
          <w:lang w:val="ru-RU"/>
        </w:rPr>
        <w:t xml:space="preserve"> 1.2.2</w:t>
      </w:r>
      <w:r w:rsidR="004569FB" w:rsidRPr="00DB5643">
        <w:rPr>
          <w:snapToGrid w:val="0"/>
          <w:kern w:val="22"/>
          <w:szCs w:val="22"/>
          <w:lang w:val="ru-RU"/>
        </w:rPr>
        <w:t xml:space="preserve"> (</w:t>
      </w:r>
      <w:r w:rsidR="004D3771" w:rsidRPr="00DB5643">
        <w:rPr>
          <w:snapToGrid w:val="0"/>
          <w:kern w:val="22"/>
          <w:szCs w:val="22"/>
          <w:lang w:val="ru-RU"/>
        </w:rPr>
        <w:t>процентная доля Сторон, разработавших национальные планы действий по созданию потенциала в области биобезопасности для осуществления Протокола</w:t>
      </w:r>
      <w:r w:rsidR="004569FB" w:rsidRPr="00DB5643">
        <w:rPr>
          <w:snapToGrid w:val="0"/>
          <w:kern w:val="22"/>
          <w:szCs w:val="22"/>
          <w:lang w:val="ru-RU"/>
        </w:rPr>
        <w:t>)</w:t>
      </w:r>
      <w:r w:rsidR="004D3771" w:rsidRPr="00DB5643">
        <w:rPr>
          <w:snapToGrid w:val="0"/>
          <w:kern w:val="22"/>
          <w:szCs w:val="22"/>
          <w:lang w:val="ru-RU"/>
        </w:rPr>
        <w:t xml:space="preserve"> </w:t>
      </w:r>
      <w:r w:rsidR="004569FB" w:rsidRPr="00DB5643">
        <w:rPr>
          <w:snapToGrid w:val="0"/>
          <w:kern w:val="22"/>
          <w:szCs w:val="22"/>
          <w:lang w:val="ru-RU"/>
        </w:rPr>
        <w:t>33</w:t>
      </w:r>
      <w:r w:rsidR="004D3771" w:rsidRPr="00DB5643">
        <w:rPr>
          <w:snapToGrid w:val="0"/>
          <w:kern w:val="22"/>
          <w:szCs w:val="22"/>
          <w:lang w:val="ru-RU"/>
        </w:rPr>
        <w:t> </w:t>
      </w:r>
      <w:r w:rsidR="004569FB" w:rsidRPr="00DB5643">
        <w:rPr>
          <w:snapToGrid w:val="0"/>
          <w:kern w:val="22"/>
          <w:szCs w:val="22"/>
          <w:lang w:val="ru-RU"/>
        </w:rPr>
        <w:t xml:space="preserve">% </w:t>
      </w:r>
      <w:r w:rsidR="004D3771" w:rsidRPr="00DB5643">
        <w:rPr>
          <w:snapToGrid w:val="0"/>
          <w:kern w:val="22"/>
          <w:szCs w:val="22"/>
          <w:lang w:val="ru-RU"/>
        </w:rPr>
        <w:t xml:space="preserve">Сторон </w:t>
      </w:r>
      <w:r w:rsidR="004569FB" w:rsidRPr="00DB5643">
        <w:rPr>
          <w:snapToGrid w:val="0"/>
          <w:kern w:val="22"/>
          <w:szCs w:val="22"/>
          <w:lang w:val="ru-RU"/>
        </w:rPr>
        <w:t xml:space="preserve">(31 </w:t>
      </w:r>
      <w:r w:rsidR="004D3771" w:rsidRPr="00DB5643">
        <w:rPr>
          <w:snapToGrid w:val="0"/>
          <w:kern w:val="22"/>
          <w:szCs w:val="22"/>
          <w:lang w:val="ru-RU"/>
        </w:rPr>
        <w:t>Сторона</w:t>
      </w:r>
      <w:r w:rsidR="004569FB" w:rsidRPr="00DB5643">
        <w:rPr>
          <w:snapToGrid w:val="0"/>
          <w:kern w:val="22"/>
          <w:szCs w:val="22"/>
          <w:lang w:val="ru-RU"/>
        </w:rPr>
        <w:t xml:space="preserve">) </w:t>
      </w:r>
      <w:r w:rsidR="000C474E" w:rsidRPr="00DB5643">
        <w:rPr>
          <w:snapToGrid w:val="0"/>
          <w:kern w:val="22"/>
          <w:szCs w:val="22"/>
          <w:lang w:val="ru-RU"/>
        </w:rPr>
        <w:t xml:space="preserve">сообщили о разработке стратегии или плана действий по </w:t>
      </w:r>
      <w:r w:rsidR="000C474E" w:rsidRPr="00DB5643">
        <w:rPr>
          <w:snapToGrid w:val="0"/>
          <w:kern w:val="22"/>
          <w:szCs w:val="22"/>
          <w:lang w:val="ru-RU"/>
        </w:rPr>
        <w:lastRenderedPageBreak/>
        <w:t>созданию потенциала</w:t>
      </w:r>
      <w:r w:rsidR="004569FB" w:rsidRPr="00DB5643">
        <w:rPr>
          <w:bCs/>
          <w:snapToGrid w:val="0"/>
          <w:kern w:val="22"/>
          <w:szCs w:val="22"/>
          <w:lang w:val="ru-RU"/>
        </w:rPr>
        <w:t xml:space="preserve">, </w:t>
      </w:r>
      <w:r w:rsidR="000C474E" w:rsidRPr="00DB5643">
        <w:rPr>
          <w:bCs/>
          <w:snapToGrid w:val="0"/>
          <w:kern w:val="22"/>
          <w:szCs w:val="22"/>
          <w:lang w:val="ru-RU"/>
        </w:rPr>
        <w:t xml:space="preserve">что соответствует увеличению на </w:t>
      </w:r>
      <w:r w:rsidR="004569FB" w:rsidRPr="00DB5643">
        <w:rPr>
          <w:bCs/>
          <w:snapToGrid w:val="0"/>
          <w:kern w:val="22"/>
          <w:szCs w:val="22"/>
          <w:lang w:val="ru-RU"/>
        </w:rPr>
        <w:t>2</w:t>
      </w:r>
      <w:r w:rsidR="000C474E" w:rsidRPr="00DB5643">
        <w:rPr>
          <w:bCs/>
          <w:snapToGrid w:val="0"/>
          <w:kern w:val="22"/>
          <w:szCs w:val="22"/>
          <w:lang w:val="ru-RU"/>
        </w:rPr>
        <w:t> </w:t>
      </w:r>
      <w:r w:rsidR="004569FB" w:rsidRPr="00DB5643">
        <w:rPr>
          <w:bCs/>
          <w:snapToGrid w:val="0"/>
          <w:kern w:val="22"/>
          <w:szCs w:val="22"/>
          <w:lang w:val="ru-RU"/>
        </w:rPr>
        <w:t xml:space="preserve">% </w:t>
      </w:r>
      <w:r w:rsidR="000C474E" w:rsidRPr="00DB5643">
        <w:rPr>
          <w:snapToGrid w:val="0"/>
          <w:kern w:val="22"/>
          <w:szCs w:val="22"/>
          <w:lang w:val="ru-RU"/>
        </w:rPr>
        <w:t>по отношению к исходному уровню</w:t>
      </w:r>
      <w:r w:rsidR="004569FB" w:rsidRPr="00DB5643">
        <w:rPr>
          <w:bCs/>
          <w:snapToGrid w:val="0"/>
          <w:kern w:val="22"/>
          <w:szCs w:val="22"/>
          <w:lang w:val="ru-RU"/>
        </w:rPr>
        <w:t xml:space="preserve">. </w:t>
      </w:r>
      <w:r w:rsidR="000C474E" w:rsidRPr="00DB5643">
        <w:rPr>
          <w:bCs/>
          <w:snapToGrid w:val="0"/>
          <w:kern w:val="22"/>
          <w:szCs w:val="22"/>
          <w:lang w:val="ru-RU"/>
        </w:rPr>
        <w:t>На региональном уровне цифры распределяются следующим образом</w:t>
      </w:r>
      <w:r w:rsidR="004569FB" w:rsidRPr="00DB5643">
        <w:rPr>
          <w:bCs/>
          <w:snapToGrid w:val="0"/>
          <w:kern w:val="22"/>
          <w:szCs w:val="22"/>
          <w:lang w:val="ru-RU"/>
        </w:rPr>
        <w:t xml:space="preserve">: </w:t>
      </w:r>
      <w:r w:rsidR="000C474E" w:rsidRPr="00DB5643">
        <w:rPr>
          <w:bCs/>
          <w:snapToGrid w:val="0"/>
          <w:kern w:val="22"/>
          <w:szCs w:val="22"/>
          <w:lang w:val="ru-RU"/>
        </w:rPr>
        <w:t>Азиатско-Тихоокеанский регион</w:t>
      </w:r>
      <w:r w:rsidR="004569FB" w:rsidRPr="00DB5643">
        <w:rPr>
          <w:bCs/>
          <w:snapToGrid w:val="0"/>
          <w:kern w:val="22"/>
          <w:szCs w:val="22"/>
          <w:lang w:val="ru-RU"/>
        </w:rPr>
        <w:t>: 75</w:t>
      </w:r>
      <w:r w:rsidR="000C474E" w:rsidRPr="00DB5643">
        <w:rPr>
          <w:bCs/>
          <w:snapToGrid w:val="0"/>
          <w:kern w:val="22"/>
          <w:szCs w:val="22"/>
          <w:lang w:val="ru-RU"/>
        </w:rPr>
        <w:t> </w:t>
      </w:r>
      <w:r w:rsidR="004569FB" w:rsidRPr="00DB5643">
        <w:rPr>
          <w:bCs/>
          <w:snapToGrid w:val="0"/>
          <w:kern w:val="22"/>
          <w:szCs w:val="22"/>
          <w:lang w:val="ru-RU"/>
        </w:rPr>
        <w:t>% (+31</w:t>
      </w:r>
      <w:r w:rsidR="000C474E" w:rsidRPr="00DB5643">
        <w:rPr>
          <w:bCs/>
          <w:snapToGrid w:val="0"/>
          <w:kern w:val="22"/>
          <w:szCs w:val="22"/>
          <w:lang w:val="ru-RU"/>
        </w:rPr>
        <w:t> </w:t>
      </w:r>
      <w:r w:rsidR="004569FB" w:rsidRPr="00DB5643">
        <w:rPr>
          <w:bCs/>
          <w:snapToGrid w:val="0"/>
          <w:kern w:val="22"/>
          <w:szCs w:val="22"/>
          <w:lang w:val="ru-RU"/>
        </w:rPr>
        <w:t xml:space="preserve">%); </w:t>
      </w:r>
      <w:r w:rsidR="000C474E" w:rsidRPr="00DB5643">
        <w:rPr>
          <w:bCs/>
          <w:snapToGrid w:val="0"/>
          <w:kern w:val="22"/>
          <w:szCs w:val="22"/>
          <w:lang w:val="ru-RU"/>
        </w:rPr>
        <w:t>Африка</w:t>
      </w:r>
      <w:r w:rsidR="004569FB" w:rsidRPr="00DB5643">
        <w:rPr>
          <w:bCs/>
          <w:snapToGrid w:val="0"/>
          <w:kern w:val="22"/>
          <w:szCs w:val="22"/>
          <w:lang w:val="ru-RU"/>
        </w:rPr>
        <w:t>: 33</w:t>
      </w:r>
      <w:r w:rsidR="000C474E" w:rsidRPr="00DB5643">
        <w:rPr>
          <w:bCs/>
          <w:snapToGrid w:val="0"/>
          <w:kern w:val="22"/>
          <w:szCs w:val="22"/>
          <w:lang w:val="ru-RU"/>
        </w:rPr>
        <w:t> </w:t>
      </w:r>
      <w:r w:rsidR="004569FB" w:rsidRPr="00DB5643">
        <w:rPr>
          <w:bCs/>
          <w:snapToGrid w:val="0"/>
          <w:kern w:val="22"/>
          <w:szCs w:val="22"/>
          <w:lang w:val="ru-RU"/>
        </w:rPr>
        <w:t>% (+3</w:t>
      </w:r>
      <w:r w:rsidR="000C474E" w:rsidRPr="00DB5643">
        <w:rPr>
          <w:bCs/>
          <w:snapToGrid w:val="0"/>
          <w:kern w:val="22"/>
          <w:szCs w:val="22"/>
          <w:lang w:val="ru-RU"/>
        </w:rPr>
        <w:t> </w:t>
      </w:r>
      <w:r w:rsidR="004569FB" w:rsidRPr="00DB5643">
        <w:rPr>
          <w:bCs/>
          <w:snapToGrid w:val="0"/>
          <w:kern w:val="22"/>
          <w:szCs w:val="22"/>
          <w:lang w:val="ru-RU"/>
        </w:rPr>
        <w:t xml:space="preserve">%); </w:t>
      </w:r>
      <w:proofErr w:type="spellStart"/>
      <w:r w:rsidR="004569FB" w:rsidRPr="00DB5643">
        <w:rPr>
          <w:bCs/>
          <w:snapToGrid w:val="0"/>
          <w:kern w:val="22"/>
          <w:szCs w:val="22"/>
        </w:rPr>
        <w:t>CEE</w:t>
      </w:r>
      <w:proofErr w:type="spellEnd"/>
      <w:r w:rsidR="004569FB" w:rsidRPr="00DB5643">
        <w:rPr>
          <w:bCs/>
          <w:snapToGrid w:val="0"/>
          <w:kern w:val="22"/>
          <w:szCs w:val="22"/>
          <w:lang w:val="ru-RU"/>
        </w:rPr>
        <w:t>: 13</w:t>
      </w:r>
      <w:r w:rsidR="000C474E" w:rsidRPr="00DB5643">
        <w:rPr>
          <w:bCs/>
          <w:snapToGrid w:val="0"/>
          <w:kern w:val="22"/>
          <w:szCs w:val="22"/>
          <w:lang w:val="ru-RU"/>
        </w:rPr>
        <w:t> </w:t>
      </w:r>
      <w:r w:rsidR="004569FB" w:rsidRPr="00DB5643">
        <w:rPr>
          <w:bCs/>
          <w:snapToGrid w:val="0"/>
          <w:kern w:val="22"/>
          <w:szCs w:val="22"/>
          <w:lang w:val="ru-RU"/>
        </w:rPr>
        <w:t>% (-25</w:t>
      </w:r>
      <w:r w:rsidR="000C474E" w:rsidRPr="00DB5643">
        <w:rPr>
          <w:bCs/>
          <w:snapToGrid w:val="0"/>
          <w:kern w:val="22"/>
          <w:szCs w:val="22"/>
          <w:lang w:val="ru-RU"/>
        </w:rPr>
        <w:t> </w:t>
      </w:r>
      <w:r w:rsidR="004569FB" w:rsidRPr="00DB5643">
        <w:rPr>
          <w:bCs/>
          <w:snapToGrid w:val="0"/>
          <w:kern w:val="22"/>
          <w:szCs w:val="22"/>
          <w:lang w:val="ru-RU"/>
        </w:rPr>
        <w:t xml:space="preserve">%). </w:t>
      </w:r>
      <w:r w:rsidR="000C474E" w:rsidRPr="00DB5643">
        <w:rPr>
          <w:bCs/>
          <w:snapToGrid w:val="0"/>
          <w:kern w:val="22"/>
          <w:szCs w:val="22"/>
          <w:lang w:val="ru-RU"/>
        </w:rPr>
        <w:t xml:space="preserve">Процентные величины, сообщенные для регионов </w:t>
      </w:r>
      <w:proofErr w:type="spellStart"/>
      <w:r w:rsidR="000C474E" w:rsidRPr="00DB5643">
        <w:rPr>
          <w:bCs/>
          <w:snapToGrid w:val="0"/>
          <w:kern w:val="22"/>
          <w:szCs w:val="22"/>
          <w:lang w:val="ru-RU"/>
        </w:rPr>
        <w:t>ГРУЛАК</w:t>
      </w:r>
      <w:proofErr w:type="spellEnd"/>
      <w:r w:rsidR="004569FB" w:rsidRPr="00DB5643">
        <w:rPr>
          <w:bCs/>
          <w:snapToGrid w:val="0"/>
          <w:kern w:val="22"/>
          <w:szCs w:val="22"/>
          <w:lang w:val="ru-RU"/>
        </w:rPr>
        <w:t xml:space="preserve"> (38</w:t>
      </w:r>
      <w:r w:rsidR="000C474E" w:rsidRPr="00DB5643">
        <w:rPr>
          <w:bCs/>
          <w:snapToGrid w:val="0"/>
          <w:kern w:val="22"/>
          <w:szCs w:val="22"/>
          <w:lang w:val="ru-RU"/>
        </w:rPr>
        <w:t> </w:t>
      </w:r>
      <w:r w:rsidR="004569FB" w:rsidRPr="00DB5643">
        <w:rPr>
          <w:bCs/>
          <w:snapToGrid w:val="0"/>
          <w:kern w:val="22"/>
          <w:szCs w:val="22"/>
          <w:lang w:val="ru-RU"/>
        </w:rPr>
        <w:t xml:space="preserve">%) </w:t>
      </w:r>
      <w:r w:rsidR="000C474E" w:rsidRPr="00DB5643">
        <w:rPr>
          <w:bCs/>
          <w:snapToGrid w:val="0"/>
          <w:kern w:val="22"/>
          <w:szCs w:val="22"/>
          <w:lang w:val="ru-RU"/>
        </w:rPr>
        <w:t>и</w:t>
      </w:r>
      <w:r w:rsidR="004569FB" w:rsidRPr="00DB5643">
        <w:rPr>
          <w:bCs/>
          <w:snapToGrid w:val="0"/>
          <w:kern w:val="22"/>
          <w:szCs w:val="22"/>
          <w:lang w:val="ru-RU"/>
        </w:rPr>
        <w:t xml:space="preserve"> </w:t>
      </w:r>
      <w:proofErr w:type="spellStart"/>
      <w:r w:rsidR="004569FB" w:rsidRPr="00DB5643">
        <w:rPr>
          <w:bCs/>
          <w:snapToGrid w:val="0"/>
          <w:kern w:val="22"/>
          <w:szCs w:val="22"/>
        </w:rPr>
        <w:t>WEOG</w:t>
      </w:r>
      <w:proofErr w:type="spellEnd"/>
      <w:r w:rsidR="004569FB" w:rsidRPr="00DB5643">
        <w:rPr>
          <w:bCs/>
          <w:snapToGrid w:val="0"/>
          <w:kern w:val="22"/>
          <w:szCs w:val="22"/>
          <w:lang w:val="ru-RU"/>
        </w:rPr>
        <w:t xml:space="preserve"> (11</w:t>
      </w:r>
      <w:r w:rsidR="000C474E" w:rsidRPr="00DB5643">
        <w:rPr>
          <w:bCs/>
          <w:snapToGrid w:val="0"/>
          <w:kern w:val="22"/>
          <w:szCs w:val="22"/>
          <w:lang w:val="ru-RU"/>
        </w:rPr>
        <w:t> </w:t>
      </w:r>
      <w:r w:rsidR="004569FB" w:rsidRPr="00DB5643">
        <w:rPr>
          <w:bCs/>
          <w:snapToGrid w:val="0"/>
          <w:kern w:val="22"/>
          <w:szCs w:val="22"/>
          <w:lang w:val="ru-RU"/>
        </w:rPr>
        <w:t>%)</w:t>
      </w:r>
      <w:r w:rsidR="000C474E" w:rsidRPr="00DB5643">
        <w:rPr>
          <w:bCs/>
          <w:snapToGrid w:val="0"/>
          <w:kern w:val="22"/>
          <w:szCs w:val="22"/>
          <w:lang w:val="ru-RU"/>
        </w:rPr>
        <w:t>,</w:t>
      </w:r>
      <w:r w:rsidR="004569FB" w:rsidRPr="00DB5643">
        <w:rPr>
          <w:bCs/>
          <w:snapToGrid w:val="0"/>
          <w:kern w:val="22"/>
          <w:szCs w:val="22"/>
          <w:lang w:val="ru-RU"/>
        </w:rPr>
        <w:t xml:space="preserve"> </w:t>
      </w:r>
      <w:r w:rsidR="000C474E" w:rsidRPr="00DB5643">
        <w:rPr>
          <w:bCs/>
          <w:snapToGrid w:val="0"/>
          <w:kern w:val="22"/>
          <w:szCs w:val="22"/>
          <w:lang w:val="ru-RU"/>
        </w:rPr>
        <w:t>отражают отсутствие изменений по сравнению с исходным уровнем</w:t>
      </w:r>
      <w:r w:rsidR="004569FB" w:rsidRPr="00DB5643">
        <w:rPr>
          <w:bCs/>
          <w:snapToGrid w:val="0"/>
          <w:kern w:val="22"/>
          <w:szCs w:val="22"/>
          <w:lang w:val="ru-RU"/>
        </w:rPr>
        <w:t xml:space="preserve">. </w:t>
      </w:r>
    </w:p>
    <w:p w14:paraId="568E6F53" w14:textId="057ABE96" w:rsidR="004569FB" w:rsidRPr="00DB5643" w:rsidRDefault="00B53A5B"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Что касается</w:t>
      </w:r>
      <w:r w:rsidR="00106015" w:rsidRPr="00DB5643">
        <w:rPr>
          <w:snapToGrid w:val="0"/>
          <w:kern w:val="22"/>
          <w:szCs w:val="22"/>
          <w:lang w:val="ru-RU"/>
        </w:rPr>
        <w:t xml:space="preserve"> </w:t>
      </w:r>
      <w:r w:rsidR="00106015" w:rsidRPr="00DB5643">
        <w:rPr>
          <w:b/>
          <w:snapToGrid w:val="0"/>
          <w:kern w:val="22"/>
          <w:szCs w:val="22"/>
          <w:lang w:val="ru-RU"/>
        </w:rPr>
        <w:t>индикатора</w:t>
      </w:r>
      <w:r w:rsidR="004569FB" w:rsidRPr="00DB5643">
        <w:rPr>
          <w:b/>
          <w:snapToGrid w:val="0"/>
          <w:kern w:val="22"/>
          <w:szCs w:val="22"/>
          <w:lang w:val="ru-RU"/>
        </w:rPr>
        <w:t xml:space="preserve"> 1.2.3</w:t>
      </w:r>
      <w:r w:rsidR="004569FB" w:rsidRPr="00DB5643">
        <w:rPr>
          <w:snapToGrid w:val="0"/>
          <w:kern w:val="22"/>
          <w:szCs w:val="22"/>
          <w:lang w:val="ru-RU"/>
        </w:rPr>
        <w:t xml:space="preserve"> (</w:t>
      </w:r>
      <w:r w:rsidR="00106015" w:rsidRPr="00DB5643">
        <w:rPr>
          <w:snapToGrid w:val="0"/>
          <w:kern w:val="22"/>
          <w:szCs w:val="22"/>
          <w:lang w:val="ru-RU"/>
        </w:rPr>
        <w:t>процентная доля Сторон, внедривших программы обучения персонала, занимающегося вопросами биобезопасности, и долгосрочной подготовки специалистов в области биобезопасности</w:t>
      </w:r>
      <w:r w:rsidR="004569FB" w:rsidRPr="00DB5643">
        <w:rPr>
          <w:snapToGrid w:val="0"/>
          <w:kern w:val="22"/>
          <w:szCs w:val="22"/>
          <w:lang w:val="ru-RU"/>
        </w:rPr>
        <w:t xml:space="preserve">), </w:t>
      </w:r>
      <w:r w:rsidRPr="00DB5643">
        <w:rPr>
          <w:snapToGrid w:val="0"/>
          <w:kern w:val="22"/>
          <w:szCs w:val="22"/>
          <w:lang w:val="ru-RU"/>
        </w:rPr>
        <w:t>четвертый национальный доклад не содержит вопроса, относящегося конкретно к этому индикатору</w:t>
      </w:r>
      <w:r w:rsidR="004569FB" w:rsidRPr="00DB5643">
        <w:rPr>
          <w:snapToGrid w:val="0"/>
          <w:kern w:val="22"/>
          <w:szCs w:val="22"/>
          <w:lang w:val="ru-RU"/>
        </w:rPr>
        <w:t xml:space="preserve">. </w:t>
      </w:r>
      <w:r w:rsidRPr="00DB5643">
        <w:rPr>
          <w:snapToGrid w:val="0"/>
          <w:kern w:val="22"/>
          <w:szCs w:val="22"/>
          <w:lang w:val="ru-RU"/>
        </w:rPr>
        <w:t>Однако</w:t>
      </w:r>
      <w:r w:rsidR="004569FB" w:rsidRPr="00DB5643">
        <w:rPr>
          <w:snapToGrid w:val="0"/>
          <w:kern w:val="22"/>
          <w:szCs w:val="22"/>
          <w:lang w:val="ru-RU"/>
        </w:rPr>
        <w:t xml:space="preserve"> 86</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(61 </w:t>
      </w:r>
      <w:r w:rsidRPr="00DB5643">
        <w:rPr>
          <w:snapToGrid w:val="0"/>
          <w:kern w:val="22"/>
          <w:szCs w:val="22"/>
          <w:lang w:val="ru-RU"/>
        </w:rPr>
        <w:t>Сторона</w:t>
      </w:r>
      <w:r w:rsidR="004569FB" w:rsidRPr="00DB5643">
        <w:rPr>
          <w:snapToGrid w:val="0"/>
          <w:kern w:val="22"/>
          <w:szCs w:val="22"/>
          <w:lang w:val="ru-RU"/>
        </w:rPr>
        <w:t xml:space="preserve">) </w:t>
      </w:r>
      <w:r w:rsidRPr="00DB5643">
        <w:rPr>
          <w:snapToGrid w:val="0"/>
          <w:kern w:val="22"/>
          <w:szCs w:val="22"/>
          <w:lang w:val="ru-RU"/>
        </w:rPr>
        <w:t>сообщили, что академические учреждения в их странах предлагают</w:t>
      </w:r>
      <w:r w:rsidR="00DC29FD" w:rsidRPr="00DB5643">
        <w:rPr>
          <w:rFonts w:eastAsia="Times New Roman" w:cs="Times New Roman"/>
          <w:color w:val="000000"/>
          <w:kern w:val="22"/>
          <w:szCs w:val="22"/>
          <w:lang w:val="ru-RU" w:eastAsia="ru-RU"/>
        </w:rPr>
        <w:t xml:space="preserve"> </w:t>
      </w:r>
      <w:r w:rsidR="00DC29FD" w:rsidRPr="00DB5643">
        <w:rPr>
          <w:snapToGrid w:val="0"/>
          <w:kern w:val="22"/>
          <w:szCs w:val="22"/>
          <w:lang w:val="ru-RU"/>
        </w:rPr>
        <w:t>курсы и программы обучения и подготовки кадров в области биобезопасности</w:t>
      </w:r>
      <w:r w:rsidR="004569FB" w:rsidRPr="00DB5643">
        <w:rPr>
          <w:snapToGrid w:val="0"/>
          <w:kern w:val="22"/>
          <w:szCs w:val="22"/>
          <w:lang w:val="ru-RU"/>
        </w:rPr>
        <w:t xml:space="preserve">, </w:t>
      </w:r>
      <w:r w:rsidR="00DC29FD" w:rsidRPr="00DB5643">
        <w:rPr>
          <w:snapToGrid w:val="0"/>
          <w:kern w:val="22"/>
          <w:szCs w:val="22"/>
          <w:lang w:val="ru-RU"/>
        </w:rPr>
        <w:t xml:space="preserve">что соответствует увеличению на </w:t>
      </w:r>
      <w:r w:rsidR="004569FB" w:rsidRPr="00DB5643">
        <w:rPr>
          <w:snapToGrid w:val="0"/>
          <w:kern w:val="22"/>
          <w:szCs w:val="22"/>
          <w:lang w:val="ru-RU"/>
        </w:rPr>
        <w:t>11</w:t>
      </w:r>
      <w:r w:rsidR="00DC29FD" w:rsidRPr="00DB5643">
        <w:rPr>
          <w:snapToGrid w:val="0"/>
          <w:kern w:val="22"/>
          <w:szCs w:val="22"/>
          <w:lang w:val="ru-RU"/>
        </w:rPr>
        <w:t> </w:t>
      </w:r>
      <w:r w:rsidR="004569FB" w:rsidRPr="00DB5643">
        <w:rPr>
          <w:snapToGrid w:val="0"/>
          <w:kern w:val="22"/>
          <w:szCs w:val="22"/>
          <w:lang w:val="ru-RU"/>
        </w:rPr>
        <w:t xml:space="preserve">% </w:t>
      </w:r>
      <w:r w:rsidR="00DC29FD" w:rsidRPr="00DB5643">
        <w:rPr>
          <w:snapToGrid w:val="0"/>
          <w:kern w:val="22"/>
          <w:szCs w:val="22"/>
          <w:lang w:val="ru-RU"/>
        </w:rPr>
        <w:t>по отношению к исходному уровню</w:t>
      </w:r>
      <w:r w:rsidR="004569FB" w:rsidRPr="00DB5643">
        <w:rPr>
          <w:snapToGrid w:val="0"/>
          <w:kern w:val="22"/>
          <w:szCs w:val="22"/>
          <w:lang w:val="ru-RU"/>
        </w:rPr>
        <w:t xml:space="preserve">. </w:t>
      </w:r>
      <w:r w:rsidR="00DC29FD" w:rsidRPr="00DB5643">
        <w:rPr>
          <w:snapToGrid w:val="0"/>
          <w:kern w:val="22"/>
          <w:szCs w:val="22"/>
          <w:lang w:val="ru-RU"/>
        </w:rPr>
        <w:t>В своих письменных материалах несколько Сторон отметили, что, помимо этого, были организованы семинары и учебные практикумы для сотрудников директивных органов, экспертов и соответствующего персонала</w:t>
      </w:r>
      <w:r w:rsidR="004569FB" w:rsidRPr="00DB5643">
        <w:rPr>
          <w:snapToGrid w:val="0"/>
          <w:kern w:val="22"/>
          <w:szCs w:val="22"/>
          <w:lang w:val="ru-RU"/>
        </w:rPr>
        <w:t>.</w:t>
      </w:r>
    </w:p>
    <w:p w14:paraId="31519AE5" w14:textId="34934DF0" w:rsidR="004569FB" w:rsidRPr="00DB5643" w:rsidRDefault="00DC29FD"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bCs/>
          <w:snapToGrid w:val="0"/>
          <w:kern w:val="22"/>
          <w:szCs w:val="22"/>
          <w:lang w:val="ru-RU"/>
        </w:rPr>
        <w:t>В отношении</w:t>
      </w:r>
      <w:r w:rsidR="004569FB" w:rsidRPr="00DB5643">
        <w:rPr>
          <w:bCs/>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1.2.4</w:t>
      </w:r>
      <w:r w:rsidR="004569FB" w:rsidRPr="00DB5643">
        <w:rPr>
          <w:snapToGrid w:val="0"/>
          <w:kern w:val="22"/>
          <w:szCs w:val="22"/>
          <w:lang w:val="ru-RU"/>
        </w:rPr>
        <w:t xml:space="preserve"> (</w:t>
      </w:r>
      <w:r w:rsidR="00184AA1" w:rsidRPr="00DB5643">
        <w:rPr>
          <w:snapToGrid w:val="0"/>
          <w:kern w:val="22"/>
          <w:szCs w:val="22"/>
          <w:lang w:val="ru-RU"/>
        </w:rPr>
        <w:t>процентная доля Сторон, внедривших национальные координационные механизмы для инициатив по созданию потенциала в области биобезопасности</w:t>
      </w:r>
      <w:r w:rsidR="004569FB" w:rsidRPr="00DB5643">
        <w:rPr>
          <w:snapToGrid w:val="0"/>
          <w:kern w:val="22"/>
          <w:szCs w:val="22"/>
          <w:lang w:val="ru-RU"/>
        </w:rPr>
        <w:t>) 44</w:t>
      </w:r>
      <w:r w:rsidR="00184AA1" w:rsidRPr="00DB5643">
        <w:rPr>
          <w:snapToGrid w:val="0"/>
          <w:kern w:val="22"/>
          <w:szCs w:val="22"/>
          <w:lang w:val="ru-RU"/>
        </w:rPr>
        <w:t> </w:t>
      </w:r>
      <w:r w:rsidR="004569FB" w:rsidRPr="00DB5643">
        <w:rPr>
          <w:snapToGrid w:val="0"/>
          <w:kern w:val="22"/>
          <w:szCs w:val="22"/>
          <w:lang w:val="ru-RU"/>
        </w:rPr>
        <w:t xml:space="preserve">% </w:t>
      </w:r>
      <w:r w:rsidR="00184AA1" w:rsidRPr="00DB5643">
        <w:rPr>
          <w:snapToGrid w:val="0"/>
          <w:kern w:val="22"/>
          <w:szCs w:val="22"/>
          <w:lang w:val="ru-RU"/>
        </w:rPr>
        <w:t>Сторон</w:t>
      </w:r>
      <w:r w:rsidR="004569FB" w:rsidRPr="00DB5643">
        <w:rPr>
          <w:bCs/>
          <w:snapToGrid w:val="0"/>
          <w:kern w:val="22"/>
          <w:szCs w:val="22"/>
          <w:lang w:val="ru-RU"/>
        </w:rPr>
        <w:t xml:space="preserve"> (31 </w:t>
      </w:r>
      <w:r w:rsidR="00184AA1" w:rsidRPr="00DB5643">
        <w:rPr>
          <w:bCs/>
          <w:snapToGrid w:val="0"/>
          <w:kern w:val="22"/>
          <w:szCs w:val="22"/>
          <w:lang w:val="ru-RU"/>
        </w:rPr>
        <w:t>Сторона</w:t>
      </w:r>
      <w:r w:rsidR="004569FB" w:rsidRPr="00DB5643">
        <w:rPr>
          <w:bCs/>
          <w:snapToGrid w:val="0"/>
          <w:kern w:val="22"/>
          <w:szCs w:val="22"/>
          <w:lang w:val="ru-RU"/>
        </w:rPr>
        <w:t xml:space="preserve">) </w:t>
      </w:r>
      <w:r w:rsidR="00184AA1" w:rsidRPr="00DB5643">
        <w:rPr>
          <w:bCs/>
          <w:snapToGrid w:val="0"/>
          <w:kern w:val="22"/>
          <w:szCs w:val="22"/>
          <w:lang w:val="ru-RU"/>
        </w:rPr>
        <w:t xml:space="preserve">сообщили о наличии функционального национального механизма для координации </w:t>
      </w:r>
      <w:r w:rsidR="00184AA1" w:rsidRPr="00DB5643">
        <w:rPr>
          <w:snapToGrid w:val="0"/>
          <w:kern w:val="22"/>
          <w:szCs w:val="22"/>
          <w:lang w:val="ru-RU"/>
        </w:rPr>
        <w:t>инициатив по созданию потенциала в области биобезопасности</w:t>
      </w:r>
      <w:r w:rsidR="004569FB" w:rsidRPr="00DB5643">
        <w:rPr>
          <w:snapToGrid w:val="0"/>
          <w:kern w:val="22"/>
          <w:szCs w:val="22"/>
          <w:lang w:val="ru-RU"/>
        </w:rPr>
        <w:t xml:space="preserve">, </w:t>
      </w:r>
      <w:r w:rsidR="00184AA1" w:rsidRPr="00DB5643">
        <w:rPr>
          <w:snapToGrid w:val="0"/>
          <w:kern w:val="22"/>
          <w:szCs w:val="22"/>
          <w:lang w:val="ru-RU"/>
        </w:rPr>
        <w:t xml:space="preserve">что соответствует уменьшению на </w:t>
      </w:r>
      <w:r w:rsidR="004569FB" w:rsidRPr="00DB5643">
        <w:rPr>
          <w:bCs/>
          <w:snapToGrid w:val="0"/>
          <w:kern w:val="22"/>
          <w:szCs w:val="22"/>
          <w:lang w:val="ru-RU"/>
        </w:rPr>
        <w:t>10</w:t>
      </w:r>
      <w:r w:rsidR="00184AA1" w:rsidRPr="00DB5643">
        <w:rPr>
          <w:bCs/>
          <w:snapToGrid w:val="0"/>
          <w:kern w:val="22"/>
          <w:szCs w:val="22"/>
          <w:lang w:val="ru-RU"/>
        </w:rPr>
        <w:t> </w:t>
      </w:r>
      <w:r w:rsidR="004569FB" w:rsidRPr="00DB5643">
        <w:rPr>
          <w:bCs/>
          <w:snapToGrid w:val="0"/>
          <w:kern w:val="22"/>
          <w:szCs w:val="22"/>
          <w:lang w:val="ru-RU"/>
        </w:rPr>
        <w:t xml:space="preserve">% </w:t>
      </w:r>
      <w:r w:rsidR="00184AA1" w:rsidRPr="00DB5643">
        <w:rPr>
          <w:snapToGrid w:val="0"/>
          <w:kern w:val="22"/>
          <w:szCs w:val="22"/>
          <w:lang w:val="ru-RU"/>
        </w:rPr>
        <w:t>по отношению к исходному уровню</w:t>
      </w:r>
      <w:r w:rsidR="004569FB" w:rsidRPr="00DB5643">
        <w:rPr>
          <w:bCs/>
          <w:snapToGrid w:val="0"/>
          <w:kern w:val="22"/>
          <w:szCs w:val="22"/>
          <w:lang w:val="ru-RU"/>
        </w:rPr>
        <w:t xml:space="preserve">. </w:t>
      </w:r>
      <w:r w:rsidR="00184AA1" w:rsidRPr="00DB5643">
        <w:rPr>
          <w:bCs/>
          <w:snapToGrid w:val="0"/>
          <w:kern w:val="22"/>
          <w:szCs w:val="22"/>
          <w:lang w:val="ru-RU"/>
        </w:rPr>
        <w:t>На региональном уровне цифры распределяются следующим образом</w:t>
      </w:r>
      <w:r w:rsidR="004569FB" w:rsidRPr="00DB5643">
        <w:rPr>
          <w:bCs/>
          <w:snapToGrid w:val="0"/>
          <w:kern w:val="22"/>
          <w:szCs w:val="22"/>
          <w:lang w:val="ru-RU"/>
        </w:rPr>
        <w:t xml:space="preserve">: </w:t>
      </w:r>
      <w:r w:rsidR="00184AA1" w:rsidRPr="00DB5643">
        <w:rPr>
          <w:bCs/>
          <w:snapToGrid w:val="0"/>
          <w:kern w:val="22"/>
          <w:szCs w:val="22"/>
          <w:lang w:val="ru-RU"/>
        </w:rPr>
        <w:t>Африка</w:t>
      </w:r>
      <w:r w:rsidR="004569FB" w:rsidRPr="00DB5643">
        <w:rPr>
          <w:bCs/>
          <w:snapToGrid w:val="0"/>
          <w:kern w:val="22"/>
          <w:szCs w:val="22"/>
          <w:lang w:val="ru-RU"/>
        </w:rPr>
        <w:t>: 42</w:t>
      </w:r>
      <w:r w:rsidR="00184AA1" w:rsidRPr="00DB5643">
        <w:rPr>
          <w:bCs/>
          <w:snapToGrid w:val="0"/>
          <w:kern w:val="22"/>
          <w:szCs w:val="22"/>
          <w:lang w:val="ru-RU"/>
        </w:rPr>
        <w:t> </w:t>
      </w:r>
      <w:r w:rsidR="004569FB" w:rsidRPr="00DB5643">
        <w:rPr>
          <w:bCs/>
          <w:snapToGrid w:val="0"/>
          <w:kern w:val="22"/>
          <w:szCs w:val="22"/>
          <w:lang w:val="ru-RU"/>
        </w:rPr>
        <w:t>% (+5</w:t>
      </w:r>
      <w:r w:rsidR="00184AA1" w:rsidRPr="00DB5643">
        <w:rPr>
          <w:bCs/>
          <w:snapToGrid w:val="0"/>
          <w:kern w:val="22"/>
          <w:szCs w:val="22"/>
          <w:lang w:val="ru-RU"/>
        </w:rPr>
        <w:t> </w:t>
      </w:r>
      <w:r w:rsidR="004569FB" w:rsidRPr="00DB5643">
        <w:rPr>
          <w:bCs/>
          <w:snapToGrid w:val="0"/>
          <w:kern w:val="22"/>
          <w:szCs w:val="22"/>
          <w:lang w:val="ru-RU"/>
        </w:rPr>
        <w:t xml:space="preserve">%); </w:t>
      </w:r>
      <w:r w:rsidR="00184AA1" w:rsidRPr="00DB5643">
        <w:rPr>
          <w:bCs/>
          <w:snapToGrid w:val="0"/>
          <w:kern w:val="22"/>
          <w:szCs w:val="22"/>
          <w:lang w:val="ru-RU"/>
        </w:rPr>
        <w:t>Азиатско-Тихоокеанский регион</w:t>
      </w:r>
      <w:r w:rsidR="004569FB" w:rsidRPr="00DB5643">
        <w:rPr>
          <w:bCs/>
          <w:snapToGrid w:val="0"/>
          <w:kern w:val="22"/>
          <w:szCs w:val="22"/>
          <w:lang w:val="ru-RU"/>
        </w:rPr>
        <w:t>: 78</w:t>
      </w:r>
      <w:r w:rsidR="00184AA1" w:rsidRPr="00DB5643">
        <w:rPr>
          <w:bCs/>
          <w:snapToGrid w:val="0"/>
          <w:kern w:val="22"/>
          <w:szCs w:val="22"/>
          <w:lang w:val="ru-RU"/>
        </w:rPr>
        <w:t> </w:t>
      </w:r>
      <w:r w:rsidR="004569FB" w:rsidRPr="00DB5643">
        <w:rPr>
          <w:bCs/>
          <w:snapToGrid w:val="0"/>
          <w:kern w:val="22"/>
          <w:szCs w:val="22"/>
          <w:lang w:val="ru-RU"/>
        </w:rPr>
        <w:t>% (+22</w:t>
      </w:r>
      <w:r w:rsidR="00184AA1" w:rsidRPr="00DB5643">
        <w:rPr>
          <w:bCs/>
          <w:snapToGrid w:val="0"/>
          <w:kern w:val="22"/>
          <w:szCs w:val="22"/>
          <w:lang w:val="ru-RU"/>
        </w:rPr>
        <w:t> </w:t>
      </w:r>
      <w:r w:rsidR="004569FB" w:rsidRPr="00DB5643">
        <w:rPr>
          <w:bCs/>
          <w:snapToGrid w:val="0"/>
          <w:kern w:val="22"/>
          <w:szCs w:val="22"/>
          <w:lang w:val="ru-RU"/>
        </w:rPr>
        <w:t xml:space="preserve">%); </w:t>
      </w:r>
      <w:proofErr w:type="spellStart"/>
      <w:r w:rsidR="004569FB" w:rsidRPr="00DB5643">
        <w:rPr>
          <w:bCs/>
          <w:snapToGrid w:val="0"/>
          <w:kern w:val="22"/>
          <w:szCs w:val="22"/>
        </w:rPr>
        <w:t>CEE</w:t>
      </w:r>
      <w:proofErr w:type="spellEnd"/>
      <w:r w:rsidR="004569FB" w:rsidRPr="00DB5643">
        <w:rPr>
          <w:bCs/>
          <w:snapToGrid w:val="0"/>
          <w:kern w:val="22"/>
          <w:szCs w:val="22"/>
          <w:lang w:val="ru-RU"/>
        </w:rPr>
        <w:t>: 43</w:t>
      </w:r>
      <w:r w:rsidR="00184AA1" w:rsidRPr="00DB5643">
        <w:rPr>
          <w:bCs/>
          <w:snapToGrid w:val="0"/>
          <w:kern w:val="22"/>
          <w:szCs w:val="22"/>
          <w:lang w:val="ru-RU"/>
        </w:rPr>
        <w:t> </w:t>
      </w:r>
      <w:r w:rsidR="004569FB" w:rsidRPr="00DB5643">
        <w:rPr>
          <w:bCs/>
          <w:snapToGrid w:val="0"/>
          <w:kern w:val="22"/>
          <w:szCs w:val="22"/>
          <w:lang w:val="ru-RU"/>
        </w:rPr>
        <w:t>% (+7</w:t>
      </w:r>
      <w:r w:rsidR="00184AA1" w:rsidRPr="00DB5643">
        <w:rPr>
          <w:bCs/>
          <w:snapToGrid w:val="0"/>
          <w:kern w:val="22"/>
          <w:szCs w:val="22"/>
          <w:lang w:val="ru-RU"/>
        </w:rPr>
        <w:t> </w:t>
      </w:r>
      <w:r w:rsidR="004569FB" w:rsidRPr="00DB5643">
        <w:rPr>
          <w:bCs/>
          <w:snapToGrid w:val="0"/>
          <w:kern w:val="22"/>
          <w:szCs w:val="22"/>
          <w:lang w:val="ru-RU"/>
        </w:rPr>
        <w:t xml:space="preserve">%); </w:t>
      </w:r>
      <w:proofErr w:type="spellStart"/>
      <w:r w:rsidR="004569FB" w:rsidRPr="00DB5643">
        <w:rPr>
          <w:bCs/>
          <w:snapToGrid w:val="0"/>
          <w:kern w:val="22"/>
          <w:szCs w:val="22"/>
        </w:rPr>
        <w:t>WEOG</w:t>
      </w:r>
      <w:proofErr w:type="spellEnd"/>
      <w:r w:rsidR="004569FB" w:rsidRPr="00DB5643">
        <w:rPr>
          <w:bCs/>
          <w:snapToGrid w:val="0"/>
          <w:kern w:val="22"/>
          <w:szCs w:val="22"/>
          <w:lang w:val="ru-RU"/>
        </w:rPr>
        <w:t>: 38</w:t>
      </w:r>
      <w:r w:rsidR="00184AA1" w:rsidRPr="00DB5643">
        <w:rPr>
          <w:bCs/>
          <w:snapToGrid w:val="0"/>
          <w:kern w:val="22"/>
          <w:szCs w:val="22"/>
          <w:lang w:val="ru-RU"/>
        </w:rPr>
        <w:t> </w:t>
      </w:r>
      <w:r w:rsidR="004569FB" w:rsidRPr="00DB5643">
        <w:rPr>
          <w:bCs/>
          <w:snapToGrid w:val="0"/>
          <w:kern w:val="22"/>
          <w:szCs w:val="22"/>
          <w:lang w:val="ru-RU"/>
        </w:rPr>
        <w:t>% (-31</w:t>
      </w:r>
      <w:r w:rsidR="00184AA1" w:rsidRPr="00DB5643">
        <w:rPr>
          <w:bCs/>
          <w:snapToGrid w:val="0"/>
          <w:kern w:val="22"/>
          <w:szCs w:val="22"/>
          <w:lang w:val="ru-RU"/>
        </w:rPr>
        <w:t> </w:t>
      </w:r>
      <w:r w:rsidR="004569FB" w:rsidRPr="00DB5643">
        <w:rPr>
          <w:bCs/>
          <w:snapToGrid w:val="0"/>
          <w:kern w:val="22"/>
          <w:szCs w:val="22"/>
          <w:lang w:val="ru-RU"/>
        </w:rPr>
        <w:t xml:space="preserve">%); </w:t>
      </w:r>
      <w:proofErr w:type="spellStart"/>
      <w:r w:rsidR="00184AA1" w:rsidRPr="00DB5643">
        <w:rPr>
          <w:bCs/>
          <w:snapToGrid w:val="0"/>
          <w:kern w:val="22"/>
          <w:szCs w:val="22"/>
          <w:lang w:val="ru-RU"/>
        </w:rPr>
        <w:t>ГРУЛАК</w:t>
      </w:r>
      <w:proofErr w:type="spellEnd"/>
      <w:r w:rsidR="004569FB" w:rsidRPr="00DB5643">
        <w:rPr>
          <w:bCs/>
          <w:snapToGrid w:val="0"/>
          <w:kern w:val="22"/>
          <w:szCs w:val="22"/>
          <w:lang w:val="ru-RU"/>
        </w:rPr>
        <w:t>: 31</w:t>
      </w:r>
      <w:r w:rsidR="00184AA1" w:rsidRPr="00DB5643">
        <w:rPr>
          <w:bCs/>
          <w:snapToGrid w:val="0"/>
          <w:kern w:val="22"/>
          <w:szCs w:val="22"/>
          <w:lang w:val="ru-RU"/>
        </w:rPr>
        <w:t> </w:t>
      </w:r>
      <w:r w:rsidR="004569FB" w:rsidRPr="00DB5643">
        <w:rPr>
          <w:bCs/>
          <w:snapToGrid w:val="0"/>
          <w:kern w:val="22"/>
          <w:szCs w:val="22"/>
          <w:lang w:val="ru-RU"/>
        </w:rPr>
        <w:t>% (-46</w:t>
      </w:r>
      <w:r w:rsidR="00184AA1" w:rsidRPr="00DB5643">
        <w:rPr>
          <w:bCs/>
          <w:snapToGrid w:val="0"/>
          <w:kern w:val="22"/>
          <w:szCs w:val="22"/>
          <w:lang w:val="ru-RU"/>
        </w:rPr>
        <w:t> </w:t>
      </w:r>
      <w:r w:rsidR="004569FB" w:rsidRPr="00DB5643">
        <w:rPr>
          <w:bCs/>
          <w:snapToGrid w:val="0"/>
          <w:kern w:val="22"/>
          <w:szCs w:val="22"/>
          <w:lang w:val="ru-RU"/>
        </w:rPr>
        <w:t xml:space="preserve">%). </w:t>
      </w:r>
      <w:r w:rsidR="00184AA1" w:rsidRPr="00DB5643">
        <w:rPr>
          <w:bCs/>
          <w:snapToGrid w:val="0"/>
          <w:kern w:val="22"/>
          <w:szCs w:val="22"/>
          <w:lang w:val="ru-RU"/>
        </w:rPr>
        <w:t>Несколько Сторон отметили в своих письменных материалах, что их компетентные национальные органы ответственны за координацию и реализацию</w:t>
      </w:r>
      <w:r w:rsidR="004569FB" w:rsidRPr="00DB5643">
        <w:rPr>
          <w:snapToGrid w:val="0"/>
          <w:kern w:val="22"/>
          <w:szCs w:val="22"/>
          <w:lang w:val="ru-RU"/>
        </w:rPr>
        <w:t xml:space="preserve"> </w:t>
      </w:r>
      <w:r w:rsidR="00184AA1" w:rsidRPr="00DB5643">
        <w:rPr>
          <w:snapToGrid w:val="0"/>
          <w:kern w:val="22"/>
          <w:szCs w:val="22"/>
          <w:lang w:val="ru-RU"/>
        </w:rPr>
        <w:t>инициатив по созданию потенциала в области биобезопасности на национальном уровне</w:t>
      </w:r>
      <w:r w:rsidR="004569FB" w:rsidRPr="00DB5643">
        <w:rPr>
          <w:snapToGrid w:val="0"/>
          <w:kern w:val="22"/>
          <w:szCs w:val="22"/>
          <w:lang w:val="ru-RU"/>
        </w:rPr>
        <w:t xml:space="preserve">. </w:t>
      </w:r>
    </w:p>
    <w:p w14:paraId="22B01192" w14:textId="43B284D0" w:rsidR="004569FB" w:rsidRPr="00DB5643" w:rsidRDefault="00184AA1"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1.2.5</w:t>
      </w:r>
      <w:r w:rsidR="004569FB" w:rsidRPr="00DB5643">
        <w:rPr>
          <w:snapToGrid w:val="0"/>
          <w:kern w:val="22"/>
          <w:szCs w:val="22"/>
          <w:lang w:val="ru-RU"/>
        </w:rPr>
        <w:t xml:space="preserve"> (</w:t>
      </w:r>
      <w:r w:rsidR="00E7468F" w:rsidRPr="00DB5643">
        <w:rPr>
          <w:snapToGrid w:val="0"/>
          <w:kern w:val="22"/>
          <w:szCs w:val="22"/>
          <w:lang w:val="ru-RU"/>
        </w:rPr>
        <w:t>объем новых и дополнительных финансовых ресурсов, мобилизованных для осуществления Протокола</w:t>
      </w:r>
      <w:r w:rsidR="004569FB" w:rsidRPr="00DB5643">
        <w:rPr>
          <w:snapToGrid w:val="0"/>
          <w:kern w:val="22"/>
          <w:szCs w:val="22"/>
          <w:lang w:val="ru-RU"/>
        </w:rPr>
        <w:t xml:space="preserve">) 31 </w:t>
      </w:r>
      <w:r w:rsidR="00E7468F" w:rsidRPr="00DB5643">
        <w:rPr>
          <w:snapToGrid w:val="0"/>
          <w:kern w:val="22"/>
          <w:szCs w:val="22"/>
          <w:lang w:val="ru-RU"/>
        </w:rPr>
        <w:t>Сторона сообщила о мобилизации</w:t>
      </w:r>
      <w:r w:rsidR="004569FB" w:rsidRPr="00DB5643">
        <w:rPr>
          <w:snapToGrid w:val="0"/>
          <w:kern w:val="22"/>
          <w:szCs w:val="22"/>
          <w:lang w:val="ru-RU"/>
        </w:rPr>
        <w:t xml:space="preserve"> </w:t>
      </w:r>
      <w:r w:rsidR="00E7468F" w:rsidRPr="00DB5643">
        <w:rPr>
          <w:snapToGrid w:val="0"/>
          <w:kern w:val="22"/>
          <w:szCs w:val="22"/>
          <w:lang w:val="ru-RU"/>
        </w:rPr>
        <w:t xml:space="preserve">дополнительных финансовых ресурсов сверх их </w:t>
      </w:r>
      <w:r w:rsidR="00FE2516" w:rsidRPr="00DB5643">
        <w:rPr>
          <w:snapToGrid w:val="0"/>
          <w:kern w:val="22"/>
          <w:szCs w:val="22"/>
          <w:lang w:val="ru-RU"/>
        </w:rPr>
        <w:t>обычных ассигнований из национального бюджета</w:t>
      </w:r>
      <w:r w:rsidR="004569FB" w:rsidRPr="00DB5643">
        <w:rPr>
          <w:snapToGrid w:val="0"/>
          <w:kern w:val="22"/>
          <w:szCs w:val="22"/>
          <w:lang w:val="ru-RU"/>
        </w:rPr>
        <w:t xml:space="preserve">, </w:t>
      </w:r>
      <w:r w:rsidR="00FE2516" w:rsidRPr="00DB5643">
        <w:rPr>
          <w:snapToGrid w:val="0"/>
          <w:kern w:val="22"/>
          <w:szCs w:val="22"/>
          <w:lang w:val="ru-RU"/>
        </w:rPr>
        <w:t xml:space="preserve">что на </w:t>
      </w:r>
      <w:r w:rsidR="004569FB" w:rsidRPr="00DB5643">
        <w:rPr>
          <w:snapToGrid w:val="0"/>
          <w:kern w:val="22"/>
          <w:szCs w:val="22"/>
          <w:lang w:val="ru-RU"/>
        </w:rPr>
        <w:t xml:space="preserve">13 </w:t>
      </w:r>
      <w:r w:rsidR="00FE2516" w:rsidRPr="00DB5643">
        <w:rPr>
          <w:snapToGrid w:val="0"/>
          <w:kern w:val="22"/>
          <w:szCs w:val="22"/>
          <w:lang w:val="ru-RU"/>
        </w:rPr>
        <w:t>Сторон меньше по сравнению с исходным уровнем</w:t>
      </w:r>
      <w:r w:rsidR="004569FB" w:rsidRPr="00DB5643">
        <w:rPr>
          <w:snapToGrid w:val="0"/>
          <w:kern w:val="22"/>
          <w:szCs w:val="22"/>
          <w:lang w:val="ru-RU"/>
        </w:rPr>
        <w:t xml:space="preserve">. </w:t>
      </w:r>
      <w:r w:rsidR="00FE2516" w:rsidRPr="00DB5643">
        <w:rPr>
          <w:snapToGrid w:val="0"/>
          <w:kern w:val="22"/>
          <w:szCs w:val="22"/>
          <w:lang w:val="ru-RU"/>
        </w:rPr>
        <w:t>Из этих Сторон</w:t>
      </w:r>
      <w:r w:rsidR="004569FB" w:rsidRPr="00DB5643">
        <w:rPr>
          <w:snapToGrid w:val="0"/>
          <w:kern w:val="22"/>
          <w:szCs w:val="22"/>
          <w:lang w:val="ru-RU"/>
        </w:rPr>
        <w:t xml:space="preserve"> 35</w:t>
      </w:r>
      <w:r w:rsidR="00FE2516" w:rsidRPr="00DB5643">
        <w:rPr>
          <w:snapToGrid w:val="0"/>
          <w:kern w:val="22"/>
          <w:szCs w:val="22"/>
          <w:lang w:val="en-US"/>
        </w:rPr>
        <w:t> </w:t>
      </w:r>
      <w:r w:rsidR="004569FB" w:rsidRPr="00DB5643">
        <w:rPr>
          <w:snapToGrid w:val="0"/>
          <w:kern w:val="22"/>
          <w:szCs w:val="22"/>
          <w:lang w:val="ru-RU"/>
        </w:rPr>
        <w:t xml:space="preserve">% </w:t>
      </w:r>
      <w:r w:rsidR="00FE2516" w:rsidRPr="00DB5643">
        <w:rPr>
          <w:snapToGrid w:val="0"/>
          <w:kern w:val="22"/>
          <w:szCs w:val="22"/>
          <w:lang w:val="ru-RU"/>
        </w:rPr>
        <w:t xml:space="preserve">сообщили о получении от </w:t>
      </w:r>
      <w:r w:rsidR="004569FB" w:rsidRPr="00DB5643">
        <w:rPr>
          <w:snapToGrid w:val="0"/>
          <w:kern w:val="22"/>
          <w:szCs w:val="22"/>
          <w:lang w:val="ru-RU"/>
        </w:rPr>
        <w:t xml:space="preserve">5000 </w:t>
      </w:r>
      <w:r w:rsidR="00FE2516" w:rsidRPr="00DB5643">
        <w:rPr>
          <w:snapToGrid w:val="0"/>
          <w:kern w:val="22"/>
          <w:szCs w:val="22"/>
          <w:lang w:val="ru-RU"/>
        </w:rPr>
        <w:t>до</w:t>
      </w:r>
      <w:r w:rsidR="004569FB" w:rsidRPr="00DB5643">
        <w:rPr>
          <w:snapToGrid w:val="0"/>
          <w:kern w:val="22"/>
          <w:szCs w:val="22"/>
          <w:lang w:val="ru-RU"/>
        </w:rPr>
        <w:t xml:space="preserve"> 49</w:t>
      </w:r>
      <w:r w:rsidR="00FE2516" w:rsidRPr="00DB5643">
        <w:rPr>
          <w:snapToGrid w:val="0"/>
          <w:kern w:val="22"/>
          <w:szCs w:val="22"/>
          <w:lang w:val="en-US"/>
        </w:rPr>
        <w:t> </w:t>
      </w:r>
      <w:r w:rsidR="004569FB" w:rsidRPr="00DB5643">
        <w:rPr>
          <w:snapToGrid w:val="0"/>
          <w:kern w:val="22"/>
          <w:szCs w:val="22"/>
          <w:lang w:val="ru-RU"/>
        </w:rPr>
        <w:t xml:space="preserve">999 </w:t>
      </w:r>
      <w:r w:rsidR="00FE2516" w:rsidRPr="00DB5643">
        <w:rPr>
          <w:snapToGrid w:val="0"/>
          <w:kern w:val="22"/>
          <w:szCs w:val="22"/>
          <w:lang w:val="ru-RU"/>
        </w:rPr>
        <w:t>долл. США</w:t>
      </w:r>
      <w:r w:rsidR="004569FB" w:rsidRPr="00DB5643">
        <w:rPr>
          <w:snapToGrid w:val="0"/>
          <w:kern w:val="22"/>
          <w:szCs w:val="22"/>
          <w:lang w:val="ru-RU"/>
        </w:rPr>
        <w:t>; 16</w:t>
      </w:r>
      <w:r w:rsidR="00FE2516" w:rsidRPr="00DB5643">
        <w:rPr>
          <w:snapToGrid w:val="0"/>
          <w:kern w:val="22"/>
          <w:szCs w:val="22"/>
          <w:lang w:val="en-US"/>
        </w:rPr>
        <w:t> </w:t>
      </w:r>
      <w:r w:rsidR="004569FB" w:rsidRPr="00DB5643">
        <w:rPr>
          <w:snapToGrid w:val="0"/>
          <w:kern w:val="22"/>
          <w:szCs w:val="22"/>
          <w:lang w:val="ru-RU"/>
        </w:rPr>
        <w:t xml:space="preserve">% </w:t>
      </w:r>
      <w:r w:rsidR="00FE2516" w:rsidRPr="00DB5643">
        <w:rPr>
          <w:snapToGrid w:val="0"/>
          <w:kern w:val="22"/>
          <w:szCs w:val="22"/>
          <w:lang w:val="ru-RU"/>
        </w:rPr>
        <w:t xml:space="preserve">– от </w:t>
      </w:r>
      <w:r w:rsidR="004569FB" w:rsidRPr="00DB5643">
        <w:rPr>
          <w:snapToGrid w:val="0"/>
          <w:kern w:val="22"/>
          <w:szCs w:val="22"/>
          <w:lang w:val="ru-RU"/>
        </w:rPr>
        <w:t>50</w:t>
      </w:r>
      <w:r w:rsidR="00FE2516" w:rsidRPr="00DB5643">
        <w:rPr>
          <w:snapToGrid w:val="0"/>
          <w:kern w:val="22"/>
          <w:szCs w:val="22"/>
          <w:lang w:val="en-US"/>
        </w:rPr>
        <w:t> </w:t>
      </w:r>
      <w:r w:rsidR="004569FB" w:rsidRPr="00DB5643">
        <w:rPr>
          <w:snapToGrid w:val="0"/>
          <w:kern w:val="22"/>
          <w:szCs w:val="22"/>
          <w:lang w:val="ru-RU"/>
        </w:rPr>
        <w:t xml:space="preserve">000 </w:t>
      </w:r>
      <w:r w:rsidR="00FE2516" w:rsidRPr="00DB5643">
        <w:rPr>
          <w:snapToGrid w:val="0"/>
          <w:kern w:val="22"/>
          <w:szCs w:val="22"/>
          <w:lang w:val="ru-RU"/>
        </w:rPr>
        <w:t>до</w:t>
      </w:r>
      <w:r w:rsidR="004569FB" w:rsidRPr="00DB5643">
        <w:rPr>
          <w:snapToGrid w:val="0"/>
          <w:kern w:val="22"/>
          <w:szCs w:val="22"/>
          <w:lang w:val="ru-RU"/>
        </w:rPr>
        <w:t xml:space="preserve"> 99</w:t>
      </w:r>
      <w:r w:rsidR="00FE2516" w:rsidRPr="00DB5643">
        <w:rPr>
          <w:snapToGrid w:val="0"/>
          <w:kern w:val="22"/>
          <w:szCs w:val="22"/>
          <w:lang w:val="en-US"/>
        </w:rPr>
        <w:t> </w:t>
      </w:r>
      <w:r w:rsidR="004569FB" w:rsidRPr="00DB5643">
        <w:rPr>
          <w:snapToGrid w:val="0"/>
          <w:kern w:val="22"/>
          <w:szCs w:val="22"/>
          <w:lang w:val="ru-RU"/>
        </w:rPr>
        <w:t xml:space="preserve">999 </w:t>
      </w:r>
      <w:r w:rsidR="00FE2516" w:rsidRPr="00DB5643">
        <w:rPr>
          <w:snapToGrid w:val="0"/>
          <w:kern w:val="22"/>
          <w:szCs w:val="22"/>
          <w:lang w:val="ru-RU"/>
        </w:rPr>
        <w:t>долл. США</w:t>
      </w:r>
      <w:r w:rsidR="004569FB" w:rsidRPr="00DB5643">
        <w:rPr>
          <w:snapToGrid w:val="0"/>
          <w:kern w:val="22"/>
          <w:szCs w:val="22"/>
          <w:lang w:val="ru-RU"/>
        </w:rPr>
        <w:t xml:space="preserve">; </w:t>
      </w:r>
      <w:r w:rsidR="00FE2516" w:rsidRPr="00DB5643">
        <w:rPr>
          <w:snapToGrid w:val="0"/>
          <w:kern w:val="22"/>
          <w:szCs w:val="22"/>
          <w:lang w:val="ru-RU"/>
        </w:rPr>
        <w:br/>
      </w:r>
      <w:r w:rsidR="004569FB" w:rsidRPr="00DB5643">
        <w:rPr>
          <w:snapToGrid w:val="0"/>
          <w:kern w:val="22"/>
          <w:szCs w:val="22"/>
          <w:lang w:val="ru-RU"/>
        </w:rPr>
        <w:t>23</w:t>
      </w:r>
      <w:r w:rsidR="00FE2516" w:rsidRPr="00DB5643">
        <w:rPr>
          <w:snapToGrid w:val="0"/>
          <w:kern w:val="22"/>
          <w:szCs w:val="22"/>
          <w:lang w:val="en-US"/>
        </w:rPr>
        <w:t> </w:t>
      </w:r>
      <w:r w:rsidR="004569FB" w:rsidRPr="00DB5643">
        <w:rPr>
          <w:snapToGrid w:val="0"/>
          <w:kern w:val="22"/>
          <w:szCs w:val="22"/>
          <w:lang w:val="ru-RU"/>
        </w:rPr>
        <w:t xml:space="preserve">% </w:t>
      </w:r>
      <w:r w:rsidR="00FE2516" w:rsidRPr="00DB5643">
        <w:rPr>
          <w:snapToGrid w:val="0"/>
          <w:kern w:val="22"/>
          <w:szCs w:val="22"/>
          <w:lang w:val="ru-RU"/>
        </w:rPr>
        <w:t>– от</w:t>
      </w:r>
      <w:r w:rsidR="004569FB" w:rsidRPr="00DB5643">
        <w:rPr>
          <w:snapToGrid w:val="0"/>
          <w:kern w:val="22"/>
          <w:szCs w:val="22"/>
          <w:lang w:val="ru-RU"/>
        </w:rPr>
        <w:t xml:space="preserve"> 100</w:t>
      </w:r>
      <w:r w:rsidR="00FE2516" w:rsidRPr="00DB5643">
        <w:rPr>
          <w:snapToGrid w:val="0"/>
          <w:kern w:val="22"/>
          <w:szCs w:val="22"/>
          <w:lang w:val="en-US"/>
        </w:rPr>
        <w:t> </w:t>
      </w:r>
      <w:r w:rsidR="004569FB" w:rsidRPr="00DB5643">
        <w:rPr>
          <w:snapToGrid w:val="0"/>
          <w:kern w:val="22"/>
          <w:szCs w:val="22"/>
          <w:lang w:val="ru-RU"/>
        </w:rPr>
        <w:t xml:space="preserve">000 </w:t>
      </w:r>
      <w:r w:rsidR="00FE2516" w:rsidRPr="00DB5643">
        <w:rPr>
          <w:snapToGrid w:val="0"/>
          <w:kern w:val="22"/>
          <w:szCs w:val="22"/>
          <w:lang w:val="ru-RU"/>
        </w:rPr>
        <w:t>до</w:t>
      </w:r>
      <w:r w:rsidR="004569FB" w:rsidRPr="00DB5643">
        <w:rPr>
          <w:snapToGrid w:val="0"/>
          <w:kern w:val="22"/>
          <w:szCs w:val="22"/>
          <w:lang w:val="ru-RU"/>
        </w:rPr>
        <w:t xml:space="preserve"> 499</w:t>
      </w:r>
      <w:r w:rsidR="00FE2516" w:rsidRPr="00DB5643">
        <w:rPr>
          <w:snapToGrid w:val="0"/>
          <w:kern w:val="22"/>
          <w:szCs w:val="22"/>
          <w:lang w:val="en-US"/>
        </w:rPr>
        <w:t> </w:t>
      </w:r>
      <w:r w:rsidR="004569FB" w:rsidRPr="00DB5643">
        <w:rPr>
          <w:snapToGrid w:val="0"/>
          <w:kern w:val="22"/>
          <w:szCs w:val="22"/>
          <w:lang w:val="ru-RU"/>
        </w:rPr>
        <w:t xml:space="preserve">999 </w:t>
      </w:r>
      <w:r w:rsidR="00FE2516" w:rsidRPr="00DB5643">
        <w:rPr>
          <w:snapToGrid w:val="0"/>
          <w:kern w:val="22"/>
          <w:szCs w:val="22"/>
          <w:lang w:val="ru-RU"/>
        </w:rPr>
        <w:t xml:space="preserve">долл. США и </w:t>
      </w:r>
      <w:r w:rsidR="004569FB" w:rsidRPr="00DB5643">
        <w:rPr>
          <w:snapToGrid w:val="0"/>
          <w:kern w:val="22"/>
          <w:szCs w:val="22"/>
          <w:lang w:val="ru-RU"/>
        </w:rPr>
        <w:t>23</w:t>
      </w:r>
      <w:r w:rsidR="006E239B">
        <w:rPr>
          <w:snapToGrid w:val="0"/>
          <w:kern w:val="22"/>
          <w:szCs w:val="22"/>
          <w:lang w:val="ru-RU"/>
        </w:rPr>
        <w:t> </w:t>
      </w:r>
      <w:r w:rsidR="004569FB" w:rsidRPr="00DB5643">
        <w:rPr>
          <w:snapToGrid w:val="0"/>
          <w:kern w:val="22"/>
          <w:szCs w:val="22"/>
          <w:lang w:val="ru-RU"/>
        </w:rPr>
        <w:t xml:space="preserve">% </w:t>
      </w:r>
      <w:r w:rsidR="00FE2516" w:rsidRPr="00DB5643">
        <w:rPr>
          <w:snapToGrid w:val="0"/>
          <w:kern w:val="22"/>
          <w:szCs w:val="22"/>
          <w:lang w:val="ru-RU"/>
        </w:rPr>
        <w:t xml:space="preserve">– более </w:t>
      </w:r>
      <w:r w:rsidR="004569FB" w:rsidRPr="00DB5643">
        <w:rPr>
          <w:snapToGrid w:val="0"/>
          <w:kern w:val="22"/>
          <w:szCs w:val="22"/>
          <w:lang w:val="ru-RU"/>
        </w:rPr>
        <w:t>500</w:t>
      </w:r>
      <w:r w:rsidR="00FE2516" w:rsidRPr="00DB5643">
        <w:rPr>
          <w:snapToGrid w:val="0"/>
          <w:kern w:val="22"/>
          <w:szCs w:val="22"/>
          <w:lang w:val="en-US"/>
        </w:rPr>
        <w:t> </w:t>
      </w:r>
      <w:r w:rsidR="004569FB" w:rsidRPr="00DB5643">
        <w:rPr>
          <w:snapToGrid w:val="0"/>
          <w:kern w:val="22"/>
          <w:szCs w:val="22"/>
          <w:lang w:val="ru-RU"/>
        </w:rPr>
        <w:t>000</w:t>
      </w:r>
      <w:r w:rsidR="00FE2516" w:rsidRPr="00DB5643">
        <w:rPr>
          <w:snapToGrid w:val="0"/>
          <w:kern w:val="22"/>
          <w:szCs w:val="22"/>
          <w:lang w:val="ru-RU"/>
        </w:rPr>
        <w:t xml:space="preserve"> долл. США</w:t>
      </w:r>
      <w:r w:rsidR="004569FB" w:rsidRPr="00DB5643">
        <w:rPr>
          <w:snapToGrid w:val="0"/>
          <w:kern w:val="22"/>
          <w:szCs w:val="22"/>
          <w:lang w:val="ru-RU"/>
        </w:rPr>
        <w:t xml:space="preserve">. </w:t>
      </w:r>
      <w:r w:rsidR="00045234" w:rsidRPr="00DB5643">
        <w:rPr>
          <w:snapToGrid w:val="0"/>
          <w:kern w:val="22"/>
          <w:szCs w:val="22"/>
          <w:lang w:val="ru-RU"/>
        </w:rPr>
        <w:t>Как далее изложено в информации, представленной по</w:t>
      </w:r>
      <w:r w:rsidR="004569FB" w:rsidRPr="00DB5643">
        <w:rPr>
          <w:snapToGrid w:val="0"/>
          <w:kern w:val="22"/>
          <w:szCs w:val="22"/>
          <w:lang w:val="ru-RU"/>
        </w:rPr>
        <w:t xml:space="preserve"> </w:t>
      </w:r>
      <w:r w:rsidR="00045234" w:rsidRPr="00DB5643">
        <w:rPr>
          <w:b/>
          <w:bCs/>
          <w:snapToGrid w:val="0"/>
          <w:kern w:val="22"/>
          <w:szCs w:val="22"/>
          <w:lang w:val="ru-RU"/>
        </w:rPr>
        <w:t>индикатору</w:t>
      </w:r>
      <w:r w:rsidR="004569FB" w:rsidRPr="00DB5643">
        <w:rPr>
          <w:b/>
          <w:bCs/>
          <w:snapToGrid w:val="0"/>
          <w:kern w:val="22"/>
          <w:szCs w:val="22"/>
          <w:lang w:val="ru-RU"/>
        </w:rPr>
        <w:t xml:space="preserve"> 3.1.8</w:t>
      </w:r>
      <w:r w:rsidR="00045234" w:rsidRPr="00DB5643">
        <w:rPr>
          <w:snapToGrid w:val="0"/>
          <w:kern w:val="22"/>
          <w:szCs w:val="22"/>
          <w:lang w:val="ru-RU"/>
        </w:rPr>
        <w:t xml:space="preserve"> ниже</w:t>
      </w:r>
      <w:r w:rsidR="004569FB" w:rsidRPr="00DB5643">
        <w:rPr>
          <w:snapToGrid w:val="0"/>
          <w:kern w:val="22"/>
          <w:szCs w:val="22"/>
          <w:lang w:val="ru-RU"/>
        </w:rPr>
        <w:t xml:space="preserve">, </w:t>
      </w:r>
      <w:r w:rsidR="00045234" w:rsidRPr="00DB5643">
        <w:rPr>
          <w:snapToGrid w:val="0"/>
          <w:kern w:val="22"/>
          <w:szCs w:val="22"/>
          <w:lang w:val="ru-RU"/>
        </w:rPr>
        <w:t>было сообщено о сокращени</w:t>
      </w:r>
      <w:r w:rsidR="008578DC" w:rsidRPr="00DB5643">
        <w:rPr>
          <w:snapToGrid w:val="0"/>
          <w:kern w:val="22"/>
          <w:szCs w:val="22"/>
          <w:lang w:val="ru-RU"/>
        </w:rPr>
        <w:t>и</w:t>
      </w:r>
      <w:r w:rsidR="00045234" w:rsidRPr="00DB5643">
        <w:rPr>
          <w:snapToGrid w:val="0"/>
          <w:kern w:val="22"/>
          <w:szCs w:val="22"/>
          <w:lang w:val="ru-RU"/>
        </w:rPr>
        <w:t xml:space="preserve"> полученных сумм по сравнению с исходным уровнем</w:t>
      </w:r>
      <w:r w:rsidR="004569FB" w:rsidRPr="00DB5643">
        <w:rPr>
          <w:snapToGrid w:val="0"/>
          <w:kern w:val="22"/>
          <w:szCs w:val="22"/>
          <w:lang w:val="ru-RU"/>
        </w:rPr>
        <w:t xml:space="preserve">. </w:t>
      </w:r>
    </w:p>
    <w:p w14:paraId="579EC15D" w14:textId="5FAE9686" w:rsidR="004569FB" w:rsidRPr="00DB5643" w:rsidRDefault="00045234"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w:t>
      </w:r>
      <w:r w:rsidR="004569FB" w:rsidRPr="00DB5643">
        <w:rPr>
          <w:b/>
          <w:bCs/>
          <w:snapToGrid w:val="0"/>
          <w:kern w:val="22"/>
          <w:szCs w:val="22"/>
          <w:lang w:val="ru-RU"/>
        </w:rPr>
        <w:t>1.2.6</w:t>
      </w:r>
      <w:r w:rsidR="004569FB" w:rsidRPr="00DB5643">
        <w:rPr>
          <w:snapToGrid w:val="0"/>
          <w:kern w:val="22"/>
          <w:szCs w:val="22"/>
          <w:lang w:val="ru-RU"/>
        </w:rPr>
        <w:t xml:space="preserve"> (</w:t>
      </w:r>
      <w:r w:rsidR="008578DC" w:rsidRPr="00DB5643">
        <w:rPr>
          <w:snapToGrid w:val="0"/>
          <w:kern w:val="22"/>
          <w:szCs w:val="22"/>
          <w:lang w:val="ru-RU"/>
        </w:rPr>
        <w:t>число</w:t>
      </w:r>
      <w:r w:rsidR="004569FB" w:rsidRPr="00DB5643">
        <w:rPr>
          <w:snapToGrid w:val="0"/>
          <w:kern w:val="22"/>
          <w:szCs w:val="22"/>
          <w:lang w:val="ru-RU"/>
        </w:rPr>
        <w:t xml:space="preserve"> </w:t>
      </w:r>
      <w:r w:rsidR="008578DC" w:rsidRPr="00DB5643">
        <w:rPr>
          <w:snapToGrid w:val="0"/>
          <w:kern w:val="22"/>
          <w:szCs w:val="22"/>
          <w:lang w:val="ru-RU"/>
        </w:rPr>
        <w:t>Сторон, которые располагают предсказуемым и надежным финансированием для укрепления своего потенциала по осуществлению Протокола</w:t>
      </w:r>
      <w:r w:rsidR="004569FB" w:rsidRPr="00DB5643">
        <w:rPr>
          <w:snapToGrid w:val="0"/>
          <w:kern w:val="22"/>
          <w:szCs w:val="22"/>
          <w:lang w:val="ru-RU"/>
        </w:rPr>
        <w:t>) 35</w:t>
      </w:r>
      <w:r w:rsidR="007F2606" w:rsidRPr="00DB5643">
        <w:rPr>
          <w:snapToGrid w:val="0"/>
          <w:kern w:val="22"/>
          <w:szCs w:val="22"/>
          <w:lang w:val="en-US"/>
        </w:rPr>
        <w:t> </w:t>
      </w:r>
      <w:r w:rsidR="004569FB" w:rsidRPr="00DB5643">
        <w:rPr>
          <w:snapToGrid w:val="0"/>
          <w:kern w:val="22"/>
          <w:szCs w:val="22"/>
          <w:lang w:val="ru-RU"/>
        </w:rPr>
        <w:t xml:space="preserve">% </w:t>
      </w:r>
      <w:r w:rsidR="007F2606" w:rsidRPr="00DB5643">
        <w:rPr>
          <w:snapToGrid w:val="0"/>
          <w:kern w:val="22"/>
          <w:szCs w:val="22"/>
          <w:lang w:val="ru-RU"/>
        </w:rPr>
        <w:t>Сторон</w:t>
      </w:r>
      <w:r w:rsidR="004569FB" w:rsidRPr="00DB5643">
        <w:rPr>
          <w:snapToGrid w:val="0"/>
          <w:kern w:val="22"/>
          <w:szCs w:val="22"/>
          <w:lang w:val="ru-RU"/>
        </w:rPr>
        <w:t xml:space="preserve"> (25 </w:t>
      </w:r>
      <w:r w:rsidR="007F2606" w:rsidRPr="00DB5643">
        <w:rPr>
          <w:snapToGrid w:val="0"/>
          <w:kern w:val="22"/>
          <w:szCs w:val="22"/>
          <w:lang w:val="ru-RU"/>
        </w:rPr>
        <w:t>Сторон</w:t>
      </w:r>
      <w:r w:rsidR="004569FB" w:rsidRPr="00DB5643">
        <w:rPr>
          <w:snapToGrid w:val="0"/>
          <w:kern w:val="22"/>
          <w:szCs w:val="22"/>
          <w:lang w:val="ru-RU"/>
        </w:rPr>
        <w:t xml:space="preserve">) </w:t>
      </w:r>
      <w:r w:rsidR="007F2606" w:rsidRPr="00DB5643">
        <w:rPr>
          <w:snapToGrid w:val="0"/>
          <w:kern w:val="22"/>
          <w:szCs w:val="22"/>
          <w:lang w:val="ru-RU"/>
        </w:rPr>
        <w:t xml:space="preserve">сообщили о наличии предсказуемого и надежного финансирования </w:t>
      </w:r>
      <w:r w:rsidR="004569FB" w:rsidRPr="00DB5643">
        <w:rPr>
          <w:snapToGrid w:val="0"/>
          <w:kern w:val="22"/>
          <w:szCs w:val="22"/>
          <w:lang w:val="ru-RU"/>
        </w:rPr>
        <w:t>(</w:t>
      </w:r>
      <w:r w:rsidR="007F2606" w:rsidRPr="00DB5643">
        <w:rPr>
          <w:snapToGrid w:val="0"/>
          <w:kern w:val="22"/>
          <w:szCs w:val="22"/>
          <w:lang w:val="ru-RU"/>
        </w:rPr>
        <w:t xml:space="preserve">уменьшение на </w:t>
      </w:r>
      <w:r w:rsidR="004569FB" w:rsidRPr="00DB5643">
        <w:rPr>
          <w:snapToGrid w:val="0"/>
          <w:kern w:val="22"/>
          <w:szCs w:val="22"/>
          <w:lang w:val="ru-RU"/>
        </w:rPr>
        <w:t>7</w:t>
      </w:r>
      <w:r w:rsidR="007F2606" w:rsidRPr="00DB5643">
        <w:rPr>
          <w:snapToGrid w:val="0"/>
          <w:kern w:val="22"/>
          <w:szCs w:val="22"/>
          <w:lang w:val="en-US"/>
        </w:rPr>
        <w:t> </w:t>
      </w:r>
      <w:r w:rsidR="004569FB" w:rsidRPr="00DB5643">
        <w:rPr>
          <w:snapToGrid w:val="0"/>
          <w:kern w:val="22"/>
          <w:szCs w:val="22"/>
          <w:lang w:val="ru-RU"/>
        </w:rPr>
        <w:t xml:space="preserve">% </w:t>
      </w:r>
      <w:r w:rsidR="007F2606" w:rsidRPr="00DB5643">
        <w:rPr>
          <w:snapToGrid w:val="0"/>
          <w:kern w:val="22"/>
          <w:szCs w:val="22"/>
          <w:lang w:val="ru-RU"/>
        </w:rPr>
        <w:t>по отношению к исходному уровню</w:t>
      </w:r>
      <w:r w:rsidR="004569FB" w:rsidRPr="00DB5643">
        <w:rPr>
          <w:snapToGrid w:val="0"/>
          <w:kern w:val="22"/>
          <w:szCs w:val="22"/>
          <w:lang w:val="ru-RU"/>
        </w:rPr>
        <w:t xml:space="preserve">), </w:t>
      </w:r>
      <w:r w:rsidR="007F2606" w:rsidRPr="00DB5643">
        <w:rPr>
          <w:snapToGrid w:val="0"/>
          <w:kern w:val="22"/>
          <w:szCs w:val="22"/>
          <w:lang w:val="ru-RU"/>
        </w:rPr>
        <w:t>тогда как</w:t>
      </w:r>
      <w:r w:rsidR="004569FB" w:rsidRPr="00DB5643">
        <w:rPr>
          <w:snapToGrid w:val="0"/>
          <w:kern w:val="22"/>
          <w:szCs w:val="22"/>
          <w:lang w:val="ru-RU"/>
        </w:rPr>
        <w:t xml:space="preserve"> 14</w:t>
      </w:r>
      <w:r w:rsidR="007F2606" w:rsidRPr="00DB5643">
        <w:rPr>
          <w:snapToGrid w:val="0"/>
          <w:kern w:val="22"/>
          <w:szCs w:val="22"/>
          <w:lang w:val="ru-RU"/>
        </w:rPr>
        <w:t> </w:t>
      </w:r>
      <w:r w:rsidR="004569FB" w:rsidRPr="00DB5643">
        <w:rPr>
          <w:snapToGrid w:val="0"/>
          <w:kern w:val="22"/>
          <w:szCs w:val="22"/>
          <w:lang w:val="ru-RU"/>
        </w:rPr>
        <w:t xml:space="preserve">% </w:t>
      </w:r>
      <w:r w:rsidR="007F2606" w:rsidRPr="00DB5643">
        <w:rPr>
          <w:snapToGrid w:val="0"/>
          <w:kern w:val="22"/>
          <w:szCs w:val="22"/>
          <w:lang w:val="ru-RU"/>
        </w:rPr>
        <w:t>Сторон</w:t>
      </w:r>
      <w:r w:rsidR="004569FB" w:rsidRPr="00DB5643">
        <w:rPr>
          <w:snapToGrid w:val="0"/>
          <w:kern w:val="22"/>
          <w:szCs w:val="22"/>
          <w:lang w:val="ru-RU"/>
        </w:rPr>
        <w:t xml:space="preserve"> (10 </w:t>
      </w:r>
      <w:r w:rsidR="007F2606" w:rsidRPr="00DB5643">
        <w:rPr>
          <w:snapToGrid w:val="0"/>
          <w:kern w:val="22"/>
          <w:szCs w:val="22"/>
          <w:lang w:val="ru-RU"/>
        </w:rPr>
        <w:t>Сторон</w:t>
      </w:r>
      <w:r w:rsidR="004569FB" w:rsidRPr="00DB5643">
        <w:rPr>
          <w:snapToGrid w:val="0"/>
          <w:kern w:val="22"/>
          <w:szCs w:val="22"/>
          <w:lang w:val="ru-RU"/>
        </w:rPr>
        <w:t>)</w:t>
      </w:r>
      <w:r w:rsidR="007F2606" w:rsidRPr="00DB5643">
        <w:rPr>
          <w:snapToGrid w:val="0"/>
          <w:kern w:val="22"/>
          <w:szCs w:val="22"/>
          <w:lang w:val="ru-RU"/>
        </w:rPr>
        <w:t xml:space="preserve"> сообщили о том, что они располагают предсказуемым и надежным финансированием </w:t>
      </w:r>
      <w:r w:rsidR="00827900" w:rsidRPr="00DB5643">
        <w:rPr>
          <w:snapToGrid w:val="0"/>
          <w:kern w:val="22"/>
          <w:szCs w:val="22"/>
          <w:lang w:val="ru-RU"/>
        </w:rPr>
        <w:t>в некоторой степени</w:t>
      </w:r>
      <w:r w:rsidR="004569FB" w:rsidRPr="00DB5643">
        <w:rPr>
          <w:snapToGrid w:val="0"/>
          <w:kern w:val="22"/>
          <w:szCs w:val="22"/>
          <w:lang w:val="ru-RU"/>
        </w:rPr>
        <w:t xml:space="preserve"> (</w:t>
      </w:r>
      <w:r w:rsidR="007F2606" w:rsidRPr="00DB5643">
        <w:rPr>
          <w:snapToGrid w:val="0"/>
          <w:kern w:val="22"/>
          <w:szCs w:val="22"/>
          <w:lang w:val="ru-RU"/>
        </w:rPr>
        <w:t xml:space="preserve">увеличение на </w:t>
      </w:r>
      <w:r w:rsidR="004569FB" w:rsidRPr="00DB5643">
        <w:rPr>
          <w:snapToGrid w:val="0"/>
          <w:kern w:val="22"/>
          <w:szCs w:val="22"/>
          <w:lang w:val="ru-RU"/>
        </w:rPr>
        <w:t>14</w:t>
      </w:r>
      <w:r w:rsidR="007F2606" w:rsidRPr="00DB5643">
        <w:rPr>
          <w:snapToGrid w:val="0"/>
          <w:kern w:val="22"/>
          <w:szCs w:val="22"/>
          <w:lang w:val="ru-RU"/>
        </w:rPr>
        <w:t> </w:t>
      </w:r>
      <w:r w:rsidR="004569FB" w:rsidRPr="00DB5643">
        <w:rPr>
          <w:snapToGrid w:val="0"/>
          <w:kern w:val="22"/>
          <w:szCs w:val="22"/>
          <w:lang w:val="ru-RU"/>
        </w:rPr>
        <w:t xml:space="preserve">% </w:t>
      </w:r>
      <w:r w:rsidR="007F2606" w:rsidRPr="00DB5643">
        <w:rPr>
          <w:snapToGrid w:val="0"/>
          <w:kern w:val="22"/>
          <w:szCs w:val="22"/>
          <w:lang w:val="ru-RU"/>
        </w:rPr>
        <w:t>по отношению к исходному уровню</w:t>
      </w:r>
      <w:r w:rsidR="004569FB" w:rsidRPr="00DB5643">
        <w:rPr>
          <w:snapToGrid w:val="0"/>
          <w:kern w:val="22"/>
          <w:szCs w:val="22"/>
          <w:lang w:val="ru-RU"/>
        </w:rPr>
        <w:t xml:space="preserve">). </w:t>
      </w:r>
      <w:r w:rsidR="00A5406D" w:rsidRPr="00DB5643">
        <w:rPr>
          <w:snapToGrid w:val="0"/>
          <w:kern w:val="22"/>
          <w:szCs w:val="22"/>
          <w:lang w:val="ru-RU"/>
        </w:rPr>
        <w:t>В совокупности</w:t>
      </w:r>
      <w:r w:rsidR="004569FB" w:rsidRPr="00DB5643">
        <w:rPr>
          <w:snapToGrid w:val="0"/>
          <w:kern w:val="22"/>
          <w:szCs w:val="22"/>
          <w:lang w:val="ru-RU"/>
        </w:rPr>
        <w:t xml:space="preserve"> 49</w:t>
      </w:r>
      <w:r w:rsidR="00A5406D" w:rsidRPr="00DB5643">
        <w:rPr>
          <w:snapToGrid w:val="0"/>
          <w:kern w:val="22"/>
          <w:szCs w:val="22"/>
          <w:lang w:val="en-US"/>
        </w:rPr>
        <w:t> </w:t>
      </w:r>
      <w:r w:rsidR="004569FB" w:rsidRPr="00DB5643">
        <w:rPr>
          <w:snapToGrid w:val="0"/>
          <w:kern w:val="22"/>
          <w:szCs w:val="22"/>
          <w:lang w:val="ru-RU"/>
        </w:rPr>
        <w:t xml:space="preserve">% </w:t>
      </w:r>
      <w:r w:rsidR="00A5406D" w:rsidRPr="00DB5643">
        <w:rPr>
          <w:snapToGrid w:val="0"/>
          <w:kern w:val="22"/>
          <w:szCs w:val="22"/>
          <w:lang w:val="ru-RU"/>
        </w:rPr>
        <w:t>Сторон</w:t>
      </w:r>
      <w:r w:rsidR="004569FB" w:rsidRPr="00DB5643">
        <w:rPr>
          <w:snapToGrid w:val="0"/>
          <w:kern w:val="22"/>
          <w:szCs w:val="22"/>
          <w:lang w:val="ru-RU"/>
        </w:rPr>
        <w:t xml:space="preserve"> (35 </w:t>
      </w:r>
      <w:r w:rsidR="00A5406D" w:rsidRPr="00DB5643">
        <w:rPr>
          <w:snapToGrid w:val="0"/>
          <w:kern w:val="22"/>
          <w:szCs w:val="22"/>
          <w:lang w:val="ru-RU"/>
        </w:rPr>
        <w:t>Сторон</w:t>
      </w:r>
      <w:r w:rsidR="004569FB" w:rsidRPr="00DB5643">
        <w:rPr>
          <w:snapToGrid w:val="0"/>
          <w:kern w:val="22"/>
          <w:szCs w:val="22"/>
          <w:lang w:val="ru-RU"/>
        </w:rPr>
        <w:t>)</w:t>
      </w:r>
      <w:r w:rsidR="00A5406D" w:rsidRPr="00DB5643">
        <w:rPr>
          <w:snapToGrid w:val="0"/>
          <w:kern w:val="22"/>
          <w:szCs w:val="22"/>
          <w:lang w:val="ru-RU"/>
        </w:rPr>
        <w:t xml:space="preserve"> сообщили о наличии предсказуемого и надежного </w:t>
      </w:r>
      <w:proofErr w:type="gramStart"/>
      <w:r w:rsidR="00A5406D" w:rsidRPr="00DB5643">
        <w:rPr>
          <w:snapToGrid w:val="0"/>
          <w:kern w:val="22"/>
          <w:szCs w:val="22"/>
          <w:lang w:val="ru-RU"/>
        </w:rPr>
        <w:t>финансирования</w:t>
      </w:r>
      <w:proofErr w:type="gramEnd"/>
      <w:r w:rsidR="00A5406D" w:rsidRPr="00DB5643">
        <w:rPr>
          <w:snapToGrid w:val="0"/>
          <w:kern w:val="22"/>
          <w:szCs w:val="22"/>
          <w:lang w:val="ru-RU"/>
        </w:rPr>
        <w:t xml:space="preserve"> по крайней мере </w:t>
      </w:r>
      <w:r w:rsidR="00827900" w:rsidRPr="00DB5643">
        <w:rPr>
          <w:snapToGrid w:val="0"/>
          <w:kern w:val="22"/>
          <w:szCs w:val="22"/>
          <w:lang w:val="ru-RU"/>
        </w:rPr>
        <w:t>в некоторой степени</w:t>
      </w:r>
      <w:r w:rsidR="004569FB" w:rsidRPr="00DB5643">
        <w:rPr>
          <w:snapToGrid w:val="0"/>
          <w:kern w:val="22"/>
          <w:szCs w:val="22"/>
          <w:lang w:val="ru-RU"/>
        </w:rPr>
        <w:t xml:space="preserve">, </w:t>
      </w:r>
      <w:r w:rsidR="00A5406D" w:rsidRPr="00DB5643">
        <w:rPr>
          <w:snapToGrid w:val="0"/>
          <w:kern w:val="22"/>
          <w:szCs w:val="22"/>
          <w:lang w:val="ru-RU"/>
        </w:rPr>
        <w:t>что соответствует увеличению на</w:t>
      </w:r>
      <w:r w:rsidR="004569FB" w:rsidRPr="00DB5643">
        <w:rPr>
          <w:snapToGrid w:val="0"/>
          <w:kern w:val="22"/>
          <w:szCs w:val="22"/>
          <w:lang w:val="ru-RU"/>
        </w:rPr>
        <w:t xml:space="preserve"> 7</w:t>
      </w:r>
      <w:r w:rsidR="00A5406D" w:rsidRPr="00DB5643">
        <w:rPr>
          <w:snapToGrid w:val="0"/>
          <w:kern w:val="22"/>
          <w:szCs w:val="22"/>
          <w:lang w:val="ru-RU"/>
        </w:rPr>
        <w:t> </w:t>
      </w:r>
      <w:r w:rsidR="004569FB" w:rsidRPr="00DB5643">
        <w:rPr>
          <w:snapToGrid w:val="0"/>
          <w:kern w:val="22"/>
          <w:szCs w:val="22"/>
          <w:lang w:val="ru-RU"/>
        </w:rPr>
        <w:t xml:space="preserve">% </w:t>
      </w:r>
      <w:r w:rsidR="00A5406D" w:rsidRPr="00DB5643">
        <w:rPr>
          <w:snapToGrid w:val="0"/>
          <w:kern w:val="22"/>
          <w:szCs w:val="22"/>
          <w:lang w:val="ru-RU"/>
        </w:rPr>
        <w:t>по отношению к исходному уровню</w:t>
      </w:r>
      <w:r w:rsidR="004569FB" w:rsidRPr="00DB5643">
        <w:rPr>
          <w:snapToGrid w:val="0"/>
          <w:kern w:val="22"/>
          <w:szCs w:val="22"/>
          <w:lang w:val="ru-RU"/>
        </w:rPr>
        <w:t xml:space="preserve">. </w:t>
      </w:r>
      <w:r w:rsidR="00A5406D" w:rsidRPr="00DB5643">
        <w:rPr>
          <w:snapToGrid w:val="0"/>
          <w:kern w:val="22"/>
          <w:szCs w:val="22"/>
          <w:lang w:val="ru-RU"/>
        </w:rPr>
        <w:t>На региональном уровне сообщено об увеличении в Африке</w:t>
      </w:r>
      <w:r w:rsidR="004569FB" w:rsidRPr="00DB5643">
        <w:rPr>
          <w:snapToGrid w:val="0"/>
          <w:kern w:val="22"/>
          <w:szCs w:val="22"/>
          <w:lang w:val="ru-RU"/>
        </w:rPr>
        <w:t xml:space="preserve"> (+21</w:t>
      </w:r>
      <w:r w:rsidR="00A5406D" w:rsidRPr="00DB5643">
        <w:rPr>
          <w:snapToGrid w:val="0"/>
          <w:kern w:val="22"/>
          <w:szCs w:val="22"/>
          <w:lang w:val="ru-RU"/>
        </w:rPr>
        <w:t> </w:t>
      </w:r>
      <w:r w:rsidR="004569FB" w:rsidRPr="00DB5643">
        <w:rPr>
          <w:snapToGrid w:val="0"/>
          <w:kern w:val="22"/>
          <w:szCs w:val="22"/>
          <w:lang w:val="ru-RU"/>
        </w:rPr>
        <w:t xml:space="preserve">%), </w:t>
      </w:r>
      <w:r w:rsidR="00A5406D" w:rsidRPr="00DB5643">
        <w:rPr>
          <w:snapToGrid w:val="0"/>
          <w:kern w:val="22"/>
          <w:szCs w:val="22"/>
          <w:lang w:val="ru-RU"/>
        </w:rPr>
        <w:t>Азиатско-Тихоокеанском регионе</w:t>
      </w:r>
      <w:r w:rsidR="004569FB" w:rsidRPr="00DB5643">
        <w:rPr>
          <w:snapToGrid w:val="0"/>
          <w:kern w:val="22"/>
          <w:szCs w:val="22"/>
          <w:lang w:val="ru-RU"/>
        </w:rPr>
        <w:t xml:space="preserve"> (+11</w:t>
      </w:r>
      <w:r w:rsidR="00A5406D" w:rsidRPr="00DB5643">
        <w:rPr>
          <w:snapToGrid w:val="0"/>
          <w:kern w:val="22"/>
          <w:szCs w:val="22"/>
          <w:lang w:val="ru-RU"/>
        </w:rPr>
        <w:t> </w:t>
      </w:r>
      <w:r w:rsidR="004569FB" w:rsidRPr="00DB5643">
        <w:rPr>
          <w:snapToGrid w:val="0"/>
          <w:kern w:val="22"/>
          <w:szCs w:val="22"/>
          <w:lang w:val="ru-RU"/>
        </w:rPr>
        <w:t>%)</w:t>
      </w:r>
      <w:r w:rsidR="005A0B55" w:rsidRPr="00DB5643">
        <w:rPr>
          <w:snapToGrid w:val="0"/>
          <w:kern w:val="22"/>
          <w:szCs w:val="22"/>
          <w:lang w:val="ru-RU"/>
        </w:rPr>
        <w:t xml:space="preserve"> </w:t>
      </w:r>
      <w:r w:rsidR="00A5406D" w:rsidRPr="00DB5643">
        <w:rPr>
          <w:snapToGrid w:val="0"/>
          <w:kern w:val="22"/>
          <w:szCs w:val="22"/>
          <w:lang w:val="ru-RU"/>
        </w:rPr>
        <w:t xml:space="preserve">и </w:t>
      </w:r>
      <w:proofErr w:type="spellStart"/>
      <w:r w:rsidR="00A5406D" w:rsidRPr="00DB5643">
        <w:rPr>
          <w:snapToGrid w:val="0"/>
          <w:kern w:val="22"/>
          <w:szCs w:val="22"/>
          <w:lang w:val="ru-RU"/>
        </w:rPr>
        <w:t>ГРУЛАК</w:t>
      </w:r>
      <w:proofErr w:type="spellEnd"/>
      <w:r w:rsidR="004569FB" w:rsidRPr="00DB5643">
        <w:rPr>
          <w:snapToGrid w:val="0"/>
          <w:kern w:val="22"/>
          <w:szCs w:val="22"/>
          <w:lang w:val="ru-RU"/>
        </w:rPr>
        <w:t xml:space="preserve"> (+8</w:t>
      </w:r>
      <w:r w:rsidR="00A5406D" w:rsidRPr="00DB5643">
        <w:rPr>
          <w:snapToGrid w:val="0"/>
          <w:kern w:val="22"/>
          <w:szCs w:val="22"/>
          <w:lang w:val="ru-RU"/>
        </w:rPr>
        <w:t> </w:t>
      </w:r>
      <w:r w:rsidR="004569FB" w:rsidRPr="00DB5643">
        <w:rPr>
          <w:snapToGrid w:val="0"/>
          <w:kern w:val="22"/>
          <w:szCs w:val="22"/>
          <w:lang w:val="ru-RU"/>
        </w:rPr>
        <w:t xml:space="preserve">%). </w:t>
      </w:r>
      <w:r w:rsidR="00A5406D" w:rsidRPr="00DB5643">
        <w:rPr>
          <w:snapToGrid w:val="0"/>
          <w:kern w:val="22"/>
          <w:szCs w:val="22"/>
          <w:lang w:val="ru-RU"/>
        </w:rPr>
        <w:t xml:space="preserve">Сообщено об уменьшении в регионе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w:t>
      </w:r>
      <w:r w:rsidR="00773BD4" w:rsidRPr="00DB5643">
        <w:rPr>
          <w:snapToGrid w:val="0"/>
          <w:kern w:val="22"/>
          <w:szCs w:val="22"/>
          <w:lang w:val="ru-RU"/>
        </w:rPr>
        <w:noBreakHyphen/>
      </w:r>
      <w:r w:rsidR="004569FB" w:rsidRPr="00DB5643">
        <w:rPr>
          <w:snapToGrid w:val="0"/>
          <w:kern w:val="22"/>
          <w:szCs w:val="22"/>
          <w:lang w:val="ru-RU"/>
        </w:rPr>
        <w:t>7</w:t>
      </w:r>
      <w:r w:rsidR="00A5406D" w:rsidRPr="00DB5643">
        <w:rPr>
          <w:snapToGrid w:val="0"/>
          <w:kern w:val="22"/>
          <w:szCs w:val="22"/>
          <w:lang w:val="en-US"/>
        </w:rPr>
        <w:t> </w:t>
      </w:r>
      <w:r w:rsidR="004569FB" w:rsidRPr="00DB5643">
        <w:rPr>
          <w:snapToGrid w:val="0"/>
          <w:kern w:val="22"/>
          <w:szCs w:val="22"/>
          <w:lang w:val="ru-RU"/>
        </w:rPr>
        <w:t>%)</w:t>
      </w:r>
      <w:r w:rsidR="00A5406D" w:rsidRPr="00DB5643">
        <w:rPr>
          <w:snapToGrid w:val="0"/>
          <w:kern w:val="22"/>
          <w:szCs w:val="22"/>
          <w:lang w:val="ru-RU"/>
        </w:rPr>
        <w:t xml:space="preserve"> и об отсутствии изменений в регионе</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w:t>
      </w:r>
      <w:r w:rsidR="006E239B">
        <w:rPr>
          <w:snapToGrid w:val="0"/>
          <w:kern w:val="22"/>
          <w:szCs w:val="22"/>
          <w:lang w:val="ru-RU"/>
        </w:rPr>
        <w:t>С</w:t>
      </w:r>
      <w:r w:rsidR="00A5406D" w:rsidRPr="00DB5643">
        <w:rPr>
          <w:snapToGrid w:val="0"/>
          <w:kern w:val="22"/>
          <w:szCs w:val="22"/>
          <w:lang w:val="ru-RU"/>
        </w:rPr>
        <w:t>ообщенные изменения по сравнени</w:t>
      </w:r>
      <w:r w:rsidR="006E239B">
        <w:rPr>
          <w:snapToGrid w:val="0"/>
          <w:kern w:val="22"/>
          <w:szCs w:val="22"/>
          <w:lang w:val="ru-RU"/>
        </w:rPr>
        <w:t>ю</w:t>
      </w:r>
      <w:r w:rsidR="00A5406D" w:rsidRPr="00DB5643">
        <w:rPr>
          <w:snapToGrid w:val="0"/>
          <w:kern w:val="22"/>
          <w:szCs w:val="22"/>
          <w:lang w:val="ru-RU"/>
        </w:rPr>
        <w:t xml:space="preserve"> с исходным уровнем могут быть </w:t>
      </w:r>
      <w:r w:rsidR="006E239B">
        <w:rPr>
          <w:snapToGrid w:val="0"/>
          <w:kern w:val="22"/>
          <w:szCs w:val="22"/>
          <w:lang w:val="ru-RU"/>
        </w:rPr>
        <w:t>в</w:t>
      </w:r>
      <w:r w:rsidR="006E239B" w:rsidRPr="006E239B">
        <w:rPr>
          <w:snapToGrid w:val="0"/>
          <w:kern w:val="22"/>
          <w:szCs w:val="22"/>
          <w:lang w:val="ru-RU"/>
        </w:rPr>
        <w:t xml:space="preserve"> </w:t>
      </w:r>
      <w:r w:rsidR="006E239B" w:rsidRPr="00DB5643">
        <w:rPr>
          <w:snapToGrid w:val="0"/>
          <w:kern w:val="22"/>
          <w:szCs w:val="22"/>
          <w:lang w:val="ru-RU"/>
        </w:rPr>
        <w:t xml:space="preserve">некоторой степени </w:t>
      </w:r>
      <w:r w:rsidR="00A5406D" w:rsidRPr="00DB5643">
        <w:rPr>
          <w:snapToGrid w:val="0"/>
          <w:kern w:val="22"/>
          <w:szCs w:val="22"/>
          <w:lang w:val="ru-RU"/>
        </w:rPr>
        <w:t xml:space="preserve">связаны с изменением формата отчетности </w:t>
      </w:r>
      <w:proofErr w:type="gramStart"/>
      <w:r w:rsidR="00A5406D" w:rsidRPr="00DB5643">
        <w:rPr>
          <w:snapToGrid w:val="0"/>
          <w:kern w:val="22"/>
          <w:szCs w:val="22"/>
          <w:lang w:val="ru-RU"/>
        </w:rPr>
        <w:t>для</w:t>
      </w:r>
      <w:proofErr w:type="gramEnd"/>
      <w:r w:rsidR="00A5406D" w:rsidRPr="00DB5643">
        <w:rPr>
          <w:snapToGrid w:val="0"/>
          <w:kern w:val="22"/>
          <w:szCs w:val="22"/>
          <w:lang w:val="ru-RU"/>
        </w:rPr>
        <w:t xml:space="preserve"> четвертого национального доклада</w:t>
      </w:r>
      <w:r w:rsidR="004569FB" w:rsidRPr="00DB5643">
        <w:rPr>
          <w:rStyle w:val="ac"/>
          <w:snapToGrid w:val="0"/>
          <w:kern w:val="22"/>
          <w:szCs w:val="22"/>
        </w:rPr>
        <w:footnoteReference w:id="23"/>
      </w:r>
      <w:r w:rsidR="00A5406D" w:rsidRPr="00DB5643">
        <w:rPr>
          <w:snapToGrid w:val="0"/>
          <w:kern w:val="22"/>
          <w:szCs w:val="22"/>
          <w:lang w:val="ru-RU"/>
        </w:rPr>
        <w:t>.</w:t>
      </w:r>
    </w:p>
    <w:p w14:paraId="006CF6E3" w14:textId="707E8DA0" w:rsidR="004569FB" w:rsidRPr="00DB5643" w:rsidRDefault="00A5406D"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1.2.7</w:t>
      </w:r>
      <w:r w:rsidR="004569FB" w:rsidRPr="00DB5643">
        <w:rPr>
          <w:snapToGrid w:val="0"/>
          <w:kern w:val="22"/>
          <w:szCs w:val="22"/>
          <w:lang w:val="ru-RU"/>
        </w:rPr>
        <w:t xml:space="preserve"> (</w:t>
      </w:r>
      <w:r w:rsidRPr="00DB5643">
        <w:rPr>
          <w:snapToGrid w:val="0"/>
          <w:kern w:val="22"/>
          <w:szCs w:val="22"/>
          <w:lang w:val="ru-RU"/>
        </w:rPr>
        <w:t>число Сторон, сообщивших, что их потребности в создании потенциала удовлетворены</w:t>
      </w:r>
      <w:r w:rsidR="004569FB" w:rsidRPr="00DB5643">
        <w:rPr>
          <w:snapToGrid w:val="0"/>
          <w:kern w:val="22"/>
          <w:szCs w:val="22"/>
          <w:lang w:val="ru-RU"/>
        </w:rPr>
        <w:t>) 20</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(19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 xml:space="preserve">сообщили об отсутствии </w:t>
      </w:r>
      <w:r w:rsidRPr="00DB5643">
        <w:rPr>
          <w:snapToGrid w:val="0"/>
          <w:kern w:val="22"/>
          <w:szCs w:val="22"/>
          <w:lang w:val="ru-RU"/>
        </w:rPr>
        <w:lastRenderedPageBreak/>
        <w:t>потребностей в создании потенциала</w:t>
      </w:r>
      <w:r w:rsidR="004569FB" w:rsidRPr="00DB5643">
        <w:rPr>
          <w:snapToGrid w:val="0"/>
          <w:kern w:val="22"/>
          <w:szCs w:val="22"/>
          <w:lang w:val="ru-RU"/>
        </w:rPr>
        <w:t>,</w:t>
      </w:r>
      <w:r w:rsidRPr="00DB5643">
        <w:rPr>
          <w:snapToGrid w:val="0"/>
          <w:kern w:val="22"/>
          <w:szCs w:val="22"/>
          <w:lang w:val="ru-RU"/>
        </w:rPr>
        <w:t xml:space="preserve"> что соответствует незначительному увеличению на </w:t>
      </w:r>
      <w:r w:rsidR="004569FB" w:rsidRPr="00DB5643">
        <w:rPr>
          <w:snapToGrid w:val="0"/>
          <w:kern w:val="22"/>
          <w:szCs w:val="22"/>
          <w:lang w:val="ru-RU"/>
        </w:rPr>
        <w:t>2</w:t>
      </w:r>
      <w:r w:rsidRPr="00DB5643">
        <w:rPr>
          <w:snapToGrid w:val="0"/>
          <w:kern w:val="22"/>
          <w:szCs w:val="22"/>
          <w:lang w:val="ru-RU"/>
        </w:rPr>
        <w:t> </w:t>
      </w:r>
      <w:r w:rsidR="004569FB" w:rsidRPr="00DB5643">
        <w:rPr>
          <w:snapToGrid w:val="0"/>
          <w:kern w:val="22"/>
          <w:szCs w:val="22"/>
          <w:lang w:val="ru-RU"/>
        </w:rPr>
        <w:t xml:space="preserve">%. </w:t>
      </w:r>
      <w:r w:rsidR="00C26A42" w:rsidRPr="00DB5643">
        <w:rPr>
          <w:snapToGrid w:val="0"/>
          <w:kern w:val="22"/>
          <w:szCs w:val="22"/>
          <w:lang w:val="ru-RU"/>
        </w:rPr>
        <w:t>В то время как</w:t>
      </w:r>
      <w:r w:rsidR="004569FB" w:rsidRPr="00DB5643">
        <w:rPr>
          <w:snapToGrid w:val="0"/>
          <w:kern w:val="22"/>
          <w:szCs w:val="22"/>
          <w:lang w:val="ru-RU"/>
        </w:rPr>
        <w:t xml:space="preserve"> 83</w:t>
      </w:r>
      <w:r w:rsidR="00C26A42" w:rsidRPr="00DB5643">
        <w:rPr>
          <w:snapToGrid w:val="0"/>
          <w:kern w:val="22"/>
          <w:szCs w:val="22"/>
          <w:lang w:val="en-US"/>
        </w:rPr>
        <w:t> </w:t>
      </w:r>
      <w:r w:rsidR="004569FB" w:rsidRPr="00DB5643">
        <w:rPr>
          <w:snapToGrid w:val="0"/>
          <w:kern w:val="22"/>
          <w:szCs w:val="22"/>
          <w:lang w:val="ru-RU"/>
        </w:rPr>
        <w:t xml:space="preserve">% </w:t>
      </w:r>
      <w:r w:rsidR="00C26A42" w:rsidRPr="00DB5643">
        <w:rPr>
          <w:snapToGrid w:val="0"/>
          <w:kern w:val="22"/>
          <w:szCs w:val="22"/>
          <w:lang w:val="ru-RU"/>
        </w:rPr>
        <w:t>Сторон в регионе</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w:t>
      </w:r>
      <w:r w:rsidR="00C26A42" w:rsidRPr="00DB5643">
        <w:rPr>
          <w:snapToGrid w:val="0"/>
          <w:kern w:val="22"/>
          <w:szCs w:val="22"/>
          <w:lang w:val="ru-RU"/>
        </w:rPr>
        <w:t>сообщили,</w:t>
      </w:r>
      <w:r w:rsidR="004569FB" w:rsidRPr="00DB5643">
        <w:rPr>
          <w:snapToGrid w:val="0"/>
          <w:kern w:val="22"/>
          <w:szCs w:val="22"/>
          <w:lang w:val="ru-RU"/>
        </w:rPr>
        <w:t xml:space="preserve"> </w:t>
      </w:r>
      <w:r w:rsidR="00C26A42" w:rsidRPr="00DB5643">
        <w:rPr>
          <w:snapToGrid w:val="0"/>
          <w:kern w:val="22"/>
          <w:szCs w:val="22"/>
          <w:lang w:val="ru-RU"/>
        </w:rPr>
        <w:t>что их потребности в создании потенциала удовлетворены</w:t>
      </w:r>
      <w:r w:rsidR="004569FB" w:rsidRPr="00DB5643">
        <w:rPr>
          <w:snapToGrid w:val="0"/>
          <w:kern w:val="22"/>
          <w:szCs w:val="22"/>
          <w:lang w:val="ru-RU"/>
        </w:rPr>
        <w:t xml:space="preserve"> (-4</w:t>
      </w:r>
      <w:r w:rsidR="00C26A42" w:rsidRPr="00DB5643">
        <w:rPr>
          <w:snapToGrid w:val="0"/>
          <w:kern w:val="22"/>
          <w:szCs w:val="22"/>
          <w:lang w:val="ru-RU"/>
        </w:rPr>
        <w:t> </w:t>
      </w:r>
      <w:r w:rsidR="004569FB" w:rsidRPr="00DB5643">
        <w:rPr>
          <w:snapToGrid w:val="0"/>
          <w:kern w:val="22"/>
          <w:szCs w:val="22"/>
          <w:lang w:val="ru-RU"/>
        </w:rPr>
        <w:t xml:space="preserve">%), </w:t>
      </w:r>
      <w:r w:rsidR="00C26A42" w:rsidRPr="00DB5643">
        <w:rPr>
          <w:snapToGrid w:val="0"/>
          <w:kern w:val="22"/>
          <w:szCs w:val="22"/>
          <w:lang w:val="ru-RU"/>
        </w:rPr>
        <w:t>в других регионах процентные величины были значительно ниже</w:t>
      </w:r>
      <w:r w:rsidR="004569FB" w:rsidRPr="00DB5643">
        <w:rPr>
          <w:snapToGrid w:val="0"/>
          <w:kern w:val="22"/>
          <w:szCs w:val="22"/>
          <w:lang w:val="ru-RU"/>
        </w:rPr>
        <w:t xml:space="preserve">. </w:t>
      </w:r>
      <w:r w:rsidR="00C26A42" w:rsidRPr="00DB5643">
        <w:rPr>
          <w:snapToGrid w:val="0"/>
          <w:kern w:val="22"/>
          <w:szCs w:val="22"/>
          <w:lang w:val="ru-RU"/>
        </w:rPr>
        <w:t>Было сообщено об отсутствии изменений по сравнению с исходным уровнем в трех регионах</w:t>
      </w:r>
      <w:r w:rsidR="004569FB" w:rsidRPr="00DB5643">
        <w:rPr>
          <w:snapToGrid w:val="0"/>
          <w:kern w:val="22"/>
          <w:szCs w:val="22"/>
          <w:lang w:val="ru-RU"/>
        </w:rPr>
        <w:t xml:space="preserve">, </w:t>
      </w:r>
      <w:r w:rsidR="00C26A42" w:rsidRPr="00DB5643">
        <w:rPr>
          <w:snapToGrid w:val="0"/>
          <w:kern w:val="22"/>
          <w:szCs w:val="22"/>
          <w:lang w:val="ru-RU"/>
        </w:rPr>
        <w:t>где процентные величины остались на следующем уровне</w:t>
      </w:r>
      <w:r w:rsidR="004569FB" w:rsidRPr="00DB5643">
        <w:rPr>
          <w:snapToGrid w:val="0"/>
          <w:kern w:val="22"/>
          <w:szCs w:val="22"/>
          <w:lang w:val="ru-RU"/>
        </w:rPr>
        <w:t xml:space="preserve">: </w:t>
      </w:r>
      <w:r w:rsidR="00C26A42" w:rsidRPr="00DB5643">
        <w:rPr>
          <w:snapToGrid w:val="0"/>
          <w:kern w:val="22"/>
          <w:szCs w:val="22"/>
          <w:lang w:val="ru-RU"/>
        </w:rPr>
        <w:t>Африка:</w:t>
      </w:r>
      <w:r w:rsidR="004569FB" w:rsidRPr="00DB5643">
        <w:rPr>
          <w:snapToGrid w:val="0"/>
          <w:kern w:val="22"/>
          <w:szCs w:val="22"/>
          <w:lang w:val="ru-RU"/>
        </w:rPr>
        <w:t xml:space="preserve"> 0</w:t>
      </w:r>
      <w:r w:rsidR="00C26A42" w:rsidRPr="00DB5643">
        <w:rPr>
          <w:snapToGrid w:val="0"/>
          <w:kern w:val="22"/>
          <w:szCs w:val="22"/>
          <w:lang w:val="ru-RU"/>
        </w:rPr>
        <w:t> </w:t>
      </w:r>
      <w:r w:rsidR="004569FB" w:rsidRPr="00DB5643">
        <w:rPr>
          <w:snapToGrid w:val="0"/>
          <w:kern w:val="22"/>
          <w:szCs w:val="22"/>
          <w:lang w:val="ru-RU"/>
        </w:rPr>
        <w:t xml:space="preserve">%; </w:t>
      </w:r>
      <w:proofErr w:type="spellStart"/>
      <w:r w:rsidR="00C26A42" w:rsidRPr="00DB5643">
        <w:rPr>
          <w:snapToGrid w:val="0"/>
          <w:kern w:val="22"/>
          <w:szCs w:val="22"/>
          <w:lang w:val="ru-RU"/>
        </w:rPr>
        <w:t>ГРУЛАК</w:t>
      </w:r>
      <w:proofErr w:type="spellEnd"/>
      <w:r w:rsidR="00C26A42" w:rsidRPr="00DB5643">
        <w:rPr>
          <w:snapToGrid w:val="0"/>
          <w:kern w:val="22"/>
          <w:szCs w:val="22"/>
          <w:lang w:val="ru-RU"/>
        </w:rPr>
        <w:t>:</w:t>
      </w:r>
      <w:r w:rsidR="004569FB" w:rsidRPr="00DB5643">
        <w:rPr>
          <w:snapToGrid w:val="0"/>
          <w:kern w:val="22"/>
          <w:szCs w:val="22"/>
          <w:lang w:val="ru-RU"/>
        </w:rPr>
        <w:t xml:space="preserve"> 0</w:t>
      </w:r>
      <w:r w:rsidR="00C26A42" w:rsidRPr="00DB5643">
        <w:rPr>
          <w:snapToGrid w:val="0"/>
          <w:kern w:val="22"/>
          <w:szCs w:val="22"/>
          <w:lang w:val="ru-RU"/>
        </w:rPr>
        <w:t> </w:t>
      </w:r>
      <w:r w:rsidR="004569FB" w:rsidRPr="00DB5643">
        <w:rPr>
          <w:snapToGrid w:val="0"/>
          <w:kern w:val="22"/>
          <w:szCs w:val="22"/>
          <w:lang w:val="ru-RU"/>
        </w:rPr>
        <w:t xml:space="preserve">%; </w:t>
      </w:r>
      <w:r w:rsidR="00C26A42" w:rsidRPr="00DB5643">
        <w:rPr>
          <w:snapToGrid w:val="0"/>
          <w:kern w:val="22"/>
          <w:szCs w:val="22"/>
          <w:lang w:val="ru-RU"/>
        </w:rPr>
        <w:t>Азиатско-Тихоокеанский регион:</w:t>
      </w:r>
      <w:r w:rsidR="004569FB" w:rsidRPr="00DB5643">
        <w:rPr>
          <w:snapToGrid w:val="0"/>
          <w:kern w:val="22"/>
          <w:szCs w:val="22"/>
          <w:lang w:val="ru-RU"/>
        </w:rPr>
        <w:t xml:space="preserve"> 13</w:t>
      </w:r>
      <w:r w:rsidR="00C26A42"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C26A42" w:rsidRPr="00DB5643">
        <w:rPr>
          <w:snapToGrid w:val="0"/>
          <w:kern w:val="22"/>
          <w:szCs w:val="22"/>
          <w:lang w:val="ru-RU"/>
        </w:rPr>
        <w:t xml:space="preserve"> был единственным регионом, в котором была отмечена положительная тенденция в</w:t>
      </w:r>
      <w:r w:rsidR="00132B01" w:rsidRPr="00DB5643">
        <w:rPr>
          <w:snapToGrid w:val="0"/>
          <w:kern w:val="22"/>
          <w:szCs w:val="22"/>
          <w:lang w:val="ru-RU"/>
        </w:rPr>
        <w:t xml:space="preserve"> отношении</w:t>
      </w:r>
      <w:r w:rsidR="00C26A42" w:rsidRPr="00DB5643">
        <w:rPr>
          <w:snapToGrid w:val="0"/>
          <w:kern w:val="22"/>
          <w:szCs w:val="22"/>
          <w:lang w:val="ru-RU"/>
        </w:rPr>
        <w:t xml:space="preserve"> числ</w:t>
      </w:r>
      <w:r w:rsidR="00132B01" w:rsidRPr="00DB5643">
        <w:rPr>
          <w:snapToGrid w:val="0"/>
          <w:kern w:val="22"/>
          <w:szCs w:val="22"/>
          <w:lang w:val="ru-RU"/>
        </w:rPr>
        <w:t>а</w:t>
      </w:r>
      <w:r w:rsidR="00C26A42" w:rsidRPr="00DB5643">
        <w:rPr>
          <w:snapToGrid w:val="0"/>
          <w:kern w:val="22"/>
          <w:szCs w:val="22"/>
          <w:lang w:val="ru-RU"/>
        </w:rPr>
        <w:t xml:space="preserve"> Сторон, сообщивших, что их потребности в создании потенциала удовлетворены</w:t>
      </w:r>
      <w:r w:rsidR="004569FB" w:rsidRPr="00DB5643">
        <w:rPr>
          <w:snapToGrid w:val="0"/>
          <w:kern w:val="22"/>
          <w:szCs w:val="22"/>
          <w:lang w:val="ru-RU"/>
        </w:rPr>
        <w:t xml:space="preserve">, </w:t>
      </w:r>
      <w:r w:rsidR="00132B01" w:rsidRPr="00DB5643">
        <w:rPr>
          <w:snapToGrid w:val="0"/>
          <w:kern w:val="22"/>
          <w:szCs w:val="22"/>
          <w:lang w:val="ru-RU"/>
        </w:rPr>
        <w:t xml:space="preserve">– </w:t>
      </w:r>
      <w:r w:rsidR="00C26A42" w:rsidRPr="00DB5643">
        <w:rPr>
          <w:snapToGrid w:val="0"/>
          <w:kern w:val="22"/>
          <w:szCs w:val="22"/>
          <w:lang w:val="ru-RU"/>
        </w:rPr>
        <w:t>увеличени</w:t>
      </w:r>
      <w:r w:rsidR="00132B01" w:rsidRPr="00DB5643">
        <w:rPr>
          <w:snapToGrid w:val="0"/>
          <w:kern w:val="22"/>
          <w:szCs w:val="22"/>
          <w:lang w:val="ru-RU"/>
        </w:rPr>
        <w:t>е</w:t>
      </w:r>
      <w:r w:rsidR="00C26A42" w:rsidRPr="00DB5643">
        <w:rPr>
          <w:snapToGrid w:val="0"/>
          <w:kern w:val="22"/>
          <w:szCs w:val="22"/>
          <w:lang w:val="ru-RU"/>
        </w:rPr>
        <w:t xml:space="preserve"> на</w:t>
      </w:r>
      <w:r w:rsidR="004569FB" w:rsidRPr="00DB5643">
        <w:rPr>
          <w:snapToGrid w:val="0"/>
          <w:kern w:val="22"/>
          <w:szCs w:val="22"/>
          <w:lang w:val="ru-RU"/>
        </w:rPr>
        <w:t xml:space="preserve"> 13</w:t>
      </w:r>
      <w:r w:rsidR="00C26A42" w:rsidRPr="00DB5643">
        <w:rPr>
          <w:snapToGrid w:val="0"/>
          <w:kern w:val="22"/>
          <w:szCs w:val="22"/>
          <w:lang w:val="ru-RU"/>
        </w:rPr>
        <w:t> </w:t>
      </w:r>
      <w:r w:rsidR="004569FB" w:rsidRPr="00DB5643">
        <w:rPr>
          <w:snapToGrid w:val="0"/>
          <w:kern w:val="22"/>
          <w:szCs w:val="22"/>
          <w:lang w:val="ru-RU"/>
        </w:rPr>
        <w:t>%,</w:t>
      </w:r>
      <w:r w:rsidR="00571A7A" w:rsidRPr="00DB5643">
        <w:rPr>
          <w:snapToGrid w:val="0"/>
          <w:kern w:val="22"/>
          <w:szCs w:val="22"/>
          <w:lang w:val="ru-RU"/>
        </w:rPr>
        <w:t xml:space="preserve"> в результате чего процентная величина для этого региона составила</w:t>
      </w:r>
      <w:r w:rsidR="004569FB" w:rsidRPr="00DB5643">
        <w:rPr>
          <w:snapToGrid w:val="0"/>
          <w:kern w:val="22"/>
          <w:szCs w:val="22"/>
          <w:lang w:val="ru-RU"/>
        </w:rPr>
        <w:t xml:space="preserve"> 13</w:t>
      </w:r>
      <w:r w:rsidR="00571A7A" w:rsidRPr="00DB5643">
        <w:rPr>
          <w:snapToGrid w:val="0"/>
          <w:kern w:val="22"/>
          <w:szCs w:val="22"/>
          <w:lang w:val="ru-RU"/>
        </w:rPr>
        <w:t> </w:t>
      </w:r>
      <w:r w:rsidR="004569FB" w:rsidRPr="00DB5643">
        <w:rPr>
          <w:snapToGrid w:val="0"/>
          <w:kern w:val="22"/>
          <w:szCs w:val="22"/>
          <w:lang w:val="ru-RU"/>
        </w:rPr>
        <w:t>%.</w:t>
      </w:r>
    </w:p>
    <w:p w14:paraId="6F481DBB" w14:textId="2B397FDA" w:rsidR="004569FB" w:rsidRPr="00DB5643" w:rsidRDefault="00E15DDF"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en-US"/>
        </w:rPr>
      </w:pPr>
      <w:r w:rsidRPr="00DB5643">
        <w:rPr>
          <w:snapToGrid w:val="0"/>
          <w:kern w:val="22"/>
          <w:szCs w:val="22"/>
          <w:lang w:val="ru-RU"/>
        </w:rPr>
        <w:t>В своих ответах в развернутой форме несколько Сторон отметили, что средства для создания потенциала зачастую ограничены и недостаточны для удовлетворения всех их потребностей в создании потенциала</w:t>
      </w:r>
      <w:r w:rsidR="004569FB" w:rsidRPr="00DB5643">
        <w:rPr>
          <w:snapToGrid w:val="0"/>
          <w:kern w:val="22"/>
          <w:szCs w:val="22"/>
          <w:lang w:val="ru-RU"/>
        </w:rPr>
        <w:t>.</w:t>
      </w:r>
      <w:r w:rsidRPr="00DB5643">
        <w:rPr>
          <w:snapToGrid w:val="0"/>
          <w:kern w:val="22"/>
          <w:szCs w:val="22"/>
          <w:lang w:val="ru-RU"/>
        </w:rPr>
        <w:t xml:space="preserve"> Многие Стороны отметили, что они воспользовались средствами, предоставленными Глобальным экологическим фондом </w:t>
      </w:r>
      <w:r w:rsidR="004569FB" w:rsidRPr="00DB5643">
        <w:rPr>
          <w:snapToGrid w:val="0"/>
          <w:kern w:val="22"/>
          <w:szCs w:val="22"/>
          <w:lang w:val="ru-RU"/>
        </w:rPr>
        <w:t>(</w:t>
      </w:r>
      <w:proofErr w:type="spellStart"/>
      <w:r w:rsidRPr="00DB5643">
        <w:rPr>
          <w:snapToGrid w:val="0"/>
          <w:kern w:val="22"/>
          <w:szCs w:val="22"/>
          <w:lang w:val="ru-RU"/>
        </w:rPr>
        <w:t>ГЭФ</w:t>
      </w:r>
      <w:proofErr w:type="spellEnd"/>
      <w:r w:rsidR="004569FB" w:rsidRPr="00DB5643">
        <w:rPr>
          <w:snapToGrid w:val="0"/>
          <w:kern w:val="22"/>
          <w:szCs w:val="22"/>
          <w:lang w:val="ru-RU"/>
        </w:rPr>
        <w:t xml:space="preserve">). </w:t>
      </w:r>
      <w:r w:rsidRPr="00DB5643">
        <w:rPr>
          <w:snapToGrid w:val="0"/>
          <w:kern w:val="22"/>
          <w:szCs w:val="22"/>
          <w:lang w:val="ru-RU"/>
        </w:rPr>
        <w:t>Некоторые из этих Сторон отметили, что получить доступ к этим средствам было трудно</w:t>
      </w:r>
      <w:r w:rsidR="009676AD" w:rsidRPr="00DB5643">
        <w:rPr>
          <w:snapToGrid w:val="0"/>
          <w:kern w:val="22"/>
          <w:szCs w:val="22"/>
          <w:lang w:val="ru-RU"/>
        </w:rPr>
        <w:t xml:space="preserve"> и что </w:t>
      </w:r>
      <w:r w:rsidR="00B84F96">
        <w:rPr>
          <w:snapToGrid w:val="0"/>
          <w:kern w:val="22"/>
          <w:szCs w:val="22"/>
          <w:lang w:val="ru-RU"/>
        </w:rPr>
        <w:t>процессы</w:t>
      </w:r>
      <w:r w:rsidR="009676AD" w:rsidRPr="00DB5643">
        <w:rPr>
          <w:snapToGrid w:val="0"/>
          <w:kern w:val="22"/>
          <w:szCs w:val="22"/>
          <w:lang w:val="ru-RU"/>
        </w:rPr>
        <w:t xml:space="preserve"> подготовки проектов были длительными и сложными</w:t>
      </w:r>
      <w:r w:rsidR="004569FB" w:rsidRPr="00DB5643">
        <w:rPr>
          <w:snapToGrid w:val="0"/>
          <w:kern w:val="22"/>
          <w:szCs w:val="22"/>
          <w:lang w:val="ru-RU"/>
        </w:rPr>
        <w:t xml:space="preserve">. </w:t>
      </w:r>
      <w:r w:rsidR="009676AD" w:rsidRPr="00DB5643">
        <w:rPr>
          <w:snapToGrid w:val="0"/>
          <w:kern w:val="22"/>
          <w:szCs w:val="22"/>
          <w:lang w:val="ru-RU"/>
        </w:rPr>
        <w:t xml:space="preserve">Некоторые другие Стороны отметили, что они не смогли получить доступ к средствам </w:t>
      </w:r>
      <w:proofErr w:type="spellStart"/>
      <w:r w:rsidR="009676AD" w:rsidRPr="00DB5643">
        <w:rPr>
          <w:snapToGrid w:val="0"/>
          <w:kern w:val="22"/>
          <w:szCs w:val="22"/>
          <w:lang w:val="ru-RU"/>
        </w:rPr>
        <w:t>ГЭФ</w:t>
      </w:r>
      <w:proofErr w:type="spellEnd"/>
      <w:r w:rsidR="009676AD" w:rsidRPr="00DB5643">
        <w:rPr>
          <w:snapToGrid w:val="0"/>
          <w:kern w:val="22"/>
          <w:szCs w:val="22"/>
          <w:lang w:val="ru-RU"/>
        </w:rPr>
        <w:t xml:space="preserve"> для деятельности, связанной с биобезопасностью</w:t>
      </w:r>
      <w:r w:rsidR="004569FB" w:rsidRPr="00DB5643">
        <w:rPr>
          <w:snapToGrid w:val="0"/>
          <w:kern w:val="22"/>
          <w:szCs w:val="22"/>
          <w:lang w:val="ru-RU"/>
        </w:rPr>
        <w:t xml:space="preserve">. </w:t>
      </w:r>
      <w:r w:rsidR="009676AD" w:rsidRPr="00DB5643">
        <w:rPr>
          <w:snapToGrid w:val="0"/>
          <w:kern w:val="22"/>
          <w:szCs w:val="22"/>
          <w:lang w:val="ru-RU"/>
        </w:rPr>
        <w:t xml:space="preserve">Несколько Сторон отметили, что они получают финансирование от </w:t>
      </w:r>
      <w:r w:rsidR="00B84F96">
        <w:rPr>
          <w:snapToGrid w:val="0"/>
          <w:kern w:val="22"/>
          <w:szCs w:val="22"/>
          <w:lang w:val="ru-RU"/>
        </w:rPr>
        <w:t>сво</w:t>
      </w:r>
      <w:r w:rsidR="009676AD" w:rsidRPr="00DB5643">
        <w:rPr>
          <w:snapToGrid w:val="0"/>
          <w:kern w:val="22"/>
          <w:szCs w:val="22"/>
          <w:lang w:val="ru-RU"/>
        </w:rPr>
        <w:t xml:space="preserve">их правительств или что их правительства обеспечивает </w:t>
      </w:r>
      <w:proofErr w:type="spellStart"/>
      <w:r w:rsidR="009676AD" w:rsidRPr="00DB5643">
        <w:rPr>
          <w:snapToGrid w:val="0"/>
          <w:kern w:val="22"/>
          <w:szCs w:val="22"/>
          <w:lang w:val="ru-RU"/>
        </w:rPr>
        <w:t>софинансирование</w:t>
      </w:r>
      <w:proofErr w:type="spellEnd"/>
      <w:r w:rsidR="009676AD" w:rsidRPr="00DB5643">
        <w:rPr>
          <w:snapToGrid w:val="0"/>
          <w:kern w:val="22"/>
          <w:szCs w:val="22"/>
          <w:lang w:val="ru-RU"/>
        </w:rPr>
        <w:t xml:space="preserve"> для проектов по созданию потенциала в области биобезопасности</w:t>
      </w:r>
      <w:r w:rsidR="004569FB" w:rsidRPr="00DB5643">
        <w:rPr>
          <w:snapToGrid w:val="0"/>
          <w:kern w:val="22"/>
          <w:szCs w:val="22"/>
          <w:lang w:val="ru-RU"/>
        </w:rPr>
        <w:t>.</w:t>
      </w:r>
      <w:r w:rsidR="009676AD" w:rsidRPr="00DB5643">
        <w:rPr>
          <w:snapToGrid w:val="0"/>
          <w:kern w:val="22"/>
          <w:szCs w:val="22"/>
          <w:lang w:val="ru-RU"/>
        </w:rPr>
        <w:t xml:space="preserve"> Несколько Сторон отметили, что двусторонние и многосторонние каналы также использовались в качестве средства обеспечения внешнего финансирования и техническо</w:t>
      </w:r>
      <w:r w:rsidR="00B84F96">
        <w:rPr>
          <w:snapToGrid w:val="0"/>
          <w:kern w:val="22"/>
          <w:szCs w:val="22"/>
          <w:lang w:val="ru-RU"/>
        </w:rPr>
        <w:t>й</w:t>
      </w:r>
      <w:r w:rsidR="009676AD" w:rsidRPr="00DB5643">
        <w:rPr>
          <w:snapToGrid w:val="0"/>
          <w:kern w:val="22"/>
          <w:szCs w:val="22"/>
          <w:lang w:val="ru-RU"/>
        </w:rPr>
        <w:t xml:space="preserve"> поддержки для укрепления потенциала по осуществлению Протокола</w:t>
      </w:r>
      <w:r w:rsidR="004569FB" w:rsidRPr="00DB5643">
        <w:rPr>
          <w:snapToGrid w:val="0"/>
          <w:kern w:val="22"/>
          <w:szCs w:val="22"/>
          <w:lang w:val="en-US"/>
        </w:rPr>
        <w:t xml:space="preserve">. </w:t>
      </w:r>
    </w:p>
    <w:p w14:paraId="3CA982C6" w14:textId="1AB555FB" w:rsidR="004569FB" w:rsidRPr="00DB5643" w:rsidRDefault="0056679D"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Что касается</w:t>
      </w:r>
      <w:r w:rsidR="004569FB" w:rsidRPr="00DB5643">
        <w:rPr>
          <w:snapToGrid w:val="0"/>
          <w:kern w:val="22"/>
          <w:szCs w:val="22"/>
          <w:lang w:val="ru-RU"/>
        </w:rPr>
        <w:t xml:space="preserve"> </w:t>
      </w:r>
      <w:r w:rsidR="009676AD" w:rsidRPr="00DB5643">
        <w:rPr>
          <w:b/>
          <w:snapToGrid w:val="0"/>
          <w:kern w:val="22"/>
          <w:szCs w:val="22"/>
          <w:lang w:val="ru-RU"/>
        </w:rPr>
        <w:t>индикатора</w:t>
      </w:r>
      <w:r w:rsidR="004569FB" w:rsidRPr="00DB5643">
        <w:rPr>
          <w:b/>
          <w:snapToGrid w:val="0"/>
          <w:kern w:val="22"/>
          <w:szCs w:val="22"/>
          <w:lang w:val="ru-RU"/>
        </w:rPr>
        <w:t xml:space="preserve"> 1.2.8 </w:t>
      </w:r>
      <w:r w:rsidR="004569FB" w:rsidRPr="00DB5643">
        <w:rPr>
          <w:snapToGrid w:val="0"/>
          <w:kern w:val="22"/>
          <w:szCs w:val="22"/>
          <w:lang w:val="ru-RU"/>
        </w:rPr>
        <w:t>(</w:t>
      </w:r>
      <w:r w:rsidR="00E5464F" w:rsidRPr="00DB5643">
        <w:rPr>
          <w:snapToGrid w:val="0"/>
          <w:kern w:val="22"/>
          <w:szCs w:val="22"/>
          <w:lang w:val="ru-RU"/>
        </w:rPr>
        <w:t xml:space="preserve">число заявленных договоренностей о сотрудничестве с участием Сторон импорта и экспорта </w:t>
      </w:r>
      <w:proofErr w:type="spellStart"/>
      <w:r w:rsidR="00E5464F" w:rsidRPr="00DB5643">
        <w:rPr>
          <w:snapToGrid w:val="0"/>
          <w:kern w:val="22"/>
          <w:szCs w:val="22"/>
          <w:lang w:val="ru-RU"/>
        </w:rPr>
        <w:t>ЖИО</w:t>
      </w:r>
      <w:proofErr w:type="spellEnd"/>
      <w:r w:rsidR="00474464" w:rsidRPr="00DB5643">
        <w:rPr>
          <w:snapToGrid w:val="0"/>
          <w:kern w:val="22"/>
          <w:szCs w:val="22"/>
          <w:lang w:val="ru-RU"/>
        </w:rPr>
        <w:t>)</w:t>
      </w:r>
      <w:r w:rsidRPr="00DB5643">
        <w:rPr>
          <w:snapToGrid w:val="0"/>
          <w:kern w:val="22"/>
          <w:szCs w:val="22"/>
          <w:lang w:val="ru-RU"/>
        </w:rPr>
        <w:t>,</w:t>
      </w:r>
      <w:r w:rsidR="004569FB" w:rsidRPr="00DB5643">
        <w:rPr>
          <w:snapToGrid w:val="0"/>
          <w:kern w:val="22"/>
          <w:szCs w:val="22"/>
          <w:lang w:val="ru-RU"/>
        </w:rPr>
        <w:t xml:space="preserve"> </w:t>
      </w:r>
      <w:r w:rsidR="00E5464F" w:rsidRPr="00DB5643">
        <w:rPr>
          <w:snapToGrid w:val="0"/>
          <w:kern w:val="22"/>
          <w:szCs w:val="22"/>
          <w:lang w:val="ru-RU"/>
        </w:rPr>
        <w:t xml:space="preserve">четвертый национальный доклад и </w:t>
      </w:r>
      <w:proofErr w:type="spellStart"/>
      <w:r w:rsidR="00E5464F" w:rsidRPr="00DB5643">
        <w:rPr>
          <w:snapToGrid w:val="0"/>
          <w:kern w:val="22"/>
          <w:szCs w:val="22"/>
          <w:lang w:val="ru-RU"/>
        </w:rPr>
        <w:t>МПБ</w:t>
      </w:r>
      <w:proofErr w:type="spellEnd"/>
      <w:r w:rsidR="00E5464F" w:rsidRPr="00DB5643">
        <w:rPr>
          <w:snapToGrid w:val="0"/>
          <w:kern w:val="22"/>
          <w:szCs w:val="22"/>
          <w:lang w:val="ru-RU"/>
        </w:rPr>
        <w:t xml:space="preserve"> не </w:t>
      </w:r>
      <w:r w:rsidRPr="00DB5643">
        <w:rPr>
          <w:snapToGrid w:val="0"/>
          <w:kern w:val="22"/>
          <w:szCs w:val="22"/>
          <w:lang w:val="ru-RU"/>
        </w:rPr>
        <w:t>содержат</w:t>
      </w:r>
      <w:r w:rsidR="00E5464F" w:rsidRPr="00DB5643">
        <w:rPr>
          <w:snapToGrid w:val="0"/>
          <w:kern w:val="22"/>
          <w:szCs w:val="22"/>
          <w:lang w:val="ru-RU"/>
        </w:rPr>
        <w:t xml:space="preserve"> информаци</w:t>
      </w:r>
      <w:r w:rsidR="004440A5" w:rsidRPr="00DB5643">
        <w:rPr>
          <w:snapToGrid w:val="0"/>
          <w:kern w:val="22"/>
          <w:szCs w:val="22"/>
          <w:lang w:val="ru-RU"/>
        </w:rPr>
        <w:t>и</w:t>
      </w:r>
      <w:r w:rsidR="00E5464F" w:rsidRPr="00DB5643">
        <w:rPr>
          <w:snapToGrid w:val="0"/>
          <w:kern w:val="22"/>
          <w:szCs w:val="22"/>
          <w:lang w:val="ru-RU"/>
        </w:rPr>
        <w:t xml:space="preserve"> относительно договоренностей о сотрудничестве</w:t>
      </w:r>
      <w:r w:rsidR="004440A5" w:rsidRPr="00DB5643">
        <w:rPr>
          <w:snapToGrid w:val="0"/>
          <w:kern w:val="22"/>
          <w:szCs w:val="22"/>
          <w:lang w:val="ru-RU"/>
        </w:rPr>
        <w:t xml:space="preserve"> конкретно</w:t>
      </w:r>
      <w:r w:rsidRPr="00DB5643">
        <w:rPr>
          <w:snapToGrid w:val="0"/>
          <w:kern w:val="22"/>
          <w:szCs w:val="22"/>
          <w:lang w:val="ru-RU"/>
        </w:rPr>
        <w:t xml:space="preserve"> с</w:t>
      </w:r>
      <w:r w:rsidR="00E5464F" w:rsidRPr="00DB5643">
        <w:rPr>
          <w:snapToGrid w:val="0"/>
          <w:kern w:val="22"/>
          <w:szCs w:val="22"/>
          <w:lang w:val="ru-RU"/>
        </w:rPr>
        <w:t xml:space="preserve"> </w:t>
      </w:r>
      <w:r w:rsidRPr="00DB5643">
        <w:rPr>
          <w:snapToGrid w:val="0"/>
          <w:kern w:val="22"/>
          <w:szCs w:val="22"/>
          <w:lang w:val="ru-RU"/>
        </w:rPr>
        <w:t xml:space="preserve">участием Сторон импорта и экспорта </w:t>
      </w:r>
      <w:proofErr w:type="spellStart"/>
      <w:r w:rsidRPr="00DB5643">
        <w:rPr>
          <w:snapToGrid w:val="0"/>
          <w:kern w:val="22"/>
          <w:szCs w:val="22"/>
          <w:lang w:val="ru-RU"/>
        </w:rPr>
        <w:t>ЖИО</w:t>
      </w:r>
      <w:proofErr w:type="spellEnd"/>
      <w:r w:rsidR="004569FB" w:rsidRPr="00DB5643">
        <w:rPr>
          <w:snapToGrid w:val="0"/>
          <w:kern w:val="22"/>
          <w:szCs w:val="22"/>
          <w:lang w:val="ru-RU"/>
        </w:rPr>
        <w:t xml:space="preserve">. </w:t>
      </w:r>
      <w:r w:rsidRPr="00DB5643">
        <w:rPr>
          <w:snapToGrid w:val="0"/>
          <w:kern w:val="22"/>
          <w:szCs w:val="22"/>
          <w:lang w:val="ru-RU"/>
        </w:rPr>
        <w:t>Однако</w:t>
      </w:r>
      <w:r w:rsidR="004440A5" w:rsidRPr="00DB5643">
        <w:rPr>
          <w:snapToGrid w:val="0"/>
          <w:kern w:val="22"/>
          <w:szCs w:val="22"/>
          <w:lang w:val="ru-RU"/>
        </w:rPr>
        <w:t xml:space="preserve"> предоставл</w:t>
      </w:r>
      <w:r w:rsidR="00967553">
        <w:rPr>
          <w:snapToGrid w:val="0"/>
          <w:kern w:val="22"/>
          <w:szCs w:val="22"/>
          <w:lang w:val="ru-RU"/>
        </w:rPr>
        <w:t>ена</w:t>
      </w:r>
      <w:r w:rsidR="004440A5" w:rsidRPr="00DB5643">
        <w:rPr>
          <w:snapToGrid w:val="0"/>
          <w:kern w:val="22"/>
          <w:szCs w:val="22"/>
          <w:lang w:val="ru-RU"/>
        </w:rPr>
        <w:t xml:space="preserve"> информация о двусторонних, региональных и многосторонних соглашениях или договоренностях в отношении биобезопасности</w:t>
      </w:r>
      <w:r w:rsidR="004569FB" w:rsidRPr="00DB5643">
        <w:rPr>
          <w:snapToGrid w:val="0"/>
          <w:kern w:val="22"/>
          <w:szCs w:val="22"/>
          <w:lang w:val="ru-RU"/>
        </w:rPr>
        <w:t xml:space="preserve">. </w:t>
      </w:r>
      <w:r w:rsidR="004440A5" w:rsidRPr="00DB5643">
        <w:rPr>
          <w:snapToGrid w:val="0"/>
          <w:kern w:val="22"/>
          <w:szCs w:val="22"/>
          <w:lang w:val="ru-RU"/>
        </w:rPr>
        <w:t>В общей сложности</w:t>
      </w:r>
      <w:r w:rsidR="004569FB" w:rsidRPr="00DB5643">
        <w:rPr>
          <w:snapToGrid w:val="0"/>
          <w:kern w:val="22"/>
          <w:szCs w:val="22"/>
          <w:lang w:val="ru-RU"/>
        </w:rPr>
        <w:t xml:space="preserve"> 27</w:t>
      </w:r>
      <w:r w:rsidR="004440A5" w:rsidRPr="00DB5643">
        <w:rPr>
          <w:snapToGrid w:val="0"/>
          <w:kern w:val="22"/>
          <w:szCs w:val="22"/>
          <w:lang w:val="en-US"/>
        </w:rPr>
        <w:t> </w:t>
      </w:r>
      <w:r w:rsidR="004569FB" w:rsidRPr="00DB5643">
        <w:rPr>
          <w:snapToGrid w:val="0"/>
          <w:kern w:val="22"/>
          <w:szCs w:val="22"/>
          <w:lang w:val="ru-RU"/>
        </w:rPr>
        <w:t xml:space="preserve">% </w:t>
      </w:r>
      <w:r w:rsidR="004440A5" w:rsidRPr="00DB5643">
        <w:rPr>
          <w:snapToGrid w:val="0"/>
          <w:kern w:val="22"/>
          <w:szCs w:val="22"/>
          <w:lang w:val="ru-RU"/>
        </w:rPr>
        <w:t>Сторон</w:t>
      </w:r>
      <w:r w:rsidR="004569FB" w:rsidRPr="00DB5643">
        <w:rPr>
          <w:snapToGrid w:val="0"/>
          <w:kern w:val="22"/>
          <w:szCs w:val="22"/>
          <w:lang w:val="ru-RU"/>
        </w:rPr>
        <w:t xml:space="preserve"> (20 </w:t>
      </w:r>
      <w:r w:rsidR="004440A5" w:rsidRPr="00DB5643">
        <w:rPr>
          <w:snapToGrid w:val="0"/>
          <w:kern w:val="22"/>
          <w:szCs w:val="22"/>
          <w:lang w:val="ru-RU"/>
        </w:rPr>
        <w:t>Сторон</w:t>
      </w:r>
      <w:r w:rsidR="004569FB" w:rsidRPr="00DB5643">
        <w:rPr>
          <w:snapToGrid w:val="0"/>
          <w:kern w:val="22"/>
          <w:szCs w:val="22"/>
          <w:lang w:val="ru-RU"/>
        </w:rPr>
        <w:t xml:space="preserve">) </w:t>
      </w:r>
      <w:r w:rsidR="004440A5" w:rsidRPr="00DB5643">
        <w:rPr>
          <w:snapToGrid w:val="0"/>
          <w:kern w:val="22"/>
          <w:szCs w:val="22"/>
          <w:lang w:val="ru-RU"/>
        </w:rPr>
        <w:t xml:space="preserve">сообщили о вступлении в одно или несколько таких соглашений или договоренностей, что соответствует увеличению на </w:t>
      </w:r>
      <w:r w:rsidR="004569FB" w:rsidRPr="00DB5643">
        <w:rPr>
          <w:snapToGrid w:val="0"/>
          <w:kern w:val="22"/>
          <w:szCs w:val="22"/>
          <w:lang w:val="ru-RU"/>
        </w:rPr>
        <w:t>6</w:t>
      </w:r>
      <w:r w:rsidR="004440A5" w:rsidRPr="00DB5643">
        <w:rPr>
          <w:snapToGrid w:val="0"/>
          <w:kern w:val="22"/>
          <w:szCs w:val="22"/>
          <w:lang w:val="ru-RU"/>
        </w:rPr>
        <w:t> </w:t>
      </w:r>
      <w:r w:rsidR="004569FB" w:rsidRPr="00DB5643">
        <w:rPr>
          <w:snapToGrid w:val="0"/>
          <w:kern w:val="22"/>
          <w:szCs w:val="22"/>
          <w:lang w:val="ru-RU"/>
        </w:rPr>
        <w:t xml:space="preserve">% </w:t>
      </w:r>
      <w:r w:rsidR="004440A5" w:rsidRPr="00DB5643">
        <w:rPr>
          <w:snapToGrid w:val="0"/>
          <w:kern w:val="22"/>
          <w:szCs w:val="22"/>
          <w:lang w:val="ru-RU"/>
        </w:rPr>
        <w:t>по отношению к исходному уровню</w:t>
      </w:r>
      <w:r w:rsidR="004569FB" w:rsidRPr="00DB5643">
        <w:rPr>
          <w:snapToGrid w:val="0"/>
          <w:kern w:val="22"/>
          <w:szCs w:val="22"/>
          <w:lang w:val="ru-RU"/>
        </w:rPr>
        <w:t xml:space="preserve">. </w:t>
      </w:r>
      <w:r w:rsidR="004440A5" w:rsidRPr="00DB5643">
        <w:rPr>
          <w:snapToGrid w:val="0"/>
          <w:kern w:val="22"/>
          <w:szCs w:val="22"/>
          <w:lang w:val="ru-RU"/>
        </w:rPr>
        <w:t>Сообщены следующие региональные изменения по сравнению с исходным уровнем</w:t>
      </w:r>
      <w:r w:rsidR="004569FB" w:rsidRPr="00DB5643">
        <w:rPr>
          <w:snapToGrid w:val="0"/>
          <w:kern w:val="22"/>
          <w:szCs w:val="22"/>
          <w:lang w:val="ru-RU"/>
        </w:rPr>
        <w:t xml:space="preserve">: </w:t>
      </w:r>
      <w:r w:rsidR="004440A5" w:rsidRPr="00DB5643">
        <w:rPr>
          <w:snapToGrid w:val="0"/>
          <w:kern w:val="22"/>
          <w:szCs w:val="22"/>
          <w:lang w:val="ru-RU"/>
        </w:rPr>
        <w:t xml:space="preserve">Азиатско-Тихоокеанский регион: </w:t>
      </w:r>
      <w:r w:rsidR="004569FB" w:rsidRPr="00DB5643">
        <w:rPr>
          <w:snapToGrid w:val="0"/>
          <w:kern w:val="22"/>
          <w:szCs w:val="22"/>
          <w:lang w:val="ru-RU"/>
        </w:rPr>
        <w:t>+33</w:t>
      </w:r>
      <w:r w:rsidR="004440A5" w:rsidRPr="00DB5643">
        <w:rPr>
          <w:snapToGrid w:val="0"/>
          <w:kern w:val="22"/>
          <w:szCs w:val="22"/>
          <w:lang w:val="ru-RU"/>
        </w:rPr>
        <w:t> </w:t>
      </w:r>
      <w:r w:rsidR="004569FB" w:rsidRPr="00DB5643">
        <w:rPr>
          <w:snapToGrid w:val="0"/>
          <w:kern w:val="22"/>
          <w:szCs w:val="22"/>
          <w:lang w:val="ru-RU"/>
        </w:rPr>
        <w:t xml:space="preserve">%; </w:t>
      </w:r>
      <w:proofErr w:type="spellStart"/>
      <w:r w:rsidR="004440A5" w:rsidRPr="00DB5643">
        <w:rPr>
          <w:snapToGrid w:val="0"/>
          <w:kern w:val="22"/>
          <w:szCs w:val="22"/>
          <w:lang w:val="ru-RU"/>
        </w:rPr>
        <w:t>ГРУЛАК</w:t>
      </w:r>
      <w:proofErr w:type="spellEnd"/>
      <w:r w:rsidR="004440A5" w:rsidRPr="00DB5643">
        <w:rPr>
          <w:snapToGrid w:val="0"/>
          <w:kern w:val="22"/>
          <w:szCs w:val="22"/>
          <w:lang w:val="ru-RU"/>
        </w:rPr>
        <w:t>:</w:t>
      </w:r>
      <w:r w:rsidR="004569FB" w:rsidRPr="00DB5643">
        <w:rPr>
          <w:snapToGrid w:val="0"/>
          <w:kern w:val="22"/>
          <w:szCs w:val="22"/>
          <w:lang w:val="ru-RU"/>
        </w:rPr>
        <w:t xml:space="preserve"> +16</w:t>
      </w:r>
      <w:r w:rsidR="004440A5" w:rsidRPr="00DB5643">
        <w:rPr>
          <w:snapToGrid w:val="0"/>
          <w:kern w:val="22"/>
          <w:szCs w:val="22"/>
          <w:lang w:val="ru-RU"/>
        </w:rPr>
        <w:t> </w:t>
      </w:r>
      <w:r w:rsidR="004569FB" w:rsidRPr="00DB5643">
        <w:rPr>
          <w:snapToGrid w:val="0"/>
          <w:kern w:val="22"/>
          <w:szCs w:val="22"/>
          <w:lang w:val="ru-RU"/>
        </w:rPr>
        <w:t xml:space="preserve">%; </w:t>
      </w:r>
      <w:r w:rsidR="004440A5" w:rsidRPr="00DB5643">
        <w:rPr>
          <w:snapToGrid w:val="0"/>
          <w:kern w:val="22"/>
          <w:szCs w:val="22"/>
          <w:lang w:val="ru-RU"/>
        </w:rPr>
        <w:t>Африка:</w:t>
      </w:r>
      <w:r w:rsidR="004569FB" w:rsidRPr="00DB5643">
        <w:rPr>
          <w:snapToGrid w:val="0"/>
          <w:kern w:val="22"/>
          <w:szCs w:val="22"/>
          <w:lang w:val="ru-RU"/>
        </w:rPr>
        <w:t xml:space="preserve"> +13</w:t>
      </w:r>
      <w:r w:rsidR="004440A5"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440A5" w:rsidRPr="00DB5643">
        <w:rPr>
          <w:snapToGrid w:val="0"/>
          <w:kern w:val="22"/>
          <w:szCs w:val="22"/>
          <w:lang w:val="ru-RU"/>
        </w:rPr>
        <w:t>:</w:t>
      </w:r>
      <w:r w:rsidR="004569FB" w:rsidRPr="00DB5643">
        <w:rPr>
          <w:snapToGrid w:val="0"/>
          <w:kern w:val="22"/>
          <w:szCs w:val="22"/>
          <w:lang w:val="ru-RU"/>
        </w:rPr>
        <w:t xml:space="preserve"> -2</w:t>
      </w:r>
      <w:r w:rsidR="004440A5"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440A5" w:rsidRPr="00DB5643">
        <w:rPr>
          <w:snapToGrid w:val="0"/>
          <w:kern w:val="22"/>
          <w:szCs w:val="22"/>
          <w:lang w:val="ru-RU"/>
        </w:rPr>
        <w:t>:</w:t>
      </w:r>
      <w:r w:rsidR="004569FB" w:rsidRPr="00DB5643">
        <w:rPr>
          <w:snapToGrid w:val="0"/>
          <w:kern w:val="22"/>
          <w:szCs w:val="22"/>
          <w:lang w:val="ru-RU"/>
        </w:rPr>
        <w:t xml:space="preserve"> -21</w:t>
      </w:r>
      <w:r w:rsidR="004440A5" w:rsidRPr="00DB5643">
        <w:rPr>
          <w:snapToGrid w:val="0"/>
          <w:kern w:val="22"/>
          <w:szCs w:val="22"/>
          <w:lang w:val="ru-RU"/>
        </w:rPr>
        <w:t> </w:t>
      </w:r>
      <w:r w:rsidR="004569FB" w:rsidRPr="00DB5643">
        <w:rPr>
          <w:snapToGrid w:val="0"/>
          <w:kern w:val="22"/>
          <w:szCs w:val="22"/>
          <w:lang w:val="ru-RU"/>
        </w:rPr>
        <w:t xml:space="preserve">%. </w:t>
      </w:r>
      <w:r w:rsidR="004440A5" w:rsidRPr="00DB5643">
        <w:rPr>
          <w:snapToGrid w:val="0"/>
          <w:kern w:val="22"/>
          <w:szCs w:val="22"/>
          <w:lang w:val="ru-RU"/>
        </w:rPr>
        <w:t>Из этих Сторон</w:t>
      </w:r>
      <w:r w:rsidR="004569FB" w:rsidRPr="00DB5643">
        <w:rPr>
          <w:snapToGrid w:val="0"/>
          <w:kern w:val="22"/>
          <w:szCs w:val="22"/>
          <w:lang w:val="ru-RU"/>
        </w:rPr>
        <w:t xml:space="preserve"> 18 </w:t>
      </w:r>
      <w:r w:rsidR="004440A5" w:rsidRPr="00DB5643">
        <w:rPr>
          <w:snapToGrid w:val="0"/>
          <w:kern w:val="22"/>
          <w:szCs w:val="22"/>
          <w:lang w:val="ru-RU"/>
        </w:rPr>
        <w:t xml:space="preserve">сообщили о вступлении в </w:t>
      </w:r>
      <w:r w:rsidR="004569FB" w:rsidRPr="00DB5643">
        <w:rPr>
          <w:snapToGrid w:val="0"/>
          <w:kern w:val="22"/>
          <w:szCs w:val="22"/>
          <w:lang w:val="ru-RU"/>
        </w:rPr>
        <w:t>1</w:t>
      </w:r>
      <w:r w:rsidR="004440A5" w:rsidRPr="00DB5643">
        <w:rPr>
          <w:snapToGrid w:val="0"/>
          <w:kern w:val="22"/>
          <w:szCs w:val="22"/>
          <w:lang w:val="ru-RU"/>
        </w:rPr>
        <w:t>–</w:t>
      </w:r>
      <w:r w:rsidR="004569FB" w:rsidRPr="00DB5643">
        <w:rPr>
          <w:snapToGrid w:val="0"/>
          <w:kern w:val="22"/>
          <w:szCs w:val="22"/>
          <w:lang w:val="ru-RU"/>
        </w:rPr>
        <w:t>4</w:t>
      </w:r>
      <w:r w:rsidR="004440A5" w:rsidRPr="00DB5643">
        <w:rPr>
          <w:snapToGrid w:val="0"/>
          <w:kern w:val="22"/>
          <w:szCs w:val="22"/>
          <w:lang w:val="ru-RU"/>
        </w:rPr>
        <w:t xml:space="preserve"> соглашения или договоренности</w:t>
      </w:r>
      <w:r w:rsidR="004569FB" w:rsidRPr="00DB5643">
        <w:rPr>
          <w:snapToGrid w:val="0"/>
          <w:kern w:val="22"/>
          <w:szCs w:val="22"/>
          <w:lang w:val="ru-RU"/>
        </w:rPr>
        <w:t xml:space="preserve">; </w:t>
      </w:r>
      <w:r w:rsidR="004440A5" w:rsidRPr="00DB5643">
        <w:rPr>
          <w:snapToGrid w:val="0"/>
          <w:kern w:val="22"/>
          <w:szCs w:val="22"/>
          <w:lang w:val="ru-RU"/>
        </w:rPr>
        <w:br/>
      </w:r>
      <w:r w:rsidR="004569FB" w:rsidRPr="00DB5643">
        <w:rPr>
          <w:snapToGrid w:val="0"/>
          <w:kern w:val="22"/>
          <w:szCs w:val="22"/>
          <w:lang w:val="ru-RU"/>
        </w:rPr>
        <w:t xml:space="preserve">1 </w:t>
      </w:r>
      <w:r w:rsidR="004440A5" w:rsidRPr="00DB5643">
        <w:rPr>
          <w:snapToGrid w:val="0"/>
          <w:kern w:val="22"/>
          <w:szCs w:val="22"/>
          <w:lang w:val="ru-RU"/>
        </w:rPr>
        <w:t>Сторона</w:t>
      </w:r>
      <w:r w:rsidR="004569FB" w:rsidRPr="00DB5643">
        <w:rPr>
          <w:snapToGrid w:val="0"/>
          <w:kern w:val="22"/>
          <w:szCs w:val="22"/>
          <w:lang w:val="ru-RU"/>
        </w:rPr>
        <w:t xml:space="preserve"> </w:t>
      </w:r>
      <w:r w:rsidR="004440A5" w:rsidRPr="00DB5643">
        <w:rPr>
          <w:snapToGrid w:val="0"/>
          <w:kern w:val="22"/>
          <w:szCs w:val="22"/>
          <w:lang w:val="ru-RU"/>
        </w:rPr>
        <w:t xml:space="preserve">сообщила о вступлении в </w:t>
      </w:r>
      <w:r w:rsidR="004569FB" w:rsidRPr="00DB5643">
        <w:rPr>
          <w:snapToGrid w:val="0"/>
          <w:kern w:val="22"/>
          <w:szCs w:val="22"/>
          <w:lang w:val="ru-RU"/>
        </w:rPr>
        <w:t>5</w:t>
      </w:r>
      <w:r w:rsidR="00AA3A8C" w:rsidRPr="00DB5643">
        <w:rPr>
          <w:snapToGrid w:val="0"/>
          <w:kern w:val="22"/>
          <w:szCs w:val="22"/>
          <w:lang w:val="ru-RU"/>
        </w:rPr>
        <w:t>–</w:t>
      </w:r>
      <w:r w:rsidR="004569FB" w:rsidRPr="00DB5643">
        <w:rPr>
          <w:snapToGrid w:val="0"/>
          <w:kern w:val="22"/>
          <w:szCs w:val="22"/>
          <w:lang w:val="ru-RU"/>
        </w:rPr>
        <w:t>9</w:t>
      </w:r>
      <w:r w:rsidR="00AA3A8C" w:rsidRPr="00DB5643">
        <w:rPr>
          <w:snapToGrid w:val="0"/>
          <w:kern w:val="22"/>
          <w:szCs w:val="22"/>
          <w:lang w:val="ru-RU"/>
        </w:rPr>
        <w:t xml:space="preserve"> соглашений или договоренностей и </w:t>
      </w:r>
      <w:r w:rsidR="004569FB" w:rsidRPr="00DB5643">
        <w:rPr>
          <w:snapToGrid w:val="0"/>
          <w:kern w:val="22"/>
          <w:szCs w:val="22"/>
          <w:lang w:val="ru-RU"/>
        </w:rPr>
        <w:t xml:space="preserve">1 </w:t>
      </w:r>
      <w:r w:rsidR="00AA3A8C" w:rsidRPr="00DB5643">
        <w:rPr>
          <w:snapToGrid w:val="0"/>
          <w:kern w:val="22"/>
          <w:szCs w:val="22"/>
          <w:lang w:val="ru-RU"/>
        </w:rPr>
        <w:t>Сторона сообщила о вступлении в 10 или более соглашений или договоренностей</w:t>
      </w:r>
      <w:r w:rsidR="004569FB" w:rsidRPr="00DB5643">
        <w:rPr>
          <w:snapToGrid w:val="0"/>
          <w:kern w:val="22"/>
          <w:szCs w:val="22"/>
          <w:lang w:val="ru-RU"/>
        </w:rPr>
        <w:t>.</w:t>
      </w:r>
    </w:p>
    <w:p w14:paraId="515560FD" w14:textId="10C4D259" w:rsidR="004569FB" w:rsidRPr="00DB5643" w:rsidRDefault="00AA3A8C" w:rsidP="00A67453">
      <w:pPr>
        <w:numPr>
          <w:ilvl w:val="0"/>
          <w:numId w:val="17"/>
        </w:numPr>
        <w:suppressLineNumbers/>
        <w:tabs>
          <w:tab w:val="clear" w:pos="2070"/>
          <w:tab w:val="left" w:pos="426"/>
        </w:tabs>
        <w:suppressAutoHyphens/>
        <w:spacing w:before="120" w:after="120"/>
        <w:ind w:left="0" w:firstLine="0"/>
        <w:jc w:val="center"/>
        <w:outlineLvl w:val="1"/>
        <w:rPr>
          <w:b/>
          <w:iCs/>
          <w:snapToGrid w:val="0"/>
          <w:kern w:val="22"/>
          <w:szCs w:val="22"/>
          <w:lang w:val="ru-RU"/>
        </w:rPr>
      </w:pPr>
      <w:bookmarkStart w:id="5" w:name="_Hlk30686166"/>
      <w:r w:rsidRPr="00DB5643">
        <w:rPr>
          <w:b/>
          <w:iCs/>
          <w:snapToGrid w:val="0"/>
          <w:kern w:val="22"/>
          <w:szCs w:val="22"/>
          <w:lang w:val="ru-RU"/>
        </w:rPr>
        <w:t>Оценка рисков и регулирование рисков</w:t>
      </w:r>
      <w:r w:rsidR="004569FB" w:rsidRPr="00DB5643">
        <w:rPr>
          <w:b/>
          <w:iCs/>
          <w:snapToGrid w:val="0"/>
          <w:kern w:val="22"/>
          <w:szCs w:val="22"/>
          <w:lang w:val="ru-RU"/>
        </w:rPr>
        <w:t xml:space="preserve"> (</w:t>
      </w:r>
      <w:r w:rsidRPr="00DB5643">
        <w:rPr>
          <w:b/>
          <w:iCs/>
          <w:snapToGrid w:val="0"/>
          <w:kern w:val="22"/>
          <w:szCs w:val="22"/>
          <w:lang w:val="ru-RU"/>
        </w:rPr>
        <w:t xml:space="preserve">оперативные цели </w:t>
      </w:r>
      <w:r w:rsidR="004569FB" w:rsidRPr="00DB5643">
        <w:rPr>
          <w:b/>
          <w:iCs/>
          <w:snapToGrid w:val="0"/>
          <w:kern w:val="22"/>
          <w:szCs w:val="22"/>
          <w:lang w:val="ru-RU"/>
        </w:rPr>
        <w:t xml:space="preserve">1.3 </w:t>
      </w:r>
      <w:r w:rsidRPr="00DB5643">
        <w:rPr>
          <w:b/>
          <w:iCs/>
          <w:snapToGrid w:val="0"/>
          <w:kern w:val="22"/>
          <w:szCs w:val="22"/>
          <w:lang w:val="ru-RU"/>
        </w:rPr>
        <w:t>и</w:t>
      </w:r>
      <w:r w:rsidR="004569FB" w:rsidRPr="00DB5643">
        <w:rPr>
          <w:b/>
          <w:iCs/>
          <w:snapToGrid w:val="0"/>
          <w:kern w:val="22"/>
          <w:szCs w:val="22"/>
          <w:lang w:val="ru-RU"/>
        </w:rPr>
        <w:t xml:space="preserve"> 2.2)</w:t>
      </w:r>
    </w:p>
    <w:p w14:paraId="5376AE9D" w14:textId="2B87C11F" w:rsidR="004569FB" w:rsidRPr="00DB5643" w:rsidRDefault="00AA3A8C" w:rsidP="004569FB">
      <w:pPr>
        <w:suppressLineNumbers/>
        <w:suppressAutoHyphens/>
        <w:spacing w:before="120" w:after="120"/>
        <w:textAlignment w:val="baseline"/>
        <w:rPr>
          <w:b/>
          <w:snapToGrid w:val="0"/>
          <w:kern w:val="22"/>
          <w:szCs w:val="22"/>
          <w:lang w:val="ru-RU"/>
        </w:rPr>
      </w:pPr>
      <w:r w:rsidRPr="00DB5643">
        <w:rPr>
          <w:b/>
          <w:snapToGrid w:val="0"/>
          <w:kern w:val="22"/>
          <w:szCs w:val="22"/>
          <w:lang w:val="ru-RU"/>
        </w:rPr>
        <w:t xml:space="preserve">Оперативная цель </w:t>
      </w:r>
      <w:r w:rsidR="004569FB" w:rsidRPr="00DB5643">
        <w:rPr>
          <w:b/>
          <w:snapToGrid w:val="0"/>
          <w:kern w:val="22"/>
          <w:szCs w:val="22"/>
          <w:lang w:val="ru-RU"/>
        </w:rPr>
        <w:t>1.3</w:t>
      </w:r>
      <w:r w:rsidRPr="00DB5643">
        <w:rPr>
          <w:b/>
          <w:snapToGrid w:val="0"/>
          <w:kern w:val="22"/>
          <w:szCs w:val="22"/>
          <w:lang w:val="ru-RU"/>
        </w:rPr>
        <w:t>.</w:t>
      </w:r>
      <w:r w:rsidR="004569FB" w:rsidRPr="00DB5643">
        <w:rPr>
          <w:b/>
          <w:snapToGrid w:val="0"/>
          <w:kern w:val="22"/>
          <w:szCs w:val="22"/>
          <w:lang w:val="ru-RU"/>
        </w:rPr>
        <w:t xml:space="preserve"> </w:t>
      </w:r>
      <w:r w:rsidRPr="00DB5643">
        <w:rPr>
          <w:b/>
          <w:snapToGrid w:val="0"/>
          <w:kern w:val="22"/>
          <w:szCs w:val="22"/>
          <w:lang w:val="ru-RU"/>
        </w:rPr>
        <w:t>Оценка рисков и регулирование рисков</w:t>
      </w:r>
    </w:p>
    <w:bookmarkEnd w:id="5"/>
    <w:p w14:paraId="0B159BAC" w14:textId="3540DAFD" w:rsidR="004569FB" w:rsidRPr="00DB5643" w:rsidRDefault="00D1351F"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Оперативная цель</w:t>
      </w:r>
      <w:r w:rsidR="004569FB" w:rsidRPr="00DB5643">
        <w:rPr>
          <w:snapToGrid w:val="0"/>
          <w:kern w:val="22"/>
          <w:szCs w:val="22"/>
          <w:lang w:val="ru-RU"/>
        </w:rPr>
        <w:t xml:space="preserve"> 1.3 </w:t>
      </w:r>
      <w:r w:rsidRPr="00DB5643">
        <w:rPr>
          <w:snapToGrid w:val="0"/>
          <w:kern w:val="22"/>
          <w:szCs w:val="22"/>
          <w:lang w:val="ru-RU"/>
        </w:rPr>
        <w:t>предусматривает дальнейшую разработку и содействие внедрению научных инструментов для выработки общих подходов к оценке рисков и регулированию рисков</w:t>
      </w:r>
      <w:r w:rsidR="004569FB" w:rsidRPr="00DB5643">
        <w:rPr>
          <w:snapToGrid w:val="0"/>
          <w:kern w:val="22"/>
          <w:szCs w:val="22"/>
          <w:lang w:val="ru-RU"/>
        </w:rPr>
        <w:t xml:space="preserve">. </w:t>
      </w:r>
      <w:r w:rsidRPr="00DB5643">
        <w:rPr>
          <w:snapToGrid w:val="0"/>
          <w:kern w:val="22"/>
          <w:szCs w:val="22"/>
          <w:lang w:val="ru-RU"/>
        </w:rPr>
        <w:t>Было определено четыре индикатора для оценки результатов выполнения данной оперативной цели</w:t>
      </w:r>
      <w:r w:rsidR="004569FB" w:rsidRPr="00DB5643">
        <w:rPr>
          <w:snapToGrid w:val="0"/>
          <w:kern w:val="22"/>
          <w:szCs w:val="22"/>
          <w:lang w:val="ru-RU"/>
        </w:rPr>
        <w:t xml:space="preserve">. </w:t>
      </w:r>
    </w:p>
    <w:p w14:paraId="38BD26E2" w14:textId="524BBBB1" w:rsidR="008B6256" w:rsidRPr="00DB5643" w:rsidRDefault="00D1351F"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Что касается</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1.3.1(</w:t>
      </w:r>
      <w:r w:rsidR="004569FB" w:rsidRPr="00DB5643">
        <w:rPr>
          <w:b/>
          <w:snapToGrid w:val="0"/>
          <w:kern w:val="22"/>
          <w:szCs w:val="22"/>
        </w:rPr>
        <w:t>a</w:t>
      </w:r>
      <w:r w:rsidR="004569FB" w:rsidRPr="00DB5643">
        <w:rPr>
          <w:b/>
          <w:snapToGrid w:val="0"/>
          <w:kern w:val="22"/>
          <w:szCs w:val="22"/>
          <w:lang w:val="ru-RU"/>
        </w:rPr>
        <w:t>)</w:t>
      </w:r>
      <w:r w:rsidR="004569FB" w:rsidRPr="00DB5643">
        <w:rPr>
          <w:snapToGrid w:val="0"/>
          <w:kern w:val="22"/>
          <w:szCs w:val="22"/>
          <w:lang w:val="ru-RU"/>
        </w:rPr>
        <w:t xml:space="preserve"> (</w:t>
      </w:r>
      <w:r w:rsidR="00C44D8D" w:rsidRPr="00DB5643">
        <w:rPr>
          <w:snapToGrid w:val="0"/>
          <w:kern w:val="22"/>
          <w:szCs w:val="22"/>
          <w:lang w:val="ru-RU"/>
        </w:rPr>
        <w:t>процентная доля Сторон, принявших и использующих инструктивные документы</w:t>
      </w:r>
      <w:r w:rsidR="004569FB" w:rsidRPr="00DB5643">
        <w:rPr>
          <w:snapToGrid w:val="0"/>
          <w:kern w:val="22"/>
          <w:szCs w:val="22"/>
          <w:lang w:val="ru-RU"/>
        </w:rPr>
        <w:t xml:space="preserve"> </w:t>
      </w:r>
      <w:r w:rsidR="00C44D8D" w:rsidRPr="00DB5643">
        <w:rPr>
          <w:snapToGrid w:val="0"/>
          <w:kern w:val="22"/>
          <w:szCs w:val="22"/>
          <w:lang w:val="ru-RU"/>
        </w:rPr>
        <w:t>для целей проведения собственной оценки рисков и регулирования рисков</w:t>
      </w:r>
      <w:r w:rsidR="004569FB" w:rsidRPr="00DB5643">
        <w:rPr>
          <w:snapToGrid w:val="0"/>
          <w:kern w:val="22"/>
          <w:szCs w:val="22"/>
          <w:lang w:val="ru-RU"/>
        </w:rPr>
        <w:t xml:space="preserve">) </w:t>
      </w:r>
      <w:r w:rsidRPr="00DB5643">
        <w:rPr>
          <w:snapToGrid w:val="0"/>
          <w:kern w:val="22"/>
          <w:szCs w:val="22"/>
          <w:lang w:val="ru-RU"/>
        </w:rPr>
        <w:t>и</w:t>
      </w:r>
      <w:r w:rsidR="004569FB" w:rsidRPr="00DB5643">
        <w:rPr>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w:t>
      </w:r>
      <w:r w:rsidR="004569FB" w:rsidRPr="00DB5643">
        <w:rPr>
          <w:b/>
          <w:snapToGrid w:val="0"/>
          <w:kern w:val="22"/>
          <w:szCs w:val="22"/>
          <w:lang w:val="ru-RU"/>
        </w:rPr>
        <w:t>1.3.1(</w:t>
      </w:r>
      <w:r w:rsidR="004569FB" w:rsidRPr="00DB5643">
        <w:rPr>
          <w:b/>
          <w:snapToGrid w:val="0"/>
          <w:kern w:val="22"/>
          <w:szCs w:val="22"/>
        </w:rPr>
        <w:t>b</w:t>
      </w:r>
      <w:r w:rsidR="004569FB" w:rsidRPr="00DB5643">
        <w:rPr>
          <w:b/>
          <w:snapToGrid w:val="0"/>
          <w:kern w:val="22"/>
          <w:szCs w:val="22"/>
          <w:lang w:val="ru-RU"/>
        </w:rPr>
        <w:t>)</w:t>
      </w:r>
      <w:r w:rsidR="004569FB" w:rsidRPr="00DB5643">
        <w:rPr>
          <w:snapToGrid w:val="0"/>
          <w:kern w:val="22"/>
          <w:szCs w:val="22"/>
          <w:lang w:val="ru-RU"/>
        </w:rPr>
        <w:t xml:space="preserve"> (</w:t>
      </w:r>
      <w:r w:rsidR="00C44D8D" w:rsidRPr="00DB5643">
        <w:rPr>
          <w:snapToGrid w:val="0"/>
          <w:kern w:val="22"/>
          <w:szCs w:val="22"/>
          <w:lang w:val="ru-RU"/>
        </w:rPr>
        <w:t xml:space="preserve">процентная доля Сторон, принявших и использующих инструктивные документы для целей </w:t>
      </w:r>
      <w:r w:rsidR="00E35E2B" w:rsidRPr="00DB5643">
        <w:rPr>
          <w:snapToGrid w:val="0"/>
          <w:kern w:val="22"/>
          <w:szCs w:val="22"/>
          <w:lang w:val="ru-RU"/>
        </w:rPr>
        <w:t>анализа</w:t>
      </w:r>
      <w:r w:rsidR="004569FB" w:rsidRPr="00DB5643">
        <w:rPr>
          <w:snapToGrid w:val="0"/>
          <w:kern w:val="22"/>
          <w:szCs w:val="22"/>
          <w:lang w:val="ru-RU"/>
        </w:rPr>
        <w:t xml:space="preserve"> </w:t>
      </w:r>
      <w:r w:rsidR="00E35E2B" w:rsidRPr="00DB5643">
        <w:rPr>
          <w:snapToGrid w:val="0"/>
          <w:kern w:val="22"/>
          <w:szCs w:val="22"/>
          <w:lang w:val="ru-RU"/>
        </w:rPr>
        <w:t>докладов об оценке рисков, представленных заявителями</w:t>
      </w:r>
      <w:r w:rsidR="004569FB" w:rsidRPr="00DB5643">
        <w:rPr>
          <w:snapToGrid w:val="0"/>
          <w:kern w:val="22"/>
          <w:szCs w:val="22"/>
          <w:lang w:val="ru-RU"/>
        </w:rPr>
        <w:t xml:space="preserve">), </w:t>
      </w:r>
      <w:r w:rsidR="00E35E2B" w:rsidRPr="00DB5643">
        <w:rPr>
          <w:snapToGrid w:val="0"/>
          <w:kern w:val="22"/>
          <w:szCs w:val="22"/>
          <w:lang w:val="ru-RU"/>
        </w:rPr>
        <w:t>информация из национальных докладов не позволяет провести различие</w:t>
      </w:r>
      <w:r w:rsidR="0065592C" w:rsidRPr="00DB5643">
        <w:rPr>
          <w:snapToGrid w:val="0"/>
          <w:kern w:val="22"/>
          <w:szCs w:val="22"/>
          <w:lang w:val="ru-RU"/>
        </w:rPr>
        <w:t xml:space="preserve"> между инструктивными документами для целей проведения оценки рисков и инструктивными документами для целей анализа оценок рисков, представленных заявителями</w:t>
      </w:r>
      <w:r w:rsidR="004569FB" w:rsidRPr="00DB5643">
        <w:rPr>
          <w:snapToGrid w:val="0"/>
          <w:kern w:val="22"/>
          <w:szCs w:val="22"/>
          <w:lang w:val="ru-RU"/>
        </w:rPr>
        <w:t xml:space="preserve">. </w:t>
      </w:r>
      <w:r w:rsidR="0065592C" w:rsidRPr="00DB5643">
        <w:rPr>
          <w:snapToGrid w:val="0"/>
          <w:kern w:val="22"/>
          <w:szCs w:val="22"/>
          <w:lang w:val="ru-RU"/>
        </w:rPr>
        <w:t xml:space="preserve">Информация, представленная в четвертых национальных докладах, включает некоторые соответствующие </w:t>
      </w:r>
      <w:r w:rsidR="0065592C" w:rsidRPr="00DB5643">
        <w:rPr>
          <w:snapToGrid w:val="0"/>
          <w:kern w:val="22"/>
          <w:szCs w:val="22"/>
          <w:lang w:val="ru-RU"/>
        </w:rPr>
        <w:lastRenderedPageBreak/>
        <w:t xml:space="preserve">сведения, которые могут </w:t>
      </w:r>
      <w:r w:rsidR="00CB7692" w:rsidRPr="00DB5643">
        <w:rPr>
          <w:snapToGrid w:val="0"/>
          <w:kern w:val="22"/>
          <w:szCs w:val="22"/>
          <w:lang w:val="ru-RU"/>
        </w:rPr>
        <w:t>способствовать</w:t>
      </w:r>
      <w:r w:rsidR="0065592C" w:rsidRPr="00DB5643">
        <w:rPr>
          <w:snapToGrid w:val="0"/>
          <w:kern w:val="22"/>
          <w:szCs w:val="22"/>
          <w:lang w:val="ru-RU"/>
        </w:rPr>
        <w:t xml:space="preserve"> измерению этих индикаторов, как </w:t>
      </w:r>
      <w:r w:rsidR="00CB7692" w:rsidRPr="00DB5643">
        <w:rPr>
          <w:snapToGrid w:val="0"/>
          <w:kern w:val="22"/>
          <w:szCs w:val="22"/>
          <w:lang w:val="ru-RU"/>
        </w:rPr>
        <w:t>изложено в следующих двух пунктах</w:t>
      </w:r>
      <w:r w:rsidR="004569FB" w:rsidRPr="00DB5643">
        <w:rPr>
          <w:rStyle w:val="ac"/>
          <w:snapToGrid w:val="0"/>
          <w:kern w:val="22"/>
          <w:szCs w:val="22"/>
        </w:rPr>
        <w:footnoteReference w:id="24"/>
      </w:r>
      <w:bookmarkStart w:id="6" w:name="_Hlk33700693"/>
      <w:r w:rsidR="00CB7692" w:rsidRPr="00DB5643">
        <w:rPr>
          <w:snapToGrid w:val="0"/>
          <w:kern w:val="22"/>
          <w:szCs w:val="22"/>
          <w:lang w:val="ru-RU"/>
        </w:rPr>
        <w:t>.</w:t>
      </w:r>
    </w:p>
    <w:p w14:paraId="5701D8C5" w14:textId="0A0BC544" w:rsidR="004569FB" w:rsidRPr="00DB5643" w:rsidRDefault="000F2993"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Что касается оценки рисков</w:t>
      </w:r>
      <w:r w:rsidR="00895C2F" w:rsidRPr="00DB5643">
        <w:rPr>
          <w:snapToGrid w:val="0"/>
          <w:kern w:val="22"/>
          <w:szCs w:val="22"/>
          <w:lang w:val="ru-RU"/>
        </w:rPr>
        <w:t xml:space="preserve">, </w:t>
      </w:r>
      <w:r w:rsidR="00F42696" w:rsidRPr="00DB5643">
        <w:rPr>
          <w:snapToGrid w:val="0"/>
          <w:kern w:val="22"/>
          <w:szCs w:val="22"/>
          <w:lang w:val="ru-RU"/>
        </w:rPr>
        <w:t>в общей сложности</w:t>
      </w:r>
      <w:r w:rsidR="004569FB" w:rsidRPr="00DB5643">
        <w:rPr>
          <w:snapToGrid w:val="0"/>
          <w:kern w:val="22"/>
          <w:szCs w:val="22"/>
          <w:lang w:val="ru-RU"/>
        </w:rPr>
        <w:t xml:space="preserve"> 72</w:t>
      </w:r>
      <w:r w:rsidR="00F42696" w:rsidRPr="00DB5643">
        <w:rPr>
          <w:snapToGrid w:val="0"/>
          <w:kern w:val="22"/>
          <w:szCs w:val="22"/>
          <w:lang w:val="en-US"/>
        </w:rPr>
        <w:t> </w:t>
      </w:r>
      <w:r w:rsidR="004569FB" w:rsidRPr="00DB5643">
        <w:rPr>
          <w:snapToGrid w:val="0"/>
          <w:kern w:val="22"/>
          <w:szCs w:val="22"/>
          <w:lang w:val="ru-RU"/>
        </w:rPr>
        <w:t xml:space="preserve">% </w:t>
      </w:r>
      <w:r w:rsidR="00F42696" w:rsidRPr="00DB5643">
        <w:rPr>
          <w:snapToGrid w:val="0"/>
          <w:kern w:val="22"/>
          <w:szCs w:val="22"/>
          <w:lang w:val="ru-RU"/>
        </w:rPr>
        <w:t xml:space="preserve">Сторон </w:t>
      </w:r>
      <w:r w:rsidR="004569FB" w:rsidRPr="00DB5643">
        <w:rPr>
          <w:snapToGrid w:val="0"/>
          <w:kern w:val="22"/>
          <w:szCs w:val="22"/>
          <w:lang w:val="ru-RU"/>
        </w:rPr>
        <w:t xml:space="preserve">(51 </w:t>
      </w:r>
      <w:r w:rsidR="00F42696" w:rsidRPr="00DB5643">
        <w:rPr>
          <w:snapToGrid w:val="0"/>
          <w:kern w:val="22"/>
          <w:szCs w:val="22"/>
          <w:lang w:val="ru-RU"/>
        </w:rPr>
        <w:t>Сторона</w:t>
      </w:r>
      <w:r w:rsidR="004569FB" w:rsidRPr="00DB5643">
        <w:rPr>
          <w:snapToGrid w:val="0"/>
          <w:kern w:val="22"/>
          <w:szCs w:val="22"/>
          <w:lang w:val="ru-RU"/>
        </w:rPr>
        <w:t xml:space="preserve">) </w:t>
      </w:r>
      <w:r w:rsidR="00F42696" w:rsidRPr="00DB5643">
        <w:rPr>
          <w:snapToGrid w:val="0"/>
          <w:kern w:val="22"/>
          <w:szCs w:val="22"/>
          <w:lang w:val="ru-RU"/>
        </w:rPr>
        <w:t>сообщили о том, что они приняли или использовали инструктивные документы для целей проведения оценки рисков или</w:t>
      </w:r>
      <w:r w:rsidR="004569FB" w:rsidRPr="00DB5643">
        <w:rPr>
          <w:snapToGrid w:val="0"/>
          <w:kern w:val="22"/>
          <w:szCs w:val="22"/>
          <w:lang w:val="ru-RU"/>
        </w:rPr>
        <w:t xml:space="preserve"> </w:t>
      </w:r>
      <w:r w:rsidR="00F42696" w:rsidRPr="00DB5643">
        <w:rPr>
          <w:snapToGrid w:val="0"/>
          <w:kern w:val="22"/>
          <w:szCs w:val="22"/>
          <w:lang w:val="ru-RU"/>
        </w:rPr>
        <w:t>для целей анализа докладов об оценке рисков, представленных заявителями</w:t>
      </w:r>
      <w:r w:rsidR="004569FB" w:rsidRPr="00DB5643">
        <w:rPr>
          <w:snapToGrid w:val="0"/>
          <w:kern w:val="22"/>
          <w:szCs w:val="22"/>
          <w:lang w:val="ru-RU"/>
        </w:rPr>
        <w:t xml:space="preserve">. </w:t>
      </w:r>
      <w:r w:rsidR="00F42696" w:rsidRPr="00DB5643">
        <w:rPr>
          <w:snapToGrid w:val="0"/>
          <w:kern w:val="22"/>
          <w:szCs w:val="22"/>
          <w:lang w:val="ru-RU"/>
        </w:rPr>
        <w:t xml:space="preserve">Это соответствует незначительному увеличению на </w:t>
      </w:r>
      <w:r w:rsidR="004569FB" w:rsidRPr="00DB5643">
        <w:rPr>
          <w:snapToGrid w:val="0"/>
          <w:kern w:val="22"/>
          <w:szCs w:val="22"/>
          <w:lang w:val="ru-RU"/>
        </w:rPr>
        <w:t>4</w:t>
      </w:r>
      <w:r w:rsidR="00F42696" w:rsidRPr="00DB5643">
        <w:rPr>
          <w:snapToGrid w:val="0"/>
          <w:kern w:val="22"/>
          <w:szCs w:val="22"/>
          <w:lang w:val="ru-RU"/>
        </w:rPr>
        <w:t> </w:t>
      </w:r>
      <w:r w:rsidR="004569FB" w:rsidRPr="00DB5643">
        <w:rPr>
          <w:snapToGrid w:val="0"/>
          <w:kern w:val="22"/>
          <w:szCs w:val="22"/>
          <w:lang w:val="ru-RU"/>
        </w:rPr>
        <w:t xml:space="preserve">% </w:t>
      </w:r>
      <w:r w:rsidR="00F42696" w:rsidRPr="00DB5643">
        <w:rPr>
          <w:snapToGrid w:val="0"/>
          <w:kern w:val="22"/>
          <w:szCs w:val="22"/>
          <w:lang w:val="ru-RU"/>
        </w:rPr>
        <w:t>по сравнению с исходным уровнем</w:t>
      </w:r>
      <w:r w:rsidR="004569FB" w:rsidRPr="00DB5643">
        <w:rPr>
          <w:snapToGrid w:val="0"/>
          <w:kern w:val="22"/>
          <w:szCs w:val="22"/>
          <w:lang w:val="ru-RU"/>
        </w:rPr>
        <w:t>.</w:t>
      </w:r>
      <w:bookmarkEnd w:id="6"/>
      <w:r w:rsidR="00F42696" w:rsidRPr="00DB5643">
        <w:rPr>
          <w:snapToGrid w:val="0"/>
          <w:kern w:val="22"/>
          <w:szCs w:val="22"/>
          <w:lang w:val="ru-RU"/>
        </w:rPr>
        <w:t xml:space="preserve"> На региональном уровне наблюда</w:t>
      </w:r>
      <w:r w:rsidR="005237DD" w:rsidRPr="00DB5643">
        <w:rPr>
          <w:snapToGrid w:val="0"/>
          <w:kern w:val="22"/>
          <w:szCs w:val="22"/>
          <w:lang w:val="ru-RU"/>
        </w:rPr>
        <w:t>е</w:t>
      </w:r>
      <w:r w:rsidR="00F42696" w:rsidRPr="00DB5643">
        <w:rPr>
          <w:snapToGrid w:val="0"/>
          <w:kern w:val="22"/>
          <w:szCs w:val="22"/>
          <w:lang w:val="ru-RU"/>
        </w:rPr>
        <w:t>тся</w:t>
      </w:r>
      <w:r w:rsidR="00271125" w:rsidRPr="00DB5643">
        <w:rPr>
          <w:snapToGrid w:val="0"/>
          <w:kern w:val="22"/>
          <w:szCs w:val="22"/>
          <w:lang w:val="ru-RU"/>
        </w:rPr>
        <w:t xml:space="preserve"> значительны</w:t>
      </w:r>
      <w:r w:rsidR="005237DD" w:rsidRPr="00DB5643">
        <w:rPr>
          <w:snapToGrid w:val="0"/>
          <w:kern w:val="22"/>
          <w:szCs w:val="22"/>
          <w:lang w:val="ru-RU"/>
        </w:rPr>
        <w:t>й разброс</w:t>
      </w:r>
      <w:r w:rsidR="004569FB" w:rsidRPr="00DB5643">
        <w:rPr>
          <w:snapToGrid w:val="0"/>
          <w:kern w:val="22"/>
          <w:szCs w:val="22"/>
          <w:lang w:val="ru-RU"/>
        </w:rPr>
        <w:t xml:space="preserve">: </w:t>
      </w:r>
      <w:proofErr w:type="spellStart"/>
      <w:r w:rsidR="008A67CA" w:rsidRPr="00DB5643">
        <w:rPr>
          <w:snapToGrid w:val="0"/>
          <w:kern w:val="22"/>
          <w:szCs w:val="22"/>
        </w:rPr>
        <w:t>WEOG</w:t>
      </w:r>
      <w:proofErr w:type="spellEnd"/>
      <w:r w:rsidR="00271125" w:rsidRPr="00DB5643">
        <w:rPr>
          <w:snapToGrid w:val="0"/>
          <w:kern w:val="22"/>
          <w:szCs w:val="22"/>
          <w:lang w:val="ru-RU"/>
        </w:rPr>
        <w:t>:</w:t>
      </w:r>
      <w:r w:rsidR="008A67CA" w:rsidRPr="00DB5643">
        <w:rPr>
          <w:snapToGrid w:val="0"/>
          <w:kern w:val="22"/>
          <w:szCs w:val="22"/>
          <w:lang w:val="ru-RU"/>
        </w:rPr>
        <w:t xml:space="preserve"> 100</w:t>
      </w:r>
      <w:r w:rsidR="00271125" w:rsidRPr="00DB5643">
        <w:rPr>
          <w:snapToGrid w:val="0"/>
          <w:kern w:val="22"/>
          <w:szCs w:val="22"/>
          <w:lang w:val="ru-RU"/>
        </w:rPr>
        <w:t> </w:t>
      </w:r>
      <w:r w:rsidR="008A67CA" w:rsidRPr="00DB5643">
        <w:rPr>
          <w:snapToGrid w:val="0"/>
          <w:kern w:val="22"/>
          <w:szCs w:val="22"/>
          <w:lang w:val="ru-RU"/>
        </w:rPr>
        <w:t xml:space="preserve">%; </w:t>
      </w:r>
      <w:r w:rsidR="00271125" w:rsidRPr="00DB5643">
        <w:rPr>
          <w:snapToGrid w:val="0"/>
          <w:kern w:val="22"/>
          <w:szCs w:val="22"/>
          <w:lang w:val="ru-RU"/>
        </w:rPr>
        <w:t>Азиатско-Тихоокеанский регион</w:t>
      </w:r>
      <w:r w:rsidR="004569FB" w:rsidRPr="00DB5643">
        <w:rPr>
          <w:snapToGrid w:val="0"/>
          <w:kern w:val="22"/>
          <w:szCs w:val="22"/>
          <w:lang w:val="ru-RU"/>
        </w:rPr>
        <w:t>: 89</w:t>
      </w:r>
      <w:r w:rsidR="00271125"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271125" w:rsidRPr="00DB5643">
        <w:rPr>
          <w:snapToGrid w:val="0"/>
          <w:kern w:val="22"/>
          <w:szCs w:val="22"/>
          <w:lang w:val="ru-RU"/>
        </w:rPr>
        <w:t>:</w:t>
      </w:r>
      <w:r w:rsidR="004569FB" w:rsidRPr="00DB5643">
        <w:rPr>
          <w:snapToGrid w:val="0"/>
          <w:kern w:val="22"/>
          <w:szCs w:val="22"/>
          <w:lang w:val="ru-RU"/>
        </w:rPr>
        <w:t xml:space="preserve"> 86</w:t>
      </w:r>
      <w:r w:rsidR="00271125" w:rsidRPr="00DB5643">
        <w:rPr>
          <w:snapToGrid w:val="0"/>
          <w:kern w:val="22"/>
          <w:szCs w:val="22"/>
          <w:lang w:val="ru-RU"/>
        </w:rPr>
        <w:t> </w:t>
      </w:r>
      <w:r w:rsidR="004569FB" w:rsidRPr="00DB5643">
        <w:rPr>
          <w:snapToGrid w:val="0"/>
          <w:kern w:val="22"/>
          <w:szCs w:val="22"/>
          <w:lang w:val="ru-RU"/>
        </w:rPr>
        <w:t xml:space="preserve">%; </w:t>
      </w:r>
      <w:r w:rsidR="00271125" w:rsidRPr="00DB5643">
        <w:rPr>
          <w:snapToGrid w:val="0"/>
          <w:kern w:val="22"/>
          <w:szCs w:val="22"/>
          <w:lang w:val="ru-RU"/>
        </w:rPr>
        <w:t>Африка</w:t>
      </w:r>
      <w:r w:rsidR="008A67CA" w:rsidRPr="00DB5643">
        <w:rPr>
          <w:snapToGrid w:val="0"/>
          <w:kern w:val="22"/>
          <w:szCs w:val="22"/>
          <w:lang w:val="ru-RU"/>
        </w:rPr>
        <w:t>: 58</w:t>
      </w:r>
      <w:r w:rsidR="00271125" w:rsidRPr="00DB5643">
        <w:rPr>
          <w:snapToGrid w:val="0"/>
          <w:kern w:val="22"/>
          <w:szCs w:val="22"/>
          <w:lang w:val="ru-RU"/>
        </w:rPr>
        <w:t> </w:t>
      </w:r>
      <w:r w:rsidR="008A67CA" w:rsidRPr="00DB5643">
        <w:rPr>
          <w:snapToGrid w:val="0"/>
          <w:kern w:val="22"/>
          <w:szCs w:val="22"/>
          <w:lang w:val="ru-RU"/>
        </w:rPr>
        <w:t>%;</w:t>
      </w:r>
      <w:r w:rsidR="00E97993" w:rsidRPr="00DB5643">
        <w:rPr>
          <w:snapToGrid w:val="0"/>
          <w:kern w:val="22"/>
          <w:szCs w:val="22"/>
          <w:lang w:val="ru-RU"/>
        </w:rPr>
        <w:t xml:space="preserve"> </w:t>
      </w:r>
      <w:proofErr w:type="spellStart"/>
      <w:r w:rsidR="00271125" w:rsidRPr="00DB5643">
        <w:rPr>
          <w:snapToGrid w:val="0"/>
          <w:kern w:val="22"/>
          <w:szCs w:val="22"/>
          <w:lang w:val="ru-RU"/>
        </w:rPr>
        <w:t>ГРУЛАК</w:t>
      </w:r>
      <w:proofErr w:type="spellEnd"/>
      <w:r w:rsidR="004569FB" w:rsidRPr="00DB5643">
        <w:rPr>
          <w:snapToGrid w:val="0"/>
          <w:kern w:val="22"/>
          <w:szCs w:val="22"/>
          <w:lang w:val="ru-RU"/>
        </w:rPr>
        <w:t>: 31</w:t>
      </w:r>
      <w:r w:rsidR="00271125" w:rsidRPr="00DB5643">
        <w:rPr>
          <w:snapToGrid w:val="0"/>
          <w:kern w:val="22"/>
          <w:szCs w:val="22"/>
          <w:lang w:val="ru-RU"/>
        </w:rPr>
        <w:t> </w:t>
      </w:r>
      <w:r w:rsidR="004569FB" w:rsidRPr="00DB5643">
        <w:rPr>
          <w:snapToGrid w:val="0"/>
          <w:kern w:val="22"/>
          <w:szCs w:val="22"/>
          <w:lang w:val="ru-RU"/>
        </w:rPr>
        <w:t xml:space="preserve">%. </w:t>
      </w:r>
      <w:r w:rsidR="00271125" w:rsidRPr="00DB5643">
        <w:rPr>
          <w:snapToGrid w:val="0"/>
          <w:kern w:val="22"/>
          <w:szCs w:val="22"/>
          <w:lang w:val="ru-RU"/>
        </w:rPr>
        <w:t>Было сообщено об изменениях в двух регионах</w:t>
      </w:r>
      <w:r w:rsidR="004569FB" w:rsidRPr="00DB5643">
        <w:rPr>
          <w:snapToGrid w:val="0"/>
          <w:kern w:val="22"/>
          <w:szCs w:val="22"/>
          <w:lang w:val="ru-RU"/>
        </w:rPr>
        <w:t xml:space="preserve">: </w:t>
      </w:r>
      <w:r w:rsidR="00271125" w:rsidRPr="00DB5643">
        <w:rPr>
          <w:snapToGrid w:val="0"/>
          <w:kern w:val="22"/>
          <w:szCs w:val="22"/>
          <w:lang w:val="ru-RU"/>
        </w:rPr>
        <w:t>Африка</w:t>
      </w:r>
      <w:r w:rsidR="004569FB" w:rsidRPr="00DB5643">
        <w:rPr>
          <w:snapToGrid w:val="0"/>
          <w:kern w:val="22"/>
          <w:szCs w:val="22"/>
          <w:lang w:val="ru-RU"/>
        </w:rPr>
        <w:t xml:space="preserve"> (+11</w:t>
      </w:r>
      <w:r w:rsidR="00271125"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(+7</w:t>
      </w:r>
      <w:r w:rsidR="00271125" w:rsidRPr="00DB5643">
        <w:rPr>
          <w:snapToGrid w:val="0"/>
          <w:kern w:val="22"/>
          <w:szCs w:val="22"/>
          <w:lang w:val="ru-RU"/>
        </w:rPr>
        <w:t> </w:t>
      </w:r>
      <w:r w:rsidR="004569FB" w:rsidRPr="00DB5643">
        <w:rPr>
          <w:snapToGrid w:val="0"/>
          <w:kern w:val="22"/>
          <w:szCs w:val="22"/>
          <w:lang w:val="ru-RU"/>
        </w:rPr>
        <w:t xml:space="preserve">%). </w:t>
      </w:r>
    </w:p>
    <w:p w14:paraId="7CE5DBBF" w14:textId="4DEE1F01" w:rsidR="004569FB" w:rsidRPr="00967553" w:rsidRDefault="005237DD"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Что касается регулирования рисков</w:t>
      </w:r>
      <w:bookmarkStart w:id="7" w:name="_Hlk33700772"/>
      <w:r w:rsidRPr="00DB5643">
        <w:rPr>
          <w:snapToGrid w:val="0"/>
          <w:kern w:val="22"/>
          <w:szCs w:val="22"/>
          <w:lang w:val="ru-RU"/>
        </w:rPr>
        <w:t>, в общей сложности</w:t>
      </w:r>
      <w:r w:rsidR="004569FB" w:rsidRPr="00DB5643">
        <w:rPr>
          <w:snapToGrid w:val="0"/>
          <w:kern w:val="22"/>
          <w:szCs w:val="22"/>
          <w:lang w:val="ru-RU"/>
        </w:rPr>
        <w:t xml:space="preserve"> 71</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(50 </w:t>
      </w:r>
      <w:r w:rsidRPr="00DB5643">
        <w:rPr>
          <w:snapToGrid w:val="0"/>
          <w:kern w:val="22"/>
          <w:szCs w:val="22"/>
          <w:lang w:val="ru-RU"/>
        </w:rPr>
        <w:t>Сторон</w:t>
      </w:r>
      <w:r w:rsidR="004569FB" w:rsidRPr="00DB5643">
        <w:rPr>
          <w:snapToGrid w:val="0"/>
          <w:kern w:val="22"/>
          <w:szCs w:val="22"/>
          <w:lang w:val="ru-RU"/>
        </w:rPr>
        <w:t>)</w:t>
      </w:r>
      <w:r w:rsidRPr="00DB5643">
        <w:rPr>
          <w:snapToGrid w:val="0"/>
          <w:kern w:val="22"/>
          <w:szCs w:val="22"/>
          <w:lang w:val="ru-RU"/>
        </w:rPr>
        <w:t xml:space="preserve"> сообщили о том, что они приняли или использовали инструктивные документы для целей регулирования рисков</w:t>
      </w:r>
      <w:r w:rsidR="004569FB" w:rsidRPr="00DB5643">
        <w:rPr>
          <w:snapToGrid w:val="0"/>
          <w:kern w:val="22"/>
          <w:szCs w:val="22"/>
          <w:lang w:val="ru-RU"/>
        </w:rPr>
        <w:t xml:space="preserve">, </w:t>
      </w:r>
      <w:r w:rsidRPr="00DB5643">
        <w:rPr>
          <w:snapToGrid w:val="0"/>
          <w:kern w:val="22"/>
          <w:szCs w:val="22"/>
          <w:lang w:val="ru-RU"/>
        </w:rPr>
        <w:t>что соответствует увеличению на</w:t>
      </w:r>
      <w:r w:rsidR="004569FB" w:rsidRPr="00DB5643">
        <w:rPr>
          <w:snapToGrid w:val="0"/>
          <w:kern w:val="22"/>
          <w:szCs w:val="22"/>
          <w:lang w:val="ru-RU"/>
        </w:rPr>
        <w:t xml:space="preserve"> 5</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bookmarkEnd w:id="7"/>
      <w:r w:rsidRPr="00DB5643">
        <w:rPr>
          <w:snapToGrid w:val="0"/>
          <w:kern w:val="22"/>
          <w:szCs w:val="22"/>
          <w:lang w:val="ru-RU"/>
        </w:rPr>
        <w:t>На региональном уровне наблюдается значительный разброс</w:t>
      </w:r>
      <w:r w:rsidR="004569FB" w:rsidRPr="00DB5643">
        <w:rPr>
          <w:snapToGrid w:val="0"/>
          <w:kern w:val="22"/>
          <w:szCs w:val="22"/>
          <w:lang w:val="ru-RU"/>
        </w:rPr>
        <w:t xml:space="preserve">: </w:t>
      </w:r>
      <w:proofErr w:type="spellStart"/>
      <w:r w:rsidR="007F1807" w:rsidRPr="00DB5643">
        <w:rPr>
          <w:snapToGrid w:val="0"/>
          <w:kern w:val="22"/>
          <w:szCs w:val="22"/>
        </w:rPr>
        <w:t>WEOG</w:t>
      </w:r>
      <w:proofErr w:type="spellEnd"/>
      <w:r w:rsidRPr="00DB5643">
        <w:rPr>
          <w:snapToGrid w:val="0"/>
          <w:kern w:val="22"/>
          <w:szCs w:val="22"/>
          <w:lang w:val="ru-RU"/>
        </w:rPr>
        <w:t>:</w:t>
      </w:r>
      <w:r w:rsidR="007F1807" w:rsidRPr="00DB5643">
        <w:rPr>
          <w:snapToGrid w:val="0"/>
          <w:kern w:val="22"/>
          <w:szCs w:val="22"/>
          <w:lang w:val="ru-RU"/>
        </w:rPr>
        <w:t xml:space="preserve"> 100</w:t>
      </w:r>
      <w:r w:rsidRPr="00DB5643">
        <w:rPr>
          <w:snapToGrid w:val="0"/>
          <w:kern w:val="22"/>
          <w:szCs w:val="22"/>
          <w:lang w:val="ru-RU"/>
        </w:rPr>
        <w:t> </w:t>
      </w:r>
      <w:r w:rsidR="007F1807" w:rsidRPr="00DB5643">
        <w:rPr>
          <w:snapToGrid w:val="0"/>
          <w:kern w:val="22"/>
          <w:szCs w:val="22"/>
          <w:lang w:val="ru-RU"/>
        </w:rPr>
        <w:t xml:space="preserve">%; </w:t>
      </w:r>
      <w:r w:rsidRPr="00DB5643">
        <w:rPr>
          <w:snapToGrid w:val="0"/>
          <w:kern w:val="22"/>
          <w:szCs w:val="22"/>
          <w:lang w:val="ru-RU"/>
        </w:rPr>
        <w:t>Азиатско-Тихоокеанский регион</w:t>
      </w:r>
      <w:r w:rsidR="004569FB" w:rsidRPr="00DB5643">
        <w:rPr>
          <w:snapToGrid w:val="0"/>
          <w:kern w:val="22"/>
          <w:szCs w:val="22"/>
          <w:lang w:val="ru-RU"/>
        </w:rPr>
        <w:t>: 8</w:t>
      </w:r>
      <w:r w:rsidR="004154E8" w:rsidRPr="00DB5643">
        <w:rPr>
          <w:snapToGrid w:val="0"/>
          <w:kern w:val="22"/>
          <w:szCs w:val="22"/>
          <w:lang w:val="ru-RU"/>
        </w:rPr>
        <w:t>8</w:t>
      </w:r>
      <w:r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Pr="00DB5643">
        <w:rPr>
          <w:snapToGrid w:val="0"/>
          <w:kern w:val="22"/>
          <w:szCs w:val="22"/>
          <w:lang w:val="ru-RU"/>
        </w:rPr>
        <w:t>:</w:t>
      </w:r>
      <w:r w:rsidR="004569FB" w:rsidRPr="00DB5643">
        <w:rPr>
          <w:snapToGrid w:val="0"/>
          <w:kern w:val="22"/>
          <w:szCs w:val="22"/>
          <w:lang w:val="ru-RU"/>
        </w:rPr>
        <w:t xml:space="preserve"> 86</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Африка</w:t>
      </w:r>
      <w:r w:rsidR="007F1807" w:rsidRPr="00DB5643">
        <w:rPr>
          <w:snapToGrid w:val="0"/>
          <w:kern w:val="22"/>
          <w:szCs w:val="22"/>
          <w:lang w:val="ru-RU"/>
        </w:rPr>
        <w:t>: 58</w:t>
      </w:r>
      <w:r w:rsidRPr="00DB5643">
        <w:rPr>
          <w:snapToGrid w:val="0"/>
          <w:kern w:val="22"/>
          <w:szCs w:val="22"/>
          <w:lang w:val="ru-RU"/>
        </w:rPr>
        <w:t> </w:t>
      </w:r>
      <w:r w:rsidR="007F1807" w:rsidRPr="00DB5643">
        <w:rPr>
          <w:snapToGrid w:val="0"/>
          <w:kern w:val="22"/>
          <w:szCs w:val="22"/>
          <w:lang w:val="ru-RU"/>
        </w:rPr>
        <w:t xml:space="preserve">%; </w:t>
      </w:r>
      <w:proofErr w:type="spellStart"/>
      <w:r w:rsidRPr="00DB5643">
        <w:rPr>
          <w:snapToGrid w:val="0"/>
          <w:kern w:val="22"/>
          <w:szCs w:val="22"/>
          <w:lang w:val="ru-RU"/>
        </w:rPr>
        <w:t>ГРУЛАК</w:t>
      </w:r>
      <w:proofErr w:type="spellEnd"/>
      <w:r w:rsidR="004569FB" w:rsidRPr="00DB5643">
        <w:rPr>
          <w:snapToGrid w:val="0"/>
          <w:kern w:val="22"/>
          <w:szCs w:val="22"/>
          <w:lang w:val="ru-RU"/>
        </w:rPr>
        <w:t>: 31</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Увеличение</w:t>
      </w:r>
      <w:r w:rsidRPr="00967553">
        <w:rPr>
          <w:snapToGrid w:val="0"/>
          <w:kern w:val="22"/>
          <w:szCs w:val="22"/>
          <w:lang w:val="ru-RU"/>
        </w:rPr>
        <w:t xml:space="preserve"> </w:t>
      </w:r>
      <w:r w:rsidRPr="00DB5643">
        <w:rPr>
          <w:snapToGrid w:val="0"/>
          <w:kern w:val="22"/>
          <w:szCs w:val="22"/>
          <w:lang w:val="ru-RU"/>
        </w:rPr>
        <w:t>по</w:t>
      </w:r>
      <w:r w:rsidRPr="00967553">
        <w:rPr>
          <w:snapToGrid w:val="0"/>
          <w:kern w:val="22"/>
          <w:szCs w:val="22"/>
          <w:lang w:val="ru-RU"/>
        </w:rPr>
        <w:t xml:space="preserve"> </w:t>
      </w:r>
      <w:r w:rsidRPr="00DB5643">
        <w:rPr>
          <w:snapToGrid w:val="0"/>
          <w:kern w:val="22"/>
          <w:szCs w:val="22"/>
          <w:lang w:val="ru-RU"/>
        </w:rPr>
        <w:t>регионам</w:t>
      </w:r>
      <w:r w:rsidRPr="00967553">
        <w:rPr>
          <w:snapToGrid w:val="0"/>
          <w:kern w:val="22"/>
          <w:szCs w:val="22"/>
          <w:lang w:val="ru-RU"/>
        </w:rPr>
        <w:t xml:space="preserve"> </w:t>
      </w:r>
      <w:r w:rsidRPr="00DB5643">
        <w:rPr>
          <w:snapToGrid w:val="0"/>
          <w:kern w:val="22"/>
          <w:szCs w:val="22"/>
          <w:lang w:val="ru-RU"/>
        </w:rPr>
        <w:t>следующее</w:t>
      </w:r>
      <w:r w:rsidR="004569FB" w:rsidRPr="00967553">
        <w:rPr>
          <w:snapToGrid w:val="0"/>
          <w:kern w:val="22"/>
          <w:szCs w:val="22"/>
          <w:lang w:val="ru-RU"/>
        </w:rPr>
        <w:t xml:space="preserve">: </w:t>
      </w:r>
      <w:r w:rsidR="00967553" w:rsidRPr="00DB5643">
        <w:rPr>
          <w:snapToGrid w:val="0"/>
          <w:kern w:val="22"/>
          <w:szCs w:val="22"/>
          <w:lang w:val="ru-RU"/>
        </w:rPr>
        <w:t>Азиатско-Тихоокеанский регион</w:t>
      </w:r>
      <w:r w:rsidR="00967553" w:rsidRPr="00967553">
        <w:rPr>
          <w:snapToGrid w:val="0"/>
          <w:kern w:val="22"/>
          <w:szCs w:val="22"/>
          <w:lang w:val="ru-RU"/>
        </w:rPr>
        <w:t xml:space="preserve"> </w:t>
      </w:r>
      <w:r w:rsidR="004569FB" w:rsidRPr="00967553">
        <w:rPr>
          <w:snapToGrid w:val="0"/>
          <w:kern w:val="22"/>
          <w:szCs w:val="22"/>
          <w:lang w:val="ru-RU"/>
        </w:rPr>
        <w:t>(+13</w:t>
      </w:r>
      <w:r w:rsidRPr="00DB5643">
        <w:rPr>
          <w:snapToGrid w:val="0"/>
          <w:kern w:val="22"/>
          <w:szCs w:val="22"/>
          <w:lang w:val="en-US"/>
        </w:rPr>
        <w:t> </w:t>
      </w:r>
      <w:r w:rsidR="004569FB" w:rsidRPr="00967553">
        <w:rPr>
          <w:snapToGrid w:val="0"/>
          <w:kern w:val="22"/>
          <w:szCs w:val="22"/>
          <w:lang w:val="ru-RU"/>
        </w:rPr>
        <w:t xml:space="preserve">%), </w:t>
      </w:r>
      <w:r w:rsidRPr="00DB5643">
        <w:rPr>
          <w:snapToGrid w:val="0"/>
          <w:kern w:val="22"/>
          <w:szCs w:val="22"/>
          <w:lang w:val="ru-RU"/>
        </w:rPr>
        <w:t>Африка</w:t>
      </w:r>
      <w:r w:rsidR="004569FB" w:rsidRPr="00967553">
        <w:rPr>
          <w:snapToGrid w:val="0"/>
          <w:kern w:val="22"/>
          <w:szCs w:val="22"/>
          <w:lang w:val="ru-RU"/>
        </w:rPr>
        <w:t xml:space="preserve"> (+11</w:t>
      </w:r>
      <w:r w:rsidRPr="00DB5643">
        <w:rPr>
          <w:snapToGrid w:val="0"/>
          <w:kern w:val="22"/>
          <w:szCs w:val="22"/>
          <w:lang w:val="en-US"/>
        </w:rPr>
        <w:t> </w:t>
      </w:r>
      <w:r w:rsidR="004569FB" w:rsidRPr="00967553">
        <w:rPr>
          <w:snapToGrid w:val="0"/>
          <w:kern w:val="22"/>
          <w:szCs w:val="22"/>
          <w:lang w:val="ru-RU"/>
        </w:rPr>
        <w:t xml:space="preserve">%), </w:t>
      </w:r>
      <w:proofErr w:type="spellStart"/>
      <w:r w:rsidR="004569FB" w:rsidRPr="00DB5643">
        <w:rPr>
          <w:snapToGrid w:val="0"/>
          <w:kern w:val="22"/>
          <w:szCs w:val="22"/>
        </w:rPr>
        <w:t>CEE</w:t>
      </w:r>
      <w:proofErr w:type="spellEnd"/>
      <w:r w:rsidR="004569FB" w:rsidRPr="00967553">
        <w:rPr>
          <w:snapToGrid w:val="0"/>
          <w:kern w:val="22"/>
          <w:szCs w:val="22"/>
          <w:lang w:val="ru-RU"/>
        </w:rPr>
        <w:t xml:space="preserve"> (+7</w:t>
      </w:r>
      <w:r w:rsidRPr="00DB5643">
        <w:rPr>
          <w:snapToGrid w:val="0"/>
          <w:kern w:val="22"/>
          <w:szCs w:val="22"/>
          <w:lang w:val="en-US"/>
        </w:rPr>
        <w:t> </w:t>
      </w:r>
      <w:r w:rsidR="004569FB" w:rsidRPr="00967553">
        <w:rPr>
          <w:snapToGrid w:val="0"/>
          <w:kern w:val="22"/>
          <w:szCs w:val="22"/>
          <w:lang w:val="ru-RU"/>
        </w:rPr>
        <w:t>%). (</w:t>
      </w:r>
      <w:r w:rsidRPr="00DB5643">
        <w:rPr>
          <w:snapToGrid w:val="0"/>
          <w:kern w:val="22"/>
          <w:szCs w:val="22"/>
          <w:lang w:val="ru-RU"/>
        </w:rPr>
        <w:t>См</w:t>
      </w:r>
      <w:r w:rsidRPr="00967553">
        <w:rPr>
          <w:snapToGrid w:val="0"/>
          <w:kern w:val="22"/>
          <w:szCs w:val="22"/>
          <w:lang w:val="ru-RU"/>
        </w:rPr>
        <w:t xml:space="preserve">. </w:t>
      </w:r>
      <w:r w:rsidRPr="00DB5643">
        <w:rPr>
          <w:snapToGrid w:val="0"/>
          <w:kern w:val="22"/>
          <w:szCs w:val="22"/>
          <w:lang w:val="ru-RU"/>
        </w:rPr>
        <w:t>рис</w:t>
      </w:r>
      <w:r w:rsidRPr="00967553">
        <w:rPr>
          <w:snapToGrid w:val="0"/>
          <w:kern w:val="22"/>
          <w:szCs w:val="22"/>
          <w:lang w:val="ru-RU"/>
        </w:rPr>
        <w:t>.</w:t>
      </w:r>
      <w:r w:rsidR="004569FB" w:rsidRPr="00967553">
        <w:rPr>
          <w:snapToGrid w:val="0"/>
          <w:kern w:val="22"/>
          <w:szCs w:val="22"/>
          <w:lang w:val="ru-RU"/>
        </w:rPr>
        <w:t xml:space="preserve"> 1).</w:t>
      </w:r>
    </w:p>
    <w:p w14:paraId="192C3AF4" w14:textId="7C8C6592" w:rsidR="004569FB" w:rsidRPr="00DB5643" w:rsidRDefault="005237DD"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Из числа Сторон, сообщивших о принятии или использовании инструктивных документов по оценке рисков или регулированию рисков</w:t>
      </w:r>
      <w:r w:rsidR="004569FB" w:rsidRPr="00DB5643">
        <w:rPr>
          <w:snapToGrid w:val="0"/>
          <w:kern w:val="22"/>
          <w:szCs w:val="22"/>
          <w:lang w:val="ru-RU"/>
        </w:rPr>
        <w:t>, 41</w:t>
      </w:r>
      <w:r w:rsidRPr="00DB5643">
        <w:t> </w:t>
      </w:r>
      <w:r w:rsidR="004569FB" w:rsidRPr="00DB5643">
        <w:rPr>
          <w:snapToGrid w:val="0"/>
          <w:kern w:val="22"/>
          <w:szCs w:val="22"/>
          <w:lang w:val="ru-RU"/>
        </w:rPr>
        <w:t xml:space="preserve">% (29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 об использовании</w:t>
      </w:r>
      <w:r w:rsidR="004569FB" w:rsidRPr="00DB5643">
        <w:rPr>
          <w:snapToGrid w:val="0"/>
          <w:kern w:val="22"/>
          <w:szCs w:val="22"/>
          <w:lang w:val="ru-RU"/>
        </w:rPr>
        <w:t xml:space="preserve"> </w:t>
      </w:r>
      <w:r w:rsidRPr="00DB5643">
        <w:rPr>
          <w:snapToGrid w:val="0"/>
          <w:kern w:val="22"/>
          <w:szCs w:val="22"/>
          <w:lang w:val="ru-RU"/>
        </w:rPr>
        <w:t>«</w:t>
      </w:r>
      <w:r w:rsidR="00B13DE8" w:rsidRPr="00DB5643">
        <w:rPr>
          <w:snapToGrid w:val="0"/>
          <w:kern w:val="22"/>
          <w:szCs w:val="22"/>
          <w:lang w:val="ru-RU"/>
        </w:rPr>
        <w:t xml:space="preserve">Руководства по оценке рисков в отношении </w:t>
      </w:r>
      <w:proofErr w:type="spellStart"/>
      <w:r w:rsidR="00B13DE8" w:rsidRPr="00DB5643">
        <w:rPr>
          <w:snapToGrid w:val="0"/>
          <w:kern w:val="22"/>
          <w:szCs w:val="22"/>
          <w:lang w:val="ru-RU"/>
        </w:rPr>
        <w:t>ЖИО</w:t>
      </w:r>
      <w:proofErr w:type="spellEnd"/>
      <w:r w:rsidR="00B13DE8" w:rsidRPr="00DB5643">
        <w:rPr>
          <w:snapToGrid w:val="0"/>
          <w:kern w:val="22"/>
          <w:szCs w:val="22"/>
          <w:lang w:val="ru-RU"/>
        </w:rPr>
        <w:t>»</w:t>
      </w:r>
      <w:r w:rsidR="004569FB" w:rsidRPr="00DB5643">
        <w:rPr>
          <w:snapToGrid w:val="0"/>
          <w:kern w:val="22"/>
          <w:szCs w:val="22"/>
          <w:lang w:val="ru-RU"/>
        </w:rPr>
        <w:t xml:space="preserve"> (</w:t>
      </w:r>
      <w:r w:rsidR="00B13DE8" w:rsidRPr="00DB5643">
        <w:rPr>
          <w:snapToGrid w:val="0"/>
          <w:kern w:val="22"/>
          <w:szCs w:val="22"/>
          <w:lang w:val="ru-RU"/>
        </w:rPr>
        <w:t xml:space="preserve">разработанного Сетевым форумом и </w:t>
      </w:r>
      <w:proofErr w:type="spellStart"/>
      <w:r w:rsidR="00B13DE8" w:rsidRPr="00DB5643">
        <w:rPr>
          <w:snapToGrid w:val="0"/>
          <w:kern w:val="22"/>
          <w:szCs w:val="22"/>
          <w:lang w:val="ru-RU"/>
        </w:rPr>
        <w:t>СГТЭ</w:t>
      </w:r>
      <w:proofErr w:type="spellEnd"/>
      <w:r w:rsidR="00B13DE8" w:rsidRPr="00DB5643">
        <w:rPr>
          <w:snapToGrid w:val="0"/>
          <w:kern w:val="22"/>
          <w:szCs w:val="22"/>
          <w:lang w:val="ru-RU"/>
        </w:rPr>
        <w:t xml:space="preserve"> по оценке рисков и регулированию рисков</w:t>
      </w:r>
      <w:r w:rsidR="004569FB" w:rsidRPr="00DB5643">
        <w:rPr>
          <w:snapToGrid w:val="0"/>
          <w:kern w:val="22"/>
          <w:szCs w:val="22"/>
          <w:lang w:val="ru-RU"/>
        </w:rPr>
        <w:t xml:space="preserve">). </w:t>
      </w:r>
      <w:r w:rsidR="00B13DE8" w:rsidRPr="00DB5643">
        <w:rPr>
          <w:snapToGrid w:val="0"/>
          <w:kern w:val="22"/>
          <w:szCs w:val="22"/>
          <w:lang w:val="ru-RU"/>
        </w:rPr>
        <w:t>Это соответствует увеличению на</w:t>
      </w:r>
      <w:r w:rsidR="004569FB" w:rsidRPr="00DB5643">
        <w:rPr>
          <w:snapToGrid w:val="0"/>
          <w:kern w:val="22"/>
          <w:szCs w:val="22"/>
          <w:lang w:val="ru-RU"/>
        </w:rPr>
        <w:t xml:space="preserve"> </w:t>
      </w:r>
      <w:r w:rsidR="006E5175" w:rsidRPr="00DB5643">
        <w:rPr>
          <w:snapToGrid w:val="0"/>
          <w:kern w:val="22"/>
          <w:szCs w:val="22"/>
          <w:lang w:val="ru-RU"/>
        </w:rPr>
        <w:t>5</w:t>
      </w:r>
      <w:r w:rsidR="00B13DE8" w:rsidRPr="00DB5643">
        <w:rPr>
          <w:snapToGrid w:val="0"/>
          <w:kern w:val="22"/>
          <w:szCs w:val="22"/>
          <w:lang w:val="en-US"/>
        </w:rPr>
        <w:t> </w:t>
      </w:r>
      <w:r w:rsidR="004569FB" w:rsidRPr="00DB5643">
        <w:rPr>
          <w:snapToGrid w:val="0"/>
          <w:kern w:val="22"/>
          <w:szCs w:val="22"/>
          <w:lang w:val="ru-RU"/>
        </w:rPr>
        <w:t>% (</w:t>
      </w:r>
      <w:r w:rsidR="006E5175" w:rsidRPr="00DB5643">
        <w:rPr>
          <w:snapToGrid w:val="0"/>
          <w:kern w:val="22"/>
          <w:szCs w:val="22"/>
          <w:lang w:val="ru-RU"/>
        </w:rPr>
        <w:t>35</w:t>
      </w:r>
      <w:r w:rsidR="004569FB" w:rsidRPr="00DB5643">
        <w:rPr>
          <w:snapToGrid w:val="0"/>
          <w:kern w:val="22"/>
          <w:szCs w:val="22"/>
          <w:lang w:val="ru-RU"/>
        </w:rPr>
        <w:t xml:space="preserve"> </w:t>
      </w:r>
      <w:r w:rsidR="00B13DE8" w:rsidRPr="00DB5643">
        <w:rPr>
          <w:snapToGrid w:val="0"/>
          <w:kern w:val="22"/>
          <w:szCs w:val="22"/>
          <w:lang w:val="ru-RU"/>
        </w:rPr>
        <w:t>Сторон</w:t>
      </w:r>
      <w:r w:rsidR="004569FB" w:rsidRPr="00DB5643">
        <w:rPr>
          <w:snapToGrid w:val="0"/>
          <w:kern w:val="22"/>
          <w:szCs w:val="22"/>
          <w:lang w:val="ru-RU"/>
        </w:rPr>
        <w:t xml:space="preserve">) </w:t>
      </w:r>
      <w:r w:rsidR="00B13DE8" w:rsidRPr="00DB5643">
        <w:rPr>
          <w:snapToGrid w:val="0"/>
          <w:kern w:val="22"/>
          <w:szCs w:val="22"/>
          <w:lang w:val="ru-RU"/>
        </w:rPr>
        <w:t>по сравнению с промежуточной оценкой</w:t>
      </w:r>
      <w:r w:rsidR="004569FB" w:rsidRPr="00DB5643">
        <w:rPr>
          <w:rStyle w:val="ac"/>
          <w:snapToGrid w:val="0"/>
          <w:kern w:val="22"/>
          <w:szCs w:val="22"/>
        </w:rPr>
        <w:footnoteReference w:id="25"/>
      </w:r>
      <w:r w:rsidR="00B13DE8" w:rsidRPr="00DB5643">
        <w:rPr>
          <w:snapToGrid w:val="0"/>
          <w:kern w:val="22"/>
          <w:szCs w:val="22"/>
          <w:lang w:val="ru-RU"/>
        </w:rPr>
        <w:t>.</w:t>
      </w:r>
      <w:r w:rsidR="004569FB" w:rsidRPr="00DB5643">
        <w:rPr>
          <w:snapToGrid w:val="0"/>
          <w:kern w:val="22"/>
          <w:szCs w:val="22"/>
          <w:lang w:val="ru-RU"/>
        </w:rPr>
        <w:t xml:space="preserve"> </w:t>
      </w:r>
      <w:r w:rsidR="00A63DE9" w:rsidRPr="00DB5643">
        <w:rPr>
          <w:snapToGrid w:val="0"/>
          <w:kern w:val="22"/>
          <w:szCs w:val="22"/>
          <w:lang w:val="ru-RU"/>
        </w:rPr>
        <w:t>Наибольшее изменение было отмечено в Африканском регионе</w:t>
      </w:r>
      <w:r w:rsidR="004569FB" w:rsidRPr="00DB5643">
        <w:rPr>
          <w:snapToGrid w:val="0"/>
          <w:kern w:val="22"/>
          <w:szCs w:val="22"/>
          <w:lang w:val="ru-RU"/>
        </w:rPr>
        <w:t xml:space="preserve"> (+</w:t>
      </w:r>
      <w:r w:rsidR="006E5175" w:rsidRPr="00DB5643">
        <w:rPr>
          <w:snapToGrid w:val="0"/>
          <w:kern w:val="22"/>
          <w:szCs w:val="22"/>
          <w:lang w:val="ru-RU"/>
        </w:rPr>
        <w:t>28</w:t>
      </w:r>
      <w:r w:rsidR="00A63DE9" w:rsidRPr="00DB5643">
        <w:rPr>
          <w:snapToGrid w:val="0"/>
          <w:kern w:val="22"/>
          <w:szCs w:val="22"/>
          <w:lang w:val="en-US"/>
        </w:rPr>
        <w:t> </w:t>
      </w:r>
      <w:r w:rsidR="004569FB" w:rsidRPr="00DB5643">
        <w:rPr>
          <w:snapToGrid w:val="0"/>
          <w:kern w:val="22"/>
          <w:szCs w:val="22"/>
          <w:lang w:val="ru-RU"/>
        </w:rPr>
        <w:t xml:space="preserve">%), </w:t>
      </w:r>
      <w:r w:rsidR="00A63DE9" w:rsidRPr="00DB5643">
        <w:rPr>
          <w:snapToGrid w:val="0"/>
          <w:kern w:val="22"/>
          <w:szCs w:val="22"/>
          <w:lang w:val="ru-RU"/>
        </w:rPr>
        <w:t xml:space="preserve">за которым следуют Азиатско-Тихоокеанский регион </w:t>
      </w:r>
      <w:r w:rsidR="004569FB" w:rsidRPr="00DB5643">
        <w:rPr>
          <w:snapToGrid w:val="0"/>
          <w:kern w:val="22"/>
          <w:szCs w:val="22"/>
          <w:lang w:val="ru-RU"/>
        </w:rPr>
        <w:t>(</w:t>
      </w:r>
      <w:r w:rsidR="006E5175" w:rsidRPr="00DB5643">
        <w:rPr>
          <w:snapToGrid w:val="0"/>
          <w:kern w:val="22"/>
          <w:szCs w:val="22"/>
          <w:lang w:val="ru-RU"/>
        </w:rPr>
        <w:t>-6</w:t>
      </w:r>
      <w:r w:rsidR="00A63DE9" w:rsidRPr="00DB5643">
        <w:rPr>
          <w:snapToGrid w:val="0"/>
          <w:kern w:val="22"/>
          <w:szCs w:val="22"/>
          <w:lang w:val="ru-RU"/>
        </w:rPr>
        <w:t> </w:t>
      </w:r>
      <w:r w:rsidR="004569FB" w:rsidRPr="00DB5643">
        <w:rPr>
          <w:snapToGrid w:val="0"/>
          <w:kern w:val="22"/>
          <w:szCs w:val="22"/>
          <w:lang w:val="ru-RU"/>
        </w:rPr>
        <w:t xml:space="preserve">%) </w:t>
      </w:r>
      <w:r w:rsidR="00A63DE9" w:rsidRPr="00DB5643">
        <w:rPr>
          <w:snapToGrid w:val="0"/>
          <w:kern w:val="22"/>
          <w:szCs w:val="22"/>
          <w:lang w:val="ru-RU"/>
        </w:rPr>
        <w:t>и</w:t>
      </w:r>
      <w:r w:rsidR="006E5175" w:rsidRPr="00DB5643">
        <w:rPr>
          <w:snapToGrid w:val="0"/>
          <w:kern w:val="22"/>
          <w:szCs w:val="22"/>
          <w:lang w:val="ru-RU"/>
        </w:rPr>
        <w:t xml:space="preserve"> </w:t>
      </w:r>
      <w:proofErr w:type="spellStart"/>
      <w:r w:rsidR="006E5175" w:rsidRPr="00DB5643">
        <w:rPr>
          <w:snapToGrid w:val="0"/>
          <w:kern w:val="22"/>
          <w:szCs w:val="22"/>
        </w:rPr>
        <w:t>CEE</w:t>
      </w:r>
      <w:proofErr w:type="spellEnd"/>
      <w:r w:rsidR="006E5175" w:rsidRPr="00DB5643">
        <w:rPr>
          <w:snapToGrid w:val="0"/>
          <w:kern w:val="22"/>
          <w:szCs w:val="22"/>
          <w:lang w:val="ru-RU"/>
        </w:rPr>
        <w:t xml:space="preserve"> (-8</w:t>
      </w:r>
      <w:r w:rsidR="00A63DE9" w:rsidRPr="00DB5643">
        <w:rPr>
          <w:snapToGrid w:val="0"/>
          <w:kern w:val="22"/>
          <w:szCs w:val="22"/>
          <w:lang w:val="ru-RU"/>
        </w:rPr>
        <w:t> </w:t>
      </w:r>
      <w:r w:rsidR="006E5175" w:rsidRPr="00DB5643">
        <w:rPr>
          <w:snapToGrid w:val="0"/>
          <w:kern w:val="22"/>
          <w:szCs w:val="22"/>
          <w:lang w:val="ru-RU"/>
        </w:rPr>
        <w:t xml:space="preserve">%), </w:t>
      </w:r>
      <w:r w:rsidR="00A63DE9" w:rsidRPr="00DB5643">
        <w:rPr>
          <w:snapToGrid w:val="0"/>
          <w:kern w:val="22"/>
          <w:szCs w:val="22"/>
          <w:lang w:val="ru-RU"/>
        </w:rPr>
        <w:t xml:space="preserve">тогда как в регионах </w:t>
      </w:r>
      <w:proofErr w:type="spellStart"/>
      <w:r w:rsidR="00A63DE9" w:rsidRPr="00DB5643">
        <w:rPr>
          <w:snapToGrid w:val="0"/>
          <w:kern w:val="22"/>
          <w:szCs w:val="22"/>
          <w:lang w:val="ru-RU"/>
        </w:rPr>
        <w:t>ГРУЛАК</w:t>
      </w:r>
      <w:proofErr w:type="spellEnd"/>
      <w:r w:rsidR="00A63DE9" w:rsidRPr="00DB5643">
        <w:rPr>
          <w:snapToGrid w:val="0"/>
          <w:kern w:val="22"/>
          <w:szCs w:val="22"/>
          <w:lang w:val="ru-RU"/>
        </w:rPr>
        <w:t xml:space="preserve"> и </w:t>
      </w:r>
      <w:proofErr w:type="spellStart"/>
      <w:r w:rsidR="006E5175" w:rsidRPr="00DB5643">
        <w:rPr>
          <w:snapToGrid w:val="0"/>
          <w:kern w:val="22"/>
          <w:szCs w:val="22"/>
        </w:rPr>
        <w:t>WEOG</w:t>
      </w:r>
      <w:proofErr w:type="spellEnd"/>
      <w:r w:rsidR="00A63DE9" w:rsidRPr="00DB5643">
        <w:rPr>
          <w:snapToGrid w:val="0"/>
          <w:kern w:val="22"/>
          <w:szCs w:val="22"/>
          <w:lang w:val="ru-RU"/>
        </w:rPr>
        <w:t xml:space="preserve"> не было отмечено изменений по сравнению с исходным уровнем</w:t>
      </w:r>
      <w:r w:rsidR="004569FB" w:rsidRPr="00DB5643">
        <w:rPr>
          <w:snapToGrid w:val="0"/>
          <w:kern w:val="22"/>
          <w:szCs w:val="22"/>
          <w:lang w:val="ru-RU"/>
        </w:rPr>
        <w:t>.</w:t>
      </w:r>
    </w:p>
    <w:p w14:paraId="50DE7330" w14:textId="216A501D" w:rsidR="004569FB" w:rsidRPr="00DB5643" w:rsidRDefault="00A63DE9"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1.3.2</w:t>
      </w:r>
      <w:r w:rsidR="004569FB" w:rsidRPr="00DB5643">
        <w:rPr>
          <w:snapToGrid w:val="0"/>
          <w:kern w:val="22"/>
          <w:szCs w:val="22"/>
          <w:lang w:val="ru-RU"/>
        </w:rPr>
        <w:t xml:space="preserve"> (</w:t>
      </w:r>
      <w:r w:rsidR="00071213" w:rsidRPr="00DB5643">
        <w:rPr>
          <w:snapToGrid w:val="0"/>
          <w:kern w:val="22"/>
          <w:szCs w:val="22"/>
          <w:lang w:val="ru-RU"/>
        </w:rPr>
        <w:t>процентная</w:t>
      </w:r>
      <w:r w:rsidR="004569FB" w:rsidRPr="00DB5643">
        <w:rPr>
          <w:snapToGrid w:val="0"/>
          <w:kern w:val="22"/>
          <w:szCs w:val="22"/>
          <w:lang w:val="ru-RU"/>
        </w:rPr>
        <w:t xml:space="preserve"> </w:t>
      </w:r>
      <w:r w:rsidR="00071213" w:rsidRPr="00DB5643">
        <w:rPr>
          <w:snapToGrid w:val="0"/>
          <w:kern w:val="22"/>
          <w:szCs w:val="22"/>
          <w:lang w:val="ru-RU"/>
        </w:rPr>
        <w:t>доля Сторон, которые ввели общие подходы к оценке рисков и регулированию рисков</w:t>
      </w:r>
      <w:r w:rsidR="004569FB" w:rsidRPr="00DB5643">
        <w:rPr>
          <w:snapToGrid w:val="0"/>
          <w:kern w:val="22"/>
          <w:szCs w:val="22"/>
          <w:lang w:val="ru-RU"/>
        </w:rPr>
        <w:t xml:space="preserve">) </w:t>
      </w:r>
      <w:bookmarkStart w:id="8" w:name="_Hlk33700597"/>
      <w:r w:rsidR="004569FB" w:rsidRPr="00DB5643">
        <w:rPr>
          <w:snapToGrid w:val="0"/>
          <w:kern w:val="22"/>
          <w:szCs w:val="22"/>
          <w:lang w:val="ru-RU"/>
        </w:rPr>
        <w:t>58</w:t>
      </w:r>
      <w:r w:rsidRPr="00DB5643">
        <w:rPr>
          <w:snapToGrid w:val="0"/>
          <w:kern w:val="22"/>
          <w:szCs w:val="22"/>
          <w:lang w:val="en-US"/>
        </w:rPr>
        <w:t> </w:t>
      </w:r>
      <w:r w:rsidR="004569FB" w:rsidRPr="00DB5643">
        <w:rPr>
          <w:snapToGrid w:val="0"/>
          <w:kern w:val="22"/>
          <w:szCs w:val="22"/>
          <w:lang w:val="ru-RU"/>
        </w:rPr>
        <w:t>%</w:t>
      </w:r>
      <w:r w:rsidR="00A2229A" w:rsidRPr="00DB5643">
        <w:rPr>
          <w:snapToGrid w:val="0"/>
          <w:kern w:val="22"/>
          <w:szCs w:val="22"/>
          <w:lang w:val="ru-RU"/>
        </w:rPr>
        <w:t xml:space="preserve"> Сторон</w:t>
      </w:r>
      <w:r w:rsidR="004569FB" w:rsidRPr="00DB5643">
        <w:rPr>
          <w:snapToGrid w:val="0"/>
          <w:kern w:val="22"/>
          <w:szCs w:val="22"/>
          <w:lang w:val="ru-RU"/>
        </w:rPr>
        <w:t xml:space="preserve"> (41 </w:t>
      </w:r>
      <w:r w:rsidRPr="00DB5643">
        <w:rPr>
          <w:snapToGrid w:val="0"/>
          <w:kern w:val="22"/>
          <w:szCs w:val="22"/>
          <w:lang w:val="ru-RU"/>
        </w:rPr>
        <w:t>Сторона</w:t>
      </w:r>
      <w:r w:rsidR="004569FB" w:rsidRPr="00DB5643">
        <w:rPr>
          <w:snapToGrid w:val="0"/>
          <w:kern w:val="22"/>
          <w:szCs w:val="22"/>
          <w:lang w:val="ru-RU"/>
        </w:rPr>
        <w:t xml:space="preserve">) </w:t>
      </w:r>
      <w:bookmarkEnd w:id="8"/>
      <w:r w:rsidR="00071213" w:rsidRPr="00DB5643">
        <w:rPr>
          <w:snapToGrid w:val="0"/>
          <w:kern w:val="22"/>
          <w:szCs w:val="22"/>
          <w:lang w:val="ru-RU"/>
        </w:rPr>
        <w:t>сообщили</w:t>
      </w:r>
      <w:r w:rsidR="00A2229A" w:rsidRPr="00DB5643">
        <w:rPr>
          <w:snapToGrid w:val="0"/>
          <w:kern w:val="22"/>
          <w:szCs w:val="22"/>
          <w:lang w:val="ru-RU"/>
        </w:rPr>
        <w:t xml:space="preserve"> о введении общих подходов или методик оценки рисков в координации с другими странами</w:t>
      </w:r>
      <w:r w:rsidR="004569FB" w:rsidRPr="00DB5643">
        <w:rPr>
          <w:snapToGrid w:val="0"/>
          <w:kern w:val="22"/>
          <w:szCs w:val="22"/>
          <w:lang w:val="ru-RU"/>
        </w:rPr>
        <w:t xml:space="preserve">, </w:t>
      </w:r>
      <w:r w:rsidR="00A2229A" w:rsidRPr="00DB5643">
        <w:rPr>
          <w:snapToGrid w:val="0"/>
          <w:kern w:val="22"/>
          <w:szCs w:val="22"/>
          <w:lang w:val="ru-RU"/>
        </w:rPr>
        <w:t>что соответствует увеличению на</w:t>
      </w:r>
      <w:r w:rsidR="004569FB" w:rsidRPr="00DB5643">
        <w:rPr>
          <w:snapToGrid w:val="0"/>
          <w:kern w:val="22"/>
          <w:szCs w:val="22"/>
          <w:lang w:val="ru-RU"/>
        </w:rPr>
        <w:t xml:space="preserve"> 13</w:t>
      </w:r>
      <w:r w:rsidR="00A2229A" w:rsidRPr="00DB5643">
        <w:rPr>
          <w:snapToGrid w:val="0"/>
          <w:kern w:val="22"/>
          <w:szCs w:val="22"/>
          <w:lang w:val="ru-RU"/>
        </w:rPr>
        <w:t> </w:t>
      </w:r>
      <w:r w:rsidR="004569FB" w:rsidRPr="00DB5643">
        <w:rPr>
          <w:snapToGrid w:val="0"/>
          <w:kern w:val="22"/>
          <w:szCs w:val="22"/>
          <w:lang w:val="ru-RU"/>
        </w:rPr>
        <w:t xml:space="preserve">% </w:t>
      </w:r>
      <w:r w:rsidR="00A2229A"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A2229A" w:rsidRPr="00DB5643">
        <w:rPr>
          <w:snapToGrid w:val="0"/>
          <w:kern w:val="22"/>
          <w:szCs w:val="22"/>
          <w:lang w:val="ru-RU"/>
        </w:rPr>
        <w:t>Все регионы сообщили об увеличении</w:t>
      </w:r>
      <w:r w:rsidR="004569FB" w:rsidRPr="00DB5643">
        <w:rPr>
          <w:snapToGrid w:val="0"/>
          <w:kern w:val="22"/>
          <w:szCs w:val="22"/>
          <w:lang w:val="ru-RU"/>
        </w:rPr>
        <w:t xml:space="preserve">, </w:t>
      </w:r>
      <w:r w:rsidR="00A2229A" w:rsidRPr="00DB5643">
        <w:rPr>
          <w:snapToGrid w:val="0"/>
          <w:kern w:val="22"/>
          <w:szCs w:val="22"/>
          <w:lang w:val="ru-RU"/>
        </w:rPr>
        <w:t xml:space="preserve">которое было наибольшим в </w:t>
      </w:r>
      <w:proofErr w:type="spellStart"/>
      <w:r w:rsidR="00A2229A" w:rsidRPr="00DB5643">
        <w:rPr>
          <w:snapToGrid w:val="0"/>
          <w:kern w:val="22"/>
          <w:szCs w:val="22"/>
          <w:lang w:val="ru-RU"/>
        </w:rPr>
        <w:t>ГРУЛАК</w:t>
      </w:r>
      <w:proofErr w:type="spellEnd"/>
      <w:r w:rsidR="004569FB" w:rsidRPr="00DB5643">
        <w:rPr>
          <w:snapToGrid w:val="0"/>
          <w:kern w:val="22"/>
          <w:szCs w:val="22"/>
          <w:lang w:val="ru-RU"/>
        </w:rPr>
        <w:t xml:space="preserve"> (+23</w:t>
      </w:r>
      <w:r w:rsidR="00A2229A" w:rsidRPr="00DB5643">
        <w:rPr>
          <w:snapToGrid w:val="0"/>
          <w:kern w:val="22"/>
          <w:szCs w:val="22"/>
          <w:lang w:val="ru-RU"/>
        </w:rPr>
        <w:t> </w:t>
      </w:r>
      <w:r w:rsidR="004569FB" w:rsidRPr="00DB5643">
        <w:rPr>
          <w:snapToGrid w:val="0"/>
          <w:kern w:val="22"/>
          <w:szCs w:val="22"/>
          <w:lang w:val="ru-RU"/>
        </w:rPr>
        <w:t xml:space="preserve">%), </w:t>
      </w:r>
      <w:r w:rsidR="00A2229A" w:rsidRPr="00DB5643">
        <w:rPr>
          <w:snapToGrid w:val="0"/>
          <w:kern w:val="22"/>
          <w:szCs w:val="22"/>
          <w:lang w:val="ru-RU"/>
        </w:rPr>
        <w:t xml:space="preserve">за которым следуют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(+1</w:t>
      </w:r>
      <w:r w:rsidR="003E624C" w:rsidRPr="00DB5643">
        <w:rPr>
          <w:snapToGrid w:val="0"/>
          <w:kern w:val="22"/>
          <w:szCs w:val="22"/>
          <w:lang w:val="ru-RU"/>
        </w:rPr>
        <w:t>4</w:t>
      </w:r>
      <w:r w:rsidR="00A2229A"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(+13</w:t>
      </w:r>
      <w:r w:rsidR="00A2229A" w:rsidRPr="00DB5643">
        <w:rPr>
          <w:snapToGrid w:val="0"/>
          <w:kern w:val="22"/>
          <w:szCs w:val="22"/>
          <w:lang w:val="ru-RU"/>
        </w:rPr>
        <w:t> </w:t>
      </w:r>
      <w:r w:rsidR="004569FB" w:rsidRPr="00DB5643">
        <w:rPr>
          <w:snapToGrid w:val="0"/>
          <w:kern w:val="22"/>
          <w:szCs w:val="22"/>
          <w:lang w:val="ru-RU"/>
        </w:rPr>
        <w:t xml:space="preserve">%); </w:t>
      </w:r>
      <w:r w:rsidR="00A2229A" w:rsidRPr="00DB5643">
        <w:rPr>
          <w:snapToGrid w:val="0"/>
          <w:kern w:val="22"/>
          <w:szCs w:val="22"/>
          <w:lang w:val="ru-RU"/>
        </w:rPr>
        <w:t xml:space="preserve">Азиатско-Тихоокеанский регион </w:t>
      </w:r>
      <w:r w:rsidR="004569FB" w:rsidRPr="00DB5643">
        <w:rPr>
          <w:snapToGrid w:val="0"/>
          <w:kern w:val="22"/>
          <w:szCs w:val="22"/>
          <w:lang w:val="ru-RU"/>
        </w:rPr>
        <w:t>(+11</w:t>
      </w:r>
      <w:r w:rsidR="00A2229A" w:rsidRPr="00DB5643">
        <w:rPr>
          <w:snapToGrid w:val="0"/>
          <w:kern w:val="22"/>
          <w:szCs w:val="22"/>
          <w:lang w:val="ru-RU"/>
        </w:rPr>
        <w:t> </w:t>
      </w:r>
      <w:r w:rsidR="004569FB" w:rsidRPr="00DB5643">
        <w:rPr>
          <w:snapToGrid w:val="0"/>
          <w:kern w:val="22"/>
          <w:szCs w:val="22"/>
          <w:lang w:val="ru-RU"/>
        </w:rPr>
        <w:t xml:space="preserve">%) </w:t>
      </w:r>
      <w:r w:rsidR="00A2229A" w:rsidRPr="00DB5643">
        <w:rPr>
          <w:snapToGrid w:val="0"/>
          <w:kern w:val="22"/>
          <w:szCs w:val="22"/>
          <w:lang w:val="ru-RU"/>
        </w:rPr>
        <w:t>и Африка</w:t>
      </w:r>
      <w:r w:rsidR="004569FB" w:rsidRPr="00DB5643">
        <w:rPr>
          <w:snapToGrid w:val="0"/>
          <w:kern w:val="22"/>
          <w:szCs w:val="22"/>
          <w:lang w:val="ru-RU"/>
        </w:rPr>
        <w:t xml:space="preserve"> (+5</w:t>
      </w:r>
      <w:r w:rsidR="00A2229A" w:rsidRPr="00DB5643">
        <w:rPr>
          <w:snapToGrid w:val="0"/>
          <w:kern w:val="22"/>
          <w:szCs w:val="22"/>
          <w:lang w:val="ru-RU"/>
        </w:rPr>
        <w:t> </w:t>
      </w:r>
      <w:r w:rsidR="004569FB" w:rsidRPr="00DB5643">
        <w:rPr>
          <w:snapToGrid w:val="0"/>
          <w:kern w:val="22"/>
          <w:szCs w:val="22"/>
          <w:lang w:val="ru-RU"/>
        </w:rPr>
        <w:t>%).</w:t>
      </w:r>
    </w:p>
    <w:p w14:paraId="00F5DC65" w14:textId="2164BBD5" w:rsidR="004569FB" w:rsidRPr="00DB5643" w:rsidRDefault="00071213"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отношении </w:t>
      </w:r>
      <w:r w:rsidRPr="00DB5643">
        <w:rPr>
          <w:b/>
          <w:snapToGrid w:val="0"/>
          <w:kern w:val="22"/>
          <w:szCs w:val="22"/>
          <w:lang w:val="ru-RU"/>
        </w:rPr>
        <w:t>индикатора</w:t>
      </w:r>
      <w:r w:rsidR="004569FB" w:rsidRPr="00DB5643">
        <w:rPr>
          <w:b/>
          <w:snapToGrid w:val="0"/>
          <w:kern w:val="22"/>
          <w:szCs w:val="22"/>
          <w:lang w:val="ru-RU"/>
        </w:rPr>
        <w:t xml:space="preserve"> 1.3.3</w:t>
      </w:r>
      <w:r w:rsidR="004569FB" w:rsidRPr="00DB5643">
        <w:rPr>
          <w:snapToGrid w:val="0"/>
          <w:kern w:val="22"/>
          <w:szCs w:val="22"/>
          <w:lang w:val="ru-RU"/>
        </w:rPr>
        <w:t xml:space="preserve"> (</w:t>
      </w:r>
      <w:r w:rsidR="00A2229A" w:rsidRPr="00DB5643">
        <w:rPr>
          <w:snapToGrid w:val="0"/>
          <w:kern w:val="22"/>
          <w:szCs w:val="22"/>
          <w:lang w:val="ru-RU"/>
        </w:rPr>
        <w:t>процентная доля Сторон, проводящих фактические оценки рисков в соответствии с Протоколом</w:t>
      </w:r>
      <w:r w:rsidR="004569FB" w:rsidRPr="00DB5643">
        <w:rPr>
          <w:snapToGrid w:val="0"/>
          <w:kern w:val="22"/>
          <w:szCs w:val="22"/>
          <w:lang w:val="ru-RU"/>
        </w:rPr>
        <w:t>) 61</w:t>
      </w:r>
      <w:r w:rsidR="00A2229A" w:rsidRPr="00DB5643">
        <w:rPr>
          <w:snapToGrid w:val="0"/>
          <w:kern w:val="22"/>
          <w:szCs w:val="22"/>
          <w:lang w:val="ru-RU"/>
        </w:rPr>
        <w:t> </w:t>
      </w:r>
      <w:r w:rsidR="004569FB" w:rsidRPr="00DB5643">
        <w:rPr>
          <w:snapToGrid w:val="0"/>
          <w:kern w:val="22"/>
          <w:szCs w:val="22"/>
          <w:lang w:val="ru-RU"/>
        </w:rPr>
        <w:t xml:space="preserve">% </w:t>
      </w:r>
      <w:r w:rsidR="00A2229A" w:rsidRPr="00DB5643">
        <w:rPr>
          <w:snapToGrid w:val="0"/>
          <w:kern w:val="22"/>
          <w:szCs w:val="22"/>
          <w:lang w:val="ru-RU"/>
        </w:rPr>
        <w:t>Сторон</w:t>
      </w:r>
      <w:r w:rsidR="004569FB" w:rsidRPr="00DB5643">
        <w:rPr>
          <w:snapToGrid w:val="0"/>
          <w:kern w:val="22"/>
          <w:szCs w:val="22"/>
          <w:lang w:val="ru-RU"/>
        </w:rPr>
        <w:t xml:space="preserve"> (43 </w:t>
      </w:r>
      <w:r w:rsidR="00A2229A" w:rsidRPr="00DB5643">
        <w:rPr>
          <w:snapToGrid w:val="0"/>
          <w:kern w:val="22"/>
          <w:szCs w:val="22"/>
          <w:lang w:val="ru-RU"/>
        </w:rPr>
        <w:t>Стороны</w:t>
      </w:r>
      <w:r w:rsidR="004569FB" w:rsidRPr="00DB5643">
        <w:rPr>
          <w:snapToGrid w:val="0"/>
          <w:kern w:val="22"/>
          <w:szCs w:val="22"/>
          <w:lang w:val="ru-RU"/>
        </w:rPr>
        <w:t xml:space="preserve">) </w:t>
      </w:r>
      <w:r w:rsidR="00A2229A" w:rsidRPr="00DB5643">
        <w:rPr>
          <w:snapToGrid w:val="0"/>
          <w:kern w:val="22"/>
          <w:szCs w:val="22"/>
          <w:lang w:val="ru-RU"/>
        </w:rPr>
        <w:t xml:space="preserve">сообщили о проведении оценки рисков в отношении </w:t>
      </w:r>
      <w:proofErr w:type="spellStart"/>
      <w:r w:rsidR="00A2229A" w:rsidRPr="00DB5643">
        <w:rPr>
          <w:snapToGrid w:val="0"/>
          <w:kern w:val="22"/>
          <w:szCs w:val="22"/>
          <w:lang w:val="ru-RU"/>
        </w:rPr>
        <w:t>ЖИО</w:t>
      </w:r>
      <w:proofErr w:type="spellEnd"/>
      <w:r w:rsidR="00A2229A" w:rsidRPr="00DB5643">
        <w:rPr>
          <w:snapToGrid w:val="0"/>
          <w:kern w:val="22"/>
          <w:szCs w:val="22"/>
          <w:lang w:val="ru-RU"/>
        </w:rPr>
        <w:t xml:space="preserve"> в соответствии с Протоколом в текущем отчетном периоде</w:t>
      </w:r>
      <w:r w:rsidR="004569FB" w:rsidRPr="00DB5643">
        <w:rPr>
          <w:snapToGrid w:val="0"/>
          <w:kern w:val="22"/>
          <w:szCs w:val="22"/>
          <w:lang w:val="ru-RU"/>
        </w:rPr>
        <w:t xml:space="preserve">. </w:t>
      </w:r>
      <w:r w:rsidR="00A2229A" w:rsidRPr="00DB5643">
        <w:rPr>
          <w:snapToGrid w:val="0"/>
          <w:kern w:val="22"/>
          <w:szCs w:val="22"/>
          <w:lang w:val="ru-RU"/>
        </w:rPr>
        <w:t xml:space="preserve">Это соответствует увеличению на </w:t>
      </w:r>
      <w:r w:rsidR="004569FB" w:rsidRPr="00DB5643">
        <w:rPr>
          <w:snapToGrid w:val="0"/>
          <w:kern w:val="22"/>
          <w:szCs w:val="22"/>
          <w:lang w:val="ru-RU"/>
        </w:rPr>
        <w:t>9</w:t>
      </w:r>
      <w:r w:rsidR="00A2229A" w:rsidRPr="00DB5643">
        <w:rPr>
          <w:snapToGrid w:val="0"/>
          <w:kern w:val="22"/>
          <w:szCs w:val="22"/>
          <w:lang w:val="ru-RU"/>
        </w:rPr>
        <w:t> </w:t>
      </w:r>
      <w:r w:rsidR="004569FB" w:rsidRPr="00DB5643">
        <w:rPr>
          <w:snapToGrid w:val="0"/>
          <w:kern w:val="22"/>
          <w:szCs w:val="22"/>
          <w:lang w:val="ru-RU"/>
        </w:rPr>
        <w:t xml:space="preserve">% </w:t>
      </w:r>
      <w:r w:rsidR="00861B4F"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861B4F" w:rsidRPr="00DB5643">
        <w:rPr>
          <w:snapToGrid w:val="0"/>
          <w:kern w:val="22"/>
          <w:szCs w:val="22"/>
          <w:lang w:val="ru-RU"/>
        </w:rPr>
        <w:t>На региональном уровне сообщено об увеличении в</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(+36</w:t>
      </w:r>
      <w:r w:rsidR="00861B4F" w:rsidRPr="00DB5643">
        <w:rPr>
          <w:snapToGrid w:val="0"/>
          <w:kern w:val="22"/>
          <w:szCs w:val="22"/>
          <w:lang w:val="ru-RU"/>
        </w:rPr>
        <w:t> </w:t>
      </w:r>
      <w:r w:rsidR="004569FB" w:rsidRPr="00DB5643">
        <w:rPr>
          <w:snapToGrid w:val="0"/>
          <w:kern w:val="22"/>
          <w:szCs w:val="22"/>
          <w:lang w:val="ru-RU"/>
        </w:rPr>
        <w:t xml:space="preserve">%); </w:t>
      </w:r>
      <w:r w:rsidR="00861B4F" w:rsidRPr="00DB5643">
        <w:rPr>
          <w:snapToGrid w:val="0"/>
          <w:kern w:val="22"/>
          <w:szCs w:val="22"/>
          <w:lang w:val="ru-RU"/>
        </w:rPr>
        <w:t>Азиатско-Тихоокеанском регионе</w:t>
      </w:r>
      <w:r w:rsidR="004569FB" w:rsidRPr="00DB5643">
        <w:rPr>
          <w:snapToGrid w:val="0"/>
          <w:kern w:val="22"/>
          <w:szCs w:val="22"/>
          <w:lang w:val="ru-RU"/>
        </w:rPr>
        <w:t xml:space="preserve"> (+22</w:t>
      </w:r>
      <w:r w:rsidR="00861B4F" w:rsidRPr="00DB5643">
        <w:rPr>
          <w:snapToGrid w:val="0"/>
          <w:kern w:val="22"/>
          <w:szCs w:val="22"/>
          <w:lang w:val="ru-RU"/>
        </w:rPr>
        <w:t> </w:t>
      </w:r>
      <w:r w:rsidR="004569FB" w:rsidRPr="00DB5643">
        <w:rPr>
          <w:snapToGrid w:val="0"/>
          <w:kern w:val="22"/>
          <w:szCs w:val="22"/>
          <w:lang w:val="ru-RU"/>
        </w:rPr>
        <w:t xml:space="preserve">%) </w:t>
      </w:r>
      <w:r w:rsidR="00861B4F" w:rsidRPr="00DB5643">
        <w:rPr>
          <w:snapToGrid w:val="0"/>
          <w:kern w:val="22"/>
          <w:szCs w:val="22"/>
          <w:lang w:val="ru-RU"/>
        </w:rPr>
        <w:t>и</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(+6</w:t>
      </w:r>
      <w:r w:rsidR="00861B4F" w:rsidRPr="00DB5643">
        <w:rPr>
          <w:snapToGrid w:val="0"/>
          <w:kern w:val="22"/>
          <w:szCs w:val="22"/>
          <w:lang w:val="ru-RU"/>
        </w:rPr>
        <w:t> </w:t>
      </w:r>
      <w:r w:rsidR="004569FB" w:rsidRPr="00DB5643">
        <w:rPr>
          <w:snapToGrid w:val="0"/>
          <w:kern w:val="22"/>
          <w:szCs w:val="22"/>
          <w:lang w:val="ru-RU"/>
        </w:rPr>
        <w:t xml:space="preserve">%). </w:t>
      </w:r>
      <w:r w:rsidR="00861B4F" w:rsidRPr="00DB5643">
        <w:rPr>
          <w:snapToGrid w:val="0"/>
          <w:kern w:val="22"/>
          <w:szCs w:val="22"/>
          <w:lang w:val="ru-RU"/>
        </w:rPr>
        <w:t xml:space="preserve">В регионе </w:t>
      </w:r>
      <w:proofErr w:type="spellStart"/>
      <w:r w:rsidR="00861B4F" w:rsidRPr="00DB5643">
        <w:rPr>
          <w:snapToGrid w:val="0"/>
          <w:kern w:val="22"/>
          <w:szCs w:val="22"/>
          <w:lang w:val="ru-RU"/>
        </w:rPr>
        <w:t>ГРУЛАК</w:t>
      </w:r>
      <w:proofErr w:type="spellEnd"/>
      <w:r w:rsidR="00861B4F" w:rsidRPr="00DB5643">
        <w:rPr>
          <w:snapToGrid w:val="0"/>
          <w:kern w:val="22"/>
          <w:szCs w:val="22"/>
          <w:lang w:val="ru-RU"/>
        </w:rPr>
        <w:t xml:space="preserve"> было отмечено уменьшение</w:t>
      </w:r>
      <w:r w:rsidR="004569FB" w:rsidRPr="00DB5643">
        <w:rPr>
          <w:snapToGrid w:val="0"/>
          <w:kern w:val="22"/>
          <w:szCs w:val="22"/>
          <w:lang w:val="ru-RU"/>
        </w:rPr>
        <w:t xml:space="preserve"> (-15</w:t>
      </w:r>
      <w:r w:rsidR="00861B4F" w:rsidRPr="00DB5643">
        <w:rPr>
          <w:snapToGrid w:val="0"/>
          <w:kern w:val="22"/>
          <w:szCs w:val="22"/>
          <w:lang w:val="en-US"/>
        </w:rPr>
        <w:t> </w:t>
      </w:r>
      <w:r w:rsidR="004569FB" w:rsidRPr="00DB5643">
        <w:rPr>
          <w:snapToGrid w:val="0"/>
          <w:kern w:val="22"/>
          <w:szCs w:val="22"/>
          <w:lang w:val="ru-RU"/>
        </w:rPr>
        <w:t xml:space="preserve">%), </w:t>
      </w:r>
      <w:r w:rsidR="00861B4F" w:rsidRPr="00DB5643">
        <w:rPr>
          <w:snapToGrid w:val="0"/>
          <w:kern w:val="22"/>
          <w:szCs w:val="22"/>
          <w:lang w:val="ru-RU"/>
        </w:rPr>
        <w:t>а в Африканском регионе не было зафиксировано изменений по отношению к исходному уровню</w:t>
      </w:r>
      <w:r w:rsidR="004569FB" w:rsidRPr="00DB5643">
        <w:rPr>
          <w:snapToGrid w:val="0"/>
          <w:kern w:val="22"/>
          <w:szCs w:val="22"/>
          <w:lang w:val="ru-RU"/>
        </w:rPr>
        <w:t xml:space="preserve">. </w:t>
      </w:r>
      <w:r w:rsidR="0086323F" w:rsidRPr="00DB5643">
        <w:rPr>
          <w:snapToGrid w:val="0"/>
          <w:kern w:val="22"/>
          <w:szCs w:val="22"/>
          <w:lang w:val="ru-RU"/>
        </w:rPr>
        <w:t>Из числа Сторон, сообщивших о проведении оценки рисков,</w:t>
      </w:r>
      <w:r w:rsidR="004569FB" w:rsidRPr="00DB5643">
        <w:rPr>
          <w:snapToGrid w:val="0"/>
          <w:kern w:val="22"/>
          <w:szCs w:val="22"/>
          <w:lang w:val="ru-RU"/>
        </w:rPr>
        <w:t xml:space="preserve"> 25</w:t>
      </w:r>
      <w:r w:rsidR="0086323F" w:rsidRPr="00DB5643">
        <w:rPr>
          <w:snapToGrid w:val="0"/>
          <w:kern w:val="22"/>
          <w:szCs w:val="22"/>
          <w:lang w:val="en-US"/>
        </w:rPr>
        <w:t> </w:t>
      </w:r>
      <w:r w:rsidR="004569FB" w:rsidRPr="00DB5643">
        <w:rPr>
          <w:snapToGrid w:val="0"/>
          <w:kern w:val="22"/>
          <w:szCs w:val="22"/>
          <w:lang w:val="ru-RU"/>
        </w:rPr>
        <w:t xml:space="preserve">% </w:t>
      </w:r>
      <w:r w:rsidR="0086323F" w:rsidRPr="00DB5643">
        <w:rPr>
          <w:snapToGrid w:val="0"/>
          <w:kern w:val="22"/>
          <w:szCs w:val="22"/>
          <w:lang w:val="ru-RU"/>
        </w:rPr>
        <w:t>сообщили о проведении</w:t>
      </w:r>
      <w:r w:rsidR="004569FB" w:rsidRPr="00DB5643">
        <w:rPr>
          <w:snapToGrid w:val="0"/>
          <w:kern w:val="22"/>
          <w:szCs w:val="22"/>
          <w:lang w:val="ru-RU"/>
        </w:rPr>
        <w:t xml:space="preserve"> 100 </w:t>
      </w:r>
      <w:r w:rsidR="0086323F" w:rsidRPr="00DB5643">
        <w:rPr>
          <w:snapToGrid w:val="0"/>
          <w:kern w:val="22"/>
          <w:szCs w:val="22"/>
          <w:lang w:val="ru-RU"/>
        </w:rPr>
        <w:t>или более оценок рисков в данном отчетном цикле</w:t>
      </w:r>
      <w:r w:rsidR="004569FB" w:rsidRPr="00DB5643">
        <w:rPr>
          <w:snapToGrid w:val="0"/>
          <w:kern w:val="22"/>
          <w:szCs w:val="22"/>
          <w:lang w:val="ru-RU"/>
        </w:rPr>
        <w:t>; 15</w:t>
      </w:r>
      <w:r w:rsidR="0086323F" w:rsidRPr="00DB5643">
        <w:rPr>
          <w:snapToGrid w:val="0"/>
          <w:kern w:val="22"/>
          <w:szCs w:val="22"/>
          <w:lang w:val="ru-RU"/>
        </w:rPr>
        <w:t> </w:t>
      </w:r>
      <w:r w:rsidR="004569FB" w:rsidRPr="00DB5643">
        <w:rPr>
          <w:snapToGrid w:val="0"/>
          <w:kern w:val="22"/>
          <w:szCs w:val="22"/>
          <w:lang w:val="ru-RU"/>
        </w:rPr>
        <w:t xml:space="preserve">% </w:t>
      </w:r>
      <w:r w:rsidR="0086323F" w:rsidRPr="00DB5643">
        <w:rPr>
          <w:snapToGrid w:val="0"/>
          <w:kern w:val="22"/>
          <w:szCs w:val="22"/>
          <w:lang w:val="ru-RU"/>
        </w:rPr>
        <w:t xml:space="preserve">сообщили о проведении </w:t>
      </w:r>
      <w:r w:rsidR="004569FB" w:rsidRPr="00DB5643">
        <w:rPr>
          <w:snapToGrid w:val="0"/>
          <w:kern w:val="22"/>
          <w:szCs w:val="22"/>
          <w:lang w:val="ru-RU"/>
        </w:rPr>
        <w:t>50</w:t>
      </w:r>
      <w:r w:rsidR="0086323F" w:rsidRPr="00DB5643">
        <w:rPr>
          <w:snapToGrid w:val="0"/>
          <w:kern w:val="22"/>
          <w:szCs w:val="22"/>
          <w:lang w:val="ru-RU"/>
        </w:rPr>
        <w:t>–</w:t>
      </w:r>
      <w:r w:rsidR="004569FB" w:rsidRPr="00DB5643">
        <w:rPr>
          <w:snapToGrid w:val="0"/>
          <w:kern w:val="22"/>
          <w:szCs w:val="22"/>
          <w:lang w:val="ru-RU"/>
        </w:rPr>
        <w:t xml:space="preserve">99 </w:t>
      </w:r>
      <w:r w:rsidR="0086323F" w:rsidRPr="00DB5643">
        <w:rPr>
          <w:snapToGrid w:val="0"/>
          <w:kern w:val="22"/>
          <w:szCs w:val="22"/>
          <w:lang w:val="ru-RU"/>
        </w:rPr>
        <w:t>оценок рисков</w:t>
      </w:r>
      <w:r w:rsidR="004569FB" w:rsidRPr="00DB5643">
        <w:rPr>
          <w:snapToGrid w:val="0"/>
          <w:kern w:val="22"/>
          <w:szCs w:val="22"/>
          <w:lang w:val="ru-RU"/>
        </w:rPr>
        <w:t>; 31</w:t>
      </w:r>
      <w:r w:rsidR="0086323F" w:rsidRPr="00DB5643">
        <w:rPr>
          <w:snapToGrid w:val="0"/>
          <w:kern w:val="22"/>
          <w:szCs w:val="22"/>
          <w:lang w:val="ru-RU"/>
        </w:rPr>
        <w:t> </w:t>
      </w:r>
      <w:r w:rsidR="004569FB" w:rsidRPr="00DB5643">
        <w:rPr>
          <w:snapToGrid w:val="0"/>
          <w:kern w:val="22"/>
          <w:szCs w:val="22"/>
          <w:lang w:val="ru-RU"/>
        </w:rPr>
        <w:t xml:space="preserve">% </w:t>
      </w:r>
      <w:r w:rsidR="0086323F" w:rsidRPr="00DB5643">
        <w:rPr>
          <w:snapToGrid w:val="0"/>
          <w:kern w:val="22"/>
          <w:szCs w:val="22"/>
          <w:lang w:val="ru-RU"/>
        </w:rPr>
        <w:t xml:space="preserve">сообщили о проведении </w:t>
      </w:r>
      <w:r w:rsidR="004569FB" w:rsidRPr="00DB5643">
        <w:rPr>
          <w:snapToGrid w:val="0"/>
          <w:kern w:val="22"/>
          <w:szCs w:val="22"/>
          <w:lang w:val="ru-RU"/>
        </w:rPr>
        <w:t>10</w:t>
      </w:r>
      <w:r w:rsidR="0086323F" w:rsidRPr="00DB5643">
        <w:rPr>
          <w:snapToGrid w:val="0"/>
          <w:kern w:val="22"/>
          <w:szCs w:val="22"/>
          <w:lang w:val="ru-RU"/>
        </w:rPr>
        <w:t>–</w:t>
      </w:r>
      <w:r w:rsidR="004569FB" w:rsidRPr="00DB5643">
        <w:rPr>
          <w:snapToGrid w:val="0"/>
          <w:kern w:val="22"/>
          <w:szCs w:val="22"/>
          <w:lang w:val="ru-RU"/>
        </w:rPr>
        <w:t xml:space="preserve">49 </w:t>
      </w:r>
      <w:r w:rsidR="0086323F" w:rsidRPr="00DB5643">
        <w:rPr>
          <w:snapToGrid w:val="0"/>
          <w:kern w:val="22"/>
          <w:szCs w:val="22"/>
          <w:lang w:val="ru-RU"/>
        </w:rPr>
        <w:t xml:space="preserve">оценок рисков и </w:t>
      </w:r>
      <w:r w:rsidR="004569FB" w:rsidRPr="00DB5643">
        <w:rPr>
          <w:snapToGrid w:val="0"/>
          <w:kern w:val="22"/>
          <w:szCs w:val="22"/>
          <w:lang w:val="ru-RU"/>
        </w:rPr>
        <w:t>29</w:t>
      </w:r>
      <w:r w:rsidR="0086323F" w:rsidRPr="00DB5643">
        <w:rPr>
          <w:snapToGrid w:val="0"/>
          <w:kern w:val="22"/>
          <w:szCs w:val="22"/>
          <w:lang w:val="ru-RU"/>
        </w:rPr>
        <w:t> </w:t>
      </w:r>
      <w:r w:rsidR="004569FB" w:rsidRPr="00DB5643">
        <w:rPr>
          <w:snapToGrid w:val="0"/>
          <w:kern w:val="22"/>
          <w:szCs w:val="22"/>
          <w:lang w:val="ru-RU"/>
        </w:rPr>
        <w:t xml:space="preserve">% </w:t>
      </w:r>
      <w:r w:rsidR="0086323F" w:rsidRPr="00DB5643">
        <w:rPr>
          <w:snapToGrid w:val="0"/>
          <w:kern w:val="22"/>
          <w:szCs w:val="22"/>
          <w:lang w:val="ru-RU"/>
        </w:rPr>
        <w:t>сообщили о проведении</w:t>
      </w:r>
      <w:r w:rsidR="004569FB" w:rsidRPr="00DB5643">
        <w:rPr>
          <w:snapToGrid w:val="0"/>
          <w:kern w:val="22"/>
          <w:szCs w:val="22"/>
          <w:lang w:val="ru-RU"/>
        </w:rPr>
        <w:t xml:space="preserve"> 1</w:t>
      </w:r>
      <w:r w:rsidR="0086323F" w:rsidRPr="00DB5643">
        <w:rPr>
          <w:snapToGrid w:val="0"/>
          <w:kern w:val="22"/>
          <w:szCs w:val="22"/>
          <w:lang w:val="ru-RU"/>
        </w:rPr>
        <w:t>–</w:t>
      </w:r>
      <w:r w:rsidR="004569FB" w:rsidRPr="00DB5643">
        <w:rPr>
          <w:snapToGrid w:val="0"/>
          <w:kern w:val="22"/>
          <w:szCs w:val="22"/>
          <w:lang w:val="ru-RU"/>
        </w:rPr>
        <w:t xml:space="preserve">9 </w:t>
      </w:r>
      <w:r w:rsidR="0086323F" w:rsidRPr="00DB5643">
        <w:rPr>
          <w:snapToGrid w:val="0"/>
          <w:kern w:val="22"/>
          <w:szCs w:val="22"/>
          <w:lang w:val="ru-RU"/>
        </w:rPr>
        <w:t>оценок рисков</w:t>
      </w:r>
      <w:r w:rsidR="004569FB" w:rsidRPr="00DB5643">
        <w:rPr>
          <w:rStyle w:val="ac"/>
          <w:snapToGrid w:val="0"/>
          <w:kern w:val="22"/>
          <w:szCs w:val="22"/>
        </w:rPr>
        <w:footnoteReference w:id="26"/>
      </w:r>
      <w:r w:rsidR="0086323F" w:rsidRPr="00DB5643">
        <w:rPr>
          <w:snapToGrid w:val="0"/>
          <w:kern w:val="22"/>
          <w:szCs w:val="22"/>
          <w:lang w:val="ru-RU"/>
        </w:rPr>
        <w:t>.</w:t>
      </w:r>
    </w:p>
    <w:p w14:paraId="7314CE01" w14:textId="6F4C5447" w:rsidR="004569FB" w:rsidRPr="00DB5643" w:rsidRDefault="004035FF" w:rsidP="004569FB">
      <w:pPr>
        <w:pStyle w:val="a3"/>
        <w:suppressLineNumbers/>
        <w:suppressAutoHyphens/>
        <w:snapToGrid w:val="0"/>
        <w:spacing w:before="120" w:after="120"/>
        <w:ind w:left="0"/>
        <w:contextualSpacing w:val="0"/>
        <w:rPr>
          <w:snapToGrid w:val="0"/>
          <w:kern w:val="22"/>
          <w:szCs w:val="22"/>
          <w:highlight w:val="lightGray"/>
        </w:rPr>
      </w:pPr>
      <w:r w:rsidRPr="00DB5643">
        <w:rPr>
          <w:noProof/>
          <w:kern w:val="22"/>
          <w:szCs w:val="22"/>
          <w:lang w:val="ru-RU" w:eastAsia="ru-RU"/>
        </w:rPr>
        <w:lastRenderedPageBreak/>
        <w:drawing>
          <wp:inline distT="0" distB="0" distL="0" distR="0" wp14:anchorId="23D7C310" wp14:editId="54DE12B2">
            <wp:extent cx="5928470" cy="3093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3782" cy="3096492"/>
                    </a:xfrm>
                    <a:prstGeom prst="rect">
                      <a:avLst/>
                    </a:prstGeom>
                    <a:noFill/>
                  </pic:spPr>
                </pic:pic>
              </a:graphicData>
            </a:graphic>
          </wp:inline>
        </w:drawing>
      </w:r>
    </w:p>
    <w:p w14:paraId="002FE8DD" w14:textId="59CDCF22" w:rsidR="004569FB" w:rsidRPr="00DB5643" w:rsidRDefault="004035FF" w:rsidP="004569FB">
      <w:pPr>
        <w:keepNext/>
        <w:suppressLineNumbers/>
        <w:suppressAutoHyphens/>
        <w:spacing w:before="120" w:after="120"/>
        <w:textAlignment w:val="baseline"/>
        <w:rPr>
          <w:snapToGrid w:val="0"/>
          <w:kern w:val="22"/>
          <w:lang w:val="ru-RU"/>
        </w:rPr>
      </w:pPr>
      <w:r w:rsidRPr="00DB5643">
        <w:rPr>
          <w:b/>
          <w:snapToGrid w:val="0"/>
          <w:kern w:val="22"/>
          <w:lang w:val="ru-RU"/>
        </w:rPr>
        <w:t>Оперативная цель</w:t>
      </w:r>
      <w:r w:rsidR="004569FB" w:rsidRPr="00DB5643">
        <w:rPr>
          <w:b/>
          <w:snapToGrid w:val="0"/>
          <w:kern w:val="22"/>
          <w:lang w:val="ru-RU"/>
        </w:rPr>
        <w:t xml:space="preserve"> 2.2</w:t>
      </w:r>
      <w:r w:rsidR="004626A8" w:rsidRPr="00DB5643">
        <w:rPr>
          <w:b/>
          <w:snapToGrid w:val="0"/>
          <w:kern w:val="22"/>
          <w:lang w:val="ru-RU"/>
        </w:rPr>
        <w:t>.</w:t>
      </w:r>
      <w:r w:rsidR="004569FB" w:rsidRPr="00DB5643">
        <w:rPr>
          <w:b/>
          <w:snapToGrid w:val="0"/>
          <w:kern w:val="22"/>
          <w:lang w:val="ru-RU"/>
        </w:rPr>
        <w:t xml:space="preserve"> </w:t>
      </w:r>
      <w:r w:rsidRPr="00DB5643">
        <w:rPr>
          <w:b/>
          <w:snapToGrid w:val="0"/>
          <w:kern w:val="22"/>
          <w:lang w:val="ru-RU"/>
        </w:rPr>
        <w:t>Оценка рисков и регулирование рисков</w:t>
      </w:r>
    </w:p>
    <w:p w14:paraId="658BCA8F" w14:textId="4E271232" w:rsidR="004569FB" w:rsidRPr="00DB5643" w:rsidRDefault="008E15FF"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рамках целевой области 2 «Создание потенциала» оперативная цель 2.2 предусматривает обеспечение для Сторон возможности для анализа, применения, совместного использования и проведения оценок рисков, а также создание местного потенциала на основе научных знаний для регулирования, мониторинга и контроля рисков в отношении </w:t>
      </w:r>
      <w:proofErr w:type="spellStart"/>
      <w:r w:rsidRPr="00DB5643">
        <w:rPr>
          <w:snapToGrid w:val="0"/>
          <w:kern w:val="22"/>
          <w:szCs w:val="22"/>
          <w:lang w:val="ru-RU"/>
        </w:rPr>
        <w:t>ЖИО</w:t>
      </w:r>
      <w:proofErr w:type="spellEnd"/>
      <w:r w:rsidRPr="00DB5643">
        <w:rPr>
          <w:snapToGrid w:val="0"/>
          <w:kern w:val="22"/>
          <w:szCs w:val="22"/>
          <w:lang w:val="ru-RU"/>
        </w:rPr>
        <w:t xml:space="preserve"> и управления ими</w:t>
      </w:r>
      <w:r w:rsidR="004569FB" w:rsidRPr="00DB5643">
        <w:rPr>
          <w:snapToGrid w:val="0"/>
          <w:kern w:val="22"/>
          <w:szCs w:val="22"/>
          <w:lang w:val="ru-RU"/>
        </w:rPr>
        <w:t>.</w:t>
      </w:r>
      <w:r w:rsidR="00C92E83" w:rsidRPr="00DB5643">
        <w:rPr>
          <w:snapToGrid w:val="0"/>
          <w:kern w:val="22"/>
          <w:szCs w:val="22"/>
          <w:lang w:val="ru-RU"/>
        </w:rPr>
        <w:t xml:space="preserve"> </w:t>
      </w:r>
      <w:r w:rsidRPr="00DB5643">
        <w:rPr>
          <w:snapToGrid w:val="0"/>
          <w:kern w:val="22"/>
          <w:szCs w:val="22"/>
          <w:lang w:val="ru-RU"/>
        </w:rPr>
        <w:t xml:space="preserve">Для этой оперативной цели были определены шесть индикаторов для оценки достигнутых результатов </w:t>
      </w:r>
      <w:r w:rsidRPr="00DB5643">
        <w:rPr>
          <w:snapToGrid w:val="0"/>
          <w:kern w:val="22"/>
          <w:szCs w:val="22"/>
          <w:lang w:val="ru-RU"/>
        </w:rPr>
        <w:br/>
      </w:r>
      <w:r w:rsidR="004569FB" w:rsidRPr="00DB5643">
        <w:rPr>
          <w:snapToGrid w:val="0"/>
          <w:kern w:val="22"/>
          <w:szCs w:val="22"/>
          <w:lang w:val="ru-RU"/>
        </w:rPr>
        <w:t>(</w:t>
      </w:r>
      <w:r w:rsidRPr="00DB5643">
        <w:rPr>
          <w:snapToGrid w:val="0"/>
          <w:kern w:val="22"/>
          <w:szCs w:val="22"/>
          <w:lang w:val="ru-RU"/>
        </w:rPr>
        <w:t xml:space="preserve">рис. </w:t>
      </w:r>
      <w:r w:rsidR="004569FB" w:rsidRPr="00DB5643">
        <w:rPr>
          <w:snapToGrid w:val="0"/>
          <w:kern w:val="22"/>
          <w:szCs w:val="22"/>
          <w:lang w:val="ru-RU"/>
        </w:rPr>
        <w:t xml:space="preserve">2). </w:t>
      </w:r>
    </w:p>
    <w:p w14:paraId="3792BC6D" w14:textId="250CFEB4" w:rsidR="004569FB" w:rsidRPr="00DB5643" w:rsidRDefault="008E15FF" w:rsidP="00B44100">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lang w:val="ru-RU"/>
        </w:rPr>
      </w:pPr>
      <w:bookmarkStart w:id="9" w:name="_Hlk31037408"/>
      <w:r w:rsidRPr="00DB5643">
        <w:rPr>
          <w:snapToGrid w:val="0"/>
          <w:kern w:val="22"/>
          <w:szCs w:val="22"/>
          <w:lang w:val="ru-RU"/>
        </w:rPr>
        <w:t>Что касается</w:t>
      </w:r>
      <w:r w:rsidR="004569FB" w:rsidRPr="00DB5643">
        <w:rPr>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2.2.1</w:t>
      </w:r>
      <w:r w:rsidR="004569FB" w:rsidRPr="00DB5643">
        <w:rPr>
          <w:bCs/>
          <w:snapToGrid w:val="0"/>
          <w:kern w:val="22"/>
          <w:szCs w:val="22"/>
          <w:lang w:val="ru-RU"/>
        </w:rPr>
        <w:t xml:space="preserve"> (</w:t>
      </w:r>
      <w:r w:rsidRPr="00DB5643">
        <w:rPr>
          <w:snapToGrid w:val="0"/>
          <w:kern w:val="22"/>
          <w:szCs w:val="22"/>
          <w:lang w:val="ru-RU"/>
        </w:rPr>
        <w:t xml:space="preserve">соотношение числа итоговых докладов об оценке рисков и числа принятых решений о </w:t>
      </w:r>
      <w:proofErr w:type="spellStart"/>
      <w:r w:rsidRPr="00DB5643">
        <w:rPr>
          <w:snapToGrid w:val="0"/>
          <w:kern w:val="22"/>
          <w:szCs w:val="22"/>
          <w:lang w:val="ru-RU"/>
        </w:rPr>
        <w:t>ЖИО</w:t>
      </w:r>
      <w:proofErr w:type="spellEnd"/>
      <w:r w:rsidRPr="00DB5643">
        <w:rPr>
          <w:snapToGrid w:val="0"/>
          <w:kern w:val="22"/>
          <w:szCs w:val="22"/>
          <w:lang w:val="ru-RU"/>
        </w:rPr>
        <w:t xml:space="preserve">, размещенных в </w:t>
      </w:r>
      <w:proofErr w:type="spellStart"/>
      <w:r w:rsidRPr="00DB5643">
        <w:rPr>
          <w:snapToGrid w:val="0"/>
          <w:kern w:val="22"/>
          <w:szCs w:val="22"/>
          <w:lang w:val="ru-RU"/>
        </w:rPr>
        <w:t>МПБ</w:t>
      </w:r>
      <w:proofErr w:type="spellEnd"/>
      <w:r w:rsidR="004569FB" w:rsidRPr="00DB5643">
        <w:rPr>
          <w:snapToGrid w:val="0"/>
          <w:kern w:val="22"/>
          <w:szCs w:val="22"/>
          <w:lang w:val="ru-RU"/>
        </w:rPr>
        <w:t xml:space="preserve">), </w:t>
      </w:r>
      <w:bookmarkStart w:id="10" w:name="_Hlk33701240"/>
      <w:r w:rsidR="0052466E" w:rsidRPr="00DB5643">
        <w:rPr>
          <w:snapToGrid w:val="0"/>
          <w:kern w:val="22"/>
          <w:szCs w:val="22"/>
          <w:lang w:val="ru-RU"/>
        </w:rPr>
        <w:t xml:space="preserve">соотношение между числом докладов об оценке рисков и числом принятых решений о </w:t>
      </w:r>
      <w:proofErr w:type="spellStart"/>
      <w:r w:rsidR="0052466E" w:rsidRPr="00DB5643">
        <w:rPr>
          <w:snapToGrid w:val="0"/>
          <w:kern w:val="22"/>
          <w:szCs w:val="22"/>
          <w:lang w:val="ru-RU"/>
        </w:rPr>
        <w:t>ЖИО</w:t>
      </w:r>
      <w:proofErr w:type="spellEnd"/>
      <w:r w:rsidR="004569FB" w:rsidRPr="00DB5643">
        <w:rPr>
          <w:rStyle w:val="ac"/>
          <w:snapToGrid w:val="0"/>
          <w:kern w:val="22"/>
          <w:szCs w:val="22"/>
        </w:rPr>
        <w:footnoteReference w:id="27"/>
      </w:r>
      <w:r w:rsidR="0052466E" w:rsidRPr="00DB5643">
        <w:rPr>
          <w:snapToGrid w:val="0"/>
          <w:kern w:val="22"/>
          <w:szCs w:val="22"/>
          <w:lang w:val="ru-RU"/>
        </w:rPr>
        <w:t xml:space="preserve">, размещенных в </w:t>
      </w:r>
      <w:proofErr w:type="spellStart"/>
      <w:r w:rsidR="0052466E" w:rsidRPr="00DB5643">
        <w:rPr>
          <w:snapToGrid w:val="0"/>
          <w:kern w:val="22"/>
          <w:szCs w:val="22"/>
          <w:lang w:val="ru-RU"/>
        </w:rPr>
        <w:t>МПБ</w:t>
      </w:r>
      <w:proofErr w:type="spellEnd"/>
      <w:r w:rsidR="0052466E" w:rsidRPr="00DB5643">
        <w:rPr>
          <w:snapToGrid w:val="0"/>
          <w:kern w:val="22"/>
          <w:szCs w:val="22"/>
          <w:lang w:val="ru-RU"/>
        </w:rPr>
        <w:t xml:space="preserve">, увеличилось с </w:t>
      </w:r>
      <w:r w:rsidR="00A2666F" w:rsidRPr="00DB5643">
        <w:rPr>
          <w:snapToGrid w:val="0"/>
          <w:kern w:val="22"/>
          <w:szCs w:val="22"/>
          <w:lang w:val="ru-RU"/>
        </w:rPr>
        <w:t>7</w:t>
      </w:r>
      <w:r w:rsidR="00B545F3" w:rsidRPr="00DB5643">
        <w:rPr>
          <w:snapToGrid w:val="0"/>
          <w:kern w:val="22"/>
          <w:szCs w:val="22"/>
          <w:lang w:val="ru-RU"/>
        </w:rPr>
        <w:t>9</w:t>
      </w:r>
      <w:r w:rsidR="0052466E" w:rsidRPr="00DB5643">
        <w:rPr>
          <w:snapToGrid w:val="0"/>
          <w:kern w:val="22"/>
          <w:szCs w:val="22"/>
          <w:lang w:val="ru-RU"/>
        </w:rPr>
        <w:t> </w:t>
      </w:r>
      <w:r w:rsidR="004569FB" w:rsidRPr="00DB5643">
        <w:rPr>
          <w:snapToGrid w:val="0"/>
          <w:kern w:val="22"/>
          <w:szCs w:val="22"/>
          <w:lang w:val="ru-RU"/>
        </w:rPr>
        <w:t>% (</w:t>
      </w:r>
      <w:r w:rsidR="000F01E0" w:rsidRPr="00DB5643">
        <w:rPr>
          <w:snapToGrid w:val="0"/>
          <w:kern w:val="22"/>
          <w:szCs w:val="22"/>
          <w:lang w:val="ru-RU"/>
        </w:rPr>
        <w:t xml:space="preserve">514 </w:t>
      </w:r>
      <w:r w:rsidR="0052466E" w:rsidRPr="00DB5643">
        <w:rPr>
          <w:snapToGrid w:val="0"/>
          <w:kern w:val="22"/>
          <w:szCs w:val="22"/>
          <w:lang w:val="ru-RU"/>
        </w:rPr>
        <w:t xml:space="preserve">оценок рисков и </w:t>
      </w:r>
      <w:r w:rsidR="000F01E0" w:rsidRPr="00DB5643">
        <w:rPr>
          <w:snapToGrid w:val="0"/>
          <w:kern w:val="22"/>
          <w:szCs w:val="22"/>
          <w:lang w:val="ru-RU"/>
        </w:rPr>
        <w:t>650</w:t>
      </w:r>
      <w:r w:rsidR="001F4C56" w:rsidRPr="00DB5643">
        <w:rPr>
          <w:snapToGrid w:val="0"/>
          <w:kern w:val="22"/>
          <w:szCs w:val="22"/>
          <w:lang w:val="ru-RU"/>
        </w:rPr>
        <w:t xml:space="preserve"> </w:t>
      </w:r>
      <w:r w:rsidR="0052466E" w:rsidRPr="00DB5643">
        <w:rPr>
          <w:snapToGrid w:val="0"/>
          <w:kern w:val="22"/>
          <w:szCs w:val="22"/>
          <w:lang w:val="ru-RU"/>
        </w:rPr>
        <w:t>решений</w:t>
      </w:r>
      <w:r w:rsidR="004569FB" w:rsidRPr="00DB5643">
        <w:rPr>
          <w:snapToGrid w:val="0"/>
          <w:kern w:val="22"/>
          <w:szCs w:val="22"/>
          <w:lang w:val="ru-RU"/>
        </w:rPr>
        <w:t xml:space="preserve">) </w:t>
      </w:r>
      <w:r w:rsidR="0052466E" w:rsidRPr="00DB5643">
        <w:rPr>
          <w:snapToGrid w:val="0"/>
          <w:kern w:val="22"/>
          <w:szCs w:val="22"/>
          <w:lang w:val="ru-RU"/>
        </w:rPr>
        <w:t>в</w:t>
      </w:r>
      <w:r w:rsidR="004569FB" w:rsidRPr="00DB5643">
        <w:rPr>
          <w:snapToGrid w:val="0"/>
          <w:kern w:val="22"/>
          <w:szCs w:val="22"/>
          <w:lang w:val="ru-RU"/>
        </w:rPr>
        <w:t xml:space="preserve"> </w:t>
      </w:r>
      <w:r w:rsidR="0052466E" w:rsidRPr="00DB5643">
        <w:rPr>
          <w:snapToGrid w:val="0"/>
          <w:kern w:val="22"/>
          <w:szCs w:val="22"/>
          <w:lang w:val="ru-RU"/>
        </w:rPr>
        <w:t>январе</w:t>
      </w:r>
      <w:r w:rsidR="004569FB" w:rsidRPr="00DB5643">
        <w:rPr>
          <w:snapToGrid w:val="0"/>
          <w:kern w:val="22"/>
          <w:szCs w:val="22"/>
          <w:lang w:val="ru-RU"/>
        </w:rPr>
        <w:t xml:space="preserve"> 2012</w:t>
      </w:r>
      <w:r w:rsidR="0052466E" w:rsidRPr="00DB5643">
        <w:rPr>
          <w:snapToGrid w:val="0"/>
          <w:kern w:val="22"/>
          <w:szCs w:val="22"/>
          <w:lang w:val="ru-RU"/>
        </w:rPr>
        <w:t xml:space="preserve"> года и </w:t>
      </w:r>
      <w:r w:rsidR="00043A31" w:rsidRPr="00DB5643">
        <w:rPr>
          <w:snapToGrid w:val="0"/>
          <w:kern w:val="22"/>
          <w:szCs w:val="22"/>
          <w:lang w:val="ru-RU"/>
        </w:rPr>
        <w:t>92</w:t>
      </w:r>
      <w:r w:rsidR="0052466E" w:rsidRPr="00DB5643">
        <w:rPr>
          <w:snapToGrid w:val="0"/>
          <w:kern w:val="22"/>
          <w:szCs w:val="22"/>
          <w:lang w:val="ru-RU"/>
        </w:rPr>
        <w:t> </w:t>
      </w:r>
      <w:r w:rsidR="004569FB" w:rsidRPr="00DB5643">
        <w:rPr>
          <w:snapToGrid w:val="0"/>
          <w:kern w:val="22"/>
          <w:szCs w:val="22"/>
          <w:lang w:val="ru-RU"/>
        </w:rPr>
        <w:t>% (</w:t>
      </w:r>
      <w:r w:rsidR="00B545F3" w:rsidRPr="00DB5643">
        <w:rPr>
          <w:snapToGrid w:val="0"/>
          <w:kern w:val="22"/>
          <w:szCs w:val="22"/>
          <w:lang w:val="ru-RU"/>
        </w:rPr>
        <w:t>1198</w:t>
      </w:r>
      <w:r w:rsidR="00CB2BD8" w:rsidRPr="00DB5643">
        <w:rPr>
          <w:snapToGrid w:val="0"/>
          <w:kern w:val="22"/>
          <w:szCs w:val="22"/>
          <w:lang w:val="ru-RU"/>
        </w:rPr>
        <w:t xml:space="preserve"> </w:t>
      </w:r>
      <w:r w:rsidR="0052466E" w:rsidRPr="00DB5643">
        <w:rPr>
          <w:snapToGrid w:val="0"/>
          <w:kern w:val="22"/>
          <w:szCs w:val="22"/>
          <w:lang w:val="ru-RU"/>
        </w:rPr>
        <w:t>оценок рисков и</w:t>
      </w:r>
      <w:r w:rsidR="004569FB" w:rsidRPr="00DB5643">
        <w:rPr>
          <w:snapToGrid w:val="0"/>
          <w:kern w:val="22"/>
          <w:szCs w:val="22"/>
          <w:lang w:val="ru-RU"/>
        </w:rPr>
        <w:t xml:space="preserve"> </w:t>
      </w:r>
      <w:r w:rsidR="0073797A" w:rsidRPr="00DB5643">
        <w:rPr>
          <w:snapToGrid w:val="0"/>
          <w:kern w:val="22"/>
          <w:szCs w:val="22"/>
          <w:lang w:val="ru-RU"/>
        </w:rPr>
        <w:t>1299</w:t>
      </w:r>
      <w:r w:rsidR="002F4FE4" w:rsidRPr="00DB5643">
        <w:rPr>
          <w:snapToGrid w:val="0"/>
          <w:kern w:val="22"/>
          <w:szCs w:val="22"/>
          <w:lang w:val="ru-RU"/>
        </w:rPr>
        <w:t xml:space="preserve"> </w:t>
      </w:r>
      <w:r w:rsidR="0052466E" w:rsidRPr="00DB5643">
        <w:rPr>
          <w:snapToGrid w:val="0"/>
          <w:kern w:val="22"/>
          <w:szCs w:val="22"/>
          <w:lang w:val="ru-RU"/>
        </w:rPr>
        <w:t>решений</w:t>
      </w:r>
      <w:r w:rsidR="004569FB" w:rsidRPr="00DB5643">
        <w:rPr>
          <w:snapToGrid w:val="0"/>
          <w:kern w:val="22"/>
          <w:szCs w:val="22"/>
          <w:lang w:val="ru-RU"/>
        </w:rPr>
        <w:t xml:space="preserve">) </w:t>
      </w:r>
      <w:r w:rsidR="0052466E" w:rsidRPr="00DB5643">
        <w:rPr>
          <w:snapToGrid w:val="0"/>
          <w:kern w:val="22"/>
          <w:szCs w:val="22"/>
          <w:lang w:val="ru-RU"/>
        </w:rPr>
        <w:t>в январе</w:t>
      </w:r>
      <w:r w:rsidR="00A2666F" w:rsidRPr="00DB5643">
        <w:rPr>
          <w:snapToGrid w:val="0"/>
          <w:kern w:val="22"/>
          <w:szCs w:val="22"/>
          <w:lang w:val="ru-RU"/>
        </w:rPr>
        <w:t xml:space="preserve"> 2016</w:t>
      </w:r>
      <w:r w:rsidR="0052466E" w:rsidRPr="00DB5643">
        <w:rPr>
          <w:snapToGrid w:val="0"/>
          <w:kern w:val="22"/>
          <w:szCs w:val="22"/>
          <w:lang w:val="ru-RU"/>
        </w:rPr>
        <w:t xml:space="preserve"> год</w:t>
      </w:r>
      <w:r w:rsidR="00011397">
        <w:rPr>
          <w:snapToGrid w:val="0"/>
          <w:kern w:val="22"/>
          <w:szCs w:val="22"/>
          <w:lang w:val="ru-RU"/>
        </w:rPr>
        <w:t>а</w:t>
      </w:r>
      <w:r w:rsidR="0052466E" w:rsidRPr="00DB5643">
        <w:rPr>
          <w:snapToGrid w:val="0"/>
          <w:kern w:val="22"/>
          <w:szCs w:val="22"/>
          <w:lang w:val="ru-RU"/>
        </w:rPr>
        <w:t xml:space="preserve"> до </w:t>
      </w:r>
      <w:r w:rsidR="004569FB" w:rsidRPr="00DB5643">
        <w:rPr>
          <w:snapToGrid w:val="0"/>
          <w:kern w:val="22"/>
          <w:szCs w:val="22"/>
          <w:lang w:val="ru-RU"/>
        </w:rPr>
        <w:t>96</w:t>
      </w:r>
      <w:r w:rsidR="0052466E" w:rsidRPr="00DB5643">
        <w:rPr>
          <w:snapToGrid w:val="0"/>
          <w:kern w:val="22"/>
          <w:szCs w:val="22"/>
          <w:lang w:val="ru-RU"/>
        </w:rPr>
        <w:t> </w:t>
      </w:r>
      <w:r w:rsidR="004569FB" w:rsidRPr="00DB5643">
        <w:rPr>
          <w:snapToGrid w:val="0"/>
          <w:kern w:val="22"/>
          <w:szCs w:val="22"/>
          <w:lang w:val="ru-RU"/>
        </w:rPr>
        <w:t>% (</w:t>
      </w:r>
      <w:r w:rsidR="00043A31" w:rsidRPr="00DB5643">
        <w:rPr>
          <w:snapToGrid w:val="0"/>
          <w:kern w:val="22"/>
          <w:szCs w:val="22"/>
          <w:lang w:val="ru-RU"/>
        </w:rPr>
        <w:t>2055</w:t>
      </w:r>
      <w:r w:rsidR="00932B5A" w:rsidRPr="00DB5643">
        <w:rPr>
          <w:snapToGrid w:val="0"/>
          <w:kern w:val="22"/>
          <w:szCs w:val="22"/>
          <w:lang w:val="ru-RU"/>
        </w:rPr>
        <w:t xml:space="preserve"> </w:t>
      </w:r>
      <w:r w:rsidR="0052466E" w:rsidRPr="00DB5643">
        <w:rPr>
          <w:snapToGrid w:val="0"/>
          <w:kern w:val="22"/>
          <w:szCs w:val="22"/>
          <w:lang w:val="ru-RU"/>
        </w:rPr>
        <w:t>оценок рисков и</w:t>
      </w:r>
      <w:r w:rsidR="004569FB" w:rsidRPr="00DB5643">
        <w:rPr>
          <w:snapToGrid w:val="0"/>
          <w:kern w:val="22"/>
          <w:szCs w:val="22"/>
          <w:lang w:val="ru-RU"/>
        </w:rPr>
        <w:t xml:space="preserve"> </w:t>
      </w:r>
      <w:r w:rsidR="00932B5A" w:rsidRPr="00DB5643">
        <w:rPr>
          <w:snapToGrid w:val="0"/>
          <w:kern w:val="22"/>
          <w:szCs w:val="22"/>
          <w:lang w:val="ru-RU"/>
        </w:rPr>
        <w:t>2134</w:t>
      </w:r>
      <w:r w:rsidR="00E40C1C" w:rsidRPr="00DB5643">
        <w:rPr>
          <w:snapToGrid w:val="0"/>
          <w:kern w:val="22"/>
          <w:szCs w:val="22"/>
          <w:lang w:val="ru-RU"/>
        </w:rPr>
        <w:t xml:space="preserve"> </w:t>
      </w:r>
      <w:r w:rsidR="0052466E" w:rsidRPr="00DB5643">
        <w:rPr>
          <w:snapToGrid w:val="0"/>
          <w:kern w:val="22"/>
          <w:szCs w:val="22"/>
          <w:lang w:val="ru-RU"/>
        </w:rPr>
        <w:t>решений</w:t>
      </w:r>
      <w:r w:rsidR="004569FB" w:rsidRPr="00DB5643">
        <w:rPr>
          <w:snapToGrid w:val="0"/>
          <w:kern w:val="22"/>
          <w:szCs w:val="22"/>
          <w:lang w:val="ru-RU"/>
        </w:rPr>
        <w:t xml:space="preserve">) </w:t>
      </w:r>
      <w:r w:rsidR="0052466E" w:rsidRPr="00DB5643">
        <w:rPr>
          <w:snapToGrid w:val="0"/>
          <w:kern w:val="22"/>
          <w:szCs w:val="22"/>
          <w:lang w:val="ru-RU"/>
        </w:rPr>
        <w:t>в январе</w:t>
      </w:r>
      <w:r w:rsidR="004569FB" w:rsidRPr="00DB5643">
        <w:rPr>
          <w:snapToGrid w:val="0"/>
          <w:kern w:val="22"/>
          <w:szCs w:val="22"/>
          <w:lang w:val="ru-RU"/>
        </w:rPr>
        <w:t xml:space="preserve"> 2020</w:t>
      </w:r>
      <w:r w:rsidR="0052466E" w:rsidRPr="00DB5643">
        <w:rPr>
          <w:snapToGrid w:val="0"/>
          <w:kern w:val="22"/>
          <w:szCs w:val="22"/>
          <w:lang w:val="ru-RU"/>
        </w:rPr>
        <w:t xml:space="preserve"> года</w:t>
      </w:r>
      <w:r w:rsidR="004569FB" w:rsidRPr="00DB5643">
        <w:rPr>
          <w:snapToGrid w:val="0"/>
          <w:kern w:val="22"/>
          <w:szCs w:val="22"/>
          <w:lang w:val="ru-RU"/>
        </w:rPr>
        <w:t>.</w:t>
      </w:r>
      <w:bookmarkEnd w:id="10"/>
      <w:r w:rsidR="004569FB" w:rsidRPr="00DB5643">
        <w:rPr>
          <w:snapToGrid w:val="0"/>
          <w:kern w:val="22"/>
          <w:szCs w:val="22"/>
          <w:lang w:val="ru-RU"/>
        </w:rPr>
        <w:t xml:space="preserve"> </w:t>
      </w:r>
      <w:r w:rsidR="0052466E" w:rsidRPr="00DB5643">
        <w:rPr>
          <w:snapToGrid w:val="0"/>
          <w:kern w:val="22"/>
          <w:szCs w:val="22"/>
          <w:lang w:val="ru-RU"/>
        </w:rPr>
        <w:t xml:space="preserve">По сравнению с исходным уровнем это соответствует увеличению на </w:t>
      </w:r>
      <w:r w:rsidR="00992977" w:rsidRPr="00DB5643">
        <w:rPr>
          <w:snapToGrid w:val="0"/>
          <w:kern w:val="22"/>
          <w:szCs w:val="22"/>
          <w:lang w:val="ru-RU"/>
        </w:rPr>
        <w:t>1</w:t>
      </w:r>
      <w:r w:rsidR="002F4FE4" w:rsidRPr="00DB5643">
        <w:rPr>
          <w:snapToGrid w:val="0"/>
          <w:kern w:val="22"/>
          <w:szCs w:val="22"/>
          <w:lang w:val="ru-RU"/>
        </w:rPr>
        <w:t>7</w:t>
      </w:r>
      <w:r w:rsidR="0052466E" w:rsidRPr="00DB5643">
        <w:rPr>
          <w:snapToGrid w:val="0"/>
          <w:kern w:val="22"/>
          <w:szCs w:val="22"/>
          <w:lang w:val="ru-RU"/>
        </w:rPr>
        <w:t> </w:t>
      </w:r>
      <w:r w:rsidR="004569FB" w:rsidRPr="00DB5643">
        <w:rPr>
          <w:snapToGrid w:val="0"/>
          <w:kern w:val="22"/>
          <w:szCs w:val="22"/>
          <w:lang w:val="ru-RU"/>
        </w:rPr>
        <w:t>%</w:t>
      </w:r>
      <w:r w:rsidR="004569FB" w:rsidRPr="00DB5643">
        <w:rPr>
          <w:rStyle w:val="ac"/>
          <w:snapToGrid w:val="0"/>
          <w:kern w:val="22"/>
          <w:szCs w:val="22"/>
        </w:rPr>
        <w:footnoteReference w:id="28"/>
      </w:r>
      <w:bookmarkEnd w:id="9"/>
      <w:r w:rsidR="0052466E" w:rsidRPr="00DB5643">
        <w:rPr>
          <w:snapToGrid w:val="0"/>
          <w:kern w:val="22"/>
          <w:szCs w:val="22"/>
          <w:lang w:val="ru-RU"/>
        </w:rPr>
        <w:t>.</w:t>
      </w:r>
    </w:p>
    <w:p w14:paraId="135380AF" w14:textId="4F109ADB" w:rsidR="004569FB" w:rsidRPr="002C651F" w:rsidRDefault="002C651F"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Что касается</w:t>
      </w:r>
      <w:r w:rsidR="004569FB" w:rsidRPr="00DB5643">
        <w:rPr>
          <w:snapToGrid w:val="0"/>
          <w:kern w:val="22"/>
          <w:szCs w:val="22"/>
          <w:lang w:val="ru-RU"/>
        </w:rPr>
        <w:t xml:space="preserve"> </w:t>
      </w:r>
      <w:r w:rsidR="00E20D5B" w:rsidRPr="00DB5643">
        <w:rPr>
          <w:b/>
          <w:bCs/>
          <w:snapToGrid w:val="0"/>
          <w:kern w:val="22"/>
          <w:szCs w:val="22"/>
          <w:lang w:val="ru-RU"/>
        </w:rPr>
        <w:t>индикатора</w:t>
      </w:r>
      <w:r w:rsidR="004569FB" w:rsidRPr="00DB5643">
        <w:rPr>
          <w:snapToGrid w:val="0"/>
          <w:kern w:val="22"/>
          <w:szCs w:val="22"/>
          <w:lang w:val="ru-RU"/>
        </w:rPr>
        <w:t xml:space="preserve"> </w:t>
      </w:r>
      <w:r w:rsidR="004569FB" w:rsidRPr="00DB5643">
        <w:rPr>
          <w:b/>
          <w:snapToGrid w:val="0"/>
          <w:kern w:val="22"/>
          <w:szCs w:val="22"/>
          <w:lang w:val="ru-RU"/>
        </w:rPr>
        <w:t>2.2.3</w:t>
      </w:r>
      <w:r w:rsidR="004569FB" w:rsidRPr="00DB5643">
        <w:rPr>
          <w:snapToGrid w:val="0"/>
          <w:kern w:val="22"/>
          <w:szCs w:val="22"/>
          <w:lang w:val="ru-RU"/>
        </w:rPr>
        <w:t xml:space="preserve"> (</w:t>
      </w:r>
      <w:r w:rsidR="00E20D5B" w:rsidRPr="00DB5643">
        <w:rPr>
          <w:snapToGrid w:val="0"/>
          <w:kern w:val="22"/>
          <w:szCs w:val="22"/>
          <w:lang w:val="ru-RU"/>
        </w:rPr>
        <w:t xml:space="preserve">число лиц, обученных проведению оценки рисков, а также мониторингу, регулированию и контролю </w:t>
      </w:r>
      <w:proofErr w:type="spellStart"/>
      <w:r w:rsidR="00E20D5B" w:rsidRPr="00DB5643">
        <w:rPr>
          <w:snapToGrid w:val="0"/>
          <w:kern w:val="22"/>
          <w:szCs w:val="22"/>
          <w:lang w:val="ru-RU"/>
        </w:rPr>
        <w:t>ЖИО</w:t>
      </w:r>
      <w:proofErr w:type="spellEnd"/>
      <w:r w:rsidR="00E20D5B" w:rsidRPr="00DB5643">
        <w:rPr>
          <w:snapToGrid w:val="0"/>
          <w:kern w:val="22"/>
          <w:szCs w:val="22"/>
          <w:lang w:val="ru-RU"/>
        </w:rPr>
        <w:t>)</w:t>
      </w:r>
      <w:r>
        <w:rPr>
          <w:snapToGrid w:val="0"/>
          <w:kern w:val="22"/>
          <w:szCs w:val="22"/>
          <w:lang w:val="ru-RU"/>
        </w:rPr>
        <w:t>,</w:t>
      </w:r>
      <w:r w:rsidR="00E20D5B" w:rsidRPr="00DB5643">
        <w:rPr>
          <w:snapToGrid w:val="0"/>
          <w:kern w:val="22"/>
          <w:szCs w:val="22"/>
          <w:lang w:val="ru-RU"/>
        </w:rPr>
        <w:t xml:space="preserve"> Стороны сообщили о числе лиц в их странах, обученных проведению оценки рисков, регулированию</w:t>
      </w:r>
      <w:r w:rsidR="008D0E55" w:rsidRPr="00DB5643">
        <w:rPr>
          <w:snapToGrid w:val="0"/>
          <w:kern w:val="22"/>
          <w:szCs w:val="22"/>
          <w:lang w:val="ru-RU"/>
        </w:rPr>
        <w:t xml:space="preserve"> рисков</w:t>
      </w:r>
      <w:r w:rsidR="00E20D5B" w:rsidRPr="00DB5643">
        <w:rPr>
          <w:snapToGrid w:val="0"/>
          <w:kern w:val="22"/>
          <w:szCs w:val="22"/>
          <w:lang w:val="ru-RU"/>
        </w:rPr>
        <w:t xml:space="preserve"> и </w:t>
      </w:r>
      <w:r w:rsidRPr="002C651F">
        <w:rPr>
          <w:snapToGrid w:val="0"/>
          <w:kern w:val="22"/>
          <w:szCs w:val="22"/>
          <w:lang w:val="ru-RU"/>
        </w:rPr>
        <w:t xml:space="preserve">мониторингу </w:t>
      </w:r>
      <w:proofErr w:type="spellStart"/>
      <w:r w:rsidR="00E20D5B" w:rsidRPr="00DB5643">
        <w:rPr>
          <w:snapToGrid w:val="0"/>
          <w:kern w:val="22"/>
          <w:szCs w:val="22"/>
          <w:lang w:val="ru-RU"/>
        </w:rPr>
        <w:t>ЖИО</w:t>
      </w:r>
      <w:proofErr w:type="spellEnd"/>
      <w:r w:rsidR="008D0E55" w:rsidRPr="002C651F">
        <w:rPr>
          <w:snapToGrid w:val="0"/>
          <w:kern w:val="22"/>
          <w:szCs w:val="22"/>
          <w:lang w:val="ru-RU"/>
        </w:rPr>
        <w:t xml:space="preserve">, </w:t>
      </w:r>
      <w:r w:rsidR="008D0E55" w:rsidRPr="00DB5643">
        <w:rPr>
          <w:snapToGrid w:val="0"/>
          <w:kern w:val="22"/>
          <w:szCs w:val="22"/>
          <w:lang w:val="ru-RU"/>
        </w:rPr>
        <w:t>следующие</w:t>
      </w:r>
      <w:r w:rsidR="008D0E55" w:rsidRPr="002C651F">
        <w:rPr>
          <w:snapToGrid w:val="0"/>
          <w:kern w:val="22"/>
          <w:szCs w:val="22"/>
          <w:lang w:val="ru-RU"/>
        </w:rPr>
        <w:t xml:space="preserve"> </w:t>
      </w:r>
      <w:r w:rsidR="008D0E55" w:rsidRPr="00DB5643">
        <w:rPr>
          <w:snapToGrid w:val="0"/>
          <w:kern w:val="22"/>
          <w:szCs w:val="22"/>
          <w:lang w:val="ru-RU"/>
        </w:rPr>
        <w:t>данные</w:t>
      </w:r>
      <w:r w:rsidR="004569FB" w:rsidRPr="002C651F">
        <w:rPr>
          <w:snapToGrid w:val="0"/>
          <w:kern w:val="22"/>
          <w:szCs w:val="22"/>
          <w:lang w:val="ru-RU"/>
        </w:rPr>
        <w:t>:</w:t>
      </w:r>
    </w:p>
    <w:p w14:paraId="3596D208" w14:textId="22DD5F0B" w:rsidR="00FA23BA" w:rsidRPr="00DB5643" w:rsidRDefault="001F64E0" w:rsidP="00134F3A">
      <w:pPr>
        <w:pStyle w:val="a3"/>
        <w:numPr>
          <w:ilvl w:val="0"/>
          <w:numId w:val="59"/>
        </w:numPr>
        <w:suppressLineNumbers/>
        <w:suppressAutoHyphens/>
        <w:snapToGrid w:val="0"/>
        <w:spacing w:after="120"/>
        <w:ind w:left="0" w:firstLine="720"/>
        <w:contextualSpacing w:val="0"/>
        <w:rPr>
          <w:snapToGrid w:val="0"/>
          <w:kern w:val="22"/>
          <w:szCs w:val="22"/>
          <w:lang w:val="ru-RU"/>
        </w:rPr>
      </w:pPr>
      <w:r w:rsidRPr="00DB5643">
        <w:rPr>
          <w:snapToGrid w:val="0"/>
          <w:kern w:val="22"/>
          <w:szCs w:val="22"/>
          <w:lang w:val="ru-RU"/>
        </w:rPr>
        <w:t>Число лиц, обученных проведению оценки рисков</w:t>
      </w:r>
      <w:r w:rsidR="004569FB" w:rsidRPr="00DB5643">
        <w:rPr>
          <w:snapToGrid w:val="0"/>
          <w:kern w:val="22"/>
          <w:szCs w:val="22"/>
          <w:lang w:val="ru-RU"/>
        </w:rPr>
        <w:t>: 93</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 xml:space="preserve">Сторон сообщили о подготовке </w:t>
      </w:r>
      <w:r w:rsidR="00C20532" w:rsidRPr="00DB5643">
        <w:rPr>
          <w:snapToGrid w:val="0"/>
          <w:kern w:val="22"/>
          <w:szCs w:val="22"/>
          <w:lang w:val="ru-RU"/>
        </w:rPr>
        <w:t xml:space="preserve">в их странах </w:t>
      </w:r>
      <w:r w:rsidRPr="00DB5643">
        <w:rPr>
          <w:snapToGrid w:val="0"/>
          <w:kern w:val="22"/>
          <w:szCs w:val="22"/>
          <w:lang w:val="ru-RU"/>
        </w:rPr>
        <w:t>специалистов по проведению оценки рисков</w:t>
      </w:r>
      <w:r w:rsidR="004569FB" w:rsidRPr="00DB5643">
        <w:rPr>
          <w:snapToGrid w:val="0"/>
          <w:kern w:val="22"/>
          <w:szCs w:val="22"/>
          <w:lang w:val="ru-RU"/>
        </w:rPr>
        <w:t xml:space="preserve">. </w:t>
      </w:r>
      <w:r w:rsidRPr="00DB5643">
        <w:rPr>
          <w:snapToGrid w:val="0"/>
          <w:kern w:val="22"/>
          <w:szCs w:val="22"/>
          <w:lang w:val="ru-RU"/>
        </w:rPr>
        <w:t>В общей сложности</w:t>
      </w:r>
      <w:r w:rsidR="00FA23BA" w:rsidRPr="00DB5643">
        <w:rPr>
          <w:snapToGrid w:val="0"/>
          <w:kern w:val="22"/>
          <w:szCs w:val="22"/>
          <w:lang w:val="ru-RU"/>
        </w:rPr>
        <w:t>:</w:t>
      </w:r>
      <w:r w:rsidR="004569FB" w:rsidRPr="00DB5643">
        <w:rPr>
          <w:snapToGrid w:val="0"/>
          <w:kern w:val="22"/>
          <w:szCs w:val="22"/>
          <w:lang w:val="ru-RU"/>
        </w:rPr>
        <w:t xml:space="preserve"> </w:t>
      </w:r>
    </w:p>
    <w:p w14:paraId="207DA3AE" w14:textId="608BD225" w:rsidR="00FA23BA" w:rsidRPr="00DB5643" w:rsidRDefault="004569FB" w:rsidP="00134F3A">
      <w:pPr>
        <w:pStyle w:val="a3"/>
        <w:numPr>
          <w:ilvl w:val="1"/>
          <w:numId w:val="59"/>
        </w:numPr>
        <w:suppressLineNumbers/>
        <w:suppressAutoHyphens/>
        <w:snapToGrid w:val="0"/>
        <w:spacing w:after="120"/>
        <w:ind w:left="0" w:firstLine="720"/>
        <w:contextualSpacing w:val="0"/>
        <w:rPr>
          <w:snapToGrid w:val="0"/>
          <w:kern w:val="22"/>
          <w:szCs w:val="22"/>
          <w:lang w:val="ru-RU"/>
        </w:rPr>
      </w:pPr>
      <w:r w:rsidRPr="00DB5643">
        <w:rPr>
          <w:snapToGrid w:val="0"/>
          <w:kern w:val="22"/>
          <w:szCs w:val="22"/>
          <w:lang w:val="ru-RU"/>
        </w:rPr>
        <w:lastRenderedPageBreak/>
        <w:t>31</w:t>
      </w:r>
      <w:r w:rsidR="001F64E0" w:rsidRPr="00DB5643">
        <w:rPr>
          <w:snapToGrid w:val="0"/>
          <w:kern w:val="22"/>
          <w:szCs w:val="22"/>
          <w:lang w:val="en-US"/>
        </w:rPr>
        <w:t> </w:t>
      </w:r>
      <w:r w:rsidRPr="00DB5643">
        <w:rPr>
          <w:snapToGrid w:val="0"/>
          <w:kern w:val="22"/>
          <w:szCs w:val="22"/>
          <w:lang w:val="ru-RU"/>
        </w:rPr>
        <w:t xml:space="preserve">% </w:t>
      </w:r>
      <w:r w:rsidR="001F64E0" w:rsidRPr="00DB5643">
        <w:rPr>
          <w:snapToGrid w:val="0"/>
          <w:kern w:val="22"/>
          <w:szCs w:val="22"/>
          <w:lang w:val="ru-RU"/>
        </w:rPr>
        <w:t>Сторон</w:t>
      </w:r>
      <w:r w:rsidRPr="00DB5643">
        <w:rPr>
          <w:snapToGrid w:val="0"/>
          <w:kern w:val="22"/>
          <w:szCs w:val="22"/>
          <w:lang w:val="ru-RU"/>
        </w:rPr>
        <w:t xml:space="preserve"> (22 </w:t>
      </w:r>
      <w:r w:rsidR="001F64E0" w:rsidRPr="00DB5643">
        <w:rPr>
          <w:snapToGrid w:val="0"/>
          <w:kern w:val="22"/>
          <w:szCs w:val="22"/>
          <w:lang w:val="ru-RU"/>
        </w:rPr>
        <w:t>Стороны</w:t>
      </w:r>
      <w:r w:rsidRPr="00DB5643">
        <w:rPr>
          <w:snapToGrid w:val="0"/>
          <w:kern w:val="22"/>
          <w:szCs w:val="22"/>
          <w:lang w:val="ru-RU"/>
        </w:rPr>
        <w:t xml:space="preserve">) </w:t>
      </w:r>
      <w:r w:rsidR="001F64E0" w:rsidRPr="00DB5643">
        <w:rPr>
          <w:snapToGrid w:val="0"/>
          <w:kern w:val="22"/>
          <w:szCs w:val="22"/>
          <w:lang w:val="ru-RU"/>
        </w:rPr>
        <w:t xml:space="preserve">сообщили об обучении </w:t>
      </w:r>
      <w:r w:rsidRPr="00DB5643">
        <w:rPr>
          <w:snapToGrid w:val="0"/>
          <w:kern w:val="22"/>
          <w:szCs w:val="22"/>
          <w:lang w:val="ru-RU"/>
        </w:rPr>
        <w:t>1</w:t>
      </w:r>
      <w:r w:rsidR="001F64E0" w:rsidRPr="00DB5643">
        <w:rPr>
          <w:snapToGrid w:val="0"/>
          <w:kern w:val="22"/>
          <w:szCs w:val="22"/>
          <w:lang w:val="ru-RU"/>
        </w:rPr>
        <w:t>–</w:t>
      </w:r>
      <w:r w:rsidRPr="00DB5643">
        <w:rPr>
          <w:snapToGrid w:val="0"/>
          <w:kern w:val="22"/>
          <w:szCs w:val="22"/>
          <w:lang w:val="ru-RU"/>
        </w:rPr>
        <w:t xml:space="preserve">9 </w:t>
      </w:r>
      <w:r w:rsidR="001F64E0" w:rsidRPr="00DB5643">
        <w:rPr>
          <w:snapToGrid w:val="0"/>
          <w:kern w:val="22"/>
          <w:szCs w:val="22"/>
          <w:lang w:val="ru-RU"/>
        </w:rPr>
        <w:t>лиц</w:t>
      </w:r>
      <w:r w:rsidRPr="00DB5643">
        <w:rPr>
          <w:snapToGrid w:val="0"/>
          <w:kern w:val="22"/>
          <w:szCs w:val="22"/>
          <w:lang w:val="ru-RU"/>
        </w:rPr>
        <w:t xml:space="preserve"> (</w:t>
      </w:r>
      <w:r w:rsidR="001F64E0" w:rsidRPr="00DB5643">
        <w:rPr>
          <w:snapToGrid w:val="0"/>
          <w:kern w:val="22"/>
          <w:szCs w:val="22"/>
          <w:lang w:val="ru-RU"/>
        </w:rPr>
        <w:t>без изменений по отношению к исходному уровню</w:t>
      </w:r>
      <w:r w:rsidRPr="00DB5643">
        <w:rPr>
          <w:snapToGrid w:val="0"/>
          <w:kern w:val="22"/>
          <w:szCs w:val="22"/>
          <w:lang w:val="ru-RU"/>
        </w:rPr>
        <w:t xml:space="preserve">); </w:t>
      </w:r>
    </w:p>
    <w:p w14:paraId="1DB676EB" w14:textId="404C1130" w:rsidR="00FA23BA"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35</w:t>
      </w:r>
      <w:r w:rsidR="001F64E0" w:rsidRPr="00DB5643">
        <w:rPr>
          <w:snapToGrid w:val="0"/>
          <w:kern w:val="22"/>
          <w:szCs w:val="22"/>
          <w:lang w:val="en-US"/>
        </w:rPr>
        <w:t> </w:t>
      </w:r>
      <w:r w:rsidRPr="00DB5643">
        <w:rPr>
          <w:snapToGrid w:val="0"/>
          <w:kern w:val="22"/>
          <w:szCs w:val="22"/>
          <w:lang w:val="ru-RU"/>
        </w:rPr>
        <w:t xml:space="preserve">% </w:t>
      </w:r>
      <w:r w:rsidR="001F64E0" w:rsidRPr="00DB5643">
        <w:rPr>
          <w:snapToGrid w:val="0"/>
          <w:kern w:val="22"/>
          <w:szCs w:val="22"/>
          <w:lang w:val="ru-RU"/>
        </w:rPr>
        <w:t xml:space="preserve">Сторон </w:t>
      </w:r>
      <w:r w:rsidRPr="00DB5643">
        <w:rPr>
          <w:snapToGrid w:val="0"/>
          <w:kern w:val="22"/>
          <w:szCs w:val="22"/>
          <w:lang w:val="ru-RU"/>
        </w:rPr>
        <w:t xml:space="preserve">(25 </w:t>
      </w:r>
      <w:r w:rsidR="001F64E0" w:rsidRPr="00DB5643">
        <w:rPr>
          <w:snapToGrid w:val="0"/>
          <w:kern w:val="22"/>
          <w:szCs w:val="22"/>
          <w:lang w:val="ru-RU"/>
        </w:rPr>
        <w:t>Сторон</w:t>
      </w:r>
      <w:r w:rsidRPr="00DB5643">
        <w:rPr>
          <w:snapToGrid w:val="0"/>
          <w:kern w:val="22"/>
          <w:szCs w:val="22"/>
          <w:lang w:val="ru-RU"/>
        </w:rPr>
        <w:t xml:space="preserve">) </w:t>
      </w:r>
      <w:r w:rsidR="001F64E0" w:rsidRPr="00DB5643">
        <w:rPr>
          <w:snapToGrid w:val="0"/>
          <w:kern w:val="22"/>
          <w:szCs w:val="22"/>
          <w:lang w:val="ru-RU"/>
        </w:rPr>
        <w:t xml:space="preserve">сообщили об обучении </w:t>
      </w:r>
      <w:r w:rsidRPr="00DB5643">
        <w:rPr>
          <w:snapToGrid w:val="0"/>
          <w:kern w:val="22"/>
          <w:szCs w:val="22"/>
          <w:lang w:val="ru-RU"/>
        </w:rPr>
        <w:t>10</w:t>
      </w:r>
      <w:r w:rsidR="001F64E0" w:rsidRPr="00DB5643">
        <w:rPr>
          <w:snapToGrid w:val="0"/>
          <w:kern w:val="22"/>
          <w:szCs w:val="22"/>
          <w:lang w:val="ru-RU"/>
        </w:rPr>
        <w:t>–</w:t>
      </w:r>
      <w:r w:rsidRPr="00DB5643">
        <w:rPr>
          <w:snapToGrid w:val="0"/>
          <w:kern w:val="22"/>
          <w:szCs w:val="22"/>
          <w:lang w:val="ru-RU"/>
        </w:rPr>
        <w:t xml:space="preserve">49 </w:t>
      </w:r>
      <w:r w:rsidR="001F64E0" w:rsidRPr="00DB5643">
        <w:rPr>
          <w:snapToGrid w:val="0"/>
          <w:kern w:val="22"/>
          <w:szCs w:val="22"/>
          <w:lang w:val="ru-RU"/>
        </w:rPr>
        <w:t>лиц</w:t>
      </w:r>
      <w:r w:rsidRPr="00DB5643">
        <w:rPr>
          <w:snapToGrid w:val="0"/>
          <w:kern w:val="22"/>
          <w:szCs w:val="22"/>
          <w:lang w:val="ru-RU"/>
        </w:rPr>
        <w:t xml:space="preserve"> (+</w:t>
      </w:r>
      <w:r w:rsidR="00B1530E" w:rsidRPr="00DB5643">
        <w:rPr>
          <w:snapToGrid w:val="0"/>
          <w:kern w:val="22"/>
          <w:szCs w:val="22"/>
          <w:lang w:val="ru-RU"/>
        </w:rPr>
        <w:t>4</w:t>
      </w:r>
      <w:r w:rsidR="001F64E0" w:rsidRPr="00DB5643">
        <w:rPr>
          <w:lang w:val="ru-RU"/>
        </w:rPr>
        <w:t> </w:t>
      </w:r>
      <w:r w:rsidRPr="00DB5643">
        <w:rPr>
          <w:snapToGrid w:val="0"/>
          <w:kern w:val="22"/>
          <w:szCs w:val="22"/>
          <w:lang w:val="ru-RU"/>
        </w:rPr>
        <w:t xml:space="preserve">%); </w:t>
      </w:r>
    </w:p>
    <w:p w14:paraId="2DA62801" w14:textId="42ACE5E7" w:rsidR="00FA23BA"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14</w:t>
      </w:r>
      <w:r w:rsidR="001F64E0" w:rsidRPr="00DB5643">
        <w:rPr>
          <w:snapToGrid w:val="0"/>
          <w:kern w:val="22"/>
          <w:szCs w:val="22"/>
          <w:lang w:val="en-US"/>
        </w:rPr>
        <w:t> </w:t>
      </w:r>
      <w:r w:rsidRPr="00DB5643">
        <w:rPr>
          <w:snapToGrid w:val="0"/>
          <w:kern w:val="22"/>
          <w:szCs w:val="22"/>
          <w:lang w:val="ru-RU"/>
        </w:rPr>
        <w:t xml:space="preserve">% </w:t>
      </w:r>
      <w:r w:rsidR="001F64E0" w:rsidRPr="00DB5643">
        <w:rPr>
          <w:snapToGrid w:val="0"/>
          <w:kern w:val="22"/>
          <w:szCs w:val="22"/>
          <w:lang w:val="ru-RU"/>
        </w:rPr>
        <w:t xml:space="preserve">Сторон </w:t>
      </w:r>
      <w:r w:rsidRPr="00DB5643">
        <w:rPr>
          <w:snapToGrid w:val="0"/>
          <w:kern w:val="22"/>
          <w:szCs w:val="22"/>
          <w:lang w:val="ru-RU"/>
        </w:rPr>
        <w:t xml:space="preserve">(10 </w:t>
      </w:r>
      <w:r w:rsidR="001F64E0" w:rsidRPr="00DB5643">
        <w:rPr>
          <w:snapToGrid w:val="0"/>
          <w:kern w:val="22"/>
          <w:szCs w:val="22"/>
          <w:lang w:val="ru-RU"/>
        </w:rPr>
        <w:t>Сторон</w:t>
      </w:r>
      <w:r w:rsidRPr="00DB5643">
        <w:rPr>
          <w:snapToGrid w:val="0"/>
          <w:kern w:val="22"/>
          <w:szCs w:val="22"/>
          <w:lang w:val="ru-RU"/>
        </w:rPr>
        <w:t xml:space="preserve">) </w:t>
      </w:r>
      <w:r w:rsidR="001F64E0" w:rsidRPr="00DB5643">
        <w:rPr>
          <w:snapToGrid w:val="0"/>
          <w:kern w:val="22"/>
          <w:szCs w:val="22"/>
          <w:lang w:val="ru-RU"/>
        </w:rPr>
        <w:t xml:space="preserve">сообщили об обучении </w:t>
      </w:r>
      <w:r w:rsidRPr="00DB5643">
        <w:rPr>
          <w:snapToGrid w:val="0"/>
          <w:kern w:val="22"/>
          <w:szCs w:val="22"/>
          <w:lang w:val="ru-RU"/>
        </w:rPr>
        <w:t>50</w:t>
      </w:r>
      <w:r w:rsidR="001F64E0" w:rsidRPr="00DB5643">
        <w:rPr>
          <w:snapToGrid w:val="0"/>
          <w:kern w:val="22"/>
          <w:szCs w:val="22"/>
          <w:lang w:val="ru-RU"/>
        </w:rPr>
        <w:t>–</w:t>
      </w:r>
      <w:r w:rsidRPr="00DB5643">
        <w:rPr>
          <w:snapToGrid w:val="0"/>
          <w:kern w:val="22"/>
          <w:szCs w:val="22"/>
          <w:lang w:val="ru-RU"/>
        </w:rPr>
        <w:t xml:space="preserve">99 </w:t>
      </w:r>
      <w:r w:rsidR="001F64E0" w:rsidRPr="00DB5643">
        <w:rPr>
          <w:snapToGrid w:val="0"/>
          <w:kern w:val="22"/>
          <w:szCs w:val="22"/>
          <w:lang w:val="ru-RU"/>
        </w:rPr>
        <w:t>лиц</w:t>
      </w:r>
      <w:r w:rsidRPr="00DB5643">
        <w:rPr>
          <w:snapToGrid w:val="0"/>
          <w:kern w:val="22"/>
          <w:szCs w:val="22"/>
          <w:lang w:val="ru-RU"/>
        </w:rPr>
        <w:t xml:space="preserve"> (-10</w:t>
      </w:r>
      <w:r w:rsidR="001F64E0" w:rsidRPr="00DB5643">
        <w:rPr>
          <w:snapToGrid w:val="0"/>
          <w:kern w:val="22"/>
          <w:szCs w:val="22"/>
          <w:lang w:val="ru-RU"/>
        </w:rPr>
        <w:t> </w:t>
      </w:r>
      <w:r w:rsidRPr="00DB5643">
        <w:rPr>
          <w:snapToGrid w:val="0"/>
          <w:kern w:val="22"/>
          <w:szCs w:val="22"/>
          <w:lang w:val="ru-RU"/>
        </w:rPr>
        <w:t xml:space="preserve">%); </w:t>
      </w:r>
    </w:p>
    <w:p w14:paraId="33C0331F" w14:textId="6692BFE7" w:rsidR="00FA23BA"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13</w:t>
      </w:r>
      <w:r w:rsidR="001F64E0" w:rsidRPr="00DB5643">
        <w:rPr>
          <w:snapToGrid w:val="0"/>
          <w:kern w:val="22"/>
          <w:szCs w:val="22"/>
          <w:lang w:val="en-US"/>
        </w:rPr>
        <w:t> </w:t>
      </w:r>
      <w:r w:rsidRPr="00DB5643">
        <w:rPr>
          <w:snapToGrid w:val="0"/>
          <w:kern w:val="22"/>
          <w:szCs w:val="22"/>
          <w:lang w:val="ru-RU"/>
        </w:rPr>
        <w:t xml:space="preserve">% (9 </w:t>
      </w:r>
      <w:r w:rsidR="001F64E0" w:rsidRPr="00DB5643">
        <w:rPr>
          <w:snapToGrid w:val="0"/>
          <w:kern w:val="22"/>
          <w:szCs w:val="22"/>
          <w:lang w:val="ru-RU"/>
        </w:rPr>
        <w:t>Сторон</w:t>
      </w:r>
      <w:r w:rsidRPr="00DB5643">
        <w:rPr>
          <w:snapToGrid w:val="0"/>
          <w:kern w:val="22"/>
          <w:szCs w:val="22"/>
          <w:lang w:val="ru-RU"/>
        </w:rPr>
        <w:t xml:space="preserve">) </w:t>
      </w:r>
      <w:r w:rsidR="001F64E0" w:rsidRPr="00DB5643">
        <w:rPr>
          <w:snapToGrid w:val="0"/>
          <w:kern w:val="22"/>
          <w:szCs w:val="22"/>
          <w:lang w:val="ru-RU"/>
        </w:rPr>
        <w:t xml:space="preserve">сообщили об обучении </w:t>
      </w:r>
      <w:r w:rsidRPr="00DB5643">
        <w:rPr>
          <w:snapToGrid w:val="0"/>
          <w:kern w:val="22"/>
          <w:szCs w:val="22"/>
          <w:lang w:val="ru-RU"/>
        </w:rPr>
        <w:t xml:space="preserve">100 </w:t>
      </w:r>
      <w:r w:rsidR="001F64E0" w:rsidRPr="00DB5643">
        <w:rPr>
          <w:snapToGrid w:val="0"/>
          <w:kern w:val="22"/>
          <w:szCs w:val="22"/>
          <w:lang w:val="ru-RU"/>
        </w:rPr>
        <w:t>или более лиц проведению оценки рисков</w:t>
      </w:r>
      <w:r w:rsidRPr="00DB5643">
        <w:rPr>
          <w:snapToGrid w:val="0"/>
          <w:kern w:val="22"/>
          <w:szCs w:val="22"/>
          <w:lang w:val="ru-RU"/>
        </w:rPr>
        <w:t xml:space="preserve"> (+</w:t>
      </w:r>
      <w:r w:rsidR="00B1530E" w:rsidRPr="00DB5643">
        <w:rPr>
          <w:snapToGrid w:val="0"/>
          <w:kern w:val="22"/>
          <w:szCs w:val="22"/>
          <w:lang w:val="ru-RU"/>
        </w:rPr>
        <w:t>4</w:t>
      </w:r>
      <w:r w:rsidR="001F64E0" w:rsidRPr="00DB5643">
        <w:rPr>
          <w:snapToGrid w:val="0"/>
          <w:kern w:val="22"/>
          <w:szCs w:val="22"/>
          <w:lang w:val="ru-RU"/>
        </w:rPr>
        <w:t> </w:t>
      </w:r>
      <w:r w:rsidRPr="00DB5643">
        <w:rPr>
          <w:snapToGrid w:val="0"/>
          <w:kern w:val="22"/>
          <w:szCs w:val="22"/>
          <w:lang w:val="ru-RU"/>
        </w:rPr>
        <w:t>%)</w:t>
      </w:r>
      <w:r w:rsidR="00FA23BA" w:rsidRPr="00DB5643">
        <w:rPr>
          <w:snapToGrid w:val="0"/>
          <w:kern w:val="22"/>
          <w:szCs w:val="22"/>
          <w:lang w:val="ru-RU"/>
        </w:rPr>
        <w:t>;</w:t>
      </w:r>
    </w:p>
    <w:p w14:paraId="057C804F" w14:textId="1E8D8DE2" w:rsidR="004569FB"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7</w:t>
      </w:r>
      <w:r w:rsidR="001F64E0" w:rsidRPr="00DB5643">
        <w:rPr>
          <w:snapToGrid w:val="0"/>
          <w:kern w:val="22"/>
          <w:szCs w:val="22"/>
          <w:lang w:val="en-US"/>
        </w:rPr>
        <w:t> </w:t>
      </w:r>
      <w:r w:rsidRPr="00DB5643">
        <w:rPr>
          <w:snapToGrid w:val="0"/>
          <w:kern w:val="22"/>
          <w:szCs w:val="22"/>
          <w:lang w:val="ru-RU"/>
        </w:rPr>
        <w:t xml:space="preserve">% </w:t>
      </w:r>
      <w:r w:rsidR="001F64E0" w:rsidRPr="00DB5643">
        <w:rPr>
          <w:snapToGrid w:val="0"/>
          <w:kern w:val="22"/>
          <w:szCs w:val="22"/>
          <w:lang w:val="ru-RU"/>
        </w:rPr>
        <w:t>Сторон</w:t>
      </w:r>
      <w:r w:rsidRPr="00DB5643">
        <w:rPr>
          <w:snapToGrid w:val="0"/>
          <w:kern w:val="22"/>
          <w:szCs w:val="22"/>
          <w:lang w:val="ru-RU"/>
        </w:rPr>
        <w:t xml:space="preserve"> (5 </w:t>
      </w:r>
      <w:r w:rsidR="001F64E0" w:rsidRPr="00DB5643">
        <w:rPr>
          <w:snapToGrid w:val="0"/>
          <w:kern w:val="22"/>
          <w:szCs w:val="22"/>
          <w:lang w:val="ru-RU"/>
        </w:rPr>
        <w:t>Сторон</w:t>
      </w:r>
      <w:r w:rsidRPr="00DB5643">
        <w:rPr>
          <w:snapToGrid w:val="0"/>
          <w:kern w:val="22"/>
          <w:szCs w:val="22"/>
          <w:lang w:val="ru-RU"/>
        </w:rPr>
        <w:t xml:space="preserve">) </w:t>
      </w:r>
      <w:r w:rsidR="001F64E0" w:rsidRPr="00DB5643">
        <w:rPr>
          <w:snapToGrid w:val="0"/>
          <w:kern w:val="22"/>
          <w:szCs w:val="22"/>
          <w:lang w:val="ru-RU"/>
        </w:rPr>
        <w:t xml:space="preserve">сообщили, что </w:t>
      </w:r>
      <w:r w:rsidR="00C20532" w:rsidRPr="00DB5643">
        <w:rPr>
          <w:snapToGrid w:val="0"/>
          <w:kern w:val="22"/>
          <w:szCs w:val="22"/>
          <w:lang w:val="ru-RU"/>
        </w:rPr>
        <w:t>обучение не проводилось</w:t>
      </w:r>
      <w:r w:rsidRPr="00DB5643">
        <w:rPr>
          <w:snapToGrid w:val="0"/>
          <w:kern w:val="22"/>
          <w:szCs w:val="22"/>
          <w:lang w:val="ru-RU"/>
        </w:rPr>
        <w:t xml:space="preserve"> (+1</w:t>
      </w:r>
      <w:r w:rsidR="00C20532" w:rsidRPr="00DB5643">
        <w:rPr>
          <w:snapToGrid w:val="0"/>
          <w:kern w:val="22"/>
          <w:szCs w:val="22"/>
          <w:lang w:val="ru-RU"/>
        </w:rPr>
        <w:t> </w:t>
      </w:r>
      <w:r w:rsidRPr="00DB5643">
        <w:rPr>
          <w:snapToGrid w:val="0"/>
          <w:kern w:val="22"/>
          <w:szCs w:val="22"/>
          <w:lang w:val="ru-RU"/>
        </w:rPr>
        <w:t>%).</w:t>
      </w:r>
    </w:p>
    <w:p w14:paraId="08B29062" w14:textId="26199D3E" w:rsidR="00752892" w:rsidRPr="00134F3A" w:rsidRDefault="00C20532" w:rsidP="00134F3A">
      <w:pPr>
        <w:pStyle w:val="a3"/>
        <w:numPr>
          <w:ilvl w:val="0"/>
          <w:numId w:val="59"/>
        </w:numPr>
        <w:suppressLineNumbers/>
        <w:suppressAutoHyphens/>
        <w:snapToGrid w:val="0"/>
        <w:spacing w:after="120"/>
        <w:ind w:left="0" w:firstLine="720"/>
        <w:contextualSpacing w:val="0"/>
        <w:rPr>
          <w:snapToGrid w:val="0"/>
          <w:kern w:val="22"/>
          <w:szCs w:val="22"/>
          <w:lang w:val="ru-RU"/>
        </w:rPr>
      </w:pPr>
      <w:r w:rsidRPr="00DB5643">
        <w:rPr>
          <w:snapToGrid w:val="0"/>
          <w:kern w:val="22"/>
          <w:szCs w:val="22"/>
          <w:lang w:val="ru-RU"/>
        </w:rPr>
        <w:t>Число лиц, обученных регулированию риска</w:t>
      </w:r>
      <w:r w:rsidR="004569FB" w:rsidRPr="00DB5643">
        <w:rPr>
          <w:snapToGrid w:val="0"/>
          <w:kern w:val="22"/>
          <w:szCs w:val="22"/>
          <w:lang w:val="ru-RU"/>
        </w:rPr>
        <w:t>: 90</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 сообщили о подготовке в их странах специалистов по регулированию риска</w:t>
      </w:r>
      <w:r w:rsidR="004569FB" w:rsidRPr="00DB5643">
        <w:rPr>
          <w:snapToGrid w:val="0"/>
          <w:kern w:val="22"/>
          <w:szCs w:val="22"/>
          <w:lang w:val="ru-RU"/>
        </w:rPr>
        <w:t xml:space="preserve">. </w:t>
      </w:r>
      <w:r w:rsidRPr="00DB5643">
        <w:rPr>
          <w:snapToGrid w:val="0"/>
          <w:kern w:val="22"/>
          <w:szCs w:val="22"/>
          <w:lang w:val="ru-RU"/>
        </w:rPr>
        <w:t>В общей сложности</w:t>
      </w:r>
      <w:r w:rsidR="00752892" w:rsidRPr="00134F3A">
        <w:rPr>
          <w:snapToGrid w:val="0"/>
          <w:kern w:val="22"/>
          <w:szCs w:val="22"/>
          <w:lang w:val="ru-RU"/>
        </w:rPr>
        <w:t>:</w:t>
      </w:r>
      <w:r w:rsidR="004569FB" w:rsidRPr="00134F3A">
        <w:rPr>
          <w:snapToGrid w:val="0"/>
          <w:kern w:val="22"/>
          <w:szCs w:val="22"/>
          <w:lang w:val="ru-RU"/>
        </w:rPr>
        <w:t xml:space="preserve">  </w:t>
      </w:r>
    </w:p>
    <w:p w14:paraId="1BB0E987" w14:textId="53A34AD9" w:rsidR="00752892"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38</w:t>
      </w:r>
      <w:r w:rsidR="00C20532" w:rsidRPr="00DB5643">
        <w:rPr>
          <w:snapToGrid w:val="0"/>
          <w:kern w:val="22"/>
          <w:szCs w:val="22"/>
          <w:lang w:val="en-US"/>
        </w:rPr>
        <w:t> </w:t>
      </w:r>
      <w:r w:rsidRPr="00DB5643">
        <w:rPr>
          <w:snapToGrid w:val="0"/>
          <w:kern w:val="22"/>
          <w:szCs w:val="22"/>
          <w:lang w:val="ru-RU"/>
        </w:rPr>
        <w:t xml:space="preserve">% (27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об обучении </w:t>
      </w:r>
      <w:r w:rsidRPr="00DB5643">
        <w:rPr>
          <w:snapToGrid w:val="0"/>
          <w:kern w:val="22"/>
          <w:szCs w:val="22"/>
          <w:lang w:val="ru-RU"/>
        </w:rPr>
        <w:t>1</w:t>
      </w:r>
      <w:r w:rsidR="00C20532" w:rsidRPr="00DB5643">
        <w:rPr>
          <w:snapToGrid w:val="0"/>
          <w:kern w:val="22"/>
          <w:szCs w:val="22"/>
          <w:lang w:val="ru-RU"/>
        </w:rPr>
        <w:t>–</w:t>
      </w:r>
      <w:r w:rsidRPr="00DB5643">
        <w:rPr>
          <w:snapToGrid w:val="0"/>
          <w:kern w:val="22"/>
          <w:szCs w:val="22"/>
          <w:lang w:val="ru-RU"/>
        </w:rPr>
        <w:t xml:space="preserve">9 </w:t>
      </w:r>
      <w:r w:rsidR="00C20532" w:rsidRPr="00DB5643">
        <w:rPr>
          <w:snapToGrid w:val="0"/>
          <w:kern w:val="22"/>
          <w:szCs w:val="22"/>
          <w:lang w:val="ru-RU"/>
        </w:rPr>
        <w:t>лиц</w:t>
      </w:r>
      <w:r w:rsidRPr="00DB5643">
        <w:rPr>
          <w:snapToGrid w:val="0"/>
          <w:kern w:val="22"/>
          <w:szCs w:val="22"/>
          <w:lang w:val="ru-RU"/>
        </w:rPr>
        <w:t xml:space="preserve"> (+8</w:t>
      </w:r>
      <w:r w:rsidR="00C20532" w:rsidRPr="00DB5643">
        <w:rPr>
          <w:snapToGrid w:val="0"/>
          <w:kern w:val="22"/>
          <w:szCs w:val="22"/>
          <w:lang w:val="ru-RU"/>
        </w:rPr>
        <w:t> </w:t>
      </w:r>
      <w:r w:rsidRPr="00DB5643">
        <w:rPr>
          <w:snapToGrid w:val="0"/>
          <w:kern w:val="22"/>
          <w:szCs w:val="22"/>
          <w:lang w:val="ru-RU"/>
        </w:rPr>
        <w:t xml:space="preserve">%); </w:t>
      </w:r>
    </w:p>
    <w:p w14:paraId="0DC6BF6B" w14:textId="5CBF61FB" w:rsidR="00752892"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28</w:t>
      </w:r>
      <w:r w:rsidR="00C20532" w:rsidRPr="00DB5643">
        <w:rPr>
          <w:snapToGrid w:val="0"/>
          <w:kern w:val="22"/>
          <w:szCs w:val="22"/>
          <w:lang w:val="en-US"/>
        </w:rPr>
        <w:t> </w:t>
      </w:r>
      <w:r w:rsidRPr="00DB5643">
        <w:rPr>
          <w:snapToGrid w:val="0"/>
          <w:kern w:val="22"/>
          <w:szCs w:val="22"/>
          <w:lang w:val="ru-RU"/>
        </w:rPr>
        <w:t xml:space="preserve">% (20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об обучении </w:t>
      </w:r>
      <w:r w:rsidRPr="00DB5643">
        <w:rPr>
          <w:snapToGrid w:val="0"/>
          <w:kern w:val="22"/>
          <w:szCs w:val="22"/>
          <w:lang w:val="ru-RU"/>
        </w:rPr>
        <w:t>10</w:t>
      </w:r>
      <w:r w:rsidR="00C20532" w:rsidRPr="00DB5643">
        <w:rPr>
          <w:snapToGrid w:val="0"/>
          <w:kern w:val="22"/>
          <w:szCs w:val="22"/>
          <w:lang w:val="ru-RU"/>
        </w:rPr>
        <w:t>–</w:t>
      </w:r>
      <w:r w:rsidRPr="00DB5643">
        <w:rPr>
          <w:snapToGrid w:val="0"/>
          <w:kern w:val="22"/>
          <w:szCs w:val="22"/>
          <w:lang w:val="ru-RU"/>
        </w:rPr>
        <w:t xml:space="preserve">49 </w:t>
      </w:r>
      <w:r w:rsidR="00C20532" w:rsidRPr="00DB5643">
        <w:rPr>
          <w:snapToGrid w:val="0"/>
          <w:kern w:val="22"/>
          <w:szCs w:val="22"/>
          <w:lang w:val="ru-RU"/>
        </w:rPr>
        <w:t>лиц</w:t>
      </w:r>
      <w:r w:rsidRPr="00DB5643">
        <w:rPr>
          <w:snapToGrid w:val="0"/>
          <w:kern w:val="22"/>
          <w:szCs w:val="22"/>
          <w:lang w:val="ru-RU"/>
        </w:rPr>
        <w:t xml:space="preserve"> (-3</w:t>
      </w:r>
      <w:r w:rsidR="00C20532" w:rsidRPr="00DB5643">
        <w:rPr>
          <w:snapToGrid w:val="0"/>
          <w:kern w:val="22"/>
          <w:szCs w:val="22"/>
          <w:lang w:val="ru-RU"/>
        </w:rPr>
        <w:t> </w:t>
      </w:r>
      <w:r w:rsidRPr="00DB5643">
        <w:rPr>
          <w:snapToGrid w:val="0"/>
          <w:kern w:val="22"/>
          <w:szCs w:val="22"/>
          <w:lang w:val="ru-RU"/>
        </w:rPr>
        <w:t xml:space="preserve">%); </w:t>
      </w:r>
    </w:p>
    <w:p w14:paraId="462DE33F" w14:textId="2F158B3B" w:rsidR="00752892"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13</w:t>
      </w:r>
      <w:r w:rsidR="00C20532" w:rsidRPr="00DB5643">
        <w:rPr>
          <w:snapToGrid w:val="0"/>
          <w:kern w:val="22"/>
          <w:szCs w:val="22"/>
          <w:lang w:val="en-US"/>
        </w:rPr>
        <w:t> </w:t>
      </w:r>
      <w:r w:rsidRPr="00DB5643">
        <w:rPr>
          <w:snapToGrid w:val="0"/>
          <w:kern w:val="22"/>
          <w:szCs w:val="22"/>
          <w:lang w:val="ru-RU"/>
        </w:rPr>
        <w:t xml:space="preserve">% (9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об обучении </w:t>
      </w:r>
      <w:r w:rsidRPr="00DB5643">
        <w:rPr>
          <w:snapToGrid w:val="0"/>
          <w:kern w:val="22"/>
          <w:szCs w:val="22"/>
          <w:lang w:val="ru-RU"/>
        </w:rPr>
        <w:t>50</w:t>
      </w:r>
      <w:r w:rsidR="00C20532" w:rsidRPr="00DB5643">
        <w:rPr>
          <w:snapToGrid w:val="0"/>
          <w:kern w:val="22"/>
          <w:szCs w:val="22"/>
          <w:lang w:val="ru-RU"/>
        </w:rPr>
        <w:t>–</w:t>
      </w:r>
      <w:r w:rsidRPr="00DB5643">
        <w:rPr>
          <w:snapToGrid w:val="0"/>
          <w:kern w:val="22"/>
          <w:szCs w:val="22"/>
          <w:lang w:val="ru-RU"/>
        </w:rPr>
        <w:t xml:space="preserve">99 </w:t>
      </w:r>
      <w:r w:rsidR="00C20532" w:rsidRPr="00DB5643">
        <w:rPr>
          <w:snapToGrid w:val="0"/>
          <w:kern w:val="22"/>
          <w:szCs w:val="22"/>
          <w:lang w:val="ru-RU"/>
        </w:rPr>
        <w:t>лиц</w:t>
      </w:r>
      <w:r w:rsidRPr="00DB5643">
        <w:rPr>
          <w:snapToGrid w:val="0"/>
          <w:kern w:val="22"/>
          <w:szCs w:val="22"/>
          <w:lang w:val="ru-RU"/>
        </w:rPr>
        <w:t xml:space="preserve"> (-10</w:t>
      </w:r>
      <w:r w:rsidR="00C20532" w:rsidRPr="00DB5643">
        <w:rPr>
          <w:snapToGrid w:val="0"/>
          <w:kern w:val="22"/>
          <w:szCs w:val="22"/>
          <w:lang w:val="ru-RU"/>
        </w:rPr>
        <w:t> </w:t>
      </w:r>
      <w:r w:rsidRPr="00DB5643">
        <w:rPr>
          <w:snapToGrid w:val="0"/>
          <w:kern w:val="22"/>
          <w:szCs w:val="22"/>
          <w:lang w:val="ru-RU"/>
        </w:rPr>
        <w:t xml:space="preserve">%); </w:t>
      </w:r>
    </w:p>
    <w:p w14:paraId="3F4CCEC1" w14:textId="6B07ADFC" w:rsidR="00752892"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11</w:t>
      </w:r>
      <w:r w:rsidR="00C20532" w:rsidRPr="00DB5643">
        <w:rPr>
          <w:snapToGrid w:val="0"/>
          <w:kern w:val="22"/>
          <w:szCs w:val="22"/>
          <w:lang w:val="en-US"/>
        </w:rPr>
        <w:t> </w:t>
      </w:r>
      <w:r w:rsidRPr="00DB5643">
        <w:rPr>
          <w:snapToGrid w:val="0"/>
          <w:kern w:val="22"/>
          <w:szCs w:val="22"/>
          <w:lang w:val="ru-RU"/>
        </w:rPr>
        <w:t xml:space="preserve">% (8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об обучении </w:t>
      </w:r>
      <w:r w:rsidRPr="00DB5643">
        <w:rPr>
          <w:snapToGrid w:val="0"/>
          <w:kern w:val="22"/>
          <w:szCs w:val="22"/>
          <w:lang w:val="ru-RU"/>
        </w:rPr>
        <w:t xml:space="preserve">100 </w:t>
      </w:r>
      <w:r w:rsidR="00C20532" w:rsidRPr="00DB5643">
        <w:rPr>
          <w:snapToGrid w:val="0"/>
          <w:kern w:val="22"/>
          <w:szCs w:val="22"/>
          <w:lang w:val="ru-RU"/>
        </w:rPr>
        <w:t>или более лиц регулированию риска (+</w:t>
      </w:r>
      <w:r w:rsidRPr="00DB5643">
        <w:rPr>
          <w:snapToGrid w:val="0"/>
          <w:kern w:val="22"/>
          <w:szCs w:val="22"/>
          <w:lang w:val="ru-RU"/>
        </w:rPr>
        <w:t>3</w:t>
      </w:r>
      <w:r w:rsidR="00C20532" w:rsidRPr="00DB5643">
        <w:rPr>
          <w:snapToGrid w:val="0"/>
          <w:kern w:val="22"/>
          <w:szCs w:val="22"/>
          <w:lang w:val="ru-RU"/>
        </w:rPr>
        <w:t> </w:t>
      </w:r>
      <w:r w:rsidRPr="00DB5643">
        <w:rPr>
          <w:snapToGrid w:val="0"/>
          <w:kern w:val="22"/>
          <w:szCs w:val="22"/>
          <w:lang w:val="ru-RU"/>
        </w:rPr>
        <w:t>%)</w:t>
      </w:r>
      <w:r w:rsidR="00752892" w:rsidRPr="00DB5643">
        <w:rPr>
          <w:snapToGrid w:val="0"/>
          <w:kern w:val="22"/>
          <w:szCs w:val="22"/>
          <w:lang w:val="ru-RU"/>
        </w:rPr>
        <w:t xml:space="preserve">; </w:t>
      </w:r>
    </w:p>
    <w:p w14:paraId="14531C29" w14:textId="0D122D8C" w:rsidR="004569FB"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10</w:t>
      </w:r>
      <w:r w:rsidR="00C20532" w:rsidRPr="00DB5643">
        <w:rPr>
          <w:snapToGrid w:val="0"/>
          <w:kern w:val="22"/>
          <w:szCs w:val="22"/>
          <w:lang w:val="en-US"/>
        </w:rPr>
        <w:t> </w:t>
      </w:r>
      <w:r w:rsidRPr="00DB5643">
        <w:rPr>
          <w:snapToGrid w:val="0"/>
          <w:kern w:val="22"/>
          <w:szCs w:val="22"/>
          <w:lang w:val="ru-RU"/>
        </w:rPr>
        <w:t xml:space="preserve">% (7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что обучение не проводилось </w:t>
      </w:r>
      <w:r w:rsidRPr="00DB5643">
        <w:rPr>
          <w:snapToGrid w:val="0"/>
          <w:kern w:val="22"/>
          <w:szCs w:val="22"/>
          <w:lang w:val="ru-RU"/>
        </w:rPr>
        <w:t>(+2</w:t>
      </w:r>
      <w:r w:rsidR="00C20532" w:rsidRPr="00DB5643">
        <w:rPr>
          <w:snapToGrid w:val="0"/>
          <w:kern w:val="22"/>
          <w:szCs w:val="22"/>
          <w:lang w:val="ru-RU"/>
        </w:rPr>
        <w:t> </w:t>
      </w:r>
      <w:r w:rsidRPr="00DB5643">
        <w:rPr>
          <w:snapToGrid w:val="0"/>
          <w:kern w:val="22"/>
          <w:szCs w:val="22"/>
          <w:lang w:val="ru-RU"/>
        </w:rPr>
        <w:t>%).</w:t>
      </w:r>
    </w:p>
    <w:p w14:paraId="156B1466" w14:textId="4043A906" w:rsidR="00752892" w:rsidRPr="00DB5643" w:rsidRDefault="00C20532" w:rsidP="00134F3A">
      <w:pPr>
        <w:pStyle w:val="a3"/>
        <w:numPr>
          <w:ilvl w:val="0"/>
          <w:numId w:val="59"/>
        </w:numPr>
        <w:suppressLineNumbers/>
        <w:suppressAutoHyphens/>
        <w:snapToGrid w:val="0"/>
        <w:spacing w:after="120"/>
        <w:ind w:left="0" w:firstLine="720"/>
        <w:contextualSpacing w:val="0"/>
        <w:rPr>
          <w:snapToGrid w:val="0"/>
          <w:kern w:val="22"/>
          <w:szCs w:val="22"/>
        </w:rPr>
      </w:pPr>
      <w:r w:rsidRPr="00DB5643">
        <w:rPr>
          <w:snapToGrid w:val="0"/>
          <w:kern w:val="22"/>
          <w:szCs w:val="22"/>
          <w:lang w:val="ru-RU"/>
        </w:rPr>
        <w:t>Число лиц, обученных</w:t>
      </w:r>
      <w:r w:rsidR="004569FB" w:rsidRPr="00DB5643">
        <w:rPr>
          <w:snapToGrid w:val="0"/>
          <w:kern w:val="22"/>
          <w:szCs w:val="22"/>
          <w:lang w:val="ru-RU"/>
        </w:rPr>
        <w:t xml:space="preserve"> </w:t>
      </w:r>
      <w:r w:rsidRPr="00DB5643">
        <w:rPr>
          <w:snapToGrid w:val="0"/>
          <w:kern w:val="22"/>
          <w:szCs w:val="22"/>
          <w:lang w:val="ru-RU"/>
        </w:rPr>
        <w:t xml:space="preserve">мониторингу </w:t>
      </w:r>
      <w:proofErr w:type="spellStart"/>
      <w:r w:rsidRPr="00DB5643">
        <w:rPr>
          <w:snapToGrid w:val="0"/>
          <w:kern w:val="22"/>
          <w:szCs w:val="22"/>
          <w:lang w:val="ru-RU"/>
        </w:rPr>
        <w:t>ЖИО</w:t>
      </w:r>
      <w:proofErr w:type="spellEnd"/>
      <w:r w:rsidR="004569FB" w:rsidRPr="00DB5643">
        <w:rPr>
          <w:snapToGrid w:val="0"/>
          <w:kern w:val="22"/>
          <w:szCs w:val="22"/>
          <w:lang w:val="ru-RU"/>
        </w:rPr>
        <w:t>: 87</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 xml:space="preserve">сообщили о подготовке в их странах специалистов по мониторингу </w:t>
      </w:r>
      <w:proofErr w:type="spellStart"/>
      <w:r w:rsidRPr="00DB5643">
        <w:rPr>
          <w:snapToGrid w:val="0"/>
          <w:kern w:val="22"/>
          <w:szCs w:val="22"/>
          <w:lang w:val="ru-RU"/>
        </w:rPr>
        <w:t>ЖИО</w:t>
      </w:r>
      <w:proofErr w:type="spellEnd"/>
      <w:r w:rsidR="004569FB" w:rsidRPr="00DB5643">
        <w:rPr>
          <w:snapToGrid w:val="0"/>
          <w:kern w:val="22"/>
          <w:szCs w:val="22"/>
          <w:lang w:val="ru-RU"/>
        </w:rPr>
        <w:t xml:space="preserve">. </w:t>
      </w:r>
      <w:r w:rsidRPr="00DB5643">
        <w:rPr>
          <w:snapToGrid w:val="0"/>
          <w:kern w:val="22"/>
          <w:szCs w:val="22"/>
          <w:lang w:val="ru-RU"/>
        </w:rPr>
        <w:t>В общей сложности</w:t>
      </w:r>
      <w:r w:rsidR="00752892" w:rsidRPr="00DB5643">
        <w:rPr>
          <w:snapToGrid w:val="0"/>
          <w:kern w:val="22"/>
          <w:szCs w:val="22"/>
        </w:rPr>
        <w:t>:</w:t>
      </w:r>
      <w:r w:rsidR="004569FB" w:rsidRPr="00DB5643">
        <w:rPr>
          <w:snapToGrid w:val="0"/>
          <w:kern w:val="22"/>
          <w:szCs w:val="22"/>
        </w:rPr>
        <w:t xml:space="preserve"> </w:t>
      </w:r>
    </w:p>
    <w:p w14:paraId="67E083B0" w14:textId="46CF2511" w:rsidR="00752892"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41</w:t>
      </w:r>
      <w:r w:rsidR="00C20532" w:rsidRPr="00DB5643">
        <w:rPr>
          <w:snapToGrid w:val="0"/>
          <w:kern w:val="22"/>
          <w:szCs w:val="22"/>
          <w:lang w:val="en-US"/>
        </w:rPr>
        <w:t> </w:t>
      </w:r>
      <w:r w:rsidRPr="00DB5643">
        <w:rPr>
          <w:snapToGrid w:val="0"/>
          <w:kern w:val="22"/>
          <w:szCs w:val="22"/>
          <w:lang w:val="ru-RU"/>
        </w:rPr>
        <w:t xml:space="preserve">% (29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об обучении </w:t>
      </w:r>
      <w:r w:rsidRPr="00DB5643">
        <w:rPr>
          <w:snapToGrid w:val="0"/>
          <w:kern w:val="22"/>
          <w:szCs w:val="22"/>
          <w:lang w:val="ru-RU"/>
        </w:rPr>
        <w:t>1</w:t>
      </w:r>
      <w:r w:rsidR="00C20532" w:rsidRPr="00DB5643">
        <w:rPr>
          <w:snapToGrid w:val="0"/>
          <w:kern w:val="22"/>
          <w:szCs w:val="22"/>
          <w:lang w:val="ru-RU"/>
        </w:rPr>
        <w:t>–</w:t>
      </w:r>
      <w:r w:rsidRPr="00DB5643">
        <w:rPr>
          <w:snapToGrid w:val="0"/>
          <w:kern w:val="22"/>
          <w:szCs w:val="22"/>
          <w:lang w:val="ru-RU"/>
        </w:rPr>
        <w:t xml:space="preserve">9 </w:t>
      </w:r>
      <w:r w:rsidR="00C20532" w:rsidRPr="00DB5643">
        <w:rPr>
          <w:snapToGrid w:val="0"/>
          <w:kern w:val="22"/>
          <w:szCs w:val="22"/>
          <w:lang w:val="ru-RU"/>
        </w:rPr>
        <w:t>лиц</w:t>
      </w:r>
      <w:r w:rsidRPr="00DB5643">
        <w:rPr>
          <w:snapToGrid w:val="0"/>
          <w:kern w:val="22"/>
          <w:szCs w:val="22"/>
          <w:lang w:val="ru-RU"/>
        </w:rPr>
        <w:t xml:space="preserve"> (+14</w:t>
      </w:r>
      <w:r w:rsidR="00C20532" w:rsidRPr="00DB5643">
        <w:rPr>
          <w:snapToGrid w:val="0"/>
          <w:kern w:val="22"/>
          <w:szCs w:val="22"/>
          <w:lang w:val="ru-RU"/>
        </w:rPr>
        <w:t> </w:t>
      </w:r>
      <w:r w:rsidRPr="00DB5643">
        <w:rPr>
          <w:snapToGrid w:val="0"/>
          <w:kern w:val="22"/>
          <w:szCs w:val="22"/>
          <w:lang w:val="ru-RU"/>
        </w:rPr>
        <w:t xml:space="preserve">%); </w:t>
      </w:r>
    </w:p>
    <w:p w14:paraId="590C0662" w14:textId="0CA55C20" w:rsidR="00752892"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28</w:t>
      </w:r>
      <w:r w:rsidR="00C20532" w:rsidRPr="00DB5643">
        <w:rPr>
          <w:snapToGrid w:val="0"/>
          <w:kern w:val="22"/>
          <w:szCs w:val="22"/>
          <w:lang w:val="en-US"/>
        </w:rPr>
        <w:t> </w:t>
      </w:r>
      <w:r w:rsidRPr="00DB5643">
        <w:rPr>
          <w:snapToGrid w:val="0"/>
          <w:kern w:val="22"/>
          <w:szCs w:val="22"/>
          <w:lang w:val="ru-RU"/>
        </w:rPr>
        <w:t xml:space="preserve">% (20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об обучении </w:t>
      </w:r>
      <w:r w:rsidRPr="00DB5643">
        <w:rPr>
          <w:snapToGrid w:val="0"/>
          <w:kern w:val="22"/>
          <w:szCs w:val="22"/>
          <w:lang w:val="ru-RU"/>
        </w:rPr>
        <w:t>10</w:t>
      </w:r>
      <w:r w:rsidR="00C20532" w:rsidRPr="00DB5643">
        <w:rPr>
          <w:snapToGrid w:val="0"/>
          <w:kern w:val="22"/>
          <w:szCs w:val="22"/>
          <w:lang w:val="ru-RU"/>
        </w:rPr>
        <w:t>–</w:t>
      </w:r>
      <w:r w:rsidRPr="00DB5643">
        <w:rPr>
          <w:snapToGrid w:val="0"/>
          <w:kern w:val="22"/>
          <w:szCs w:val="22"/>
          <w:lang w:val="ru-RU"/>
        </w:rPr>
        <w:t xml:space="preserve">49 </w:t>
      </w:r>
      <w:r w:rsidR="00C20532" w:rsidRPr="00DB5643">
        <w:rPr>
          <w:snapToGrid w:val="0"/>
          <w:kern w:val="22"/>
          <w:szCs w:val="22"/>
          <w:lang w:val="ru-RU"/>
        </w:rPr>
        <w:t xml:space="preserve">лиц </w:t>
      </w:r>
      <w:r w:rsidRPr="00DB5643">
        <w:rPr>
          <w:snapToGrid w:val="0"/>
          <w:kern w:val="22"/>
          <w:szCs w:val="22"/>
          <w:lang w:val="ru-RU"/>
        </w:rPr>
        <w:t>(-10</w:t>
      </w:r>
      <w:r w:rsidR="00C20532" w:rsidRPr="00DB5643">
        <w:rPr>
          <w:snapToGrid w:val="0"/>
          <w:kern w:val="22"/>
          <w:szCs w:val="22"/>
          <w:lang w:val="ru-RU"/>
        </w:rPr>
        <w:t> </w:t>
      </w:r>
      <w:r w:rsidRPr="00DB5643">
        <w:rPr>
          <w:snapToGrid w:val="0"/>
          <w:kern w:val="22"/>
          <w:szCs w:val="22"/>
          <w:lang w:val="ru-RU"/>
        </w:rPr>
        <w:t xml:space="preserve">%); </w:t>
      </w:r>
    </w:p>
    <w:p w14:paraId="5366ACC7" w14:textId="7B611F9C" w:rsidR="00752892"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11</w:t>
      </w:r>
      <w:r w:rsidR="00C20532" w:rsidRPr="00DB5643">
        <w:rPr>
          <w:snapToGrid w:val="0"/>
          <w:kern w:val="22"/>
          <w:szCs w:val="22"/>
          <w:lang w:val="en-US"/>
        </w:rPr>
        <w:t> </w:t>
      </w:r>
      <w:r w:rsidRPr="00DB5643">
        <w:rPr>
          <w:snapToGrid w:val="0"/>
          <w:kern w:val="22"/>
          <w:szCs w:val="22"/>
          <w:lang w:val="ru-RU"/>
        </w:rPr>
        <w:t xml:space="preserve">% (8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об обучении </w:t>
      </w:r>
      <w:r w:rsidRPr="00DB5643">
        <w:rPr>
          <w:snapToGrid w:val="0"/>
          <w:kern w:val="22"/>
          <w:szCs w:val="22"/>
          <w:lang w:val="ru-RU"/>
        </w:rPr>
        <w:t>50</w:t>
      </w:r>
      <w:r w:rsidR="00C20532" w:rsidRPr="00DB5643">
        <w:rPr>
          <w:snapToGrid w:val="0"/>
          <w:kern w:val="22"/>
          <w:szCs w:val="22"/>
          <w:lang w:val="ru-RU"/>
        </w:rPr>
        <w:t>–</w:t>
      </w:r>
      <w:r w:rsidRPr="00DB5643">
        <w:rPr>
          <w:snapToGrid w:val="0"/>
          <w:kern w:val="22"/>
          <w:szCs w:val="22"/>
          <w:lang w:val="ru-RU"/>
        </w:rPr>
        <w:t xml:space="preserve">99 </w:t>
      </w:r>
      <w:r w:rsidR="00C20532" w:rsidRPr="00DB5643">
        <w:rPr>
          <w:snapToGrid w:val="0"/>
          <w:kern w:val="22"/>
          <w:szCs w:val="22"/>
          <w:lang w:val="ru-RU"/>
        </w:rPr>
        <w:t>лиц</w:t>
      </w:r>
      <w:r w:rsidRPr="00DB5643">
        <w:rPr>
          <w:snapToGrid w:val="0"/>
          <w:kern w:val="22"/>
          <w:szCs w:val="22"/>
          <w:lang w:val="ru-RU"/>
        </w:rPr>
        <w:t xml:space="preserve"> (-6</w:t>
      </w:r>
      <w:r w:rsidR="00C20532" w:rsidRPr="00DB5643">
        <w:rPr>
          <w:snapToGrid w:val="0"/>
          <w:kern w:val="22"/>
          <w:szCs w:val="22"/>
          <w:lang w:val="ru-RU"/>
        </w:rPr>
        <w:t> </w:t>
      </w:r>
      <w:r w:rsidRPr="00DB5643">
        <w:rPr>
          <w:snapToGrid w:val="0"/>
          <w:kern w:val="22"/>
          <w:szCs w:val="22"/>
          <w:lang w:val="ru-RU"/>
        </w:rPr>
        <w:t xml:space="preserve">%); </w:t>
      </w:r>
    </w:p>
    <w:p w14:paraId="4F539E2A" w14:textId="6DC050EF" w:rsidR="00752892"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7</w:t>
      </w:r>
      <w:r w:rsidR="00C20532" w:rsidRPr="00DB5643">
        <w:rPr>
          <w:snapToGrid w:val="0"/>
          <w:kern w:val="22"/>
          <w:szCs w:val="22"/>
          <w:lang w:val="en-US"/>
        </w:rPr>
        <w:t> </w:t>
      </w:r>
      <w:r w:rsidRPr="00DB5643">
        <w:rPr>
          <w:snapToGrid w:val="0"/>
          <w:kern w:val="22"/>
          <w:szCs w:val="22"/>
          <w:lang w:val="ru-RU"/>
        </w:rPr>
        <w:t xml:space="preserve">% (5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об обучении </w:t>
      </w:r>
      <w:r w:rsidRPr="00DB5643">
        <w:rPr>
          <w:snapToGrid w:val="0"/>
          <w:kern w:val="22"/>
          <w:szCs w:val="22"/>
          <w:lang w:val="ru-RU"/>
        </w:rPr>
        <w:t xml:space="preserve">100 </w:t>
      </w:r>
      <w:r w:rsidR="00C20532" w:rsidRPr="00DB5643">
        <w:rPr>
          <w:snapToGrid w:val="0"/>
          <w:kern w:val="22"/>
          <w:szCs w:val="22"/>
          <w:lang w:val="ru-RU"/>
        </w:rPr>
        <w:t xml:space="preserve">или более лиц мониторингу </w:t>
      </w:r>
      <w:proofErr w:type="spellStart"/>
      <w:r w:rsidR="00C20532" w:rsidRPr="00DB5643">
        <w:rPr>
          <w:snapToGrid w:val="0"/>
          <w:kern w:val="22"/>
          <w:szCs w:val="22"/>
          <w:lang w:val="ru-RU"/>
        </w:rPr>
        <w:t>ЖИО</w:t>
      </w:r>
      <w:proofErr w:type="spellEnd"/>
      <w:r w:rsidR="00C20532" w:rsidRPr="00DB5643">
        <w:rPr>
          <w:snapToGrid w:val="0"/>
          <w:kern w:val="22"/>
          <w:szCs w:val="22"/>
          <w:lang w:val="ru-RU"/>
        </w:rPr>
        <w:t xml:space="preserve"> </w:t>
      </w:r>
      <w:r w:rsidRPr="00DB5643">
        <w:rPr>
          <w:snapToGrid w:val="0"/>
          <w:kern w:val="22"/>
          <w:szCs w:val="22"/>
          <w:lang w:val="ru-RU"/>
        </w:rPr>
        <w:t>(+1</w:t>
      </w:r>
      <w:r w:rsidR="00C20532" w:rsidRPr="00DB5643">
        <w:rPr>
          <w:snapToGrid w:val="0"/>
          <w:kern w:val="22"/>
          <w:szCs w:val="22"/>
          <w:lang w:val="ru-RU"/>
        </w:rPr>
        <w:t> </w:t>
      </w:r>
      <w:r w:rsidRPr="00DB5643">
        <w:rPr>
          <w:snapToGrid w:val="0"/>
          <w:kern w:val="22"/>
          <w:szCs w:val="22"/>
          <w:lang w:val="ru-RU"/>
        </w:rPr>
        <w:t>%)</w:t>
      </w:r>
      <w:r w:rsidR="00752892" w:rsidRPr="00DB5643">
        <w:rPr>
          <w:snapToGrid w:val="0"/>
          <w:kern w:val="22"/>
          <w:szCs w:val="22"/>
          <w:lang w:val="ru-RU"/>
        </w:rPr>
        <w:t xml:space="preserve">; </w:t>
      </w:r>
    </w:p>
    <w:p w14:paraId="742108F6" w14:textId="76D22183" w:rsidR="004569FB" w:rsidRPr="00DB5643" w:rsidRDefault="004569FB" w:rsidP="00134F3A">
      <w:pPr>
        <w:pStyle w:val="a3"/>
        <w:numPr>
          <w:ilvl w:val="1"/>
          <w:numId w:val="59"/>
        </w:numPr>
        <w:suppressLineNumbers/>
        <w:suppressAutoHyphens/>
        <w:snapToGrid w:val="0"/>
        <w:spacing w:after="120"/>
        <w:ind w:left="1429" w:hanging="720"/>
        <w:contextualSpacing w:val="0"/>
        <w:rPr>
          <w:snapToGrid w:val="0"/>
          <w:kern w:val="22"/>
          <w:szCs w:val="22"/>
          <w:lang w:val="ru-RU"/>
        </w:rPr>
      </w:pPr>
      <w:r w:rsidRPr="00DB5643">
        <w:rPr>
          <w:snapToGrid w:val="0"/>
          <w:kern w:val="22"/>
          <w:szCs w:val="22"/>
          <w:lang w:val="ru-RU"/>
        </w:rPr>
        <w:t>13</w:t>
      </w:r>
      <w:r w:rsidR="00C20532" w:rsidRPr="00DB5643">
        <w:rPr>
          <w:snapToGrid w:val="0"/>
          <w:kern w:val="22"/>
          <w:szCs w:val="22"/>
          <w:lang w:val="en-US"/>
        </w:rPr>
        <w:t> </w:t>
      </w:r>
      <w:r w:rsidRPr="00DB5643">
        <w:rPr>
          <w:snapToGrid w:val="0"/>
          <w:kern w:val="22"/>
          <w:szCs w:val="22"/>
          <w:lang w:val="ru-RU"/>
        </w:rPr>
        <w:t xml:space="preserve">% (9 </w:t>
      </w:r>
      <w:r w:rsidR="00C20532" w:rsidRPr="00DB5643">
        <w:rPr>
          <w:snapToGrid w:val="0"/>
          <w:kern w:val="22"/>
          <w:szCs w:val="22"/>
          <w:lang w:val="ru-RU"/>
        </w:rPr>
        <w:t>Сторон</w:t>
      </w:r>
      <w:r w:rsidRPr="00DB5643">
        <w:rPr>
          <w:snapToGrid w:val="0"/>
          <w:kern w:val="22"/>
          <w:szCs w:val="22"/>
          <w:lang w:val="ru-RU"/>
        </w:rPr>
        <w:t xml:space="preserve">) </w:t>
      </w:r>
      <w:r w:rsidR="00C20532" w:rsidRPr="00DB5643">
        <w:rPr>
          <w:snapToGrid w:val="0"/>
          <w:kern w:val="22"/>
          <w:szCs w:val="22"/>
          <w:lang w:val="ru-RU"/>
        </w:rPr>
        <w:t xml:space="preserve">сообщили, что обучение не проводилось </w:t>
      </w:r>
      <w:r w:rsidRPr="00DB5643">
        <w:rPr>
          <w:snapToGrid w:val="0"/>
          <w:kern w:val="22"/>
          <w:szCs w:val="22"/>
          <w:lang w:val="ru-RU"/>
        </w:rPr>
        <w:t>(</w:t>
      </w:r>
      <w:r w:rsidR="00C20532" w:rsidRPr="00DB5643">
        <w:rPr>
          <w:snapToGrid w:val="0"/>
          <w:kern w:val="22"/>
          <w:szCs w:val="22"/>
          <w:lang w:val="ru-RU"/>
        </w:rPr>
        <w:t>без изменений по отношению к исходному уровню</w:t>
      </w:r>
      <w:r w:rsidRPr="00DB5643">
        <w:rPr>
          <w:snapToGrid w:val="0"/>
          <w:kern w:val="22"/>
          <w:szCs w:val="22"/>
          <w:lang w:val="ru-RU"/>
        </w:rPr>
        <w:t>).</w:t>
      </w:r>
    </w:p>
    <w:p w14:paraId="57E6F283" w14:textId="77777777" w:rsidR="008C0D29" w:rsidRPr="00DB5643" w:rsidRDefault="008C0D29" w:rsidP="008C0D29">
      <w:pPr>
        <w:pStyle w:val="a3"/>
        <w:suppressLineNumbers/>
        <w:suppressAutoHyphens/>
        <w:snapToGrid w:val="0"/>
        <w:spacing w:before="120" w:after="120"/>
        <w:rPr>
          <w:snapToGrid w:val="0"/>
          <w:kern w:val="22"/>
          <w:szCs w:val="22"/>
          <w:lang w:val="ru-RU"/>
        </w:rPr>
      </w:pPr>
    </w:p>
    <w:p w14:paraId="3261C725" w14:textId="415C70CD" w:rsidR="004569FB" w:rsidRPr="00DB5643" w:rsidRDefault="0085693E"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2.2.4 </w:t>
      </w:r>
      <w:r w:rsidR="004569FB" w:rsidRPr="00DB5643">
        <w:rPr>
          <w:snapToGrid w:val="0"/>
          <w:kern w:val="22"/>
          <w:szCs w:val="22"/>
          <w:lang w:val="ru-RU"/>
        </w:rPr>
        <w:t>(</w:t>
      </w:r>
      <w:r w:rsidRPr="00DB5643">
        <w:rPr>
          <w:snapToGrid w:val="0"/>
          <w:kern w:val="22"/>
          <w:szCs w:val="22"/>
          <w:lang w:val="ru-RU"/>
        </w:rPr>
        <w:t>число Сторон, располагающих действующей инфраструктурой, включая лаборатории, для мониторинга, регулирования и контроля)</w:t>
      </w:r>
      <w:r w:rsidR="004569FB" w:rsidRPr="00DB5643">
        <w:rPr>
          <w:snapToGrid w:val="0"/>
          <w:kern w:val="22"/>
          <w:szCs w:val="22"/>
          <w:lang w:val="ru-RU"/>
        </w:rPr>
        <w:t xml:space="preserve"> </w:t>
      </w:r>
      <w:bookmarkStart w:id="11" w:name="_Hlk33701204"/>
      <w:r w:rsidR="004569FB" w:rsidRPr="00DB5643">
        <w:rPr>
          <w:snapToGrid w:val="0"/>
          <w:kern w:val="22"/>
          <w:szCs w:val="22"/>
          <w:lang w:val="ru-RU"/>
        </w:rPr>
        <w:t>77</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(55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 о наличии необходимой инфраструктуры</w:t>
      </w:r>
      <w:r w:rsidR="004569FB" w:rsidRPr="00DB5643">
        <w:rPr>
          <w:snapToGrid w:val="0"/>
          <w:kern w:val="22"/>
          <w:szCs w:val="22"/>
          <w:lang w:val="ru-RU"/>
        </w:rPr>
        <w:t xml:space="preserve"> </w:t>
      </w:r>
      <w:r w:rsidRPr="00DB5643">
        <w:rPr>
          <w:snapToGrid w:val="0"/>
          <w:kern w:val="22"/>
          <w:szCs w:val="22"/>
          <w:lang w:val="ru-RU"/>
        </w:rPr>
        <w:t xml:space="preserve">для мониторинга или регулирования </w:t>
      </w:r>
      <w:proofErr w:type="spellStart"/>
      <w:r w:rsidRPr="00DB5643">
        <w:rPr>
          <w:snapToGrid w:val="0"/>
          <w:kern w:val="22"/>
          <w:szCs w:val="22"/>
          <w:lang w:val="ru-RU"/>
        </w:rPr>
        <w:t>ЖИО</w:t>
      </w:r>
      <w:proofErr w:type="spellEnd"/>
      <w:r w:rsidR="004569FB" w:rsidRPr="00DB5643">
        <w:rPr>
          <w:snapToGrid w:val="0"/>
          <w:kern w:val="22"/>
          <w:szCs w:val="22"/>
          <w:lang w:val="ru-RU"/>
        </w:rPr>
        <w:t xml:space="preserve">. </w:t>
      </w:r>
      <w:r w:rsidRPr="00DB5643">
        <w:rPr>
          <w:snapToGrid w:val="0"/>
          <w:kern w:val="22"/>
          <w:szCs w:val="22"/>
          <w:lang w:val="ru-RU"/>
        </w:rPr>
        <w:t>Изменений по отношению к исходному уровню не было</w:t>
      </w:r>
      <w:r w:rsidR="004569FB" w:rsidRPr="00DB5643">
        <w:rPr>
          <w:snapToGrid w:val="0"/>
          <w:kern w:val="22"/>
          <w:szCs w:val="22"/>
          <w:lang w:val="ru-RU"/>
        </w:rPr>
        <w:t xml:space="preserve">. </w:t>
      </w:r>
      <w:bookmarkEnd w:id="11"/>
      <w:r w:rsidR="00F01F1B" w:rsidRPr="00DB5643">
        <w:rPr>
          <w:snapToGrid w:val="0"/>
          <w:kern w:val="22"/>
          <w:szCs w:val="22"/>
          <w:lang w:val="ru-RU"/>
        </w:rPr>
        <w:t>Что касается регионов, было сообщено</w:t>
      </w:r>
      <w:r w:rsidR="004569FB" w:rsidRPr="00DB5643">
        <w:rPr>
          <w:snapToGrid w:val="0"/>
          <w:kern w:val="22"/>
          <w:szCs w:val="22"/>
          <w:lang w:val="ru-RU"/>
        </w:rPr>
        <w:t xml:space="preserve"> </w:t>
      </w:r>
      <w:r w:rsidR="00F01F1B" w:rsidRPr="00DB5643">
        <w:rPr>
          <w:snapToGrid w:val="0"/>
          <w:kern w:val="22"/>
          <w:szCs w:val="22"/>
          <w:lang w:val="ru-RU"/>
        </w:rPr>
        <w:t>об изменениях в Африке</w:t>
      </w:r>
      <w:r w:rsidR="004569FB" w:rsidRPr="00DB5643">
        <w:rPr>
          <w:snapToGrid w:val="0"/>
          <w:kern w:val="22"/>
          <w:szCs w:val="22"/>
          <w:lang w:val="ru-RU"/>
        </w:rPr>
        <w:t xml:space="preserve"> (+5</w:t>
      </w:r>
      <w:r w:rsidR="00F01F1B" w:rsidRPr="00DB5643">
        <w:rPr>
          <w:snapToGrid w:val="0"/>
          <w:kern w:val="22"/>
          <w:szCs w:val="22"/>
          <w:lang w:val="en-US"/>
        </w:rPr>
        <w:t> </w:t>
      </w:r>
      <w:r w:rsidR="004569FB" w:rsidRPr="00DB5643">
        <w:rPr>
          <w:snapToGrid w:val="0"/>
          <w:kern w:val="22"/>
          <w:szCs w:val="22"/>
          <w:lang w:val="ru-RU"/>
        </w:rPr>
        <w:t xml:space="preserve">%) </w:t>
      </w:r>
      <w:r w:rsidR="00F01F1B" w:rsidRPr="00DB5643">
        <w:rPr>
          <w:snapToGrid w:val="0"/>
          <w:kern w:val="22"/>
          <w:szCs w:val="22"/>
          <w:lang w:val="ru-RU"/>
        </w:rPr>
        <w:t xml:space="preserve">и </w:t>
      </w:r>
      <w:proofErr w:type="spellStart"/>
      <w:r w:rsidR="00F01F1B" w:rsidRPr="00DB5643">
        <w:rPr>
          <w:snapToGrid w:val="0"/>
          <w:kern w:val="22"/>
          <w:szCs w:val="22"/>
          <w:lang w:val="ru-RU"/>
        </w:rPr>
        <w:t>ГРУЛАК</w:t>
      </w:r>
      <w:proofErr w:type="spellEnd"/>
      <w:r w:rsidR="004569FB" w:rsidRPr="00DB5643">
        <w:rPr>
          <w:snapToGrid w:val="0"/>
          <w:kern w:val="22"/>
          <w:szCs w:val="22"/>
          <w:lang w:val="ru-RU"/>
        </w:rPr>
        <w:t xml:space="preserve"> (-8</w:t>
      </w:r>
      <w:r w:rsidR="00F01F1B" w:rsidRPr="00DB5643">
        <w:rPr>
          <w:snapToGrid w:val="0"/>
          <w:kern w:val="22"/>
          <w:szCs w:val="22"/>
          <w:lang w:val="en-US"/>
        </w:rPr>
        <w:t> </w:t>
      </w:r>
      <w:r w:rsidR="004569FB" w:rsidRPr="00DB5643">
        <w:rPr>
          <w:snapToGrid w:val="0"/>
          <w:kern w:val="22"/>
          <w:szCs w:val="22"/>
          <w:lang w:val="ru-RU"/>
        </w:rPr>
        <w:t xml:space="preserve">%) </w:t>
      </w:r>
      <w:r w:rsidR="00F01F1B" w:rsidRPr="00DB5643">
        <w:rPr>
          <w:snapToGrid w:val="0"/>
          <w:kern w:val="22"/>
          <w:szCs w:val="22"/>
          <w:lang w:val="ru-RU"/>
        </w:rPr>
        <w:t>в числе Сторон, сообщивших о наличии инфраструктуры для мониторинга и контроля</w:t>
      </w:r>
      <w:r w:rsidR="004569FB" w:rsidRPr="00DB5643">
        <w:rPr>
          <w:snapToGrid w:val="0"/>
          <w:kern w:val="22"/>
          <w:szCs w:val="22"/>
          <w:lang w:val="ru-RU"/>
        </w:rPr>
        <w:t xml:space="preserve">. </w:t>
      </w:r>
      <w:r w:rsidR="00F01F1B" w:rsidRPr="00DB5643">
        <w:rPr>
          <w:snapToGrid w:val="0"/>
          <w:kern w:val="22"/>
          <w:szCs w:val="22"/>
          <w:lang w:val="ru-RU"/>
        </w:rPr>
        <w:t>В своих письменных материалах несколько Сторон отметили постоянную потребность в поддержке для создания необходимой инфраструктуры</w:t>
      </w:r>
      <w:r w:rsidR="004569FB" w:rsidRPr="00DB5643">
        <w:rPr>
          <w:snapToGrid w:val="0"/>
          <w:kern w:val="22"/>
          <w:szCs w:val="22"/>
          <w:lang w:val="ru-RU"/>
        </w:rPr>
        <w:t>.</w:t>
      </w:r>
      <w:r w:rsidR="00F01F1B" w:rsidRPr="00DB5643">
        <w:rPr>
          <w:snapToGrid w:val="0"/>
          <w:kern w:val="22"/>
          <w:szCs w:val="22"/>
          <w:lang w:val="ru-RU"/>
        </w:rPr>
        <w:t xml:space="preserve"> Некоторые Стороны отметили, что они извлекают выгоду из деятельности по созданию потенциала в этой области, включая проекты, поддерживаемые </w:t>
      </w:r>
      <w:proofErr w:type="spellStart"/>
      <w:r w:rsidR="00F01F1B" w:rsidRPr="00DB5643">
        <w:rPr>
          <w:snapToGrid w:val="0"/>
          <w:kern w:val="22"/>
          <w:szCs w:val="22"/>
          <w:lang w:val="ru-RU"/>
        </w:rPr>
        <w:t>ЮНЕП-ГЭФ</w:t>
      </w:r>
      <w:proofErr w:type="spellEnd"/>
      <w:r w:rsidR="004569FB" w:rsidRPr="00DB5643">
        <w:rPr>
          <w:snapToGrid w:val="0"/>
          <w:kern w:val="22"/>
          <w:szCs w:val="22"/>
          <w:lang w:val="ru-RU"/>
        </w:rPr>
        <w:t>.</w:t>
      </w:r>
    </w:p>
    <w:p w14:paraId="6C21A0FE" w14:textId="530A0762" w:rsidR="004569FB" w:rsidRPr="00DB5643" w:rsidRDefault="00A4259D"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Относительно</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2.2.5</w:t>
      </w:r>
      <w:r w:rsidR="004569FB" w:rsidRPr="00DB5643">
        <w:rPr>
          <w:snapToGrid w:val="0"/>
          <w:kern w:val="22"/>
          <w:szCs w:val="22"/>
          <w:lang w:val="ru-RU"/>
        </w:rPr>
        <w:t xml:space="preserve"> (</w:t>
      </w:r>
      <w:r w:rsidR="00FF2E56" w:rsidRPr="00DB5643">
        <w:rPr>
          <w:snapToGrid w:val="0"/>
          <w:kern w:val="22"/>
          <w:szCs w:val="22"/>
          <w:lang w:val="ru-RU"/>
        </w:rPr>
        <w:t>число Сторон, использующих разработанные учебные материалы и технические пособия)</w:t>
      </w:r>
      <w:r w:rsidR="004569FB" w:rsidRPr="00DB5643">
        <w:rPr>
          <w:snapToGrid w:val="0"/>
          <w:kern w:val="22"/>
          <w:szCs w:val="22"/>
          <w:lang w:val="ru-RU"/>
        </w:rPr>
        <w:t xml:space="preserve"> 77</w:t>
      </w:r>
      <w:r w:rsidR="00FF2E56" w:rsidRPr="00DB5643">
        <w:rPr>
          <w:snapToGrid w:val="0"/>
          <w:kern w:val="22"/>
          <w:szCs w:val="22"/>
          <w:lang w:val="en-US"/>
        </w:rPr>
        <w:t> </w:t>
      </w:r>
      <w:r w:rsidR="004569FB" w:rsidRPr="00DB5643">
        <w:rPr>
          <w:snapToGrid w:val="0"/>
          <w:kern w:val="22"/>
          <w:szCs w:val="22"/>
          <w:lang w:val="ru-RU"/>
        </w:rPr>
        <w:t xml:space="preserve">% </w:t>
      </w:r>
      <w:r w:rsidR="00FF2E56" w:rsidRPr="00DB5643">
        <w:rPr>
          <w:snapToGrid w:val="0"/>
          <w:kern w:val="22"/>
          <w:szCs w:val="22"/>
          <w:lang w:val="ru-RU"/>
        </w:rPr>
        <w:t>Сторон</w:t>
      </w:r>
      <w:r w:rsidR="004569FB" w:rsidRPr="00DB5643">
        <w:rPr>
          <w:snapToGrid w:val="0"/>
          <w:kern w:val="22"/>
          <w:szCs w:val="22"/>
          <w:lang w:val="ru-RU"/>
        </w:rPr>
        <w:t xml:space="preserve"> (55 </w:t>
      </w:r>
      <w:r w:rsidR="00FF2E56" w:rsidRPr="00DB5643">
        <w:rPr>
          <w:snapToGrid w:val="0"/>
          <w:kern w:val="22"/>
          <w:szCs w:val="22"/>
          <w:lang w:val="ru-RU"/>
        </w:rPr>
        <w:t>Сторон</w:t>
      </w:r>
      <w:r w:rsidR="004569FB" w:rsidRPr="00DB5643">
        <w:rPr>
          <w:snapToGrid w:val="0"/>
          <w:kern w:val="22"/>
          <w:szCs w:val="22"/>
          <w:lang w:val="ru-RU"/>
        </w:rPr>
        <w:t xml:space="preserve">) </w:t>
      </w:r>
      <w:r w:rsidR="00FF2E56" w:rsidRPr="00DB5643">
        <w:rPr>
          <w:snapToGrid w:val="0"/>
          <w:kern w:val="22"/>
          <w:szCs w:val="22"/>
          <w:lang w:val="ru-RU"/>
        </w:rPr>
        <w:t>сообщили об использовании</w:t>
      </w:r>
      <w:r w:rsidR="004569FB" w:rsidRPr="00DB5643">
        <w:rPr>
          <w:snapToGrid w:val="0"/>
          <w:kern w:val="22"/>
          <w:szCs w:val="22"/>
          <w:lang w:val="ru-RU"/>
        </w:rPr>
        <w:t xml:space="preserve"> </w:t>
      </w:r>
      <w:r w:rsidR="00FF2E56" w:rsidRPr="00DB5643">
        <w:rPr>
          <w:snapToGrid w:val="0"/>
          <w:kern w:val="22"/>
          <w:szCs w:val="22"/>
          <w:lang w:val="ru-RU"/>
        </w:rPr>
        <w:t>учебных материалов</w:t>
      </w:r>
      <w:r w:rsidR="004569FB" w:rsidRPr="00DB5643">
        <w:rPr>
          <w:snapToGrid w:val="0"/>
          <w:kern w:val="22"/>
          <w:szCs w:val="22"/>
          <w:lang w:val="ru-RU"/>
        </w:rPr>
        <w:t xml:space="preserve"> </w:t>
      </w:r>
      <w:r w:rsidR="00FF2E56" w:rsidRPr="00DB5643">
        <w:rPr>
          <w:snapToGrid w:val="0"/>
          <w:kern w:val="22"/>
          <w:szCs w:val="22"/>
          <w:lang w:val="ru-RU"/>
        </w:rPr>
        <w:t>и</w:t>
      </w:r>
      <w:r w:rsidR="004569FB" w:rsidRPr="00DB5643">
        <w:rPr>
          <w:snapToGrid w:val="0"/>
          <w:kern w:val="22"/>
          <w:szCs w:val="22"/>
          <w:lang w:val="ru-RU"/>
        </w:rPr>
        <w:t>/</w:t>
      </w:r>
      <w:r w:rsidR="00FF2E56" w:rsidRPr="00DB5643">
        <w:rPr>
          <w:snapToGrid w:val="0"/>
          <w:kern w:val="22"/>
          <w:szCs w:val="22"/>
          <w:lang w:val="ru-RU"/>
        </w:rPr>
        <w:t>или технических пособий для подготовки кадров в области оценки рисков и регулировани</w:t>
      </w:r>
      <w:r w:rsidR="006604A0">
        <w:rPr>
          <w:snapToGrid w:val="0"/>
          <w:kern w:val="22"/>
          <w:szCs w:val="22"/>
          <w:lang w:val="ru-RU"/>
        </w:rPr>
        <w:t>я</w:t>
      </w:r>
      <w:r w:rsidR="00FF2E56" w:rsidRPr="00DB5643">
        <w:rPr>
          <w:snapToGrid w:val="0"/>
          <w:kern w:val="22"/>
          <w:szCs w:val="22"/>
          <w:lang w:val="ru-RU"/>
        </w:rPr>
        <w:t xml:space="preserve"> рисков в отношении </w:t>
      </w:r>
      <w:proofErr w:type="spellStart"/>
      <w:r w:rsidR="00FF2E56" w:rsidRPr="00DB5643">
        <w:rPr>
          <w:snapToGrid w:val="0"/>
          <w:kern w:val="22"/>
          <w:szCs w:val="22"/>
          <w:lang w:val="ru-RU"/>
        </w:rPr>
        <w:t>ЖИО</w:t>
      </w:r>
      <w:proofErr w:type="spellEnd"/>
      <w:r w:rsidR="004569FB" w:rsidRPr="00DB5643">
        <w:rPr>
          <w:snapToGrid w:val="0"/>
          <w:kern w:val="22"/>
          <w:szCs w:val="22"/>
          <w:lang w:val="ru-RU"/>
        </w:rPr>
        <w:t xml:space="preserve">. </w:t>
      </w:r>
      <w:r w:rsidR="00FF2E56" w:rsidRPr="00DB5643">
        <w:rPr>
          <w:snapToGrid w:val="0"/>
          <w:kern w:val="22"/>
          <w:szCs w:val="22"/>
          <w:lang w:val="ru-RU"/>
        </w:rPr>
        <w:t>Это соответствует увеличению на</w:t>
      </w:r>
      <w:r w:rsidR="004569FB" w:rsidRPr="00DB5643">
        <w:rPr>
          <w:snapToGrid w:val="0"/>
          <w:kern w:val="22"/>
          <w:szCs w:val="22"/>
          <w:lang w:val="ru-RU"/>
        </w:rPr>
        <w:t xml:space="preserve"> 1</w:t>
      </w:r>
      <w:r w:rsidR="00FF2E56" w:rsidRPr="00DB5643">
        <w:rPr>
          <w:snapToGrid w:val="0"/>
          <w:kern w:val="22"/>
          <w:szCs w:val="22"/>
          <w:lang w:val="en-US"/>
        </w:rPr>
        <w:t> </w:t>
      </w:r>
      <w:r w:rsidR="004569FB" w:rsidRPr="00DB5643">
        <w:rPr>
          <w:snapToGrid w:val="0"/>
          <w:kern w:val="22"/>
          <w:szCs w:val="22"/>
          <w:lang w:val="ru-RU"/>
        </w:rPr>
        <w:t xml:space="preserve">% </w:t>
      </w:r>
      <w:r w:rsidR="00FF2E56"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FF2E56" w:rsidRPr="00DB5643">
        <w:rPr>
          <w:snapToGrid w:val="0"/>
          <w:kern w:val="22"/>
          <w:szCs w:val="22"/>
          <w:lang w:val="ru-RU"/>
        </w:rPr>
        <w:t>Из этих Сторон</w:t>
      </w:r>
      <w:r w:rsidR="004569FB" w:rsidRPr="00DB5643">
        <w:rPr>
          <w:snapToGrid w:val="0"/>
          <w:kern w:val="22"/>
          <w:szCs w:val="22"/>
          <w:lang w:val="ru-RU"/>
        </w:rPr>
        <w:t xml:space="preserve"> 50</w:t>
      </w:r>
      <w:r w:rsidR="00FF2E56" w:rsidRPr="00DB5643">
        <w:rPr>
          <w:snapToGrid w:val="0"/>
          <w:kern w:val="22"/>
          <w:szCs w:val="22"/>
          <w:lang w:val="en-US"/>
        </w:rPr>
        <w:t> </w:t>
      </w:r>
      <w:r w:rsidR="004569FB" w:rsidRPr="00DB5643">
        <w:rPr>
          <w:snapToGrid w:val="0"/>
          <w:kern w:val="22"/>
          <w:szCs w:val="22"/>
          <w:lang w:val="ru-RU"/>
        </w:rPr>
        <w:t xml:space="preserve">% </w:t>
      </w:r>
      <w:r w:rsidR="00FF2E56" w:rsidRPr="00DB5643">
        <w:rPr>
          <w:snapToGrid w:val="0"/>
          <w:kern w:val="22"/>
          <w:szCs w:val="22"/>
          <w:lang w:val="ru-RU"/>
        </w:rPr>
        <w:t xml:space="preserve">сообщили об использовании </w:t>
      </w:r>
      <w:r w:rsidR="005C7046" w:rsidRPr="00DB5643">
        <w:rPr>
          <w:snapToGrid w:val="0"/>
          <w:kern w:val="22"/>
          <w:szCs w:val="22"/>
          <w:lang w:val="ru-RU"/>
        </w:rPr>
        <w:t xml:space="preserve">«Пособия по оценке рисков в отношении </w:t>
      </w:r>
      <w:proofErr w:type="spellStart"/>
      <w:r w:rsidR="005C7046" w:rsidRPr="00DB5643">
        <w:rPr>
          <w:snapToGrid w:val="0"/>
          <w:kern w:val="22"/>
          <w:szCs w:val="22"/>
          <w:lang w:val="ru-RU"/>
        </w:rPr>
        <w:t>ЖИО</w:t>
      </w:r>
      <w:proofErr w:type="spellEnd"/>
      <w:r w:rsidR="005C7046" w:rsidRPr="00DB5643">
        <w:rPr>
          <w:snapToGrid w:val="0"/>
          <w:kern w:val="22"/>
          <w:szCs w:val="22"/>
          <w:lang w:val="ru-RU"/>
        </w:rPr>
        <w:t>»</w:t>
      </w:r>
      <w:r w:rsidR="004569FB" w:rsidRPr="00DB5643">
        <w:rPr>
          <w:snapToGrid w:val="0"/>
          <w:kern w:val="22"/>
          <w:szCs w:val="22"/>
          <w:lang w:val="ru-RU"/>
        </w:rPr>
        <w:t xml:space="preserve"> (</w:t>
      </w:r>
      <w:r w:rsidR="005C7046" w:rsidRPr="00DB5643">
        <w:rPr>
          <w:snapToGrid w:val="0"/>
          <w:kern w:val="22"/>
          <w:szCs w:val="22"/>
          <w:lang w:val="ru-RU"/>
        </w:rPr>
        <w:t xml:space="preserve">разработано секретариатом </w:t>
      </w:r>
      <w:proofErr w:type="spellStart"/>
      <w:r w:rsidR="005C7046" w:rsidRPr="00DB5643">
        <w:rPr>
          <w:snapToGrid w:val="0"/>
          <w:kern w:val="22"/>
          <w:szCs w:val="22"/>
          <w:lang w:val="ru-RU"/>
        </w:rPr>
        <w:t>КБР</w:t>
      </w:r>
      <w:proofErr w:type="spellEnd"/>
      <w:r w:rsidR="004569FB" w:rsidRPr="00DB5643">
        <w:rPr>
          <w:snapToGrid w:val="0"/>
          <w:kern w:val="22"/>
          <w:szCs w:val="22"/>
          <w:lang w:val="ru-RU"/>
        </w:rPr>
        <w:t xml:space="preserve">), </w:t>
      </w:r>
      <w:r w:rsidR="005C7046" w:rsidRPr="00DB5643">
        <w:rPr>
          <w:snapToGrid w:val="0"/>
          <w:kern w:val="22"/>
          <w:szCs w:val="22"/>
          <w:lang w:val="ru-RU"/>
        </w:rPr>
        <w:t>а</w:t>
      </w:r>
      <w:r w:rsidR="004569FB" w:rsidRPr="00DB5643">
        <w:rPr>
          <w:snapToGrid w:val="0"/>
          <w:kern w:val="22"/>
          <w:szCs w:val="22"/>
          <w:lang w:val="ru-RU"/>
        </w:rPr>
        <w:t xml:space="preserve"> 49</w:t>
      </w:r>
      <w:r w:rsidR="005C7046" w:rsidRPr="00DB5643">
        <w:rPr>
          <w:snapToGrid w:val="0"/>
          <w:kern w:val="22"/>
          <w:szCs w:val="22"/>
        </w:rPr>
        <w:t> </w:t>
      </w:r>
      <w:r w:rsidR="004569FB" w:rsidRPr="00DB5643">
        <w:rPr>
          <w:snapToGrid w:val="0"/>
          <w:kern w:val="22"/>
          <w:szCs w:val="22"/>
          <w:lang w:val="ru-RU"/>
        </w:rPr>
        <w:t xml:space="preserve">% </w:t>
      </w:r>
      <w:r w:rsidR="005C7046" w:rsidRPr="00DB5643">
        <w:rPr>
          <w:snapToGrid w:val="0"/>
          <w:kern w:val="22"/>
          <w:szCs w:val="22"/>
          <w:lang w:val="ru-RU"/>
        </w:rPr>
        <w:t xml:space="preserve">сообщили об использовании «Руководства по оценке рисков в отношении </w:t>
      </w:r>
      <w:proofErr w:type="spellStart"/>
      <w:r w:rsidR="005C7046" w:rsidRPr="00DB5643">
        <w:rPr>
          <w:snapToGrid w:val="0"/>
          <w:kern w:val="22"/>
          <w:szCs w:val="22"/>
          <w:lang w:val="ru-RU"/>
        </w:rPr>
        <w:t>ЖИО</w:t>
      </w:r>
      <w:proofErr w:type="spellEnd"/>
      <w:r w:rsidR="005C7046" w:rsidRPr="00DB5643">
        <w:rPr>
          <w:snapToGrid w:val="0"/>
          <w:kern w:val="22"/>
          <w:szCs w:val="22"/>
          <w:lang w:val="ru-RU"/>
        </w:rPr>
        <w:t xml:space="preserve">» (разработанного Сетевым форумом и </w:t>
      </w:r>
      <w:proofErr w:type="spellStart"/>
      <w:r w:rsidR="005C7046" w:rsidRPr="00DB5643">
        <w:rPr>
          <w:snapToGrid w:val="0"/>
          <w:kern w:val="22"/>
          <w:szCs w:val="22"/>
          <w:lang w:val="ru-RU"/>
        </w:rPr>
        <w:t>СГТЭ</w:t>
      </w:r>
      <w:proofErr w:type="spellEnd"/>
      <w:r w:rsidR="005C7046" w:rsidRPr="00DB5643">
        <w:rPr>
          <w:snapToGrid w:val="0"/>
          <w:kern w:val="22"/>
          <w:szCs w:val="22"/>
          <w:lang w:val="ru-RU"/>
        </w:rPr>
        <w:t xml:space="preserve"> по оценке рисков и регулированию рисков)</w:t>
      </w:r>
      <w:r w:rsidR="004569FB" w:rsidRPr="00DB5643">
        <w:rPr>
          <w:snapToGrid w:val="0"/>
          <w:kern w:val="22"/>
          <w:szCs w:val="22"/>
          <w:lang w:val="ru-RU"/>
        </w:rPr>
        <w:t xml:space="preserve">. </w:t>
      </w:r>
      <w:r w:rsidR="005C7046" w:rsidRPr="00DB5643">
        <w:rPr>
          <w:snapToGrid w:val="0"/>
          <w:kern w:val="22"/>
          <w:szCs w:val="22"/>
          <w:lang w:val="ru-RU"/>
        </w:rPr>
        <w:t xml:space="preserve">В обоих случаях в Африканском регионе </w:t>
      </w:r>
      <w:r w:rsidR="006604A0">
        <w:rPr>
          <w:snapToGrid w:val="0"/>
          <w:kern w:val="22"/>
          <w:szCs w:val="22"/>
          <w:lang w:val="ru-RU"/>
        </w:rPr>
        <w:t>была отмечена</w:t>
      </w:r>
      <w:r w:rsidR="005C7046" w:rsidRPr="00DB5643">
        <w:rPr>
          <w:snapToGrid w:val="0"/>
          <w:kern w:val="22"/>
          <w:szCs w:val="22"/>
          <w:lang w:val="ru-RU"/>
        </w:rPr>
        <w:t xml:space="preserve"> самая высокая процентная доля Сторон, сообщивших об использовании Пособия и Руководства</w:t>
      </w:r>
      <w:r w:rsidR="004569FB" w:rsidRPr="00DB5643">
        <w:rPr>
          <w:snapToGrid w:val="0"/>
          <w:kern w:val="22"/>
          <w:szCs w:val="22"/>
          <w:lang w:val="ru-RU"/>
        </w:rPr>
        <w:t xml:space="preserve"> </w:t>
      </w:r>
      <w:r w:rsidR="004569FB" w:rsidRPr="00DB5643">
        <w:rPr>
          <w:snapToGrid w:val="0"/>
          <w:kern w:val="22"/>
          <w:szCs w:val="22"/>
          <w:lang w:val="ru-RU"/>
        </w:rPr>
        <w:lastRenderedPageBreak/>
        <w:t>(78</w:t>
      </w:r>
      <w:r w:rsidR="005C7046" w:rsidRPr="00DB5643">
        <w:rPr>
          <w:snapToGrid w:val="0"/>
          <w:kern w:val="22"/>
          <w:szCs w:val="22"/>
          <w:lang w:val="ru-RU"/>
        </w:rPr>
        <w:t> </w:t>
      </w:r>
      <w:r w:rsidR="004569FB" w:rsidRPr="00DB5643">
        <w:rPr>
          <w:snapToGrid w:val="0"/>
          <w:kern w:val="22"/>
          <w:szCs w:val="22"/>
          <w:lang w:val="ru-RU"/>
        </w:rPr>
        <w:t>%).</w:t>
      </w:r>
      <w:r w:rsidR="004569FB" w:rsidRPr="00DB5643">
        <w:rPr>
          <w:kern w:val="22"/>
          <w:lang w:val="ru-RU"/>
        </w:rPr>
        <w:t xml:space="preserve"> </w:t>
      </w:r>
      <w:r w:rsidR="005C7046" w:rsidRPr="00DB5643">
        <w:rPr>
          <w:snapToGrid w:val="0"/>
          <w:kern w:val="22"/>
          <w:szCs w:val="22"/>
          <w:lang w:val="ru-RU"/>
        </w:rPr>
        <w:t>По сравнению с промежуточной оценко</w:t>
      </w:r>
      <w:r w:rsidR="008E4E72" w:rsidRPr="00DB5643">
        <w:rPr>
          <w:snapToGrid w:val="0"/>
          <w:kern w:val="22"/>
          <w:szCs w:val="22"/>
          <w:lang w:val="ru-RU"/>
        </w:rPr>
        <w:t xml:space="preserve">й произошло увеличение процентной доли Сторон, использующих Руководство по оценке рисков </w:t>
      </w:r>
      <w:r w:rsidR="004569FB" w:rsidRPr="00DB5643">
        <w:rPr>
          <w:snapToGrid w:val="0"/>
          <w:kern w:val="22"/>
          <w:szCs w:val="22"/>
          <w:lang w:val="ru-RU"/>
        </w:rPr>
        <w:t>(+</w:t>
      </w:r>
      <w:r w:rsidR="00F674E4" w:rsidRPr="00DB5643">
        <w:rPr>
          <w:snapToGrid w:val="0"/>
          <w:kern w:val="22"/>
          <w:szCs w:val="22"/>
          <w:lang w:val="ru-RU"/>
        </w:rPr>
        <w:t>4</w:t>
      </w:r>
      <w:r w:rsidR="008E4E72" w:rsidRPr="00DB5643">
        <w:rPr>
          <w:snapToGrid w:val="0"/>
          <w:kern w:val="22"/>
          <w:szCs w:val="22"/>
          <w:lang w:val="ru-RU"/>
        </w:rPr>
        <w:t> </w:t>
      </w:r>
      <w:r w:rsidR="004569FB" w:rsidRPr="00DB5643">
        <w:rPr>
          <w:snapToGrid w:val="0"/>
          <w:kern w:val="22"/>
          <w:szCs w:val="22"/>
          <w:lang w:val="ru-RU"/>
        </w:rPr>
        <w:t xml:space="preserve">%), </w:t>
      </w:r>
      <w:r w:rsidR="008E4E72" w:rsidRPr="00DB5643">
        <w:rPr>
          <w:snapToGrid w:val="0"/>
          <w:kern w:val="22"/>
          <w:szCs w:val="22"/>
          <w:lang w:val="ru-RU"/>
        </w:rPr>
        <w:t>тогда как в отношении использования Пособия не было сообщено об изменениях по сравнению с промежуточной оценкой</w:t>
      </w:r>
      <w:r w:rsidR="004569FB" w:rsidRPr="00DB5643">
        <w:rPr>
          <w:rStyle w:val="ac"/>
          <w:snapToGrid w:val="0"/>
          <w:kern w:val="22"/>
          <w:szCs w:val="22"/>
        </w:rPr>
        <w:footnoteReference w:id="29"/>
      </w:r>
      <w:r w:rsidR="008E4E72" w:rsidRPr="00DB5643">
        <w:rPr>
          <w:snapToGrid w:val="0"/>
          <w:kern w:val="22"/>
          <w:szCs w:val="22"/>
          <w:lang w:val="ru-RU"/>
        </w:rPr>
        <w:t>.</w:t>
      </w:r>
    </w:p>
    <w:p w14:paraId="612A2635" w14:textId="0DEB2DF2" w:rsidR="004569FB" w:rsidRPr="00DB5643" w:rsidRDefault="00BD2EB5"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2.2.6 </w:t>
      </w:r>
      <w:r w:rsidR="004569FB" w:rsidRPr="00DB5643">
        <w:rPr>
          <w:snapToGrid w:val="0"/>
          <w:kern w:val="22"/>
          <w:szCs w:val="22"/>
          <w:lang w:val="ru-RU"/>
        </w:rPr>
        <w:t>(</w:t>
      </w:r>
      <w:r w:rsidRPr="00DB5643">
        <w:rPr>
          <w:snapToGrid w:val="0"/>
          <w:kern w:val="22"/>
          <w:szCs w:val="22"/>
          <w:lang w:val="ru-RU"/>
        </w:rPr>
        <w:t>число Сторон, считающих достаточными и эффективными учебные материалы и технические пособия)</w:t>
      </w:r>
      <w:r w:rsidR="004569FB" w:rsidRPr="00DB5643">
        <w:rPr>
          <w:snapToGrid w:val="0"/>
          <w:kern w:val="22"/>
          <w:szCs w:val="22"/>
          <w:lang w:val="ru-RU"/>
        </w:rPr>
        <w:t xml:space="preserve"> 65</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(64 </w:t>
      </w:r>
      <w:r w:rsidRPr="00DB5643">
        <w:rPr>
          <w:snapToGrid w:val="0"/>
          <w:kern w:val="22"/>
          <w:szCs w:val="22"/>
          <w:lang w:val="ru-RU"/>
        </w:rPr>
        <w:t>Стороны</w:t>
      </w:r>
      <w:r w:rsidR="004569FB" w:rsidRPr="00DB5643">
        <w:rPr>
          <w:snapToGrid w:val="0"/>
          <w:kern w:val="22"/>
          <w:szCs w:val="22"/>
          <w:lang w:val="ru-RU"/>
        </w:rPr>
        <w:t>)</w:t>
      </w:r>
      <w:r w:rsidR="004569FB" w:rsidRPr="00DB5643">
        <w:rPr>
          <w:rStyle w:val="ac"/>
          <w:snapToGrid w:val="0"/>
          <w:kern w:val="22"/>
          <w:szCs w:val="22"/>
        </w:rPr>
        <w:footnoteReference w:id="30"/>
      </w:r>
      <w:r w:rsidR="004569FB" w:rsidRPr="00DB5643">
        <w:rPr>
          <w:snapToGrid w:val="0"/>
          <w:kern w:val="22"/>
          <w:szCs w:val="22"/>
          <w:lang w:val="ru-RU"/>
        </w:rPr>
        <w:t xml:space="preserve"> </w:t>
      </w:r>
      <w:r w:rsidR="007D200F" w:rsidRPr="00DB5643">
        <w:rPr>
          <w:snapToGrid w:val="0"/>
          <w:kern w:val="22"/>
          <w:szCs w:val="22"/>
          <w:lang w:val="ru-RU"/>
        </w:rPr>
        <w:t xml:space="preserve">отметили, что их страны имеют особые потребности в дополнительных руководящих указаниях по конкретным вопросам оценки рисков в отношении </w:t>
      </w:r>
      <w:proofErr w:type="spellStart"/>
      <w:r w:rsidR="007D200F" w:rsidRPr="00DB5643">
        <w:rPr>
          <w:snapToGrid w:val="0"/>
          <w:kern w:val="22"/>
          <w:szCs w:val="22"/>
          <w:lang w:val="ru-RU"/>
        </w:rPr>
        <w:t>ЖИО</w:t>
      </w:r>
      <w:proofErr w:type="spellEnd"/>
      <w:r w:rsidR="004569FB" w:rsidRPr="00DB5643">
        <w:rPr>
          <w:bCs/>
          <w:snapToGrid w:val="0"/>
          <w:kern w:val="22"/>
          <w:szCs w:val="22"/>
          <w:lang w:val="ru-RU"/>
        </w:rPr>
        <w:t xml:space="preserve">. </w:t>
      </w:r>
      <w:r w:rsidR="003B2150" w:rsidRPr="00DB5643">
        <w:rPr>
          <w:bCs/>
          <w:snapToGrid w:val="0"/>
          <w:kern w:val="22"/>
          <w:szCs w:val="22"/>
          <w:lang w:val="ru-RU"/>
        </w:rPr>
        <w:t>На региональном уровне процентные доли Сторон, сообщивших о наличии особых потребностей</w:t>
      </w:r>
      <w:r w:rsidR="004569FB" w:rsidRPr="00DB5643">
        <w:rPr>
          <w:bCs/>
          <w:snapToGrid w:val="0"/>
          <w:kern w:val="22"/>
          <w:szCs w:val="22"/>
          <w:lang w:val="ru-RU"/>
        </w:rPr>
        <w:t xml:space="preserve"> </w:t>
      </w:r>
      <w:r w:rsidR="003B2150" w:rsidRPr="00DB5643">
        <w:rPr>
          <w:snapToGrid w:val="0"/>
          <w:kern w:val="22"/>
          <w:szCs w:val="22"/>
          <w:lang w:val="ru-RU"/>
        </w:rPr>
        <w:t>в дополнительных руководящих указаниях</w:t>
      </w:r>
      <w:r w:rsidR="004569FB" w:rsidRPr="00DB5643">
        <w:rPr>
          <w:bCs/>
          <w:snapToGrid w:val="0"/>
          <w:kern w:val="22"/>
          <w:szCs w:val="22"/>
          <w:lang w:val="ru-RU"/>
        </w:rPr>
        <w:t xml:space="preserve">, </w:t>
      </w:r>
      <w:r w:rsidR="003B2150" w:rsidRPr="00DB5643">
        <w:rPr>
          <w:bCs/>
          <w:snapToGrid w:val="0"/>
          <w:kern w:val="22"/>
          <w:szCs w:val="22"/>
          <w:lang w:val="ru-RU"/>
        </w:rPr>
        <w:t>следующие</w:t>
      </w:r>
      <w:r w:rsidR="004569FB" w:rsidRPr="00DB5643">
        <w:rPr>
          <w:bCs/>
          <w:snapToGrid w:val="0"/>
          <w:kern w:val="22"/>
          <w:szCs w:val="22"/>
          <w:lang w:val="ru-RU"/>
        </w:rPr>
        <w:t xml:space="preserve">: </w:t>
      </w:r>
      <w:r w:rsidR="003B2150" w:rsidRPr="00DB5643">
        <w:rPr>
          <w:bCs/>
          <w:snapToGrid w:val="0"/>
          <w:kern w:val="22"/>
          <w:szCs w:val="22"/>
          <w:lang w:val="ru-RU"/>
        </w:rPr>
        <w:t>Африка</w:t>
      </w:r>
      <w:r w:rsidR="004569FB" w:rsidRPr="00DB5643">
        <w:rPr>
          <w:bCs/>
          <w:snapToGrid w:val="0"/>
          <w:kern w:val="22"/>
          <w:szCs w:val="22"/>
          <w:lang w:val="ru-RU"/>
        </w:rPr>
        <w:t>: 97</w:t>
      </w:r>
      <w:r w:rsidR="003B2150" w:rsidRPr="00DB5643">
        <w:rPr>
          <w:bCs/>
          <w:snapToGrid w:val="0"/>
          <w:kern w:val="22"/>
          <w:szCs w:val="22"/>
          <w:lang w:val="ru-RU"/>
        </w:rPr>
        <w:t> </w:t>
      </w:r>
      <w:r w:rsidR="004569FB" w:rsidRPr="00DB5643">
        <w:rPr>
          <w:bCs/>
          <w:snapToGrid w:val="0"/>
          <w:kern w:val="22"/>
          <w:szCs w:val="22"/>
          <w:lang w:val="ru-RU"/>
        </w:rPr>
        <w:t xml:space="preserve">%; </w:t>
      </w:r>
      <w:proofErr w:type="spellStart"/>
      <w:r w:rsidR="003B2150" w:rsidRPr="00DB5643">
        <w:rPr>
          <w:bCs/>
          <w:snapToGrid w:val="0"/>
          <w:kern w:val="22"/>
          <w:szCs w:val="22"/>
          <w:lang w:val="ru-RU"/>
        </w:rPr>
        <w:t>ГРУЛАК</w:t>
      </w:r>
      <w:proofErr w:type="spellEnd"/>
      <w:r w:rsidR="006A7FAC" w:rsidRPr="00DB5643">
        <w:rPr>
          <w:bCs/>
          <w:snapToGrid w:val="0"/>
          <w:kern w:val="22"/>
          <w:szCs w:val="22"/>
          <w:lang w:val="ru-RU"/>
        </w:rPr>
        <w:t>: 87</w:t>
      </w:r>
      <w:r w:rsidR="003B2150" w:rsidRPr="00DB5643">
        <w:rPr>
          <w:bCs/>
          <w:snapToGrid w:val="0"/>
          <w:kern w:val="22"/>
          <w:szCs w:val="22"/>
          <w:lang w:val="ru-RU"/>
        </w:rPr>
        <w:t> </w:t>
      </w:r>
      <w:r w:rsidR="006A7FAC" w:rsidRPr="00DB5643">
        <w:rPr>
          <w:bCs/>
          <w:snapToGrid w:val="0"/>
          <w:kern w:val="22"/>
          <w:szCs w:val="22"/>
          <w:lang w:val="ru-RU"/>
        </w:rPr>
        <w:t xml:space="preserve">%; </w:t>
      </w:r>
      <w:r w:rsidR="003B2150" w:rsidRPr="00DB5643">
        <w:rPr>
          <w:bCs/>
          <w:snapToGrid w:val="0"/>
          <w:kern w:val="22"/>
          <w:szCs w:val="22"/>
          <w:lang w:val="ru-RU"/>
        </w:rPr>
        <w:t>Ази</w:t>
      </w:r>
      <w:r w:rsidR="009E7DEC">
        <w:rPr>
          <w:bCs/>
          <w:snapToGrid w:val="0"/>
          <w:kern w:val="22"/>
          <w:szCs w:val="22"/>
          <w:lang w:val="ru-RU"/>
        </w:rPr>
        <w:t>атско-Тихоокеанский регион</w:t>
      </w:r>
      <w:r w:rsidR="004569FB" w:rsidRPr="00DB5643">
        <w:rPr>
          <w:bCs/>
          <w:snapToGrid w:val="0"/>
          <w:kern w:val="22"/>
          <w:szCs w:val="22"/>
          <w:lang w:val="ru-RU"/>
        </w:rPr>
        <w:t>: 56</w:t>
      </w:r>
      <w:r w:rsidR="003B2150" w:rsidRPr="00DB5643">
        <w:rPr>
          <w:bCs/>
          <w:snapToGrid w:val="0"/>
          <w:kern w:val="22"/>
          <w:szCs w:val="22"/>
          <w:lang w:val="ru-RU"/>
        </w:rPr>
        <w:t> </w:t>
      </w:r>
      <w:r w:rsidR="004569FB" w:rsidRPr="00DB5643">
        <w:rPr>
          <w:bCs/>
          <w:snapToGrid w:val="0"/>
          <w:kern w:val="22"/>
          <w:szCs w:val="22"/>
          <w:lang w:val="ru-RU"/>
        </w:rPr>
        <w:t xml:space="preserve">%; </w:t>
      </w:r>
      <w:proofErr w:type="spellStart"/>
      <w:r w:rsidR="004569FB" w:rsidRPr="00DB5643">
        <w:rPr>
          <w:bCs/>
          <w:snapToGrid w:val="0"/>
          <w:kern w:val="22"/>
          <w:szCs w:val="22"/>
        </w:rPr>
        <w:t>CEE</w:t>
      </w:r>
      <w:proofErr w:type="spellEnd"/>
      <w:r w:rsidR="004569FB" w:rsidRPr="00DB5643">
        <w:rPr>
          <w:bCs/>
          <w:snapToGrid w:val="0"/>
          <w:kern w:val="22"/>
          <w:szCs w:val="22"/>
          <w:lang w:val="ru-RU"/>
        </w:rPr>
        <w:t>: 44</w:t>
      </w:r>
      <w:r w:rsidR="003B2150" w:rsidRPr="00DB5643">
        <w:rPr>
          <w:bCs/>
          <w:snapToGrid w:val="0"/>
          <w:kern w:val="22"/>
          <w:szCs w:val="22"/>
          <w:lang w:val="ru-RU"/>
        </w:rPr>
        <w:t> </w:t>
      </w:r>
      <w:r w:rsidR="004569FB" w:rsidRPr="00DB5643">
        <w:rPr>
          <w:bCs/>
          <w:snapToGrid w:val="0"/>
          <w:kern w:val="22"/>
          <w:szCs w:val="22"/>
          <w:lang w:val="ru-RU"/>
        </w:rPr>
        <w:t xml:space="preserve">%; </w:t>
      </w:r>
      <w:proofErr w:type="spellStart"/>
      <w:r w:rsidR="004569FB" w:rsidRPr="00DB5643">
        <w:rPr>
          <w:bCs/>
          <w:snapToGrid w:val="0"/>
          <w:kern w:val="22"/>
          <w:szCs w:val="22"/>
        </w:rPr>
        <w:t>WEOG</w:t>
      </w:r>
      <w:proofErr w:type="spellEnd"/>
      <w:r w:rsidR="004569FB" w:rsidRPr="00DB5643">
        <w:rPr>
          <w:bCs/>
          <w:snapToGrid w:val="0"/>
          <w:kern w:val="22"/>
          <w:szCs w:val="22"/>
          <w:lang w:val="ru-RU"/>
        </w:rPr>
        <w:t>: 21</w:t>
      </w:r>
      <w:r w:rsidR="003B2150" w:rsidRPr="00DB5643">
        <w:rPr>
          <w:bCs/>
          <w:snapToGrid w:val="0"/>
          <w:kern w:val="22"/>
          <w:szCs w:val="22"/>
          <w:lang w:val="ru-RU"/>
        </w:rPr>
        <w:t> </w:t>
      </w:r>
      <w:r w:rsidR="004569FB" w:rsidRPr="00DB5643">
        <w:rPr>
          <w:bCs/>
          <w:snapToGrid w:val="0"/>
          <w:kern w:val="22"/>
          <w:szCs w:val="22"/>
          <w:lang w:val="ru-RU"/>
        </w:rPr>
        <w:t>%.</w:t>
      </w:r>
    </w:p>
    <w:p w14:paraId="2908BBDD" w14:textId="459A3BCD" w:rsidR="004569FB" w:rsidRPr="00DB5643" w:rsidRDefault="00B725E1" w:rsidP="00B44100">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r w:rsidRPr="00DB5643">
        <w:rPr>
          <w:bCs/>
          <w:snapToGrid w:val="0"/>
          <w:kern w:val="22"/>
          <w:szCs w:val="22"/>
          <w:lang w:val="ru-RU"/>
        </w:rPr>
        <w:t>На рис.</w:t>
      </w:r>
      <w:r w:rsidR="004569FB" w:rsidRPr="00DB5643">
        <w:rPr>
          <w:bCs/>
          <w:snapToGrid w:val="0"/>
          <w:kern w:val="22"/>
          <w:szCs w:val="22"/>
          <w:lang w:val="ru-RU"/>
        </w:rPr>
        <w:t xml:space="preserve"> 2 </w:t>
      </w:r>
      <w:r w:rsidRPr="00DB5643">
        <w:rPr>
          <w:bCs/>
          <w:snapToGrid w:val="0"/>
          <w:kern w:val="22"/>
          <w:szCs w:val="22"/>
          <w:lang w:val="ru-RU"/>
        </w:rPr>
        <w:t>представлен обзор информации,</w:t>
      </w:r>
      <w:r w:rsidR="00F20E74" w:rsidRPr="00DB5643">
        <w:rPr>
          <w:bCs/>
          <w:snapToGrid w:val="0"/>
          <w:kern w:val="22"/>
          <w:szCs w:val="22"/>
          <w:lang w:val="ru-RU"/>
        </w:rPr>
        <w:t xml:space="preserve"> относящейся к различным индикаторам в рамках оперативной цели</w:t>
      </w:r>
      <w:r w:rsidR="004569FB" w:rsidRPr="00DB5643">
        <w:rPr>
          <w:bCs/>
          <w:snapToGrid w:val="0"/>
          <w:kern w:val="22"/>
          <w:szCs w:val="22"/>
          <w:lang w:val="ru-RU"/>
        </w:rPr>
        <w:t xml:space="preserve"> 2.2, </w:t>
      </w:r>
      <w:r w:rsidR="00F20E74" w:rsidRPr="00DB5643">
        <w:rPr>
          <w:bCs/>
          <w:snapToGrid w:val="0"/>
          <w:kern w:val="22"/>
          <w:szCs w:val="22"/>
          <w:lang w:val="ru-RU"/>
        </w:rPr>
        <w:t xml:space="preserve">таким как подготовка кадров в области оценки, регулирования и мониторинга </w:t>
      </w:r>
      <w:proofErr w:type="spellStart"/>
      <w:r w:rsidR="00F20E74" w:rsidRPr="00DB5643">
        <w:rPr>
          <w:bCs/>
          <w:snapToGrid w:val="0"/>
          <w:kern w:val="22"/>
          <w:szCs w:val="22"/>
          <w:lang w:val="ru-RU"/>
        </w:rPr>
        <w:t>ЖИО</w:t>
      </w:r>
      <w:proofErr w:type="spellEnd"/>
      <w:r w:rsidR="004569FB" w:rsidRPr="00DB5643">
        <w:rPr>
          <w:bCs/>
          <w:snapToGrid w:val="0"/>
          <w:kern w:val="22"/>
          <w:szCs w:val="22"/>
          <w:lang w:val="ru-RU"/>
        </w:rPr>
        <w:t xml:space="preserve">, </w:t>
      </w:r>
      <w:r w:rsidR="00F20E74" w:rsidRPr="00DB5643">
        <w:rPr>
          <w:bCs/>
          <w:snapToGrid w:val="0"/>
          <w:kern w:val="22"/>
          <w:szCs w:val="22"/>
          <w:lang w:val="ru-RU"/>
        </w:rPr>
        <w:t xml:space="preserve">а также </w:t>
      </w:r>
      <w:r w:rsidR="00BE1409" w:rsidRPr="00DB5643">
        <w:rPr>
          <w:bCs/>
          <w:snapToGrid w:val="0"/>
          <w:kern w:val="22"/>
          <w:szCs w:val="22"/>
          <w:lang w:val="ru-RU"/>
        </w:rPr>
        <w:t>лабораторная инфраструктура и использование учебных материалов и пособий</w:t>
      </w:r>
      <w:r w:rsidR="004569FB" w:rsidRPr="00DB5643">
        <w:rPr>
          <w:bCs/>
          <w:snapToGrid w:val="0"/>
          <w:kern w:val="22"/>
          <w:szCs w:val="22"/>
          <w:lang w:val="ru-RU"/>
        </w:rPr>
        <w:t>.</w:t>
      </w:r>
    </w:p>
    <w:p w14:paraId="4F1BC362" w14:textId="347EA904" w:rsidR="004569FB" w:rsidRPr="00DB5643" w:rsidRDefault="00290127" w:rsidP="004569FB">
      <w:pPr>
        <w:pStyle w:val="a3"/>
        <w:suppressLineNumbers/>
        <w:suppressAutoHyphens/>
        <w:snapToGrid w:val="0"/>
        <w:spacing w:before="120" w:after="120"/>
        <w:ind w:left="0"/>
        <w:rPr>
          <w:bCs/>
          <w:snapToGrid w:val="0"/>
          <w:kern w:val="22"/>
          <w:szCs w:val="22"/>
        </w:rPr>
      </w:pPr>
      <w:r>
        <w:rPr>
          <w:bCs/>
          <w:noProof/>
          <w:kern w:val="22"/>
          <w:szCs w:val="22"/>
          <w:lang w:val="ru-RU" w:eastAsia="ru-RU"/>
        </w:rPr>
        <w:drawing>
          <wp:inline distT="0" distB="0" distL="0" distR="0" wp14:anchorId="71BB6FC9" wp14:editId="04933C1B">
            <wp:extent cx="5948680" cy="4245591"/>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0196" cy="4246673"/>
                    </a:xfrm>
                    <a:prstGeom prst="rect">
                      <a:avLst/>
                    </a:prstGeom>
                    <a:noFill/>
                  </pic:spPr>
                </pic:pic>
              </a:graphicData>
            </a:graphic>
          </wp:inline>
        </w:drawing>
      </w:r>
    </w:p>
    <w:p w14:paraId="772365FB" w14:textId="1F759999" w:rsidR="00290127" w:rsidRDefault="00290127">
      <w:pPr>
        <w:jc w:val="left"/>
        <w:rPr>
          <w:bCs/>
          <w:snapToGrid w:val="0"/>
          <w:kern w:val="22"/>
          <w:szCs w:val="22"/>
        </w:rPr>
      </w:pPr>
      <w:r>
        <w:rPr>
          <w:bCs/>
          <w:snapToGrid w:val="0"/>
          <w:kern w:val="22"/>
          <w:szCs w:val="22"/>
        </w:rPr>
        <w:br w:type="page"/>
      </w:r>
    </w:p>
    <w:p w14:paraId="08784E82" w14:textId="0B7D260F" w:rsidR="004569FB" w:rsidRPr="00DB5643" w:rsidRDefault="00E133D2" w:rsidP="00496E29">
      <w:pPr>
        <w:numPr>
          <w:ilvl w:val="0"/>
          <w:numId w:val="17"/>
        </w:numPr>
        <w:suppressLineNumbers/>
        <w:tabs>
          <w:tab w:val="clear" w:pos="2070"/>
          <w:tab w:val="left" w:pos="426"/>
        </w:tabs>
        <w:suppressAutoHyphens/>
        <w:spacing w:before="120" w:after="120"/>
        <w:ind w:left="0" w:firstLine="0"/>
        <w:jc w:val="center"/>
        <w:outlineLvl w:val="1"/>
        <w:rPr>
          <w:b/>
          <w:iCs/>
          <w:snapToGrid w:val="0"/>
          <w:kern w:val="22"/>
          <w:szCs w:val="22"/>
          <w:lang w:val="ru-RU"/>
        </w:rPr>
      </w:pPr>
      <w:proofErr w:type="spellStart"/>
      <w:r w:rsidRPr="00DB5643">
        <w:rPr>
          <w:b/>
          <w:iCs/>
          <w:snapToGrid w:val="0"/>
          <w:kern w:val="22"/>
          <w:szCs w:val="22"/>
          <w:lang w:val="ru-RU"/>
        </w:rPr>
        <w:lastRenderedPageBreak/>
        <w:t>ЖИО</w:t>
      </w:r>
      <w:proofErr w:type="spellEnd"/>
      <w:r w:rsidRPr="00DB5643">
        <w:rPr>
          <w:b/>
          <w:iCs/>
          <w:snapToGrid w:val="0"/>
          <w:kern w:val="22"/>
          <w:szCs w:val="22"/>
          <w:lang w:val="ru-RU"/>
        </w:rPr>
        <w:t xml:space="preserve"> или признаки, которые могут оказывать неблагоприятное</w:t>
      </w:r>
      <w:r w:rsidRPr="00DB5643">
        <w:rPr>
          <w:b/>
          <w:iCs/>
          <w:snapToGrid w:val="0"/>
          <w:kern w:val="22"/>
          <w:szCs w:val="22"/>
          <w:lang w:val="ru-RU"/>
        </w:rPr>
        <w:br/>
        <w:t>воздействие (оперативная цель</w:t>
      </w:r>
      <w:r w:rsidR="004569FB" w:rsidRPr="00DB5643">
        <w:rPr>
          <w:b/>
          <w:iCs/>
          <w:snapToGrid w:val="0"/>
          <w:kern w:val="22"/>
          <w:szCs w:val="22"/>
          <w:lang w:val="ru-RU"/>
        </w:rPr>
        <w:t xml:space="preserve"> 1.4)</w:t>
      </w:r>
    </w:p>
    <w:p w14:paraId="0A6894D1" w14:textId="13274332" w:rsidR="004569FB" w:rsidRPr="00DB5643" w:rsidRDefault="00715A90"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bookmarkStart w:id="12" w:name="_Hlk33701337"/>
      <w:r w:rsidRPr="00DB5643">
        <w:rPr>
          <w:snapToGrid w:val="0"/>
          <w:kern w:val="22"/>
          <w:szCs w:val="22"/>
          <w:lang w:val="ru-RU"/>
        </w:rPr>
        <w:t xml:space="preserve">Оперативная цель 1.4 предусматривает разработку условий для сотрудничества и выработки руководящих указаний по выявлению </w:t>
      </w:r>
      <w:proofErr w:type="spellStart"/>
      <w:r w:rsidRPr="00DB5643">
        <w:rPr>
          <w:snapToGrid w:val="0"/>
          <w:kern w:val="22"/>
          <w:szCs w:val="22"/>
          <w:lang w:val="ru-RU"/>
        </w:rPr>
        <w:t>ЖИО</w:t>
      </w:r>
      <w:proofErr w:type="spellEnd"/>
      <w:r w:rsidRPr="00DB5643">
        <w:rPr>
          <w:snapToGrid w:val="0"/>
          <w:kern w:val="22"/>
          <w:szCs w:val="22"/>
          <w:lang w:val="ru-RU"/>
        </w:rPr>
        <w:t xml:space="preserve"> или специфических признаков, которые могут оказывать неблагоприятное воздействие на сохранение и устойчивое использование биологического разнообразия, учитывая также риск для здоровья человека</w:t>
      </w:r>
      <w:r w:rsidR="004569FB" w:rsidRPr="00DB5643">
        <w:rPr>
          <w:snapToGrid w:val="0"/>
          <w:kern w:val="22"/>
          <w:szCs w:val="22"/>
          <w:lang w:val="ru-RU"/>
        </w:rPr>
        <w:t xml:space="preserve">. </w:t>
      </w:r>
      <w:bookmarkEnd w:id="12"/>
      <w:r w:rsidRPr="00DB5643">
        <w:rPr>
          <w:snapToGrid w:val="0"/>
          <w:kern w:val="22"/>
          <w:szCs w:val="22"/>
          <w:lang w:val="ru-RU"/>
        </w:rPr>
        <w:t>В Стратегическом плане предусмотрены два индикатора для оценки результатов выполнения данной оперативной цели</w:t>
      </w:r>
      <w:r w:rsidR="004569FB" w:rsidRPr="00DB5643">
        <w:rPr>
          <w:snapToGrid w:val="0"/>
          <w:kern w:val="22"/>
          <w:szCs w:val="22"/>
          <w:lang w:val="ru-RU"/>
        </w:rPr>
        <w:t>.</w:t>
      </w:r>
    </w:p>
    <w:p w14:paraId="6921C341" w14:textId="2E340B84" w:rsidR="004569FB" w:rsidRPr="00DB5643" w:rsidRDefault="00715A90" w:rsidP="00B44100">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r w:rsidRPr="00DB5643">
        <w:rPr>
          <w:snapToGrid w:val="0"/>
          <w:kern w:val="22"/>
          <w:szCs w:val="22"/>
          <w:lang w:val="ru-RU"/>
        </w:rPr>
        <w:t>Что касается</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bCs/>
          <w:snapToGrid w:val="0"/>
          <w:kern w:val="22"/>
          <w:szCs w:val="22"/>
          <w:lang w:val="ru-RU"/>
        </w:rPr>
        <w:t xml:space="preserve"> 1.4.1</w:t>
      </w:r>
      <w:r w:rsidR="004569FB" w:rsidRPr="00DB5643">
        <w:rPr>
          <w:bCs/>
          <w:snapToGrid w:val="0"/>
          <w:kern w:val="22"/>
          <w:szCs w:val="22"/>
          <w:lang w:val="ru-RU"/>
        </w:rPr>
        <w:t xml:space="preserve"> (</w:t>
      </w:r>
      <w:r w:rsidRPr="00DB5643">
        <w:rPr>
          <w:snapToGrid w:val="0"/>
          <w:kern w:val="22"/>
          <w:szCs w:val="22"/>
          <w:lang w:val="ru-RU"/>
        </w:rPr>
        <w:t>Сторонами разработаны и распространяются руководства по живыми измененным организмам или специфическим признакам, которые могут  оказывать неблагоприятное воздействие на сохранение и устойчивое использование биологического разнообразия, учитывая также риск для здоровья человека</w:t>
      </w:r>
      <w:r w:rsidR="004569FB" w:rsidRPr="00DB5643">
        <w:rPr>
          <w:snapToGrid w:val="0"/>
          <w:kern w:val="22"/>
          <w:szCs w:val="22"/>
          <w:lang w:val="ru-RU"/>
        </w:rPr>
        <w:t>)</w:t>
      </w:r>
      <w:r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информация, относящаяся непосредственно к нему, отсутствует</w:t>
      </w:r>
      <w:r w:rsidR="004569FB" w:rsidRPr="00DB5643">
        <w:rPr>
          <w:snapToGrid w:val="0"/>
          <w:kern w:val="22"/>
          <w:szCs w:val="22"/>
          <w:lang w:val="ru-RU"/>
        </w:rPr>
        <w:t xml:space="preserve">. </w:t>
      </w:r>
      <w:r w:rsidRPr="00DB5643">
        <w:rPr>
          <w:snapToGrid w:val="0"/>
          <w:kern w:val="22"/>
          <w:szCs w:val="22"/>
          <w:lang w:val="ru-RU"/>
        </w:rPr>
        <w:t>Однако некоторая информация о сотрудничестве в этой области представлена в четвертом национальном докладе</w:t>
      </w:r>
      <w:r w:rsidR="004569FB" w:rsidRPr="00DB5643">
        <w:rPr>
          <w:rStyle w:val="ac"/>
          <w:snapToGrid w:val="0"/>
          <w:kern w:val="22"/>
          <w:szCs w:val="22"/>
        </w:rPr>
        <w:footnoteReference w:id="31"/>
      </w:r>
      <w:r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В общей сложности</w:t>
      </w:r>
      <w:r w:rsidR="004569FB" w:rsidRPr="00DB5643">
        <w:rPr>
          <w:snapToGrid w:val="0"/>
          <w:kern w:val="22"/>
          <w:szCs w:val="22"/>
          <w:lang w:val="ru-RU"/>
        </w:rPr>
        <w:t xml:space="preserve"> 43</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br/>
      </w:r>
      <w:r w:rsidR="004569FB" w:rsidRPr="00DB5643">
        <w:rPr>
          <w:snapToGrid w:val="0"/>
          <w:kern w:val="22"/>
          <w:szCs w:val="22"/>
          <w:lang w:val="ru-RU"/>
        </w:rPr>
        <w:t>(40</w:t>
      </w:r>
      <w:r w:rsidRPr="00DB5643">
        <w:rPr>
          <w:snapToGrid w:val="0"/>
          <w:kern w:val="22"/>
          <w:szCs w:val="22"/>
          <w:lang w:val="ru-RU"/>
        </w:rPr>
        <w:t xml:space="preserve"> Сторон</w:t>
      </w:r>
      <w:r w:rsidR="004569FB" w:rsidRPr="00DB5643">
        <w:rPr>
          <w:snapToGrid w:val="0"/>
          <w:kern w:val="22"/>
          <w:szCs w:val="22"/>
          <w:lang w:val="ru-RU"/>
        </w:rPr>
        <w:t xml:space="preserve">) </w:t>
      </w:r>
      <w:r w:rsidRPr="00DB5643">
        <w:rPr>
          <w:snapToGrid w:val="0"/>
          <w:kern w:val="22"/>
          <w:szCs w:val="22"/>
          <w:lang w:val="ru-RU"/>
        </w:rPr>
        <w:t>сообщили о сотрудничестве с другими Сторонами</w:t>
      </w:r>
      <w:r w:rsidR="004569FB" w:rsidRPr="00DB5643">
        <w:rPr>
          <w:snapToGrid w:val="0"/>
          <w:kern w:val="22"/>
          <w:szCs w:val="22"/>
          <w:lang w:val="ru-RU"/>
        </w:rPr>
        <w:t xml:space="preserve"> </w:t>
      </w:r>
      <w:r w:rsidRPr="00DB5643">
        <w:rPr>
          <w:snapToGrid w:val="0"/>
          <w:kern w:val="22"/>
          <w:szCs w:val="22"/>
          <w:lang w:val="ru-RU"/>
        </w:rPr>
        <w:t xml:space="preserve">в целях выявления </w:t>
      </w:r>
      <w:proofErr w:type="spellStart"/>
      <w:r w:rsidRPr="00DB5643">
        <w:rPr>
          <w:snapToGrid w:val="0"/>
          <w:kern w:val="22"/>
          <w:szCs w:val="22"/>
          <w:lang w:val="ru-RU"/>
        </w:rPr>
        <w:t>ЖИО</w:t>
      </w:r>
      <w:proofErr w:type="spellEnd"/>
      <w:r w:rsidRPr="00DB5643">
        <w:rPr>
          <w:snapToGrid w:val="0"/>
          <w:kern w:val="22"/>
          <w:szCs w:val="22"/>
          <w:lang w:val="ru-RU"/>
        </w:rPr>
        <w:t xml:space="preserve"> или специфических признаков, которые могут оказывать неблагоприятное воздействие на сохранение и устойчивое использование биологического разнообразия</w:t>
      </w:r>
      <w:bookmarkStart w:id="13" w:name="_Hlk33701388"/>
      <w:r w:rsidR="004569FB" w:rsidRPr="00DB5643">
        <w:rPr>
          <w:bCs/>
          <w:snapToGrid w:val="0"/>
          <w:kern w:val="22"/>
          <w:szCs w:val="22"/>
          <w:lang w:val="ru-RU"/>
        </w:rPr>
        <w:t xml:space="preserve">. </w:t>
      </w:r>
      <w:bookmarkEnd w:id="13"/>
      <w:r w:rsidRPr="00DB5643">
        <w:rPr>
          <w:bCs/>
          <w:snapToGrid w:val="0"/>
          <w:kern w:val="22"/>
          <w:szCs w:val="22"/>
          <w:lang w:val="ru-RU"/>
        </w:rPr>
        <w:t>По отношению к исходному уровню отмечено увеличение на</w:t>
      </w:r>
      <w:r w:rsidR="004569FB" w:rsidRPr="00DB5643">
        <w:rPr>
          <w:bCs/>
          <w:snapToGrid w:val="0"/>
          <w:kern w:val="22"/>
          <w:szCs w:val="22"/>
          <w:lang w:val="ru-RU"/>
        </w:rPr>
        <w:t xml:space="preserve"> 6</w:t>
      </w:r>
      <w:r w:rsidRPr="00DB5643">
        <w:rPr>
          <w:bCs/>
          <w:snapToGrid w:val="0"/>
          <w:kern w:val="22"/>
          <w:szCs w:val="22"/>
          <w:lang w:val="en-US"/>
        </w:rPr>
        <w:t> </w:t>
      </w:r>
      <w:r w:rsidR="004569FB" w:rsidRPr="00DB5643">
        <w:rPr>
          <w:bCs/>
          <w:snapToGrid w:val="0"/>
          <w:kern w:val="22"/>
          <w:szCs w:val="22"/>
          <w:lang w:val="ru-RU"/>
        </w:rPr>
        <w:t xml:space="preserve">% </w:t>
      </w:r>
      <w:r w:rsidR="00EB27EE" w:rsidRPr="00DB5643">
        <w:rPr>
          <w:bCs/>
          <w:snapToGrid w:val="0"/>
          <w:kern w:val="22"/>
          <w:szCs w:val="22"/>
          <w:lang w:val="ru-RU"/>
        </w:rPr>
        <w:t xml:space="preserve">при следующих изменениях </w:t>
      </w:r>
      <w:r w:rsidR="0099665F">
        <w:rPr>
          <w:bCs/>
          <w:snapToGrid w:val="0"/>
          <w:kern w:val="22"/>
          <w:szCs w:val="22"/>
          <w:lang w:val="ru-RU"/>
        </w:rPr>
        <w:t>в регионах</w:t>
      </w:r>
      <w:r w:rsidR="004569FB" w:rsidRPr="00DB5643">
        <w:rPr>
          <w:bCs/>
          <w:snapToGrid w:val="0"/>
          <w:kern w:val="22"/>
          <w:szCs w:val="22"/>
          <w:lang w:val="ru-RU"/>
        </w:rPr>
        <w:t xml:space="preserve">: </w:t>
      </w:r>
      <w:proofErr w:type="spellStart"/>
      <w:r w:rsidR="004569FB" w:rsidRPr="00DB5643">
        <w:rPr>
          <w:bCs/>
          <w:snapToGrid w:val="0"/>
          <w:kern w:val="22"/>
          <w:szCs w:val="22"/>
        </w:rPr>
        <w:t>CEE</w:t>
      </w:r>
      <w:proofErr w:type="spellEnd"/>
      <w:r w:rsidR="004569FB" w:rsidRPr="00DB5643">
        <w:rPr>
          <w:bCs/>
          <w:snapToGrid w:val="0"/>
          <w:kern w:val="22"/>
          <w:szCs w:val="22"/>
          <w:lang w:val="ru-RU"/>
        </w:rPr>
        <w:t xml:space="preserve"> (+19</w:t>
      </w:r>
      <w:r w:rsidR="00EB27EE" w:rsidRPr="00DB5643">
        <w:rPr>
          <w:bCs/>
          <w:snapToGrid w:val="0"/>
          <w:kern w:val="22"/>
          <w:szCs w:val="22"/>
          <w:lang w:val="ru-RU"/>
        </w:rPr>
        <w:t> </w:t>
      </w:r>
      <w:r w:rsidR="004569FB" w:rsidRPr="00DB5643">
        <w:rPr>
          <w:bCs/>
          <w:snapToGrid w:val="0"/>
          <w:kern w:val="22"/>
          <w:szCs w:val="22"/>
          <w:lang w:val="ru-RU"/>
        </w:rPr>
        <w:t xml:space="preserve">%), </w:t>
      </w:r>
      <w:r w:rsidR="0099665F">
        <w:rPr>
          <w:bCs/>
          <w:snapToGrid w:val="0"/>
          <w:kern w:val="22"/>
          <w:szCs w:val="22"/>
          <w:lang w:val="ru-RU"/>
        </w:rPr>
        <w:t>Азиатско-Тихоокеанский регион</w:t>
      </w:r>
      <w:r w:rsidR="004569FB" w:rsidRPr="00DB5643">
        <w:rPr>
          <w:bCs/>
          <w:snapToGrid w:val="0"/>
          <w:kern w:val="22"/>
          <w:szCs w:val="22"/>
          <w:lang w:val="ru-RU"/>
        </w:rPr>
        <w:t xml:space="preserve"> (+1</w:t>
      </w:r>
      <w:r w:rsidR="003C4E19" w:rsidRPr="00DB5643">
        <w:rPr>
          <w:bCs/>
          <w:snapToGrid w:val="0"/>
          <w:kern w:val="22"/>
          <w:szCs w:val="22"/>
          <w:lang w:val="ru-RU"/>
        </w:rPr>
        <w:t>3</w:t>
      </w:r>
      <w:r w:rsidR="00EB27EE" w:rsidRPr="00DB5643">
        <w:rPr>
          <w:bCs/>
          <w:snapToGrid w:val="0"/>
          <w:kern w:val="22"/>
          <w:szCs w:val="22"/>
          <w:lang w:val="ru-RU"/>
        </w:rPr>
        <w:t> </w:t>
      </w:r>
      <w:r w:rsidR="004569FB" w:rsidRPr="00DB5643">
        <w:rPr>
          <w:bCs/>
          <w:snapToGrid w:val="0"/>
          <w:kern w:val="22"/>
          <w:szCs w:val="22"/>
          <w:lang w:val="ru-RU"/>
        </w:rPr>
        <w:t xml:space="preserve">%), </w:t>
      </w:r>
      <w:r w:rsidR="00EB27EE" w:rsidRPr="00DB5643">
        <w:rPr>
          <w:bCs/>
          <w:snapToGrid w:val="0"/>
          <w:kern w:val="22"/>
          <w:szCs w:val="22"/>
          <w:lang w:val="ru-RU"/>
        </w:rPr>
        <w:t>Африка</w:t>
      </w:r>
      <w:r w:rsidR="004569FB" w:rsidRPr="00DB5643">
        <w:rPr>
          <w:bCs/>
          <w:snapToGrid w:val="0"/>
          <w:kern w:val="22"/>
          <w:szCs w:val="22"/>
          <w:lang w:val="ru-RU"/>
        </w:rPr>
        <w:t xml:space="preserve"> (+7</w:t>
      </w:r>
      <w:r w:rsidR="00EB27EE" w:rsidRPr="00DB5643">
        <w:rPr>
          <w:bCs/>
          <w:snapToGrid w:val="0"/>
          <w:kern w:val="22"/>
          <w:szCs w:val="22"/>
          <w:lang w:val="ru-RU"/>
        </w:rPr>
        <w:t> </w:t>
      </w:r>
      <w:r w:rsidR="004569FB" w:rsidRPr="00DB5643">
        <w:rPr>
          <w:bCs/>
          <w:snapToGrid w:val="0"/>
          <w:kern w:val="22"/>
          <w:szCs w:val="22"/>
          <w:lang w:val="ru-RU"/>
        </w:rPr>
        <w:t xml:space="preserve">%), </w:t>
      </w:r>
      <w:proofErr w:type="spellStart"/>
      <w:r w:rsidR="004569FB" w:rsidRPr="00DB5643">
        <w:rPr>
          <w:bCs/>
          <w:snapToGrid w:val="0"/>
          <w:kern w:val="22"/>
          <w:szCs w:val="22"/>
        </w:rPr>
        <w:t>WEOG</w:t>
      </w:r>
      <w:proofErr w:type="spellEnd"/>
      <w:r w:rsidR="004569FB" w:rsidRPr="00DB5643">
        <w:rPr>
          <w:bCs/>
          <w:snapToGrid w:val="0"/>
          <w:kern w:val="22"/>
          <w:szCs w:val="22"/>
          <w:lang w:val="ru-RU"/>
        </w:rPr>
        <w:t xml:space="preserve"> (+6</w:t>
      </w:r>
      <w:r w:rsidR="00EB27EE" w:rsidRPr="00DB5643">
        <w:rPr>
          <w:bCs/>
          <w:snapToGrid w:val="0"/>
          <w:kern w:val="22"/>
          <w:szCs w:val="22"/>
          <w:lang w:val="ru-RU"/>
        </w:rPr>
        <w:t> </w:t>
      </w:r>
      <w:r w:rsidR="004569FB" w:rsidRPr="00DB5643">
        <w:rPr>
          <w:bCs/>
          <w:snapToGrid w:val="0"/>
          <w:kern w:val="22"/>
          <w:szCs w:val="22"/>
          <w:lang w:val="ru-RU"/>
        </w:rPr>
        <w:t>%)</w:t>
      </w:r>
      <w:r w:rsidR="00B713EF" w:rsidRPr="00DB5643">
        <w:rPr>
          <w:bCs/>
          <w:snapToGrid w:val="0"/>
          <w:kern w:val="22"/>
          <w:szCs w:val="22"/>
          <w:lang w:val="ru-RU"/>
        </w:rPr>
        <w:t xml:space="preserve">, </w:t>
      </w:r>
      <w:proofErr w:type="spellStart"/>
      <w:r w:rsidR="00EB27EE" w:rsidRPr="00DB5643">
        <w:rPr>
          <w:bCs/>
          <w:snapToGrid w:val="0"/>
          <w:kern w:val="22"/>
          <w:szCs w:val="22"/>
          <w:lang w:val="ru-RU"/>
        </w:rPr>
        <w:t>ГРУЛАК</w:t>
      </w:r>
      <w:proofErr w:type="spellEnd"/>
      <w:r w:rsidR="00B713EF" w:rsidRPr="00DB5643">
        <w:rPr>
          <w:bCs/>
          <w:snapToGrid w:val="0"/>
          <w:kern w:val="22"/>
          <w:szCs w:val="22"/>
          <w:lang w:val="ru-RU"/>
        </w:rPr>
        <w:t xml:space="preserve"> (-15</w:t>
      </w:r>
      <w:r w:rsidR="00EB27EE" w:rsidRPr="00DB5643">
        <w:rPr>
          <w:bCs/>
          <w:snapToGrid w:val="0"/>
          <w:kern w:val="22"/>
          <w:szCs w:val="22"/>
          <w:lang w:val="ru-RU"/>
        </w:rPr>
        <w:t> </w:t>
      </w:r>
      <w:r w:rsidR="00B713EF" w:rsidRPr="00DB5643">
        <w:rPr>
          <w:bCs/>
          <w:snapToGrid w:val="0"/>
          <w:kern w:val="22"/>
          <w:szCs w:val="22"/>
          <w:lang w:val="ru-RU"/>
        </w:rPr>
        <w:t>%)</w:t>
      </w:r>
      <w:r w:rsidR="004569FB" w:rsidRPr="00DB5643">
        <w:rPr>
          <w:bCs/>
          <w:snapToGrid w:val="0"/>
          <w:kern w:val="22"/>
          <w:szCs w:val="22"/>
          <w:lang w:val="ru-RU"/>
        </w:rPr>
        <w:t xml:space="preserve">. </w:t>
      </w:r>
    </w:p>
    <w:p w14:paraId="4F4C90B2" w14:textId="4AC7311C" w:rsidR="004569FB" w:rsidRPr="00DB5643" w:rsidRDefault="00EB27EE" w:rsidP="00B44100">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sidRPr="00DB5643">
        <w:rPr>
          <w:snapToGrid w:val="0"/>
          <w:kern w:val="22"/>
          <w:szCs w:val="22"/>
          <w:lang w:val="ru-RU"/>
        </w:rPr>
        <w:t>В отношении</w:t>
      </w:r>
      <w:r w:rsidR="004569FB" w:rsidRPr="00DB5643">
        <w:rPr>
          <w:b/>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1.4.2</w:t>
      </w:r>
      <w:r w:rsidR="004569FB" w:rsidRPr="00DB5643">
        <w:rPr>
          <w:snapToGrid w:val="0"/>
          <w:kern w:val="22"/>
          <w:szCs w:val="22"/>
          <w:lang w:val="ru-RU"/>
        </w:rPr>
        <w:t xml:space="preserve"> (</w:t>
      </w:r>
      <w:r w:rsidRPr="00DB5643">
        <w:rPr>
          <w:snapToGrid w:val="0"/>
          <w:kern w:val="22"/>
          <w:szCs w:val="22"/>
          <w:lang w:val="ru-RU"/>
        </w:rPr>
        <w:t>число Сторон, располагающих потенциалом для выявления,</w:t>
      </w:r>
      <w:r w:rsidR="0099665F">
        <w:rPr>
          <w:snapToGrid w:val="0"/>
          <w:kern w:val="22"/>
          <w:szCs w:val="22"/>
          <w:lang w:val="ru-RU"/>
        </w:rPr>
        <w:t xml:space="preserve"> идентификации,</w:t>
      </w:r>
      <w:r w:rsidRPr="00DB5643">
        <w:rPr>
          <w:snapToGrid w:val="0"/>
          <w:kern w:val="22"/>
          <w:szCs w:val="22"/>
          <w:lang w:val="ru-RU"/>
        </w:rPr>
        <w:t xml:space="preserve"> оценки и мониторинга </w:t>
      </w:r>
      <w:proofErr w:type="spellStart"/>
      <w:r w:rsidRPr="00DB5643">
        <w:rPr>
          <w:snapToGrid w:val="0"/>
          <w:kern w:val="22"/>
          <w:szCs w:val="22"/>
          <w:lang w:val="ru-RU"/>
        </w:rPr>
        <w:t>ЖИО</w:t>
      </w:r>
      <w:proofErr w:type="spellEnd"/>
      <w:r w:rsidRPr="00DB5643">
        <w:rPr>
          <w:snapToGrid w:val="0"/>
          <w:kern w:val="22"/>
          <w:szCs w:val="22"/>
          <w:lang w:val="ru-RU"/>
        </w:rPr>
        <w:t xml:space="preserve"> или специфических признаков, которые могут оказывать неблагоприятное воздействие на сохранение и устойчивое использование биологического разнообразия, учитывая также риск для здоровья человека</w:t>
      </w:r>
      <w:r w:rsidR="004569FB" w:rsidRPr="00DB5643">
        <w:rPr>
          <w:snapToGrid w:val="0"/>
          <w:kern w:val="22"/>
          <w:szCs w:val="22"/>
          <w:lang w:val="ru-RU"/>
        </w:rPr>
        <w:t xml:space="preserve">) </w:t>
      </w:r>
      <w:r w:rsidRPr="00DB5643">
        <w:rPr>
          <w:snapToGrid w:val="0"/>
          <w:kern w:val="22"/>
          <w:szCs w:val="22"/>
          <w:lang w:val="ru-RU"/>
        </w:rPr>
        <w:t>Стороны сообщили следующую информацию</w:t>
      </w:r>
      <w:r w:rsidR="004569FB" w:rsidRPr="00DB5643">
        <w:rPr>
          <w:snapToGrid w:val="0"/>
          <w:kern w:val="22"/>
          <w:szCs w:val="22"/>
          <w:lang w:val="ru-RU"/>
        </w:rPr>
        <w:t xml:space="preserve"> </w:t>
      </w:r>
      <w:r w:rsidR="004569FB" w:rsidRPr="00DB5643">
        <w:rPr>
          <w:bCs/>
          <w:snapToGrid w:val="0"/>
          <w:kern w:val="22"/>
          <w:szCs w:val="22"/>
        </w:rPr>
        <w:t>(</w:t>
      </w:r>
      <w:r w:rsidRPr="00DB5643">
        <w:rPr>
          <w:bCs/>
          <w:snapToGrid w:val="0"/>
          <w:kern w:val="22"/>
          <w:szCs w:val="22"/>
          <w:lang w:val="ru-RU"/>
        </w:rPr>
        <w:t>также</w:t>
      </w:r>
      <w:r w:rsidRPr="00DB5643">
        <w:rPr>
          <w:bCs/>
          <w:snapToGrid w:val="0"/>
          <w:kern w:val="22"/>
          <w:szCs w:val="22"/>
          <w:lang w:val="en-US"/>
        </w:rPr>
        <w:t xml:space="preserve"> </w:t>
      </w:r>
      <w:r w:rsidRPr="00DB5643">
        <w:rPr>
          <w:bCs/>
          <w:snapToGrid w:val="0"/>
          <w:kern w:val="22"/>
          <w:szCs w:val="22"/>
          <w:lang w:val="ru-RU"/>
        </w:rPr>
        <w:t>см</w:t>
      </w:r>
      <w:r w:rsidRPr="00DB5643">
        <w:rPr>
          <w:bCs/>
          <w:snapToGrid w:val="0"/>
          <w:kern w:val="22"/>
          <w:szCs w:val="22"/>
          <w:lang w:val="en-US"/>
        </w:rPr>
        <w:t xml:space="preserve">. </w:t>
      </w:r>
      <w:r w:rsidRPr="00DB5643">
        <w:rPr>
          <w:bCs/>
          <w:snapToGrid w:val="0"/>
          <w:kern w:val="22"/>
          <w:szCs w:val="22"/>
          <w:lang w:val="ru-RU"/>
        </w:rPr>
        <w:t>рис</w:t>
      </w:r>
      <w:r w:rsidRPr="00DB5643">
        <w:rPr>
          <w:bCs/>
          <w:snapToGrid w:val="0"/>
          <w:kern w:val="22"/>
          <w:szCs w:val="22"/>
          <w:lang w:val="en-US"/>
        </w:rPr>
        <w:t>.</w:t>
      </w:r>
      <w:r w:rsidR="004569FB" w:rsidRPr="00DB5643">
        <w:rPr>
          <w:bCs/>
          <w:snapToGrid w:val="0"/>
          <w:kern w:val="22"/>
          <w:szCs w:val="22"/>
        </w:rPr>
        <w:t xml:space="preserve"> 3 </w:t>
      </w:r>
      <w:r w:rsidRPr="00DB5643">
        <w:rPr>
          <w:bCs/>
          <w:snapToGrid w:val="0"/>
          <w:kern w:val="22"/>
          <w:szCs w:val="22"/>
          <w:lang w:val="ru-RU"/>
        </w:rPr>
        <w:t>для</w:t>
      </w:r>
      <w:r w:rsidRPr="00DB5643">
        <w:rPr>
          <w:bCs/>
          <w:snapToGrid w:val="0"/>
          <w:kern w:val="22"/>
          <w:szCs w:val="22"/>
          <w:lang w:val="en-US"/>
        </w:rPr>
        <w:t xml:space="preserve"> </w:t>
      </w:r>
      <w:proofErr w:type="spellStart"/>
      <w:r w:rsidRPr="00DB5643">
        <w:rPr>
          <w:bCs/>
          <w:snapToGrid w:val="0"/>
          <w:kern w:val="22"/>
          <w:szCs w:val="22"/>
          <w:lang w:val="ru-RU"/>
        </w:rPr>
        <w:t>пп</w:t>
      </w:r>
      <w:proofErr w:type="spellEnd"/>
      <w:r w:rsidRPr="00DB5643">
        <w:rPr>
          <w:bCs/>
          <w:snapToGrid w:val="0"/>
          <w:kern w:val="22"/>
          <w:szCs w:val="22"/>
          <w:lang w:val="en-US"/>
        </w:rPr>
        <w:t xml:space="preserve">. </w:t>
      </w:r>
      <w:r w:rsidR="004569FB" w:rsidRPr="00DB5643">
        <w:rPr>
          <w:bCs/>
          <w:snapToGrid w:val="0"/>
          <w:kern w:val="22"/>
          <w:szCs w:val="22"/>
        </w:rPr>
        <w:t>b)</w:t>
      </w:r>
      <w:r w:rsidRPr="00DB5643">
        <w:rPr>
          <w:bCs/>
          <w:snapToGrid w:val="0"/>
          <w:kern w:val="22"/>
          <w:szCs w:val="22"/>
          <w:lang w:val="ru-RU"/>
        </w:rPr>
        <w:t xml:space="preserve"> – </w:t>
      </w:r>
      <w:r w:rsidR="004569FB" w:rsidRPr="00DB5643">
        <w:rPr>
          <w:bCs/>
          <w:snapToGrid w:val="0"/>
          <w:kern w:val="22"/>
          <w:szCs w:val="22"/>
        </w:rPr>
        <w:t>d)):</w:t>
      </w:r>
    </w:p>
    <w:p w14:paraId="4757CEB6" w14:textId="1925814A" w:rsidR="004569FB" w:rsidRPr="00DB5643" w:rsidRDefault="004569FB" w:rsidP="00B44100">
      <w:pPr>
        <w:pStyle w:val="a3"/>
        <w:numPr>
          <w:ilvl w:val="0"/>
          <w:numId w:val="55"/>
        </w:numPr>
        <w:suppressLineNumbers/>
        <w:suppressAutoHyphens/>
        <w:snapToGrid w:val="0"/>
        <w:spacing w:before="120" w:after="120"/>
        <w:ind w:left="0" w:firstLine="709"/>
        <w:contextualSpacing w:val="0"/>
        <w:rPr>
          <w:bCs/>
          <w:snapToGrid w:val="0"/>
          <w:kern w:val="22"/>
          <w:szCs w:val="22"/>
          <w:lang w:val="ru-RU"/>
        </w:rPr>
      </w:pPr>
      <w:r w:rsidRPr="00DB5643">
        <w:rPr>
          <w:snapToGrid w:val="0"/>
          <w:kern w:val="22"/>
          <w:szCs w:val="22"/>
          <w:lang w:val="ru-RU"/>
        </w:rPr>
        <w:t>79</w:t>
      </w:r>
      <w:r w:rsidR="003E2F6C" w:rsidRPr="00DB5643">
        <w:rPr>
          <w:snapToGrid w:val="0"/>
          <w:kern w:val="22"/>
          <w:szCs w:val="22"/>
          <w:lang w:val="en-US"/>
        </w:rPr>
        <w:t> </w:t>
      </w:r>
      <w:r w:rsidRPr="00DB5643">
        <w:rPr>
          <w:snapToGrid w:val="0"/>
          <w:kern w:val="22"/>
          <w:szCs w:val="22"/>
          <w:lang w:val="ru-RU"/>
        </w:rPr>
        <w:t xml:space="preserve">% </w:t>
      </w:r>
      <w:r w:rsidR="003E2F6C" w:rsidRPr="00DB5643">
        <w:rPr>
          <w:snapToGrid w:val="0"/>
          <w:kern w:val="22"/>
          <w:szCs w:val="22"/>
          <w:lang w:val="ru-RU"/>
        </w:rPr>
        <w:t>Сторон</w:t>
      </w:r>
      <w:r w:rsidRPr="00DB5643">
        <w:rPr>
          <w:snapToGrid w:val="0"/>
          <w:kern w:val="22"/>
          <w:szCs w:val="22"/>
          <w:lang w:val="ru-RU"/>
        </w:rPr>
        <w:t xml:space="preserve"> (78 </w:t>
      </w:r>
      <w:r w:rsidR="003E2F6C" w:rsidRPr="00DB5643">
        <w:rPr>
          <w:snapToGrid w:val="0"/>
          <w:kern w:val="22"/>
          <w:szCs w:val="22"/>
          <w:lang w:val="ru-RU"/>
        </w:rPr>
        <w:t>Сторон</w:t>
      </w:r>
      <w:r w:rsidRPr="00DB5643">
        <w:rPr>
          <w:snapToGrid w:val="0"/>
          <w:kern w:val="22"/>
          <w:szCs w:val="22"/>
          <w:lang w:val="ru-RU"/>
        </w:rPr>
        <w:t xml:space="preserve">) </w:t>
      </w:r>
      <w:r w:rsidR="003E2F6C" w:rsidRPr="00DB5643">
        <w:rPr>
          <w:snapToGrid w:val="0"/>
          <w:kern w:val="22"/>
          <w:szCs w:val="22"/>
          <w:lang w:val="ru-RU"/>
        </w:rPr>
        <w:t>сообщили</w:t>
      </w:r>
      <w:r w:rsidR="00983C82" w:rsidRPr="00DB5643">
        <w:rPr>
          <w:snapToGrid w:val="0"/>
          <w:kern w:val="22"/>
          <w:szCs w:val="22"/>
          <w:lang w:val="ru-RU"/>
        </w:rPr>
        <w:t xml:space="preserve"> о том, что располагают потенциалом для </w:t>
      </w:r>
      <w:r w:rsidR="0099665F">
        <w:rPr>
          <w:snapToGrid w:val="0"/>
          <w:kern w:val="22"/>
          <w:szCs w:val="22"/>
          <w:lang w:val="ru-RU"/>
        </w:rPr>
        <w:t>выявления</w:t>
      </w:r>
      <w:r w:rsidR="00983C82" w:rsidRPr="00DB5643">
        <w:rPr>
          <w:snapToGrid w:val="0"/>
          <w:kern w:val="22"/>
          <w:szCs w:val="22"/>
          <w:lang w:val="ru-RU"/>
        </w:rPr>
        <w:t xml:space="preserve"> таких </w:t>
      </w:r>
      <w:proofErr w:type="spellStart"/>
      <w:r w:rsidR="00983C82" w:rsidRPr="00DB5643">
        <w:rPr>
          <w:snapToGrid w:val="0"/>
          <w:kern w:val="22"/>
          <w:szCs w:val="22"/>
          <w:lang w:val="ru-RU"/>
        </w:rPr>
        <w:t>ЖИО</w:t>
      </w:r>
      <w:proofErr w:type="spellEnd"/>
      <w:r w:rsidRPr="00DB5643">
        <w:rPr>
          <w:bCs/>
          <w:snapToGrid w:val="0"/>
          <w:kern w:val="22"/>
          <w:szCs w:val="22"/>
          <w:lang w:val="ru-RU"/>
        </w:rPr>
        <w:t xml:space="preserve">. </w:t>
      </w:r>
      <w:r w:rsidR="00983C82" w:rsidRPr="00DB5643">
        <w:rPr>
          <w:bCs/>
          <w:snapToGrid w:val="0"/>
          <w:kern w:val="22"/>
          <w:szCs w:val="22"/>
          <w:lang w:val="ru-RU"/>
        </w:rPr>
        <w:t xml:space="preserve">Данные исходного уровня, связанные с </w:t>
      </w:r>
      <w:r w:rsidR="0099665F">
        <w:rPr>
          <w:bCs/>
          <w:snapToGrid w:val="0"/>
          <w:kern w:val="22"/>
          <w:szCs w:val="22"/>
          <w:lang w:val="ru-RU"/>
        </w:rPr>
        <w:t>выявлением</w:t>
      </w:r>
      <w:r w:rsidR="00983C82" w:rsidRPr="00DB5643">
        <w:rPr>
          <w:bCs/>
          <w:snapToGrid w:val="0"/>
          <w:kern w:val="22"/>
          <w:szCs w:val="22"/>
          <w:lang w:val="ru-RU"/>
        </w:rPr>
        <w:t>, отсутствуют, однако указанная величина отражает увеличение на</w:t>
      </w:r>
      <w:r w:rsidRPr="00DB5643">
        <w:rPr>
          <w:bCs/>
          <w:snapToGrid w:val="0"/>
          <w:kern w:val="22"/>
          <w:szCs w:val="22"/>
          <w:lang w:val="ru-RU"/>
        </w:rPr>
        <w:t xml:space="preserve"> 1</w:t>
      </w:r>
      <w:r w:rsidR="00983C82" w:rsidRPr="00DB5643">
        <w:rPr>
          <w:bCs/>
          <w:snapToGrid w:val="0"/>
          <w:kern w:val="22"/>
          <w:szCs w:val="22"/>
          <w:lang w:val="ru-RU"/>
        </w:rPr>
        <w:t> </w:t>
      </w:r>
      <w:r w:rsidRPr="00DB5643">
        <w:rPr>
          <w:bCs/>
          <w:snapToGrid w:val="0"/>
          <w:kern w:val="22"/>
          <w:szCs w:val="22"/>
          <w:lang w:val="ru-RU"/>
        </w:rPr>
        <w:t xml:space="preserve">% </w:t>
      </w:r>
      <w:r w:rsidR="00983C82" w:rsidRPr="00DB5643">
        <w:rPr>
          <w:bCs/>
          <w:snapToGrid w:val="0"/>
          <w:kern w:val="22"/>
          <w:szCs w:val="22"/>
          <w:lang w:val="ru-RU"/>
        </w:rPr>
        <w:t>со времени третьего цикла отчетности.</w:t>
      </w:r>
      <w:r w:rsidRPr="00DB5643">
        <w:rPr>
          <w:bCs/>
          <w:snapToGrid w:val="0"/>
          <w:kern w:val="22"/>
          <w:szCs w:val="22"/>
          <w:lang w:val="ru-RU"/>
        </w:rPr>
        <w:t xml:space="preserve"> </w:t>
      </w:r>
    </w:p>
    <w:p w14:paraId="0EA1F1FD" w14:textId="04C6EBC2" w:rsidR="004569FB" w:rsidRPr="00DB5643" w:rsidRDefault="004569FB" w:rsidP="00B44100">
      <w:pPr>
        <w:pStyle w:val="a3"/>
        <w:numPr>
          <w:ilvl w:val="0"/>
          <w:numId w:val="55"/>
        </w:numPr>
        <w:suppressLineNumbers/>
        <w:suppressAutoHyphens/>
        <w:snapToGrid w:val="0"/>
        <w:spacing w:before="120" w:after="120"/>
        <w:ind w:left="0" w:firstLine="709"/>
        <w:contextualSpacing w:val="0"/>
        <w:rPr>
          <w:bCs/>
          <w:snapToGrid w:val="0"/>
          <w:kern w:val="22"/>
          <w:szCs w:val="22"/>
          <w:lang w:val="ru-RU"/>
        </w:rPr>
      </w:pPr>
      <w:r w:rsidRPr="00DB5643">
        <w:rPr>
          <w:snapToGrid w:val="0"/>
          <w:kern w:val="22"/>
          <w:szCs w:val="22"/>
          <w:lang w:val="ru-RU"/>
        </w:rPr>
        <w:t>77</w:t>
      </w:r>
      <w:r w:rsidR="003E2F6C" w:rsidRPr="00DB5643">
        <w:rPr>
          <w:snapToGrid w:val="0"/>
          <w:kern w:val="22"/>
          <w:szCs w:val="22"/>
          <w:lang w:val="en-US"/>
        </w:rPr>
        <w:t> </w:t>
      </w:r>
      <w:r w:rsidRPr="00DB5643">
        <w:rPr>
          <w:snapToGrid w:val="0"/>
          <w:kern w:val="22"/>
          <w:szCs w:val="22"/>
          <w:lang w:val="ru-RU"/>
        </w:rPr>
        <w:t xml:space="preserve">% (55 </w:t>
      </w:r>
      <w:r w:rsidR="003E2F6C" w:rsidRPr="00DB5643">
        <w:rPr>
          <w:snapToGrid w:val="0"/>
          <w:kern w:val="22"/>
          <w:szCs w:val="22"/>
          <w:lang w:val="ru-RU"/>
        </w:rPr>
        <w:t>Сторон</w:t>
      </w:r>
      <w:r w:rsidRPr="00DB5643">
        <w:rPr>
          <w:snapToGrid w:val="0"/>
          <w:kern w:val="22"/>
          <w:szCs w:val="22"/>
          <w:lang w:val="ru-RU"/>
        </w:rPr>
        <w:t xml:space="preserve">) </w:t>
      </w:r>
      <w:r w:rsidR="00983C82" w:rsidRPr="00DB5643">
        <w:rPr>
          <w:snapToGrid w:val="0"/>
          <w:kern w:val="22"/>
          <w:szCs w:val="22"/>
          <w:lang w:val="ru-RU"/>
        </w:rPr>
        <w:t xml:space="preserve">сообщили о том, что располагают потенциалом для </w:t>
      </w:r>
      <w:r w:rsidR="0099665F">
        <w:rPr>
          <w:snapToGrid w:val="0"/>
          <w:kern w:val="22"/>
          <w:szCs w:val="22"/>
          <w:lang w:val="ru-RU"/>
        </w:rPr>
        <w:t>идентификации</w:t>
      </w:r>
      <w:r w:rsidR="0099665F" w:rsidRPr="00DB5643">
        <w:rPr>
          <w:snapToGrid w:val="0"/>
          <w:kern w:val="22"/>
          <w:szCs w:val="22"/>
          <w:lang w:val="ru-RU"/>
        </w:rPr>
        <w:t xml:space="preserve"> </w:t>
      </w:r>
      <w:r w:rsidR="00983C82" w:rsidRPr="00DB5643">
        <w:rPr>
          <w:snapToGrid w:val="0"/>
          <w:kern w:val="22"/>
          <w:szCs w:val="22"/>
          <w:lang w:val="ru-RU"/>
        </w:rPr>
        <w:t xml:space="preserve">таких </w:t>
      </w:r>
      <w:proofErr w:type="spellStart"/>
      <w:r w:rsidR="00983C82" w:rsidRPr="00DB5643">
        <w:rPr>
          <w:snapToGrid w:val="0"/>
          <w:kern w:val="22"/>
          <w:szCs w:val="22"/>
          <w:lang w:val="ru-RU"/>
        </w:rPr>
        <w:t>ЖИО</w:t>
      </w:r>
      <w:proofErr w:type="spellEnd"/>
      <w:r w:rsidRPr="00DB5643">
        <w:rPr>
          <w:bCs/>
          <w:snapToGrid w:val="0"/>
          <w:kern w:val="22"/>
          <w:szCs w:val="22"/>
          <w:lang w:val="ru-RU"/>
        </w:rPr>
        <w:t xml:space="preserve">, </w:t>
      </w:r>
      <w:r w:rsidR="001715BD" w:rsidRPr="00DB5643">
        <w:rPr>
          <w:bCs/>
          <w:snapToGrid w:val="0"/>
          <w:kern w:val="22"/>
          <w:szCs w:val="22"/>
          <w:lang w:val="ru-RU"/>
        </w:rPr>
        <w:t>что соответствует уменьшению на</w:t>
      </w:r>
      <w:r w:rsidRPr="00DB5643">
        <w:rPr>
          <w:bCs/>
          <w:snapToGrid w:val="0"/>
          <w:kern w:val="22"/>
          <w:szCs w:val="22"/>
          <w:lang w:val="ru-RU"/>
        </w:rPr>
        <w:t xml:space="preserve"> 6</w:t>
      </w:r>
      <w:r w:rsidR="001715BD" w:rsidRPr="00DB5643">
        <w:rPr>
          <w:bCs/>
          <w:snapToGrid w:val="0"/>
          <w:kern w:val="22"/>
          <w:szCs w:val="22"/>
          <w:lang w:val="ru-RU"/>
        </w:rPr>
        <w:t> </w:t>
      </w:r>
      <w:r w:rsidRPr="00DB5643">
        <w:rPr>
          <w:bCs/>
          <w:snapToGrid w:val="0"/>
          <w:kern w:val="22"/>
          <w:szCs w:val="22"/>
          <w:lang w:val="ru-RU"/>
        </w:rPr>
        <w:t>%.</w:t>
      </w:r>
    </w:p>
    <w:p w14:paraId="75CD3087" w14:textId="4853261D" w:rsidR="004569FB" w:rsidRPr="00DB5643" w:rsidRDefault="004569FB" w:rsidP="00B44100">
      <w:pPr>
        <w:pStyle w:val="a3"/>
        <w:numPr>
          <w:ilvl w:val="0"/>
          <w:numId w:val="55"/>
        </w:numPr>
        <w:suppressLineNumbers/>
        <w:suppressAutoHyphens/>
        <w:snapToGrid w:val="0"/>
        <w:spacing w:before="120" w:after="120"/>
        <w:ind w:left="0" w:firstLine="709"/>
        <w:contextualSpacing w:val="0"/>
        <w:rPr>
          <w:bCs/>
          <w:snapToGrid w:val="0"/>
          <w:kern w:val="22"/>
          <w:szCs w:val="22"/>
          <w:lang w:val="ru-RU"/>
        </w:rPr>
      </w:pPr>
      <w:bookmarkStart w:id="14" w:name="_Hlk33701469"/>
      <w:r w:rsidRPr="00DB5643">
        <w:rPr>
          <w:bCs/>
          <w:snapToGrid w:val="0"/>
          <w:kern w:val="22"/>
          <w:szCs w:val="22"/>
          <w:lang w:val="ru-RU"/>
        </w:rPr>
        <w:t>77</w:t>
      </w:r>
      <w:r w:rsidR="003E2F6C" w:rsidRPr="00DB5643">
        <w:rPr>
          <w:bCs/>
          <w:snapToGrid w:val="0"/>
          <w:kern w:val="22"/>
          <w:szCs w:val="22"/>
          <w:lang w:val="en-US"/>
        </w:rPr>
        <w:t> </w:t>
      </w:r>
      <w:r w:rsidRPr="00DB5643">
        <w:rPr>
          <w:bCs/>
          <w:snapToGrid w:val="0"/>
          <w:kern w:val="22"/>
          <w:szCs w:val="22"/>
          <w:lang w:val="ru-RU"/>
        </w:rPr>
        <w:t xml:space="preserve">% (54 </w:t>
      </w:r>
      <w:r w:rsidR="003E2F6C" w:rsidRPr="00DB5643">
        <w:rPr>
          <w:snapToGrid w:val="0"/>
          <w:kern w:val="22"/>
          <w:szCs w:val="22"/>
          <w:lang w:val="ru-RU"/>
        </w:rPr>
        <w:t>Стороны</w:t>
      </w:r>
      <w:r w:rsidRPr="00DB5643">
        <w:rPr>
          <w:bCs/>
          <w:snapToGrid w:val="0"/>
          <w:kern w:val="22"/>
          <w:szCs w:val="22"/>
          <w:lang w:val="ru-RU"/>
        </w:rPr>
        <w:t xml:space="preserve">) </w:t>
      </w:r>
      <w:bookmarkEnd w:id="14"/>
      <w:r w:rsidR="00983C82" w:rsidRPr="00DB5643">
        <w:rPr>
          <w:snapToGrid w:val="0"/>
          <w:kern w:val="22"/>
          <w:szCs w:val="22"/>
          <w:lang w:val="ru-RU"/>
        </w:rPr>
        <w:t xml:space="preserve">сообщили о том, что располагают потенциалом для оценки таких </w:t>
      </w:r>
      <w:proofErr w:type="spellStart"/>
      <w:r w:rsidR="00983C82" w:rsidRPr="00DB5643">
        <w:rPr>
          <w:snapToGrid w:val="0"/>
          <w:kern w:val="22"/>
          <w:szCs w:val="22"/>
          <w:lang w:val="ru-RU"/>
        </w:rPr>
        <w:t>ЖИО</w:t>
      </w:r>
      <w:proofErr w:type="spellEnd"/>
      <w:r w:rsidRPr="00DB5643">
        <w:rPr>
          <w:bCs/>
          <w:snapToGrid w:val="0"/>
          <w:kern w:val="22"/>
          <w:szCs w:val="22"/>
          <w:lang w:val="ru-RU"/>
        </w:rPr>
        <w:t xml:space="preserve">, </w:t>
      </w:r>
      <w:r w:rsidR="001715BD" w:rsidRPr="00DB5643">
        <w:rPr>
          <w:bCs/>
          <w:snapToGrid w:val="0"/>
          <w:kern w:val="22"/>
          <w:szCs w:val="22"/>
          <w:lang w:val="ru-RU"/>
        </w:rPr>
        <w:t>что отражает отсутствие изменений</w:t>
      </w:r>
      <w:r w:rsidRPr="00DB5643">
        <w:rPr>
          <w:bCs/>
          <w:snapToGrid w:val="0"/>
          <w:kern w:val="22"/>
          <w:szCs w:val="22"/>
          <w:lang w:val="ru-RU"/>
        </w:rPr>
        <w:t xml:space="preserve"> </w:t>
      </w:r>
      <w:r w:rsidR="001715BD" w:rsidRPr="00DB5643">
        <w:rPr>
          <w:bCs/>
          <w:snapToGrid w:val="0"/>
          <w:kern w:val="22"/>
          <w:szCs w:val="22"/>
          <w:lang w:val="ru-RU"/>
        </w:rPr>
        <w:t>по сравнению с исходным уровнем</w:t>
      </w:r>
      <w:r w:rsidRPr="00DB5643">
        <w:rPr>
          <w:bCs/>
          <w:snapToGrid w:val="0"/>
          <w:kern w:val="22"/>
          <w:szCs w:val="22"/>
          <w:lang w:val="ru-RU"/>
        </w:rPr>
        <w:t xml:space="preserve">. </w:t>
      </w:r>
    </w:p>
    <w:p w14:paraId="5BCB9F08" w14:textId="5F389A40" w:rsidR="004569FB" w:rsidRPr="00DB5643" w:rsidRDefault="004569FB" w:rsidP="00B44100">
      <w:pPr>
        <w:pStyle w:val="a3"/>
        <w:numPr>
          <w:ilvl w:val="0"/>
          <w:numId w:val="55"/>
        </w:numPr>
        <w:suppressLineNumbers/>
        <w:suppressAutoHyphens/>
        <w:snapToGrid w:val="0"/>
        <w:spacing w:before="120" w:after="120"/>
        <w:ind w:left="0" w:firstLine="709"/>
        <w:contextualSpacing w:val="0"/>
        <w:rPr>
          <w:bCs/>
          <w:snapToGrid w:val="0"/>
          <w:kern w:val="22"/>
          <w:szCs w:val="22"/>
          <w:lang w:val="ru-RU"/>
        </w:rPr>
      </w:pPr>
      <w:bookmarkStart w:id="15" w:name="_Hlk33701503"/>
      <w:r w:rsidRPr="00DB5643">
        <w:rPr>
          <w:bCs/>
          <w:snapToGrid w:val="0"/>
          <w:kern w:val="22"/>
          <w:szCs w:val="22"/>
          <w:lang w:val="ru-RU"/>
        </w:rPr>
        <w:t>71</w:t>
      </w:r>
      <w:r w:rsidR="003E2F6C" w:rsidRPr="00DB5643">
        <w:rPr>
          <w:bCs/>
          <w:snapToGrid w:val="0"/>
          <w:kern w:val="22"/>
          <w:szCs w:val="22"/>
          <w:lang w:val="en-US"/>
        </w:rPr>
        <w:t> </w:t>
      </w:r>
      <w:r w:rsidRPr="00DB5643">
        <w:rPr>
          <w:bCs/>
          <w:snapToGrid w:val="0"/>
          <w:kern w:val="22"/>
          <w:szCs w:val="22"/>
          <w:lang w:val="ru-RU"/>
        </w:rPr>
        <w:t xml:space="preserve">% (50 </w:t>
      </w:r>
      <w:r w:rsidR="003E2F6C" w:rsidRPr="00DB5643">
        <w:rPr>
          <w:snapToGrid w:val="0"/>
          <w:kern w:val="22"/>
          <w:szCs w:val="22"/>
          <w:lang w:val="ru-RU"/>
        </w:rPr>
        <w:t>Сторон</w:t>
      </w:r>
      <w:r w:rsidRPr="00DB5643">
        <w:rPr>
          <w:bCs/>
          <w:snapToGrid w:val="0"/>
          <w:kern w:val="22"/>
          <w:szCs w:val="22"/>
          <w:lang w:val="ru-RU"/>
        </w:rPr>
        <w:t xml:space="preserve">) </w:t>
      </w:r>
      <w:bookmarkEnd w:id="15"/>
      <w:r w:rsidR="00983C82" w:rsidRPr="00DB5643">
        <w:rPr>
          <w:snapToGrid w:val="0"/>
          <w:kern w:val="22"/>
          <w:szCs w:val="22"/>
          <w:lang w:val="ru-RU"/>
        </w:rPr>
        <w:t xml:space="preserve">сообщили о том, что располагают потенциалом для мониторинга таких </w:t>
      </w:r>
      <w:proofErr w:type="spellStart"/>
      <w:r w:rsidR="00983C82" w:rsidRPr="00DB5643">
        <w:rPr>
          <w:snapToGrid w:val="0"/>
          <w:kern w:val="22"/>
          <w:szCs w:val="22"/>
          <w:lang w:val="ru-RU"/>
        </w:rPr>
        <w:t>ЖИО</w:t>
      </w:r>
      <w:proofErr w:type="spellEnd"/>
      <w:r w:rsidRPr="00DB5643">
        <w:rPr>
          <w:bCs/>
          <w:snapToGrid w:val="0"/>
          <w:kern w:val="22"/>
          <w:szCs w:val="22"/>
          <w:lang w:val="ru-RU"/>
        </w:rPr>
        <w:t xml:space="preserve">, </w:t>
      </w:r>
      <w:r w:rsidR="001715BD" w:rsidRPr="00DB5643">
        <w:rPr>
          <w:bCs/>
          <w:snapToGrid w:val="0"/>
          <w:kern w:val="22"/>
          <w:szCs w:val="22"/>
          <w:lang w:val="ru-RU"/>
        </w:rPr>
        <w:t>что соответствует увеличению на</w:t>
      </w:r>
      <w:r w:rsidRPr="00DB5643">
        <w:rPr>
          <w:bCs/>
          <w:snapToGrid w:val="0"/>
          <w:kern w:val="22"/>
          <w:szCs w:val="22"/>
          <w:lang w:val="ru-RU"/>
        </w:rPr>
        <w:t xml:space="preserve"> 5</w:t>
      </w:r>
      <w:r w:rsidR="001715BD" w:rsidRPr="00DB5643">
        <w:rPr>
          <w:bCs/>
          <w:snapToGrid w:val="0"/>
          <w:kern w:val="22"/>
          <w:szCs w:val="22"/>
          <w:lang w:val="ru-RU"/>
        </w:rPr>
        <w:t> </w:t>
      </w:r>
      <w:r w:rsidRPr="00DB5643">
        <w:rPr>
          <w:bCs/>
          <w:snapToGrid w:val="0"/>
          <w:kern w:val="22"/>
          <w:szCs w:val="22"/>
          <w:lang w:val="ru-RU"/>
        </w:rPr>
        <w:t xml:space="preserve">% </w:t>
      </w:r>
      <w:r w:rsidR="001715BD" w:rsidRPr="00DB5643">
        <w:rPr>
          <w:bCs/>
          <w:snapToGrid w:val="0"/>
          <w:kern w:val="22"/>
          <w:szCs w:val="22"/>
          <w:lang w:val="ru-RU"/>
        </w:rPr>
        <w:t>по сравнению с исходным уровнем</w:t>
      </w:r>
      <w:r w:rsidRPr="00DB5643">
        <w:rPr>
          <w:bCs/>
          <w:snapToGrid w:val="0"/>
          <w:kern w:val="22"/>
          <w:szCs w:val="22"/>
          <w:lang w:val="ru-RU"/>
        </w:rPr>
        <w:t xml:space="preserve">. </w:t>
      </w:r>
    </w:p>
    <w:p w14:paraId="2DA0D6A4" w14:textId="54E9E16A" w:rsidR="004569FB" w:rsidRPr="00DB5643" w:rsidRDefault="003675DF"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регионах</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w:t>
      </w:r>
      <w:r w:rsidRPr="00DB5643">
        <w:rPr>
          <w:snapToGrid w:val="0"/>
          <w:kern w:val="22"/>
          <w:szCs w:val="22"/>
          <w:lang w:val="ru-RU"/>
        </w:rPr>
        <w:t>и</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w:t>
      </w:r>
      <w:r w:rsidRPr="00DB5643">
        <w:rPr>
          <w:snapToGrid w:val="0"/>
          <w:kern w:val="22"/>
          <w:szCs w:val="22"/>
          <w:lang w:val="ru-RU"/>
        </w:rPr>
        <w:t xml:space="preserve">большее число Сторон, чем в каком-либо другом регионе, сообщили о том, что они располагают потенциалом для </w:t>
      </w:r>
      <w:r w:rsidR="0099665F">
        <w:rPr>
          <w:snapToGrid w:val="0"/>
          <w:kern w:val="22"/>
          <w:szCs w:val="22"/>
          <w:lang w:val="ru-RU"/>
        </w:rPr>
        <w:t>выявления</w:t>
      </w:r>
      <w:r w:rsidRPr="00DB5643">
        <w:rPr>
          <w:snapToGrid w:val="0"/>
          <w:kern w:val="22"/>
          <w:szCs w:val="22"/>
          <w:lang w:val="ru-RU"/>
        </w:rPr>
        <w:t xml:space="preserve">, оценки и мониторинга в данной области </w:t>
      </w:r>
      <w:r w:rsidR="004569FB" w:rsidRPr="00DB5643">
        <w:rPr>
          <w:snapToGrid w:val="0"/>
          <w:kern w:val="22"/>
          <w:szCs w:val="22"/>
          <w:lang w:val="ru-RU"/>
        </w:rPr>
        <w:t>(</w:t>
      </w:r>
      <w:r w:rsidRPr="00DB5643">
        <w:rPr>
          <w:snapToGrid w:val="0"/>
          <w:kern w:val="22"/>
          <w:szCs w:val="22"/>
          <w:lang w:val="ru-RU"/>
        </w:rPr>
        <w:t>от</w:t>
      </w:r>
      <w:r w:rsidR="004569FB" w:rsidRPr="00DB5643">
        <w:rPr>
          <w:snapToGrid w:val="0"/>
          <w:kern w:val="22"/>
          <w:szCs w:val="22"/>
          <w:lang w:val="ru-RU"/>
        </w:rPr>
        <w:t xml:space="preserve"> 85</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до</w:t>
      </w:r>
      <w:r w:rsidR="004569FB" w:rsidRPr="00DB5643">
        <w:rPr>
          <w:snapToGrid w:val="0"/>
          <w:kern w:val="22"/>
          <w:szCs w:val="22"/>
          <w:lang w:val="ru-RU"/>
        </w:rPr>
        <w:t xml:space="preserve"> 100</w:t>
      </w:r>
      <w:r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w:t>
      </w:r>
      <w:r w:rsidRPr="00DB5643">
        <w:rPr>
          <w:snapToGrid w:val="0"/>
          <w:kern w:val="22"/>
          <w:szCs w:val="22"/>
          <w:lang w:val="ru-RU"/>
        </w:rPr>
        <w:t>и Ази</w:t>
      </w:r>
      <w:r w:rsidR="0099665F">
        <w:rPr>
          <w:snapToGrid w:val="0"/>
          <w:kern w:val="22"/>
          <w:szCs w:val="22"/>
          <w:lang w:val="ru-RU"/>
        </w:rPr>
        <w:t>атско-Тихоокеанский регион</w:t>
      </w:r>
      <w:r w:rsidRPr="00DB5643">
        <w:rPr>
          <w:snapToGrid w:val="0"/>
          <w:kern w:val="22"/>
          <w:szCs w:val="22"/>
          <w:lang w:val="ru-RU"/>
        </w:rPr>
        <w:t xml:space="preserve"> – два региона с наибольшим потенциалом для </w:t>
      </w:r>
      <w:r w:rsidR="0099665F">
        <w:rPr>
          <w:snapToGrid w:val="0"/>
          <w:kern w:val="22"/>
          <w:szCs w:val="22"/>
          <w:lang w:val="ru-RU"/>
        </w:rPr>
        <w:t>идентификации</w:t>
      </w:r>
      <w:r w:rsidR="004569FB" w:rsidRPr="00DB5643">
        <w:rPr>
          <w:snapToGrid w:val="0"/>
          <w:kern w:val="22"/>
          <w:szCs w:val="22"/>
          <w:lang w:val="ru-RU"/>
        </w:rPr>
        <w:t xml:space="preserve"> (</w:t>
      </w:r>
      <w:r w:rsidRPr="00DB5643">
        <w:rPr>
          <w:snapToGrid w:val="0"/>
          <w:kern w:val="22"/>
          <w:szCs w:val="22"/>
          <w:lang w:val="ru-RU"/>
        </w:rPr>
        <w:t>соответственно,</w:t>
      </w:r>
      <w:r w:rsidR="004569FB" w:rsidRPr="00DB5643">
        <w:rPr>
          <w:snapToGrid w:val="0"/>
          <w:kern w:val="22"/>
          <w:szCs w:val="22"/>
          <w:lang w:val="ru-RU"/>
        </w:rPr>
        <w:t xml:space="preserve"> 100</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и</w:t>
      </w:r>
      <w:r w:rsidR="004569FB" w:rsidRPr="00DB5643">
        <w:rPr>
          <w:snapToGrid w:val="0"/>
          <w:kern w:val="22"/>
          <w:szCs w:val="22"/>
          <w:lang w:val="ru-RU"/>
        </w:rPr>
        <w:t xml:space="preserve"> 89</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 xml:space="preserve">за которыми следует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(86</w:t>
      </w:r>
      <w:r w:rsidRPr="00DB5643">
        <w:rPr>
          <w:snapToGrid w:val="0"/>
          <w:kern w:val="22"/>
          <w:szCs w:val="22"/>
          <w:lang w:val="ru-RU"/>
        </w:rPr>
        <w:t> </w:t>
      </w:r>
      <w:r w:rsidR="004569FB" w:rsidRPr="00DB5643">
        <w:rPr>
          <w:snapToGrid w:val="0"/>
          <w:kern w:val="22"/>
          <w:szCs w:val="22"/>
          <w:lang w:val="ru-RU"/>
        </w:rPr>
        <w:t>%).</w:t>
      </w:r>
      <w:r w:rsidRPr="00DB5643">
        <w:rPr>
          <w:snapToGrid w:val="0"/>
          <w:kern w:val="22"/>
          <w:szCs w:val="22"/>
          <w:lang w:val="ru-RU"/>
        </w:rPr>
        <w:t xml:space="preserve"> Общие процентные величины для </w:t>
      </w:r>
      <w:proofErr w:type="spellStart"/>
      <w:r w:rsidRPr="00DB5643">
        <w:rPr>
          <w:snapToGrid w:val="0"/>
          <w:kern w:val="22"/>
          <w:szCs w:val="22"/>
          <w:lang w:val="ru-RU"/>
        </w:rPr>
        <w:t>ГРУЛАК</w:t>
      </w:r>
      <w:proofErr w:type="spellEnd"/>
      <w:r w:rsidRPr="00DB5643">
        <w:rPr>
          <w:snapToGrid w:val="0"/>
          <w:kern w:val="22"/>
          <w:szCs w:val="22"/>
          <w:lang w:val="ru-RU"/>
        </w:rPr>
        <w:t xml:space="preserve"> и Африки ниже</w:t>
      </w:r>
      <w:r w:rsidR="004569FB" w:rsidRPr="00DB5643">
        <w:rPr>
          <w:snapToGrid w:val="0"/>
          <w:kern w:val="22"/>
          <w:szCs w:val="22"/>
          <w:lang w:val="ru-RU"/>
        </w:rPr>
        <w:t xml:space="preserve"> (</w:t>
      </w:r>
      <w:r w:rsidRPr="00DB5643">
        <w:rPr>
          <w:snapToGrid w:val="0"/>
          <w:kern w:val="22"/>
          <w:szCs w:val="22"/>
          <w:lang w:val="ru-RU"/>
        </w:rPr>
        <w:t>от</w:t>
      </w:r>
      <w:r w:rsidR="004569FB" w:rsidRPr="00DB5643">
        <w:rPr>
          <w:snapToGrid w:val="0"/>
          <w:kern w:val="22"/>
          <w:szCs w:val="22"/>
          <w:lang w:val="ru-RU"/>
        </w:rPr>
        <w:t xml:space="preserve"> 56</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до</w:t>
      </w:r>
      <w:r w:rsidR="004569FB" w:rsidRPr="00DB5643">
        <w:rPr>
          <w:snapToGrid w:val="0"/>
          <w:kern w:val="22"/>
          <w:szCs w:val="22"/>
          <w:lang w:val="ru-RU"/>
        </w:rPr>
        <w:t xml:space="preserve"> 68</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в Африке</w:t>
      </w:r>
      <w:r w:rsidR="004569FB" w:rsidRPr="00DB5643">
        <w:rPr>
          <w:snapToGrid w:val="0"/>
          <w:kern w:val="22"/>
          <w:szCs w:val="22"/>
          <w:lang w:val="ru-RU"/>
        </w:rPr>
        <w:t xml:space="preserve">; </w:t>
      </w:r>
      <w:r w:rsidRPr="00DB5643">
        <w:rPr>
          <w:snapToGrid w:val="0"/>
          <w:kern w:val="22"/>
          <w:szCs w:val="22"/>
          <w:lang w:val="ru-RU"/>
        </w:rPr>
        <w:t>от</w:t>
      </w:r>
      <w:r w:rsidR="004569FB" w:rsidRPr="00DB5643">
        <w:rPr>
          <w:snapToGrid w:val="0"/>
          <w:kern w:val="22"/>
          <w:szCs w:val="22"/>
          <w:lang w:val="ru-RU"/>
        </w:rPr>
        <w:t xml:space="preserve"> 46</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до</w:t>
      </w:r>
      <w:r w:rsidR="004569FB" w:rsidRPr="00DB5643">
        <w:rPr>
          <w:snapToGrid w:val="0"/>
          <w:kern w:val="22"/>
          <w:szCs w:val="22"/>
          <w:lang w:val="ru-RU"/>
        </w:rPr>
        <w:t xml:space="preserve"> 62</w:t>
      </w:r>
      <w:r w:rsidRPr="00DB5643">
        <w:rPr>
          <w:snapToGrid w:val="0"/>
          <w:kern w:val="22"/>
          <w:szCs w:val="22"/>
          <w:lang w:val="ru-RU"/>
        </w:rPr>
        <w:t> </w:t>
      </w:r>
      <w:r w:rsidR="004569FB" w:rsidRPr="00DB5643">
        <w:rPr>
          <w:snapToGrid w:val="0"/>
          <w:kern w:val="22"/>
          <w:szCs w:val="22"/>
          <w:lang w:val="ru-RU"/>
        </w:rPr>
        <w:t xml:space="preserve">% </w:t>
      </w:r>
      <w:proofErr w:type="gramStart"/>
      <w:r w:rsidRPr="00DB5643">
        <w:rPr>
          <w:snapToGrid w:val="0"/>
          <w:kern w:val="22"/>
          <w:szCs w:val="22"/>
          <w:lang w:val="ru-RU"/>
        </w:rPr>
        <w:t>в</w:t>
      </w:r>
      <w:proofErr w:type="gramEnd"/>
      <w:r w:rsidRPr="00DB5643">
        <w:rPr>
          <w:snapToGrid w:val="0"/>
          <w:kern w:val="22"/>
          <w:szCs w:val="22"/>
          <w:lang w:val="ru-RU"/>
        </w:rPr>
        <w:t xml:space="preserve"> </w:t>
      </w:r>
      <w:proofErr w:type="spellStart"/>
      <w:r w:rsidRPr="00DB5643">
        <w:rPr>
          <w:snapToGrid w:val="0"/>
          <w:kern w:val="22"/>
          <w:szCs w:val="22"/>
          <w:lang w:val="ru-RU"/>
        </w:rPr>
        <w:t>ГРУЛАК</w:t>
      </w:r>
      <w:proofErr w:type="spellEnd"/>
      <w:r w:rsidR="004569FB" w:rsidRPr="00DB5643">
        <w:rPr>
          <w:snapToGrid w:val="0"/>
          <w:kern w:val="22"/>
          <w:szCs w:val="22"/>
          <w:lang w:val="ru-RU"/>
        </w:rPr>
        <w:t>).</w:t>
      </w:r>
    </w:p>
    <w:p w14:paraId="3E46BAC8" w14:textId="666A0F81" w:rsidR="004569FB" w:rsidRPr="00DB5643" w:rsidRDefault="0099665F" w:rsidP="004569FB">
      <w:pPr>
        <w:pStyle w:val="a3"/>
        <w:suppressLineNumbers/>
        <w:suppressAutoHyphens/>
        <w:snapToGrid w:val="0"/>
        <w:spacing w:before="120" w:after="120"/>
        <w:ind w:left="0"/>
        <w:contextualSpacing w:val="0"/>
        <w:rPr>
          <w:bCs/>
          <w:snapToGrid w:val="0"/>
          <w:kern w:val="22"/>
          <w:szCs w:val="22"/>
          <w:highlight w:val="lightGray"/>
        </w:rPr>
      </w:pPr>
      <w:r>
        <w:rPr>
          <w:bCs/>
          <w:noProof/>
          <w:kern w:val="22"/>
          <w:szCs w:val="22"/>
          <w:lang w:val="ru-RU" w:eastAsia="ru-RU"/>
        </w:rPr>
        <w:lastRenderedPageBreak/>
        <w:drawing>
          <wp:inline distT="0" distB="0" distL="0" distR="0" wp14:anchorId="6C4AA248" wp14:editId="0CBA437F">
            <wp:extent cx="5943600" cy="347032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4338" cy="3476592"/>
                    </a:xfrm>
                    <a:prstGeom prst="rect">
                      <a:avLst/>
                    </a:prstGeom>
                    <a:noFill/>
                  </pic:spPr>
                </pic:pic>
              </a:graphicData>
            </a:graphic>
          </wp:inline>
        </w:drawing>
      </w:r>
    </w:p>
    <w:p w14:paraId="3A7854FC" w14:textId="77777777" w:rsidR="004569FB" w:rsidRPr="00DB5643" w:rsidRDefault="004569FB" w:rsidP="004569FB">
      <w:pPr>
        <w:pStyle w:val="a3"/>
        <w:suppressLineNumbers/>
        <w:suppressAutoHyphens/>
        <w:snapToGrid w:val="0"/>
        <w:spacing w:before="120" w:after="120"/>
        <w:ind w:left="0"/>
        <w:contextualSpacing w:val="0"/>
        <w:rPr>
          <w:bCs/>
          <w:snapToGrid w:val="0"/>
          <w:kern w:val="22"/>
          <w:szCs w:val="22"/>
          <w:highlight w:val="lightGray"/>
        </w:rPr>
      </w:pPr>
    </w:p>
    <w:p w14:paraId="35612894" w14:textId="769B7002" w:rsidR="004569FB" w:rsidRPr="00DB5643" w:rsidRDefault="00E36B58" w:rsidP="00496E29">
      <w:pPr>
        <w:keepNext/>
        <w:numPr>
          <w:ilvl w:val="0"/>
          <w:numId w:val="17"/>
        </w:numPr>
        <w:suppressLineNumbers/>
        <w:tabs>
          <w:tab w:val="clear" w:pos="2070"/>
          <w:tab w:val="left" w:pos="426"/>
        </w:tabs>
        <w:suppressAutoHyphens/>
        <w:spacing w:before="120" w:after="120"/>
        <w:ind w:left="709" w:hanging="709"/>
        <w:jc w:val="center"/>
        <w:rPr>
          <w:b/>
          <w:iCs/>
          <w:snapToGrid w:val="0"/>
          <w:kern w:val="22"/>
          <w:szCs w:val="22"/>
          <w:lang w:val="ru-RU"/>
        </w:rPr>
      </w:pPr>
      <w:r w:rsidRPr="00DB5643">
        <w:rPr>
          <w:b/>
          <w:iCs/>
          <w:snapToGrid w:val="0"/>
          <w:kern w:val="22"/>
          <w:szCs w:val="22"/>
          <w:lang w:val="ru-RU"/>
        </w:rPr>
        <w:t xml:space="preserve">Ответственность и возмещение (оперативные цели </w:t>
      </w:r>
      <w:r w:rsidR="004569FB" w:rsidRPr="00DB5643">
        <w:rPr>
          <w:b/>
          <w:iCs/>
          <w:snapToGrid w:val="0"/>
          <w:kern w:val="22"/>
          <w:szCs w:val="22"/>
          <w:lang w:val="ru-RU"/>
        </w:rPr>
        <w:t xml:space="preserve">1.5 </w:t>
      </w:r>
      <w:r w:rsidRPr="00DB5643">
        <w:rPr>
          <w:b/>
          <w:iCs/>
          <w:snapToGrid w:val="0"/>
          <w:kern w:val="22"/>
          <w:szCs w:val="22"/>
          <w:lang w:val="ru-RU"/>
        </w:rPr>
        <w:t>и</w:t>
      </w:r>
      <w:r w:rsidR="004569FB" w:rsidRPr="00DB5643">
        <w:rPr>
          <w:b/>
          <w:iCs/>
          <w:snapToGrid w:val="0"/>
          <w:kern w:val="22"/>
          <w:szCs w:val="22"/>
          <w:lang w:val="ru-RU"/>
        </w:rPr>
        <w:t xml:space="preserve"> 2.4)</w:t>
      </w:r>
    </w:p>
    <w:p w14:paraId="6B5E9838" w14:textId="400A782B" w:rsidR="004569FB" w:rsidRPr="00DB5643" w:rsidRDefault="00E36B58" w:rsidP="004569FB">
      <w:pPr>
        <w:keepNext/>
        <w:suppressLineNumbers/>
        <w:tabs>
          <w:tab w:val="left" w:pos="720"/>
        </w:tabs>
        <w:suppressAutoHyphens/>
        <w:spacing w:before="120" w:after="120"/>
        <w:textAlignment w:val="baseline"/>
        <w:rPr>
          <w:iCs/>
          <w:snapToGrid w:val="0"/>
          <w:kern w:val="22"/>
          <w:szCs w:val="22"/>
          <w:lang w:val="ru-RU"/>
        </w:rPr>
      </w:pPr>
      <w:bookmarkStart w:id="16" w:name="_Hlk30690530"/>
      <w:r w:rsidRPr="00DB5643">
        <w:rPr>
          <w:b/>
          <w:iCs/>
          <w:snapToGrid w:val="0"/>
          <w:kern w:val="22"/>
          <w:szCs w:val="22"/>
          <w:lang w:val="ru-RU"/>
        </w:rPr>
        <w:t xml:space="preserve">Оперативные цели </w:t>
      </w:r>
      <w:r w:rsidR="004569FB" w:rsidRPr="00DB5643">
        <w:rPr>
          <w:b/>
          <w:iCs/>
          <w:snapToGrid w:val="0"/>
          <w:kern w:val="22"/>
          <w:szCs w:val="22"/>
          <w:lang w:val="ru-RU"/>
        </w:rPr>
        <w:t xml:space="preserve">1.5 </w:t>
      </w:r>
      <w:r w:rsidRPr="00DB5643">
        <w:rPr>
          <w:b/>
          <w:iCs/>
          <w:snapToGrid w:val="0"/>
          <w:kern w:val="22"/>
          <w:szCs w:val="22"/>
          <w:lang w:val="ru-RU"/>
        </w:rPr>
        <w:t>и</w:t>
      </w:r>
      <w:r w:rsidR="004569FB" w:rsidRPr="00DB5643">
        <w:rPr>
          <w:b/>
          <w:iCs/>
          <w:snapToGrid w:val="0"/>
          <w:kern w:val="22"/>
          <w:szCs w:val="22"/>
          <w:lang w:val="ru-RU"/>
        </w:rPr>
        <w:t xml:space="preserve"> 2.4</w:t>
      </w:r>
      <w:r w:rsidR="004626A8" w:rsidRPr="00DB5643">
        <w:rPr>
          <w:b/>
          <w:iCs/>
          <w:snapToGrid w:val="0"/>
          <w:kern w:val="22"/>
          <w:szCs w:val="22"/>
          <w:lang w:val="ru-RU"/>
        </w:rPr>
        <w:t>.</w:t>
      </w:r>
      <w:r w:rsidR="004569FB" w:rsidRPr="00DB5643">
        <w:rPr>
          <w:b/>
          <w:iCs/>
          <w:snapToGrid w:val="0"/>
          <w:kern w:val="22"/>
          <w:szCs w:val="22"/>
          <w:lang w:val="ru-RU"/>
        </w:rPr>
        <w:t xml:space="preserve"> </w:t>
      </w:r>
      <w:r w:rsidRPr="00DB5643">
        <w:rPr>
          <w:b/>
          <w:iCs/>
          <w:snapToGrid w:val="0"/>
          <w:kern w:val="22"/>
          <w:szCs w:val="22"/>
          <w:lang w:val="ru-RU"/>
        </w:rPr>
        <w:t>Ответственность и возмещение</w:t>
      </w:r>
    </w:p>
    <w:bookmarkEnd w:id="16"/>
    <w:p w14:paraId="2702901C" w14:textId="453CB7C6" w:rsidR="004569FB" w:rsidRPr="00DB5643" w:rsidRDefault="00847884" w:rsidP="004569FB">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r w:rsidRPr="00DB5643">
        <w:rPr>
          <w:snapToGrid w:val="0"/>
          <w:kern w:val="22"/>
          <w:szCs w:val="22"/>
          <w:lang w:val="ru-RU"/>
        </w:rPr>
        <w:t xml:space="preserve">Во время проведения третьей оценки и обзора Протокола и промежуточной оценки Стратегического плана в </w:t>
      </w:r>
      <w:r w:rsidR="003A3DD9" w:rsidRPr="00DB5643">
        <w:rPr>
          <w:snapToGrid w:val="0"/>
          <w:kern w:val="22"/>
          <w:szCs w:val="22"/>
          <w:lang w:val="ru-RU"/>
        </w:rPr>
        <w:t>2016</w:t>
      </w:r>
      <w:r w:rsidRPr="00DB5643">
        <w:rPr>
          <w:snapToGrid w:val="0"/>
          <w:kern w:val="22"/>
          <w:szCs w:val="22"/>
          <w:lang w:val="ru-RU"/>
        </w:rPr>
        <w:t xml:space="preserve"> году </w:t>
      </w:r>
      <w:proofErr w:type="spellStart"/>
      <w:r w:rsidRPr="00DB5643">
        <w:rPr>
          <w:snapToGrid w:val="0"/>
          <w:kern w:val="22"/>
          <w:szCs w:val="22"/>
          <w:lang w:val="ru-RU"/>
        </w:rPr>
        <w:t>Нагойско-Куала-Лумпурский</w:t>
      </w:r>
      <w:proofErr w:type="spellEnd"/>
      <w:r w:rsidRPr="00DB5643">
        <w:rPr>
          <w:snapToGrid w:val="0"/>
          <w:kern w:val="22"/>
          <w:szCs w:val="22"/>
          <w:lang w:val="ru-RU"/>
        </w:rPr>
        <w:t xml:space="preserve"> дополнительный протокол об ответственности и возмещении к </w:t>
      </w:r>
      <w:proofErr w:type="spellStart"/>
      <w:r w:rsidRPr="00DB5643">
        <w:rPr>
          <w:snapToGrid w:val="0"/>
          <w:kern w:val="22"/>
          <w:szCs w:val="22"/>
          <w:lang w:val="ru-RU"/>
        </w:rPr>
        <w:t>Картахенскому</w:t>
      </w:r>
      <w:proofErr w:type="spellEnd"/>
      <w:r w:rsidRPr="00DB5643">
        <w:rPr>
          <w:snapToGrid w:val="0"/>
          <w:kern w:val="22"/>
          <w:szCs w:val="22"/>
          <w:lang w:val="ru-RU"/>
        </w:rPr>
        <w:t xml:space="preserve"> протоколу по биобезопасности еще не вступил в силу</w:t>
      </w:r>
      <w:r w:rsidR="004569FB" w:rsidRPr="00DB5643">
        <w:rPr>
          <w:snapToGrid w:val="0"/>
          <w:kern w:val="22"/>
          <w:szCs w:val="22"/>
          <w:lang w:val="ru-RU"/>
        </w:rPr>
        <w:t xml:space="preserve">. </w:t>
      </w:r>
      <w:r w:rsidRPr="00DB5643">
        <w:rPr>
          <w:snapToGrid w:val="0"/>
          <w:kern w:val="22"/>
          <w:szCs w:val="22"/>
          <w:lang w:val="ru-RU"/>
        </w:rPr>
        <w:t xml:space="preserve">Для вступления в силу </w:t>
      </w:r>
      <w:r w:rsidR="00715153" w:rsidRPr="00DB5643">
        <w:rPr>
          <w:snapToGrid w:val="0"/>
          <w:kern w:val="22"/>
          <w:szCs w:val="22"/>
          <w:lang w:val="ru-RU"/>
        </w:rPr>
        <w:t>Д</w:t>
      </w:r>
      <w:r w:rsidRPr="00DB5643">
        <w:rPr>
          <w:snapToGrid w:val="0"/>
          <w:kern w:val="22"/>
          <w:szCs w:val="22"/>
          <w:lang w:val="ru-RU"/>
        </w:rPr>
        <w:t xml:space="preserve">ополнительного протокола требовалось </w:t>
      </w:r>
      <w:r w:rsidR="004569FB" w:rsidRPr="00DB5643">
        <w:rPr>
          <w:snapToGrid w:val="0"/>
          <w:kern w:val="22"/>
          <w:szCs w:val="22"/>
          <w:lang w:val="ru-RU"/>
        </w:rPr>
        <w:t xml:space="preserve">40 </w:t>
      </w:r>
      <w:r w:rsidRPr="00DB5643">
        <w:rPr>
          <w:snapToGrid w:val="0"/>
          <w:kern w:val="22"/>
          <w:szCs w:val="22"/>
          <w:lang w:val="ru-RU"/>
        </w:rPr>
        <w:t>ратификаций</w:t>
      </w:r>
      <w:r w:rsidR="004569FB" w:rsidRPr="00DB5643">
        <w:rPr>
          <w:snapToGrid w:val="0"/>
          <w:kern w:val="22"/>
          <w:szCs w:val="22"/>
          <w:lang w:val="ru-RU"/>
        </w:rPr>
        <w:t xml:space="preserve">; </w:t>
      </w:r>
      <w:r w:rsidRPr="00DB5643">
        <w:rPr>
          <w:snapToGrid w:val="0"/>
          <w:kern w:val="22"/>
          <w:szCs w:val="22"/>
          <w:lang w:val="ru-RU"/>
        </w:rPr>
        <w:t xml:space="preserve">к 1 марта 2016 года было получено </w:t>
      </w:r>
      <w:r w:rsidR="004569FB" w:rsidRPr="00DB5643">
        <w:rPr>
          <w:snapToGrid w:val="0"/>
          <w:kern w:val="22"/>
          <w:szCs w:val="22"/>
          <w:lang w:val="ru-RU"/>
        </w:rPr>
        <w:t xml:space="preserve">34 </w:t>
      </w:r>
      <w:r w:rsidRPr="00DB5643">
        <w:rPr>
          <w:snapToGrid w:val="0"/>
          <w:kern w:val="22"/>
          <w:szCs w:val="22"/>
          <w:lang w:val="ru-RU"/>
        </w:rPr>
        <w:t>ратификации</w:t>
      </w:r>
      <w:r w:rsidR="004569FB" w:rsidRPr="00DB5643">
        <w:rPr>
          <w:snapToGrid w:val="0"/>
          <w:kern w:val="22"/>
          <w:szCs w:val="22"/>
          <w:lang w:val="ru-RU"/>
        </w:rPr>
        <w:t>.</w:t>
      </w:r>
      <w:r w:rsidRPr="00DB5643">
        <w:rPr>
          <w:snapToGrid w:val="0"/>
          <w:kern w:val="22"/>
          <w:szCs w:val="22"/>
          <w:lang w:val="ru-RU"/>
        </w:rPr>
        <w:t xml:space="preserve"> Таким образом, условие</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1.5.1</w:t>
      </w:r>
      <w:r w:rsidR="004569FB" w:rsidRPr="00DB5643">
        <w:rPr>
          <w:snapToGrid w:val="0"/>
          <w:kern w:val="22"/>
          <w:szCs w:val="22"/>
          <w:lang w:val="ru-RU"/>
        </w:rPr>
        <w:t xml:space="preserve"> (</w:t>
      </w:r>
      <w:r w:rsidRPr="00DB5643">
        <w:rPr>
          <w:snapToGrid w:val="0"/>
          <w:kern w:val="22"/>
          <w:szCs w:val="22"/>
          <w:lang w:val="ru-RU"/>
        </w:rPr>
        <w:t xml:space="preserve">вступление в силу </w:t>
      </w:r>
      <w:proofErr w:type="spellStart"/>
      <w:r w:rsidRPr="00DB5643">
        <w:rPr>
          <w:snapToGrid w:val="0"/>
          <w:kern w:val="22"/>
          <w:szCs w:val="22"/>
          <w:lang w:val="ru-RU"/>
        </w:rPr>
        <w:t>Нагойско-Куала-Лумпурского</w:t>
      </w:r>
      <w:proofErr w:type="spellEnd"/>
      <w:r w:rsidRPr="00DB5643">
        <w:rPr>
          <w:snapToGrid w:val="0"/>
          <w:kern w:val="22"/>
          <w:szCs w:val="22"/>
          <w:lang w:val="ru-RU"/>
        </w:rPr>
        <w:t xml:space="preserve"> дополнительного протокола об ответственности и возмещении к </w:t>
      </w:r>
      <w:proofErr w:type="spellStart"/>
      <w:r w:rsidRPr="00DB5643">
        <w:rPr>
          <w:snapToGrid w:val="0"/>
          <w:kern w:val="22"/>
          <w:szCs w:val="22"/>
          <w:lang w:val="ru-RU"/>
        </w:rPr>
        <w:t>Картахенскому</w:t>
      </w:r>
      <w:proofErr w:type="spellEnd"/>
      <w:r w:rsidRPr="00DB5643">
        <w:rPr>
          <w:snapToGrid w:val="0"/>
          <w:kern w:val="22"/>
          <w:szCs w:val="22"/>
          <w:lang w:val="ru-RU"/>
        </w:rPr>
        <w:t xml:space="preserve"> протоколу по биобезопасности до седьмого совещания Конференции Сторон, выступающей в качестве Совещания Сторон Протокола </w:t>
      </w:r>
      <w:r w:rsidR="004569FB" w:rsidRPr="00DB5643">
        <w:rPr>
          <w:snapToGrid w:val="0"/>
          <w:kern w:val="22"/>
          <w:szCs w:val="22"/>
          <w:lang w:val="ru-RU"/>
        </w:rPr>
        <w:t>(2014</w:t>
      </w:r>
      <w:r w:rsidRPr="00DB5643">
        <w:rPr>
          <w:snapToGrid w:val="0"/>
          <w:kern w:val="22"/>
          <w:szCs w:val="22"/>
          <w:lang w:val="ru-RU"/>
        </w:rPr>
        <w:t xml:space="preserve"> г.</w:t>
      </w:r>
      <w:r w:rsidR="004569FB" w:rsidRPr="00DB5643">
        <w:rPr>
          <w:snapToGrid w:val="0"/>
          <w:kern w:val="22"/>
          <w:szCs w:val="22"/>
          <w:lang w:val="ru-RU"/>
        </w:rPr>
        <w:t>))</w:t>
      </w:r>
      <w:r w:rsidRPr="00DB5643">
        <w:rPr>
          <w:snapToGrid w:val="0"/>
          <w:kern w:val="22"/>
          <w:szCs w:val="22"/>
          <w:lang w:val="ru-RU"/>
        </w:rPr>
        <w:t xml:space="preserve"> не было выполнено</w:t>
      </w:r>
      <w:r w:rsidR="004569FB" w:rsidRPr="00DB5643">
        <w:rPr>
          <w:snapToGrid w:val="0"/>
          <w:kern w:val="22"/>
          <w:szCs w:val="22"/>
          <w:lang w:val="ru-RU"/>
        </w:rPr>
        <w:t>.</w:t>
      </w:r>
      <w:r w:rsidR="004569FB" w:rsidRPr="00DB5643">
        <w:rPr>
          <w:bCs/>
          <w:snapToGrid w:val="0"/>
          <w:kern w:val="22"/>
          <w:szCs w:val="22"/>
          <w:lang w:val="ru-RU"/>
        </w:rPr>
        <w:t xml:space="preserve"> </w:t>
      </w:r>
    </w:p>
    <w:p w14:paraId="285F4E13" w14:textId="7F6116EB" w:rsidR="004569FB" w:rsidRPr="00DB5643" w:rsidRDefault="00F62AD9" w:rsidP="004569FB">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bookmarkStart w:id="17" w:name="_Hlk30682349"/>
      <w:r w:rsidRPr="00DB5643">
        <w:rPr>
          <w:snapToGrid w:val="0"/>
          <w:kern w:val="22"/>
          <w:szCs w:val="22"/>
          <w:lang w:val="ru-RU"/>
        </w:rPr>
        <w:t xml:space="preserve">Дополнительный протокол вступил в силу </w:t>
      </w:r>
      <w:r w:rsidR="004569FB" w:rsidRPr="00DB5643">
        <w:rPr>
          <w:bCs/>
          <w:snapToGrid w:val="0"/>
          <w:kern w:val="22"/>
          <w:szCs w:val="22"/>
          <w:lang w:val="ru-RU"/>
        </w:rPr>
        <w:t xml:space="preserve">5 </w:t>
      </w:r>
      <w:r w:rsidRPr="00DB5643">
        <w:rPr>
          <w:bCs/>
          <w:snapToGrid w:val="0"/>
          <w:kern w:val="22"/>
          <w:szCs w:val="22"/>
          <w:lang w:val="ru-RU"/>
        </w:rPr>
        <w:t xml:space="preserve">марта </w:t>
      </w:r>
      <w:r w:rsidR="004569FB" w:rsidRPr="00DB5643">
        <w:rPr>
          <w:bCs/>
          <w:snapToGrid w:val="0"/>
          <w:kern w:val="22"/>
          <w:szCs w:val="22"/>
          <w:lang w:val="ru-RU"/>
        </w:rPr>
        <w:t>2018</w:t>
      </w:r>
      <w:r w:rsidRPr="00DB5643">
        <w:rPr>
          <w:bCs/>
          <w:snapToGrid w:val="0"/>
          <w:kern w:val="22"/>
          <w:szCs w:val="22"/>
          <w:lang w:val="ru-RU"/>
        </w:rPr>
        <w:t xml:space="preserve"> года</w:t>
      </w:r>
      <w:r w:rsidR="004569FB" w:rsidRPr="00DB5643">
        <w:rPr>
          <w:bCs/>
          <w:snapToGrid w:val="0"/>
          <w:kern w:val="22"/>
          <w:szCs w:val="22"/>
          <w:lang w:val="ru-RU"/>
        </w:rPr>
        <w:t xml:space="preserve">. </w:t>
      </w:r>
      <w:r w:rsidRPr="00DB5643">
        <w:rPr>
          <w:bCs/>
          <w:snapToGrid w:val="0"/>
          <w:kern w:val="22"/>
          <w:szCs w:val="22"/>
          <w:lang w:val="ru-RU"/>
        </w:rPr>
        <w:t>По состоянию на</w:t>
      </w:r>
      <w:r w:rsidR="004569FB" w:rsidRPr="00DB5643">
        <w:rPr>
          <w:bCs/>
          <w:snapToGrid w:val="0"/>
          <w:kern w:val="22"/>
          <w:szCs w:val="22"/>
          <w:lang w:val="ru-RU"/>
        </w:rPr>
        <w:t xml:space="preserve"> 16 </w:t>
      </w:r>
      <w:r w:rsidRPr="00DB5643">
        <w:rPr>
          <w:bCs/>
          <w:snapToGrid w:val="0"/>
          <w:kern w:val="22"/>
          <w:szCs w:val="22"/>
          <w:lang w:val="ru-RU"/>
        </w:rPr>
        <w:t>января</w:t>
      </w:r>
      <w:r w:rsidR="004569FB" w:rsidRPr="00DB5643">
        <w:rPr>
          <w:bCs/>
          <w:snapToGrid w:val="0"/>
          <w:kern w:val="22"/>
          <w:szCs w:val="22"/>
          <w:lang w:val="ru-RU"/>
        </w:rPr>
        <w:t xml:space="preserve"> 2020</w:t>
      </w:r>
      <w:r w:rsidRPr="00DB5643">
        <w:rPr>
          <w:bCs/>
          <w:snapToGrid w:val="0"/>
          <w:kern w:val="22"/>
          <w:szCs w:val="22"/>
          <w:lang w:val="ru-RU"/>
        </w:rPr>
        <w:t xml:space="preserve"> года к </w:t>
      </w:r>
      <w:r w:rsidR="00715153" w:rsidRPr="00DB5643">
        <w:rPr>
          <w:bCs/>
          <w:snapToGrid w:val="0"/>
          <w:kern w:val="22"/>
          <w:szCs w:val="22"/>
          <w:lang w:val="ru-RU"/>
        </w:rPr>
        <w:t>Д</w:t>
      </w:r>
      <w:r w:rsidRPr="00DB5643">
        <w:rPr>
          <w:bCs/>
          <w:snapToGrid w:val="0"/>
          <w:kern w:val="22"/>
          <w:szCs w:val="22"/>
          <w:lang w:val="ru-RU"/>
        </w:rPr>
        <w:t xml:space="preserve">ополнительному протоколу присоединилось </w:t>
      </w:r>
      <w:r w:rsidR="004569FB" w:rsidRPr="00DB5643">
        <w:rPr>
          <w:bCs/>
          <w:snapToGrid w:val="0"/>
          <w:kern w:val="22"/>
          <w:szCs w:val="22"/>
          <w:lang w:val="ru-RU"/>
        </w:rPr>
        <w:t xml:space="preserve">47 </w:t>
      </w:r>
      <w:r w:rsidRPr="00DB5643">
        <w:rPr>
          <w:bCs/>
          <w:snapToGrid w:val="0"/>
          <w:kern w:val="22"/>
          <w:szCs w:val="22"/>
          <w:lang w:val="ru-RU"/>
        </w:rPr>
        <w:t>Сторон</w:t>
      </w:r>
      <w:r w:rsidR="004569FB" w:rsidRPr="00DB5643">
        <w:rPr>
          <w:bCs/>
          <w:snapToGrid w:val="0"/>
          <w:kern w:val="22"/>
          <w:szCs w:val="22"/>
          <w:lang w:val="ru-RU"/>
        </w:rPr>
        <w:t xml:space="preserve">, </w:t>
      </w:r>
      <w:r w:rsidRPr="00DB5643">
        <w:rPr>
          <w:bCs/>
          <w:snapToGrid w:val="0"/>
          <w:kern w:val="22"/>
          <w:szCs w:val="22"/>
          <w:lang w:val="ru-RU"/>
        </w:rPr>
        <w:t xml:space="preserve">что на </w:t>
      </w:r>
      <w:r w:rsidR="004569FB" w:rsidRPr="00DB5643">
        <w:rPr>
          <w:bCs/>
          <w:snapToGrid w:val="0"/>
          <w:kern w:val="22"/>
          <w:szCs w:val="22"/>
          <w:lang w:val="ru-RU"/>
        </w:rPr>
        <w:t>38</w:t>
      </w:r>
      <w:r w:rsidRPr="00DB5643">
        <w:rPr>
          <w:bCs/>
          <w:snapToGrid w:val="0"/>
          <w:kern w:val="22"/>
          <w:szCs w:val="22"/>
          <w:lang w:val="ru-RU"/>
        </w:rPr>
        <w:t> </w:t>
      </w:r>
      <w:r w:rsidR="004569FB" w:rsidRPr="00DB5643">
        <w:rPr>
          <w:bCs/>
          <w:snapToGrid w:val="0"/>
          <w:kern w:val="22"/>
          <w:szCs w:val="22"/>
          <w:lang w:val="ru-RU"/>
        </w:rPr>
        <w:t>%</w:t>
      </w:r>
      <w:r w:rsidRPr="00DB5643">
        <w:rPr>
          <w:bCs/>
          <w:snapToGrid w:val="0"/>
          <w:kern w:val="22"/>
          <w:szCs w:val="22"/>
          <w:lang w:val="ru-RU"/>
        </w:rPr>
        <w:t xml:space="preserve"> больше со времени</w:t>
      </w:r>
      <w:r w:rsidRPr="00DB5643">
        <w:rPr>
          <w:snapToGrid w:val="0"/>
          <w:kern w:val="22"/>
          <w:szCs w:val="22"/>
          <w:lang w:val="ru-RU"/>
        </w:rPr>
        <w:t xml:space="preserve"> проведения третьей оценки и обзора</w:t>
      </w:r>
      <w:r w:rsidR="004569FB" w:rsidRPr="00DB5643">
        <w:rPr>
          <w:bCs/>
          <w:snapToGrid w:val="0"/>
          <w:kern w:val="22"/>
          <w:szCs w:val="22"/>
          <w:lang w:val="ru-RU"/>
        </w:rPr>
        <w:t xml:space="preserve">. </w:t>
      </w:r>
      <w:r w:rsidRPr="00DB5643">
        <w:rPr>
          <w:bCs/>
          <w:snapToGrid w:val="0"/>
          <w:kern w:val="22"/>
          <w:szCs w:val="22"/>
          <w:lang w:val="ru-RU"/>
        </w:rPr>
        <w:t>Из</w:t>
      </w:r>
      <w:r w:rsidR="004569FB" w:rsidRPr="00DB5643">
        <w:rPr>
          <w:bCs/>
          <w:snapToGrid w:val="0"/>
          <w:kern w:val="22"/>
          <w:szCs w:val="22"/>
          <w:lang w:val="ru-RU"/>
        </w:rPr>
        <w:t xml:space="preserve"> 13 </w:t>
      </w:r>
      <w:r w:rsidRPr="00DB5643">
        <w:rPr>
          <w:bCs/>
          <w:snapToGrid w:val="0"/>
          <w:kern w:val="22"/>
          <w:szCs w:val="22"/>
          <w:lang w:val="ru-RU"/>
        </w:rPr>
        <w:t xml:space="preserve">новых ратификаций, полученных в период между </w:t>
      </w:r>
      <w:r w:rsidR="004569FB" w:rsidRPr="00DB5643">
        <w:rPr>
          <w:bCs/>
          <w:snapToGrid w:val="0"/>
          <w:kern w:val="22"/>
          <w:szCs w:val="22"/>
          <w:lang w:val="ru-RU"/>
        </w:rPr>
        <w:t xml:space="preserve">17 </w:t>
      </w:r>
      <w:r w:rsidRPr="00DB5643">
        <w:rPr>
          <w:bCs/>
          <w:snapToGrid w:val="0"/>
          <w:kern w:val="22"/>
          <w:szCs w:val="22"/>
          <w:lang w:val="ru-RU"/>
        </w:rPr>
        <w:t xml:space="preserve">февраля </w:t>
      </w:r>
      <w:r w:rsidR="004569FB" w:rsidRPr="00DB5643">
        <w:rPr>
          <w:bCs/>
          <w:snapToGrid w:val="0"/>
          <w:kern w:val="22"/>
          <w:szCs w:val="22"/>
          <w:lang w:val="ru-RU"/>
        </w:rPr>
        <w:t>2016</w:t>
      </w:r>
      <w:r w:rsidRPr="00DB5643">
        <w:rPr>
          <w:bCs/>
          <w:snapToGrid w:val="0"/>
          <w:kern w:val="22"/>
          <w:szCs w:val="22"/>
          <w:lang w:val="ru-RU"/>
        </w:rPr>
        <w:t xml:space="preserve"> года и </w:t>
      </w:r>
      <w:r w:rsidR="004569FB" w:rsidRPr="00DB5643">
        <w:rPr>
          <w:bCs/>
          <w:snapToGrid w:val="0"/>
          <w:kern w:val="22"/>
          <w:szCs w:val="22"/>
          <w:lang w:val="ru-RU"/>
        </w:rPr>
        <w:t xml:space="preserve">16 </w:t>
      </w:r>
      <w:r w:rsidRPr="00DB5643">
        <w:rPr>
          <w:bCs/>
          <w:snapToGrid w:val="0"/>
          <w:kern w:val="22"/>
          <w:szCs w:val="22"/>
          <w:lang w:val="ru-RU"/>
        </w:rPr>
        <w:t>января</w:t>
      </w:r>
      <w:r w:rsidR="004569FB" w:rsidRPr="00DB5643">
        <w:rPr>
          <w:bCs/>
          <w:snapToGrid w:val="0"/>
          <w:kern w:val="22"/>
          <w:szCs w:val="22"/>
          <w:lang w:val="ru-RU"/>
        </w:rPr>
        <w:t xml:space="preserve"> 2020</w:t>
      </w:r>
      <w:r w:rsidRPr="00DB5643">
        <w:rPr>
          <w:bCs/>
          <w:snapToGrid w:val="0"/>
          <w:kern w:val="22"/>
          <w:szCs w:val="22"/>
          <w:lang w:val="ru-RU"/>
        </w:rPr>
        <w:t xml:space="preserve"> года</w:t>
      </w:r>
      <w:r w:rsidR="004569FB" w:rsidRPr="00DB5643">
        <w:rPr>
          <w:bCs/>
          <w:snapToGrid w:val="0"/>
          <w:kern w:val="22"/>
          <w:szCs w:val="22"/>
          <w:lang w:val="ru-RU"/>
        </w:rPr>
        <w:t>, 5 (38</w:t>
      </w:r>
      <w:r w:rsidRPr="00DB5643">
        <w:rPr>
          <w:bCs/>
          <w:snapToGrid w:val="0"/>
          <w:kern w:val="22"/>
          <w:szCs w:val="22"/>
          <w:lang w:val="en-US"/>
        </w:rPr>
        <w:t> </w:t>
      </w:r>
      <w:r w:rsidR="004569FB" w:rsidRPr="00DB5643">
        <w:rPr>
          <w:bCs/>
          <w:snapToGrid w:val="0"/>
          <w:kern w:val="22"/>
          <w:szCs w:val="22"/>
          <w:lang w:val="ru-RU"/>
        </w:rPr>
        <w:t xml:space="preserve">%) </w:t>
      </w:r>
      <w:r w:rsidRPr="00DB5643">
        <w:rPr>
          <w:bCs/>
          <w:snapToGrid w:val="0"/>
          <w:kern w:val="22"/>
          <w:szCs w:val="22"/>
          <w:lang w:val="ru-RU"/>
        </w:rPr>
        <w:t xml:space="preserve">пришлись на страны Африки и </w:t>
      </w:r>
      <w:r w:rsidR="004569FB" w:rsidRPr="00DB5643">
        <w:rPr>
          <w:bCs/>
          <w:snapToGrid w:val="0"/>
          <w:kern w:val="22"/>
          <w:szCs w:val="22"/>
          <w:lang w:val="ru-RU"/>
        </w:rPr>
        <w:t xml:space="preserve">8 </w:t>
      </w:r>
      <w:r w:rsidRPr="00DB5643">
        <w:rPr>
          <w:bCs/>
          <w:snapToGrid w:val="0"/>
          <w:kern w:val="22"/>
          <w:szCs w:val="22"/>
          <w:lang w:val="ru-RU"/>
        </w:rPr>
        <w:t>– на страны других регионов</w:t>
      </w:r>
      <w:r w:rsidR="004569FB" w:rsidRPr="00DB5643">
        <w:rPr>
          <w:bCs/>
          <w:snapToGrid w:val="0"/>
          <w:kern w:val="22"/>
          <w:szCs w:val="22"/>
          <w:lang w:val="ru-RU"/>
        </w:rPr>
        <w:t xml:space="preserve">, </w:t>
      </w:r>
      <w:r w:rsidR="00C752DA" w:rsidRPr="00DB5643">
        <w:rPr>
          <w:bCs/>
          <w:snapToGrid w:val="0"/>
          <w:kern w:val="22"/>
          <w:szCs w:val="22"/>
          <w:lang w:val="ru-RU"/>
        </w:rPr>
        <w:t xml:space="preserve">по </w:t>
      </w:r>
      <w:r w:rsidR="004569FB" w:rsidRPr="00DB5643">
        <w:rPr>
          <w:bCs/>
          <w:snapToGrid w:val="0"/>
          <w:kern w:val="22"/>
          <w:szCs w:val="22"/>
          <w:lang w:val="ru-RU"/>
        </w:rPr>
        <w:t xml:space="preserve">2 </w:t>
      </w:r>
      <w:r w:rsidR="00C752DA" w:rsidRPr="00DB5643">
        <w:rPr>
          <w:bCs/>
          <w:snapToGrid w:val="0"/>
          <w:kern w:val="22"/>
          <w:szCs w:val="22"/>
          <w:lang w:val="ru-RU"/>
        </w:rPr>
        <w:t xml:space="preserve">ратификации </w:t>
      </w:r>
      <w:r w:rsidR="004569FB" w:rsidRPr="00DB5643">
        <w:rPr>
          <w:bCs/>
          <w:snapToGrid w:val="0"/>
          <w:kern w:val="22"/>
          <w:szCs w:val="22"/>
          <w:lang w:val="ru-RU"/>
        </w:rPr>
        <w:t>(15</w:t>
      </w:r>
      <w:r w:rsidR="00C752DA" w:rsidRPr="00DB5643">
        <w:rPr>
          <w:bCs/>
          <w:snapToGrid w:val="0"/>
          <w:kern w:val="22"/>
          <w:szCs w:val="22"/>
          <w:lang w:val="ru-RU"/>
        </w:rPr>
        <w:t> </w:t>
      </w:r>
      <w:r w:rsidR="004569FB" w:rsidRPr="00DB5643">
        <w:rPr>
          <w:bCs/>
          <w:snapToGrid w:val="0"/>
          <w:kern w:val="22"/>
          <w:szCs w:val="22"/>
          <w:lang w:val="ru-RU"/>
        </w:rPr>
        <w:t xml:space="preserve">%) </w:t>
      </w:r>
      <w:r w:rsidR="00C752DA" w:rsidRPr="00DB5643">
        <w:rPr>
          <w:bCs/>
          <w:snapToGrid w:val="0"/>
          <w:kern w:val="22"/>
          <w:szCs w:val="22"/>
          <w:lang w:val="ru-RU"/>
        </w:rPr>
        <w:t>на регион</w:t>
      </w:r>
      <w:r w:rsidR="004569FB" w:rsidRPr="00DB5643">
        <w:rPr>
          <w:bCs/>
          <w:snapToGrid w:val="0"/>
          <w:kern w:val="22"/>
          <w:szCs w:val="22"/>
          <w:lang w:val="ru-RU"/>
        </w:rPr>
        <w:t>.</w:t>
      </w:r>
      <w:r w:rsidR="004569FB" w:rsidRPr="00DB5643" w:rsidDel="00FF37E6">
        <w:rPr>
          <w:bCs/>
          <w:snapToGrid w:val="0"/>
          <w:kern w:val="22"/>
          <w:szCs w:val="22"/>
          <w:lang w:val="ru-RU"/>
        </w:rPr>
        <w:t xml:space="preserve"> </w:t>
      </w:r>
      <w:r w:rsidR="004569FB" w:rsidRPr="00DB5643">
        <w:rPr>
          <w:bCs/>
          <w:snapToGrid w:val="0"/>
          <w:kern w:val="22"/>
          <w:szCs w:val="22"/>
          <w:lang w:val="ru-RU"/>
        </w:rPr>
        <w:t xml:space="preserve"> </w:t>
      </w:r>
    </w:p>
    <w:p w14:paraId="6B4308D0" w14:textId="0F9C4F4F" w:rsidR="004569FB" w:rsidRPr="00DB5643" w:rsidRDefault="00C752DA" w:rsidP="004569FB">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r w:rsidRPr="00DB5643">
        <w:rPr>
          <w:bCs/>
          <w:snapToGrid w:val="0"/>
          <w:kern w:val="22"/>
          <w:szCs w:val="22"/>
          <w:lang w:val="ru-RU"/>
        </w:rPr>
        <w:t>В четвертом национальном докладе</w:t>
      </w:r>
      <w:r w:rsidR="004569FB" w:rsidRPr="00DB5643">
        <w:rPr>
          <w:bCs/>
          <w:snapToGrid w:val="0"/>
          <w:kern w:val="22"/>
          <w:szCs w:val="22"/>
          <w:lang w:val="ru-RU"/>
        </w:rPr>
        <w:t xml:space="preserve"> 57</w:t>
      </w:r>
      <w:r w:rsidRPr="00DB5643">
        <w:rPr>
          <w:bCs/>
          <w:snapToGrid w:val="0"/>
          <w:kern w:val="22"/>
          <w:szCs w:val="22"/>
          <w:lang w:val="en-US"/>
        </w:rPr>
        <w:t> </w:t>
      </w:r>
      <w:r w:rsidR="004569FB" w:rsidRPr="00DB5643">
        <w:rPr>
          <w:bCs/>
          <w:snapToGrid w:val="0"/>
          <w:kern w:val="22"/>
          <w:szCs w:val="22"/>
          <w:lang w:val="ru-RU"/>
        </w:rPr>
        <w:t xml:space="preserve">% </w:t>
      </w:r>
      <w:r w:rsidRPr="00DB5643">
        <w:rPr>
          <w:bCs/>
          <w:snapToGrid w:val="0"/>
          <w:kern w:val="22"/>
          <w:szCs w:val="22"/>
          <w:lang w:val="ru-RU"/>
        </w:rPr>
        <w:t>Сторон</w:t>
      </w:r>
      <w:r w:rsidR="004569FB" w:rsidRPr="00DB5643">
        <w:rPr>
          <w:bCs/>
          <w:snapToGrid w:val="0"/>
          <w:kern w:val="22"/>
          <w:szCs w:val="22"/>
          <w:lang w:val="ru-RU"/>
        </w:rPr>
        <w:t xml:space="preserve"> </w:t>
      </w:r>
      <w:r w:rsidR="00FD3BB3" w:rsidRPr="00DB5643">
        <w:rPr>
          <w:bCs/>
          <w:snapToGrid w:val="0"/>
          <w:kern w:val="22"/>
          <w:szCs w:val="22"/>
          <w:lang w:val="ru-RU"/>
        </w:rPr>
        <w:t xml:space="preserve">(32 </w:t>
      </w:r>
      <w:r w:rsidRPr="00DB5643">
        <w:rPr>
          <w:bCs/>
          <w:snapToGrid w:val="0"/>
          <w:kern w:val="22"/>
          <w:szCs w:val="22"/>
          <w:lang w:val="ru-RU"/>
        </w:rPr>
        <w:t>Стороны</w:t>
      </w:r>
      <w:r w:rsidR="00FD3BB3" w:rsidRPr="00DB5643">
        <w:rPr>
          <w:bCs/>
          <w:snapToGrid w:val="0"/>
          <w:kern w:val="22"/>
          <w:szCs w:val="22"/>
          <w:lang w:val="ru-RU"/>
        </w:rPr>
        <w:t xml:space="preserve">) </w:t>
      </w:r>
      <w:proofErr w:type="spellStart"/>
      <w:r w:rsidR="00715153" w:rsidRPr="00DB5643">
        <w:rPr>
          <w:bCs/>
          <w:snapToGrid w:val="0"/>
          <w:kern w:val="22"/>
          <w:szCs w:val="22"/>
          <w:lang w:val="ru-RU"/>
        </w:rPr>
        <w:t>Картахенского</w:t>
      </w:r>
      <w:proofErr w:type="spellEnd"/>
      <w:r w:rsidR="00715153" w:rsidRPr="00DB5643">
        <w:rPr>
          <w:bCs/>
          <w:snapToGrid w:val="0"/>
          <w:kern w:val="22"/>
          <w:szCs w:val="22"/>
          <w:lang w:val="ru-RU"/>
        </w:rPr>
        <w:t xml:space="preserve"> протокола, которые еще не ратифицировали Дополнительный протокол, отметили, что они внедрили национальный процесс, способствующий получению статуса Стороны Дополнительного протокола</w:t>
      </w:r>
      <w:r w:rsidR="004569FB" w:rsidRPr="00DB5643">
        <w:rPr>
          <w:bCs/>
          <w:snapToGrid w:val="0"/>
          <w:kern w:val="22"/>
          <w:szCs w:val="22"/>
          <w:lang w:val="ru-RU"/>
        </w:rPr>
        <w:t>.</w:t>
      </w:r>
    </w:p>
    <w:p w14:paraId="05B61292" w14:textId="24DA3BE5" w:rsidR="004569FB" w:rsidRPr="00DB5643" w:rsidRDefault="00FD701A" w:rsidP="004569FB">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bookmarkStart w:id="18" w:name="_Hlk30412647"/>
      <w:bookmarkEnd w:id="17"/>
      <w:r w:rsidRPr="00DB5643">
        <w:rPr>
          <w:snapToGrid w:val="0"/>
          <w:kern w:val="22"/>
          <w:szCs w:val="22"/>
          <w:lang w:val="ru-RU"/>
        </w:rPr>
        <w:t>Что касается</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1.5.2</w:t>
      </w:r>
      <w:r w:rsidR="004569FB" w:rsidRPr="00DB5643">
        <w:rPr>
          <w:bCs/>
          <w:snapToGrid w:val="0"/>
          <w:kern w:val="22"/>
          <w:szCs w:val="22"/>
          <w:lang w:val="ru-RU"/>
        </w:rPr>
        <w:t xml:space="preserve"> (</w:t>
      </w:r>
      <w:r w:rsidRPr="00DB5643">
        <w:rPr>
          <w:bCs/>
          <w:snapToGrid w:val="0"/>
          <w:kern w:val="22"/>
          <w:szCs w:val="22"/>
          <w:lang w:val="ru-RU"/>
        </w:rPr>
        <w:t xml:space="preserve">процентная доля Сторон Дополнительного протокола, которые внедрили национальные административные и правовые системы, включающие правила и процедуры в области ответственности и возмещения за ущерб, причиненный </w:t>
      </w:r>
      <w:proofErr w:type="spellStart"/>
      <w:r w:rsidRPr="00DB5643">
        <w:rPr>
          <w:bCs/>
          <w:snapToGrid w:val="0"/>
          <w:kern w:val="22"/>
          <w:szCs w:val="22"/>
          <w:lang w:val="ru-RU"/>
        </w:rPr>
        <w:t>ЖИО</w:t>
      </w:r>
      <w:proofErr w:type="spellEnd"/>
      <w:r w:rsidR="004569FB" w:rsidRPr="00DB5643">
        <w:rPr>
          <w:bCs/>
          <w:snapToGrid w:val="0"/>
          <w:kern w:val="22"/>
          <w:szCs w:val="22"/>
          <w:lang w:val="ru-RU"/>
        </w:rPr>
        <w:t xml:space="preserve">), </w:t>
      </w:r>
      <w:r w:rsidR="00642359" w:rsidRPr="00DB5643">
        <w:rPr>
          <w:bCs/>
          <w:snapToGrid w:val="0"/>
          <w:kern w:val="22"/>
          <w:szCs w:val="22"/>
          <w:lang w:val="ru-RU"/>
        </w:rPr>
        <w:t>60 % Сторон Дополнительного протокола</w:t>
      </w:r>
      <w:r w:rsidR="00EF47D5" w:rsidRPr="00DB5643">
        <w:rPr>
          <w:bCs/>
          <w:snapToGrid w:val="0"/>
          <w:kern w:val="22"/>
          <w:szCs w:val="22"/>
          <w:lang w:val="ru-RU"/>
        </w:rPr>
        <w:t xml:space="preserve"> </w:t>
      </w:r>
      <w:r w:rsidR="009A1C54" w:rsidRPr="00DB5643">
        <w:rPr>
          <w:bCs/>
          <w:snapToGrid w:val="0"/>
          <w:kern w:val="22"/>
          <w:szCs w:val="22"/>
          <w:lang w:val="ru-RU"/>
        </w:rPr>
        <w:t xml:space="preserve">(23 </w:t>
      </w:r>
      <w:r w:rsidR="00642359" w:rsidRPr="00DB5643">
        <w:rPr>
          <w:bCs/>
          <w:snapToGrid w:val="0"/>
          <w:kern w:val="22"/>
          <w:szCs w:val="22"/>
          <w:lang w:val="ru-RU"/>
        </w:rPr>
        <w:t>Стороны</w:t>
      </w:r>
      <w:r w:rsidR="009A1C54" w:rsidRPr="00DB5643">
        <w:rPr>
          <w:bCs/>
          <w:snapToGrid w:val="0"/>
          <w:kern w:val="22"/>
          <w:szCs w:val="22"/>
          <w:lang w:val="ru-RU"/>
        </w:rPr>
        <w:t>)</w:t>
      </w:r>
      <w:r w:rsidR="00642359" w:rsidRPr="00DB5643">
        <w:rPr>
          <w:bCs/>
          <w:snapToGrid w:val="0"/>
          <w:kern w:val="22"/>
          <w:szCs w:val="22"/>
          <w:lang w:val="ru-RU"/>
        </w:rPr>
        <w:t xml:space="preserve"> сообщили о полномасштабном внедрении мер для осуществления Дополнительного протокола</w:t>
      </w:r>
      <w:r w:rsidR="004569FB" w:rsidRPr="00DB5643">
        <w:rPr>
          <w:bCs/>
          <w:snapToGrid w:val="0"/>
          <w:kern w:val="22"/>
          <w:szCs w:val="22"/>
          <w:lang w:val="ru-RU"/>
        </w:rPr>
        <w:t xml:space="preserve"> </w:t>
      </w:r>
      <w:r w:rsidR="00642359" w:rsidRPr="00DB5643">
        <w:rPr>
          <w:bCs/>
          <w:snapToGrid w:val="0"/>
          <w:kern w:val="22"/>
          <w:szCs w:val="22"/>
          <w:lang w:val="ru-RU"/>
        </w:rPr>
        <w:t>и</w:t>
      </w:r>
      <w:r w:rsidR="004569FB" w:rsidRPr="00DB5643">
        <w:rPr>
          <w:bCs/>
          <w:snapToGrid w:val="0"/>
          <w:kern w:val="22"/>
          <w:szCs w:val="22"/>
          <w:lang w:val="ru-RU"/>
        </w:rPr>
        <w:t xml:space="preserve"> 15</w:t>
      </w:r>
      <w:r w:rsidR="00642359" w:rsidRPr="00DB5643">
        <w:rPr>
          <w:bCs/>
          <w:snapToGrid w:val="0"/>
          <w:kern w:val="22"/>
          <w:szCs w:val="22"/>
          <w:lang w:val="ru-RU"/>
        </w:rPr>
        <w:t> </w:t>
      </w:r>
      <w:r w:rsidR="004569FB" w:rsidRPr="00DB5643">
        <w:rPr>
          <w:bCs/>
          <w:snapToGrid w:val="0"/>
          <w:kern w:val="22"/>
          <w:szCs w:val="22"/>
          <w:lang w:val="ru-RU"/>
        </w:rPr>
        <w:t xml:space="preserve">% </w:t>
      </w:r>
      <w:r w:rsidR="00994160" w:rsidRPr="00DB5643">
        <w:rPr>
          <w:bCs/>
          <w:snapToGrid w:val="0"/>
          <w:kern w:val="22"/>
          <w:szCs w:val="22"/>
          <w:lang w:val="ru-RU"/>
        </w:rPr>
        <w:t xml:space="preserve">(6 </w:t>
      </w:r>
      <w:r w:rsidR="00642359" w:rsidRPr="00DB5643">
        <w:rPr>
          <w:bCs/>
          <w:snapToGrid w:val="0"/>
          <w:kern w:val="22"/>
          <w:szCs w:val="22"/>
          <w:lang w:val="ru-RU"/>
        </w:rPr>
        <w:t>Сторон</w:t>
      </w:r>
      <w:r w:rsidR="00994160" w:rsidRPr="00DB5643">
        <w:rPr>
          <w:bCs/>
          <w:snapToGrid w:val="0"/>
          <w:kern w:val="22"/>
          <w:szCs w:val="22"/>
          <w:lang w:val="ru-RU"/>
        </w:rPr>
        <w:t>)</w:t>
      </w:r>
      <w:r w:rsidR="00642359" w:rsidRPr="00DB5643">
        <w:rPr>
          <w:bCs/>
          <w:snapToGrid w:val="0"/>
          <w:kern w:val="22"/>
          <w:szCs w:val="22"/>
          <w:lang w:val="ru-RU"/>
        </w:rPr>
        <w:t xml:space="preserve"> сообщили о частичном внедрении </w:t>
      </w:r>
      <w:r w:rsidR="00642359" w:rsidRPr="00DB5643">
        <w:rPr>
          <w:bCs/>
          <w:snapToGrid w:val="0"/>
          <w:kern w:val="22"/>
          <w:szCs w:val="22"/>
          <w:lang w:val="ru-RU"/>
        </w:rPr>
        <w:lastRenderedPageBreak/>
        <w:t>национальных мер</w:t>
      </w:r>
      <w:r w:rsidR="004569FB" w:rsidRPr="00DB5643">
        <w:rPr>
          <w:bCs/>
          <w:snapToGrid w:val="0"/>
          <w:kern w:val="22"/>
          <w:szCs w:val="22"/>
          <w:lang w:val="ru-RU"/>
        </w:rPr>
        <w:t>. 13</w:t>
      </w:r>
      <w:r w:rsidR="00642359" w:rsidRPr="00DB5643">
        <w:rPr>
          <w:bCs/>
          <w:snapToGrid w:val="0"/>
          <w:kern w:val="22"/>
          <w:szCs w:val="22"/>
          <w:lang w:val="en-US"/>
        </w:rPr>
        <w:t> </w:t>
      </w:r>
      <w:r w:rsidR="004569FB" w:rsidRPr="00DB5643">
        <w:rPr>
          <w:bCs/>
          <w:snapToGrid w:val="0"/>
          <w:kern w:val="22"/>
          <w:szCs w:val="22"/>
          <w:lang w:val="ru-RU"/>
        </w:rPr>
        <w:t xml:space="preserve">% </w:t>
      </w:r>
      <w:r w:rsidR="00642359" w:rsidRPr="00DB5643">
        <w:rPr>
          <w:bCs/>
          <w:snapToGrid w:val="0"/>
          <w:kern w:val="22"/>
          <w:szCs w:val="22"/>
          <w:lang w:val="ru-RU"/>
        </w:rPr>
        <w:t>Сторон</w:t>
      </w:r>
      <w:r w:rsidR="004569FB" w:rsidRPr="00DB5643">
        <w:rPr>
          <w:bCs/>
          <w:snapToGrid w:val="0"/>
          <w:kern w:val="22"/>
          <w:szCs w:val="22"/>
          <w:lang w:val="ru-RU"/>
        </w:rPr>
        <w:t xml:space="preserve"> </w:t>
      </w:r>
      <w:r w:rsidR="00994160" w:rsidRPr="00DB5643">
        <w:rPr>
          <w:bCs/>
          <w:snapToGrid w:val="0"/>
          <w:kern w:val="22"/>
          <w:szCs w:val="22"/>
          <w:lang w:val="ru-RU"/>
        </w:rPr>
        <w:t>(</w:t>
      </w:r>
      <w:r w:rsidR="00440B39" w:rsidRPr="00DB5643">
        <w:rPr>
          <w:bCs/>
          <w:snapToGrid w:val="0"/>
          <w:kern w:val="22"/>
          <w:szCs w:val="22"/>
          <w:lang w:val="ru-RU"/>
        </w:rPr>
        <w:t xml:space="preserve">5 </w:t>
      </w:r>
      <w:r w:rsidR="00642359" w:rsidRPr="00DB5643">
        <w:rPr>
          <w:bCs/>
          <w:snapToGrid w:val="0"/>
          <w:kern w:val="22"/>
          <w:szCs w:val="22"/>
          <w:lang w:val="ru-RU"/>
        </w:rPr>
        <w:t>Сторон</w:t>
      </w:r>
      <w:r w:rsidR="00440B39" w:rsidRPr="00DB5643">
        <w:rPr>
          <w:bCs/>
          <w:snapToGrid w:val="0"/>
          <w:kern w:val="22"/>
          <w:szCs w:val="22"/>
          <w:lang w:val="ru-RU"/>
        </w:rPr>
        <w:t>)</w:t>
      </w:r>
      <w:r w:rsidR="00642359" w:rsidRPr="00DB5643">
        <w:rPr>
          <w:bCs/>
          <w:snapToGrid w:val="0"/>
          <w:kern w:val="22"/>
          <w:szCs w:val="22"/>
          <w:lang w:val="ru-RU"/>
        </w:rPr>
        <w:t xml:space="preserve"> сообщили о наличии лишь проектов мер и еще </w:t>
      </w:r>
      <w:r w:rsidR="00440B39" w:rsidRPr="00DB5643">
        <w:rPr>
          <w:bCs/>
          <w:snapToGrid w:val="0"/>
          <w:kern w:val="22"/>
          <w:szCs w:val="22"/>
          <w:lang w:val="ru-RU"/>
        </w:rPr>
        <w:t>13</w:t>
      </w:r>
      <w:r w:rsidR="00642359" w:rsidRPr="00DB5643">
        <w:rPr>
          <w:bCs/>
          <w:snapToGrid w:val="0"/>
          <w:kern w:val="22"/>
          <w:szCs w:val="22"/>
          <w:lang w:val="ru-RU"/>
        </w:rPr>
        <w:t> </w:t>
      </w:r>
      <w:r w:rsidR="004569FB" w:rsidRPr="00DB5643">
        <w:rPr>
          <w:bCs/>
          <w:snapToGrid w:val="0"/>
          <w:kern w:val="22"/>
          <w:szCs w:val="22"/>
          <w:lang w:val="ru-RU"/>
        </w:rPr>
        <w:t xml:space="preserve">% </w:t>
      </w:r>
      <w:r w:rsidR="00302EB4">
        <w:rPr>
          <w:bCs/>
          <w:snapToGrid w:val="0"/>
          <w:kern w:val="22"/>
          <w:szCs w:val="22"/>
          <w:lang w:val="ru-RU"/>
        </w:rPr>
        <w:br/>
      </w:r>
      <w:r w:rsidR="00440B39" w:rsidRPr="00DB5643">
        <w:rPr>
          <w:bCs/>
          <w:snapToGrid w:val="0"/>
          <w:kern w:val="22"/>
          <w:szCs w:val="22"/>
          <w:lang w:val="ru-RU"/>
        </w:rPr>
        <w:t xml:space="preserve">(5 </w:t>
      </w:r>
      <w:r w:rsidR="00642359" w:rsidRPr="00DB5643">
        <w:rPr>
          <w:bCs/>
          <w:snapToGrid w:val="0"/>
          <w:kern w:val="22"/>
          <w:szCs w:val="22"/>
          <w:lang w:val="ru-RU"/>
        </w:rPr>
        <w:t>Сторон</w:t>
      </w:r>
      <w:r w:rsidR="00440B39" w:rsidRPr="00DB5643">
        <w:rPr>
          <w:bCs/>
          <w:snapToGrid w:val="0"/>
          <w:kern w:val="22"/>
          <w:szCs w:val="22"/>
          <w:lang w:val="ru-RU"/>
        </w:rPr>
        <w:t xml:space="preserve">) </w:t>
      </w:r>
      <w:r w:rsidR="00642359" w:rsidRPr="00DB5643">
        <w:rPr>
          <w:bCs/>
          <w:snapToGrid w:val="0"/>
          <w:kern w:val="22"/>
          <w:szCs w:val="22"/>
          <w:lang w:val="ru-RU"/>
        </w:rPr>
        <w:t>сообщили о том, что никакие меры еще не приняты</w:t>
      </w:r>
      <w:r w:rsidR="004569FB" w:rsidRPr="00DB5643">
        <w:rPr>
          <w:rStyle w:val="ac"/>
          <w:bCs/>
          <w:snapToGrid w:val="0"/>
          <w:kern w:val="22"/>
          <w:szCs w:val="22"/>
        </w:rPr>
        <w:footnoteReference w:id="32"/>
      </w:r>
      <w:r w:rsidR="00642359" w:rsidRPr="00DB5643">
        <w:rPr>
          <w:bCs/>
          <w:snapToGrid w:val="0"/>
          <w:kern w:val="22"/>
          <w:szCs w:val="22"/>
          <w:lang w:val="ru-RU"/>
        </w:rPr>
        <w:t>.</w:t>
      </w:r>
    </w:p>
    <w:p w14:paraId="34F31A05" w14:textId="6ADE66BF" w:rsidR="004569FB" w:rsidRPr="00DB5643" w:rsidRDefault="00F634C2" w:rsidP="004569FB">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r w:rsidRPr="00DB5643">
        <w:rPr>
          <w:snapToGrid w:val="0"/>
          <w:kern w:val="22"/>
          <w:szCs w:val="22"/>
          <w:lang w:val="ru-RU"/>
        </w:rPr>
        <w:t>Кроме того</w:t>
      </w:r>
      <w:r w:rsidR="004569FB" w:rsidRPr="00DB5643">
        <w:rPr>
          <w:snapToGrid w:val="0"/>
          <w:kern w:val="22"/>
          <w:szCs w:val="22"/>
          <w:lang w:val="ru-RU"/>
        </w:rPr>
        <w:t xml:space="preserve">, </w:t>
      </w:r>
      <w:r w:rsidRPr="00DB5643">
        <w:rPr>
          <w:snapToGrid w:val="0"/>
          <w:kern w:val="22"/>
          <w:szCs w:val="22"/>
          <w:lang w:val="ru-RU"/>
        </w:rPr>
        <w:t xml:space="preserve">была предоставлена информация об осуществлении Дополнительного протокола и </w:t>
      </w:r>
      <w:r w:rsidRPr="00DB5643">
        <w:rPr>
          <w:bCs/>
          <w:snapToGrid w:val="0"/>
          <w:kern w:val="22"/>
          <w:szCs w:val="22"/>
          <w:lang w:val="ru-RU"/>
        </w:rPr>
        <w:t>об ответственности и возмещении за уще</w:t>
      </w:r>
      <w:proofErr w:type="gramStart"/>
      <w:r w:rsidRPr="00DB5643">
        <w:rPr>
          <w:bCs/>
          <w:snapToGrid w:val="0"/>
          <w:kern w:val="22"/>
          <w:szCs w:val="22"/>
          <w:lang w:val="ru-RU"/>
        </w:rPr>
        <w:t>рб</w:t>
      </w:r>
      <w:r w:rsidR="004569FB" w:rsidRPr="00DB5643">
        <w:rPr>
          <w:snapToGrid w:val="0"/>
          <w:kern w:val="22"/>
          <w:szCs w:val="22"/>
          <w:lang w:val="ru-RU"/>
        </w:rPr>
        <w:t xml:space="preserve"> </w:t>
      </w:r>
      <w:r w:rsidRPr="00DB5643">
        <w:rPr>
          <w:snapToGrid w:val="0"/>
          <w:kern w:val="22"/>
          <w:szCs w:val="22"/>
          <w:lang w:val="ru-RU"/>
        </w:rPr>
        <w:t>стр</w:t>
      </w:r>
      <w:proofErr w:type="gramEnd"/>
      <w:r w:rsidRPr="00DB5643">
        <w:rPr>
          <w:snapToGrid w:val="0"/>
          <w:kern w:val="22"/>
          <w:szCs w:val="22"/>
          <w:lang w:val="ru-RU"/>
        </w:rPr>
        <w:t xml:space="preserve">анами, являющимися Сторонами </w:t>
      </w:r>
      <w:proofErr w:type="spellStart"/>
      <w:r w:rsidRPr="00DB5643">
        <w:rPr>
          <w:snapToGrid w:val="0"/>
          <w:kern w:val="22"/>
          <w:szCs w:val="22"/>
          <w:lang w:val="ru-RU"/>
        </w:rPr>
        <w:t>Картахенского</w:t>
      </w:r>
      <w:proofErr w:type="spellEnd"/>
      <w:r w:rsidRPr="00DB5643">
        <w:rPr>
          <w:snapToGrid w:val="0"/>
          <w:kern w:val="22"/>
          <w:szCs w:val="22"/>
          <w:lang w:val="ru-RU"/>
        </w:rPr>
        <w:t xml:space="preserve"> протокола, но еще не ратифицировавшими Дополнительный протокол</w:t>
      </w:r>
      <w:r w:rsidR="004569FB" w:rsidRPr="00DB5643">
        <w:rPr>
          <w:snapToGrid w:val="0"/>
          <w:kern w:val="22"/>
          <w:szCs w:val="22"/>
          <w:lang w:val="ru-RU"/>
        </w:rPr>
        <w:t xml:space="preserve">. </w:t>
      </w:r>
      <w:r w:rsidR="00C93002" w:rsidRPr="00DB5643">
        <w:rPr>
          <w:snapToGrid w:val="0"/>
          <w:kern w:val="22"/>
          <w:szCs w:val="22"/>
          <w:lang w:val="ru-RU"/>
        </w:rPr>
        <w:t>Информация, предоставленная этими Сторонами и Сторонами Дополнительного протокола в их четвертых национальных докладах, обобщена ниже.</w:t>
      </w:r>
      <w:r w:rsidR="004569FB" w:rsidRPr="00DB5643">
        <w:rPr>
          <w:snapToGrid w:val="0"/>
          <w:kern w:val="22"/>
          <w:szCs w:val="22"/>
          <w:lang w:val="ru-RU"/>
        </w:rPr>
        <w:t xml:space="preserve"> </w:t>
      </w:r>
    </w:p>
    <w:p w14:paraId="6D3A0762" w14:textId="446BFF68" w:rsidR="004569FB" w:rsidRPr="00DB5643" w:rsidRDefault="00C93002" w:rsidP="004569FB">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r w:rsidRPr="00DB5643">
        <w:rPr>
          <w:bCs/>
          <w:snapToGrid w:val="0"/>
          <w:kern w:val="22"/>
          <w:szCs w:val="22"/>
          <w:lang w:val="ru-RU"/>
        </w:rPr>
        <w:t>В общей сложности</w:t>
      </w:r>
      <w:r w:rsidR="004569FB" w:rsidRPr="00DB5643">
        <w:rPr>
          <w:bCs/>
          <w:snapToGrid w:val="0"/>
          <w:kern w:val="22"/>
          <w:szCs w:val="22"/>
          <w:lang w:val="ru-RU"/>
        </w:rPr>
        <w:t xml:space="preserve"> 6</w:t>
      </w:r>
      <w:r w:rsidR="008E01E6" w:rsidRPr="00DB5643">
        <w:rPr>
          <w:bCs/>
          <w:snapToGrid w:val="0"/>
          <w:kern w:val="22"/>
          <w:szCs w:val="22"/>
          <w:lang w:val="ru-RU"/>
        </w:rPr>
        <w:t>7</w:t>
      </w:r>
      <w:r w:rsidRPr="00DB5643">
        <w:rPr>
          <w:bCs/>
          <w:snapToGrid w:val="0"/>
          <w:kern w:val="22"/>
          <w:szCs w:val="22"/>
          <w:lang w:val="en-US"/>
        </w:rPr>
        <w:t> </w:t>
      </w:r>
      <w:r w:rsidR="004569FB" w:rsidRPr="00DB5643">
        <w:rPr>
          <w:bCs/>
          <w:snapToGrid w:val="0"/>
          <w:kern w:val="22"/>
          <w:szCs w:val="22"/>
          <w:lang w:val="ru-RU"/>
        </w:rPr>
        <w:t xml:space="preserve">% </w:t>
      </w:r>
      <w:r w:rsidRPr="00DB5643">
        <w:rPr>
          <w:bCs/>
          <w:snapToGrid w:val="0"/>
          <w:kern w:val="22"/>
          <w:szCs w:val="22"/>
          <w:lang w:val="ru-RU"/>
        </w:rPr>
        <w:t>Сторон</w:t>
      </w:r>
      <w:r w:rsidR="004569FB" w:rsidRPr="00DB5643">
        <w:rPr>
          <w:bCs/>
          <w:snapToGrid w:val="0"/>
          <w:kern w:val="22"/>
          <w:szCs w:val="22"/>
          <w:lang w:val="ru-RU"/>
        </w:rPr>
        <w:t xml:space="preserve"> </w:t>
      </w:r>
      <w:r w:rsidR="008E01E6" w:rsidRPr="00DB5643">
        <w:rPr>
          <w:bCs/>
          <w:snapToGrid w:val="0"/>
          <w:kern w:val="22"/>
          <w:szCs w:val="22"/>
          <w:lang w:val="ru-RU"/>
        </w:rPr>
        <w:t xml:space="preserve">(66 </w:t>
      </w:r>
      <w:r w:rsidRPr="00DB5643">
        <w:rPr>
          <w:bCs/>
          <w:snapToGrid w:val="0"/>
          <w:kern w:val="22"/>
          <w:szCs w:val="22"/>
          <w:lang w:val="ru-RU"/>
        </w:rPr>
        <w:t>Сторон</w:t>
      </w:r>
      <w:r w:rsidR="008E01E6" w:rsidRPr="00DB5643">
        <w:rPr>
          <w:bCs/>
          <w:snapToGrid w:val="0"/>
          <w:kern w:val="22"/>
          <w:szCs w:val="22"/>
          <w:lang w:val="ru-RU"/>
        </w:rPr>
        <w:t>)</w:t>
      </w:r>
      <w:r w:rsidRPr="00DB5643">
        <w:rPr>
          <w:bCs/>
          <w:snapToGrid w:val="0"/>
          <w:kern w:val="22"/>
          <w:szCs w:val="22"/>
          <w:lang w:val="ru-RU"/>
        </w:rPr>
        <w:t xml:space="preserve"> сообщили о наличии административных или правовых документов, которые предусматривают принятие ответных мер в случае причинения ущерба, наносимого </w:t>
      </w:r>
      <w:proofErr w:type="spellStart"/>
      <w:r w:rsidRPr="00DB5643">
        <w:rPr>
          <w:bCs/>
          <w:snapToGrid w:val="0"/>
          <w:kern w:val="22"/>
          <w:szCs w:val="22"/>
          <w:lang w:val="ru-RU"/>
        </w:rPr>
        <w:t>ЖИО</w:t>
      </w:r>
      <w:proofErr w:type="spellEnd"/>
      <w:r w:rsidR="004569FB" w:rsidRPr="00DB5643">
        <w:rPr>
          <w:bCs/>
          <w:snapToGrid w:val="0"/>
          <w:kern w:val="22"/>
          <w:szCs w:val="22"/>
          <w:lang w:val="ru-RU"/>
        </w:rPr>
        <w:t xml:space="preserve">. </w:t>
      </w:r>
      <w:r w:rsidRPr="00DB5643">
        <w:rPr>
          <w:bCs/>
          <w:snapToGrid w:val="0"/>
          <w:kern w:val="22"/>
          <w:szCs w:val="22"/>
          <w:lang w:val="ru-RU"/>
        </w:rPr>
        <w:t xml:space="preserve">Это соответствует уменьшению на </w:t>
      </w:r>
      <w:r w:rsidR="004569FB" w:rsidRPr="00DB5643">
        <w:rPr>
          <w:bCs/>
          <w:snapToGrid w:val="0"/>
          <w:kern w:val="22"/>
          <w:szCs w:val="22"/>
          <w:lang w:val="ru-RU"/>
        </w:rPr>
        <w:t>3</w:t>
      </w:r>
      <w:r w:rsidRPr="00DB5643">
        <w:rPr>
          <w:bCs/>
          <w:snapToGrid w:val="0"/>
          <w:kern w:val="22"/>
          <w:szCs w:val="22"/>
          <w:lang w:val="ru-RU"/>
        </w:rPr>
        <w:t> </w:t>
      </w:r>
      <w:r w:rsidR="004569FB" w:rsidRPr="00DB5643">
        <w:rPr>
          <w:bCs/>
          <w:snapToGrid w:val="0"/>
          <w:kern w:val="22"/>
          <w:szCs w:val="22"/>
          <w:lang w:val="ru-RU"/>
        </w:rPr>
        <w:t xml:space="preserve">% </w:t>
      </w:r>
      <w:r w:rsidRPr="00DB5643">
        <w:rPr>
          <w:bCs/>
          <w:snapToGrid w:val="0"/>
          <w:kern w:val="22"/>
          <w:szCs w:val="22"/>
          <w:lang w:val="ru-RU"/>
        </w:rPr>
        <w:t>по сравнению с исходным уровнем</w:t>
      </w:r>
      <w:r w:rsidR="004569FB" w:rsidRPr="00DB5643">
        <w:rPr>
          <w:bCs/>
          <w:snapToGrid w:val="0"/>
          <w:kern w:val="22"/>
          <w:szCs w:val="22"/>
          <w:lang w:val="ru-RU"/>
        </w:rPr>
        <w:t>.</w:t>
      </w:r>
      <w:r w:rsidRPr="00DB5643">
        <w:rPr>
          <w:bCs/>
          <w:snapToGrid w:val="0"/>
          <w:kern w:val="22"/>
          <w:szCs w:val="22"/>
          <w:lang w:val="ru-RU"/>
        </w:rPr>
        <w:t xml:space="preserve"> В общей сложности</w:t>
      </w:r>
      <w:r w:rsidR="004569FB" w:rsidRPr="00DB5643">
        <w:rPr>
          <w:bCs/>
          <w:snapToGrid w:val="0"/>
          <w:kern w:val="22"/>
          <w:szCs w:val="22"/>
          <w:lang w:val="ru-RU"/>
        </w:rPr>
        <w:t xml:space="preserve"> 62</w:t>
      </w:r>
      <w:r w:rsidRPr="00DB5643">
        <w:rPr>
          <w:bCs/>
          <w:snapToGrid w:val="0"/>
          <w:kern w:val="22"/>
          <w:szCs w:val="22"/>
          <w:lang w:val="en-US"/>
        </w:rPr>
        <w:t> </w:t>
      </w:r>
      <w:r w:rsidR="004569FB" w:rsidRPr="00DB5643">
        <w:rPr>
          <w:bCs/>
          <w:snapToGrid w:val="0"/>
          <w:kern w:val="22"/>
          <w:szCs w:val="22"/>
          <w:lang w:val="ru-RU"/>
        </w:rPr>
        <w:t xml:space="preserve">% </w:t>
      </w:r>
      <w:r w:rsidRPr="00DB5643">
        <w:rPr>
          <w:bCs/>
          <w:snapToGrid w:val="0"/>
          <w:kern w:val="22"/>
          <w:szCs w:val="22"/>
          <w:lang w:val="ru-RU"/>
        </w:rPr>
        <w:t>Сторон</w:t>
      </w:r>
      <w:r w:rsidR="004569FB" w:rsidRPr="00DB5643">
        <w:rPr>
          <w:bCs/>
          <w:snapToGrid w:val="0"/>
          <w:kern w:val="22"/>
          <w:szCs w:val="22"/>
          <w:lang w:val="ru-RU"/>
        </w:rPr>
        <w:t xml:space="preserve"> </w:t>
      </w:r>
      <w:r w:rsidR="00E336BA" w:rsidRPr="00DB5643">
        <w:rPr>
          <w:bCs/>
          <w:snapToGrid w:val="0"/>
          <w:kern w:val="22"/>
          <w:szCs w:val="22"/>
          <w:lang w:val="ru-RU"/>
        </w:rPr>
        <w:t xml:space="preserve">(61 </w:t>
      </w:r>
      <w:r w:rsidRPr="00DB5643">
        <w:rPr>
          <w:bCs/>
          <w:snapToGrid w:val="0"/>
          <w:kern w:val="22"/>
          <w:szCs w:val="22"/>
          <w:lang w:val="ru-RU"/>
        </w:rPr>
        <w:t>Сторона</w:t>
      </w:r>
      <w:r w:rsidR="00E336BA" w:rsidRPr="00DB5643">
        <w:rPr>
          <w:bCs/>
          <w:snapToGrid w:val="0"/>
          <w:kern w:val="22"/>
          <w:szCs w:val="22"/>
          <w:lang w:val="ru-RU"/>
        </w:rPr>
        <w:t>)</w:t>
      </w:r>
      <w:r w:rsidRPr="00DB5643">
        <w:rPr>
          <w:bCs/>
          <w:snapToGrid w:val="0"/>
          <w:kern w:val="22"/>
          <w:szCs w:val="22"/>
          <w:lang w:val="ru-RU"/>
        </w:rPr>
        <w:t xml:space="preserve"> сообщили о наличии административных или правовых документов, которые предусматривают принятие ответных мер в случае наличия</w:t>
      </w:r>
      <w:r w:rsidR="004569FB" w:rsidRPr="00DB5643">
        <w:rPr>
          <w:bCs/>
          <w:snapToGrid w:val="0"/>
          <w:kern w:val="22"/>
          <w:szCs w:val="22"/>
          <w:lang w:val="ru-RU"/>
        </w:rPr>
        <w:t xml:space="preserve"> </w:t>
      </w:r>
      <w:r w:rsidRPr="00DB5643">
        <w:rPr>
          <w:bCs/>
          <w:snapToGrid w:val="0"/>
          <w:kern w:val="22"/>
          <w:szCs w:val="22"/>
          <w:lang w:val="ru-RU"/>
        </w:rPr>
        <w:t>достаточной вероятности возникновения ущерба, если не будут приняты ответные меры</w:t>
      </w:r>
      <w:r w:rsidR="004569FB" w:rsidRPr="00DB5643">
        <w:rPr>
          <w:rStyle w:val="ac"/>
          <w:bCs/>
          <w:snapToGrid w:val="0"/>
          <w:kern w:val="22"/>
          <w:szCs w:val="22"/>
        </w:rPr>
        <w:footnoteReference w:id="33"/>
      </w:r>
      <w:r w:rsidRPr="00DB5643">
        <w:rPr>
          <w:bCs/>
          <w:snapToGrid w:val="0"/>
          <w:kern w:val="22"/>
          <w:szCs w:val="22"/>
          <w:lang w:val="ru-RU"/>
        </w:rPr>
        <w:t>.</w:t>
      </w:r>
    </w:p>
    <w:p w14:paraId="663A2513" w14:textId="0EA69ED5" w:rsidR="004569FB" w:rsidRPr="00DB5643" w:rsidRDefault="00B37B5A" w:rsidP="004569FB">
      <w:pPr>
        <w:pStyle w:val="a3"/>
        <w:numPr>
          <w:ilvl w:val="0"/>
          <w:numId w:val="9"/>
        </w:numPr>
        <w:suppressLineNumbers/>
        <w:tabs>
          <w:tab w:val="clear" w:pos="3240"/>
        </w:tabs>
        <w:suppressAutoHyphens/>
        <w:snapToGrid w:val="0"/>
        <w:spacing w:before="120" w:after="120"/>
        <w:ind w:left="0" w:firstLine="0"/>
        <w:contextualSpacing w:val="0"/>
        <w:rPr>
          <w:bCs/>
          <w:snapToGrid w:val="0"/>
          <w:kern w:val="22"/>
          <w:szCs w:val="22"/>
          <w:lang w:val="ru-RU"/>
        </w:rPr>
      </w:pPr>
      <w:r w:rsidRPr="00DB5643">
        <w:rPr>
          <w:bCs/>
          <w:snapToGrid w:val="0"/>
          <w:kern w:val="22"/>
          <w:szCs w:val="22"/>
          <w:lang w:val="ru-RU"/>
        </w:rPr>
        <w:t>Кроме того</w:t>
      </w:r>
      <w:r w:rsidR="004569FB" w:rsidRPr="00DB5643">
        <w:rPr>
          <w:bCs/>
          <w:snapToGrid w:val="0"/>
          <w:kern w:val="22"/>
          <w:szCs w:val="22"/>
          <w:lang w:val="ru-RU"/>
        </w:rPr>
        <w:t>, 55</w:t>
      </w:r>
      <w:r w:rsidRPr="00DB5643">
        <w:rPr>
          <w:bCs/>
          <w:snapToGrid w:val="0"/>
          <w:kern w:val="22"/>
          <w:szCs w:val="22"/>
          <w:lang w:val="en-US"/>
        </w:rPr>
        <w:t> </w:t>
      </w:r>
      <w:r w:rsidR="004569FB" w:rsidRPr="00DB5643">
        <w:rPr>
          <w:bCs/>
          <w:snapToGrid w:val="0"/>
          <w:kern w:val="22"/>
          <w:szCs w:val="22"/>
          <w:lang w:val="ru-RU"/>
        </w:rPr>
        <w:t xml:space="preserve">% </w:t>
      </w:r>
      <w:r w:rsidRPr="00DB5643">
        <w:rPr>
          <w:bCs/>
          <w:snapToGrid w:val="0"/>
          <w:kern w:val="22"/>
          <w:szCs w:val="22"/>
          <w:lang w:val="ru-RU"/>
        </w:rPr>
        <w:t>Сторон</w:t>
      </w:r>
      <w:r w:rsidR="004569FB" w:rsidRPr="00DB5643">
        <w:rPr>
          <w:bCs/>
          <w:snapToGrid w:val="0"/>
          <w:kern w:val="22"/>
          <w:szCs w:val="22"/>
          <w:lang w:val="ru-RU"/>
        </w:rPr>
        <w:t xml:space="preserve"> </w:t>
      </w:r>
      <w:r w:rsidR="00E336BA" w:rsidRPr="00DB5643">
        <w:rPr>
          <w:bCs/>
          <w:snapToGrid w:val="0"/>
          <w:kern w:val="22"/>
          <w:szCs w:val="22"/>
          <w:lang w:val="ru-RU"/>
        </w:rPr>
        <w:t xml:space="preserve">(54 </w:t>
      </w:r>
      <w:r w:rsidRPr="00DB5643">
        <w:rPr>
          <w:bCs/>
          <w:snapToGrid w:val="0"/>
          <w:kern w:val="22"/>
          <w:szCs w:val="22"/>
          <w:lang w:val="ru-RU"/>
        </w:rPr>
        <w:t>Стороны</w:t>
      </w:r>
      <w:r w:rsidR="00E336BA" w:rsidRPr="00DB5643">
        <w:rPr>
          <w:bCs/>
          <w:snapToGrid w:val="0"/>
          <w:kern w:val="22"/>
          <w:szCs w:val="22"/>
          <w:lang w:val="ru-RU"/>
        </w:rPr>
        <w:t xml:space="preserve">) </w:t>
      </w:r>
      <w:r w:rsidRPr="00DB5643">
        <w:rPr>
          <w:bCs/>
          <w:snapToGrid w:val="0"/>
          <w:kern w:val="22"/>
          <w:szCs w:val="22"/>
          <w:lang w:val="ru-RU"/>
        </w:rPr>
        <w:t xml:space="preserve">сообщили об определении компетентного органа для выполнения функций, предусмотренных в Дополнительном протоколе, тогда как </w:t>
      </w:r>
      <w:r w:rsidR="004569FB" w:rsidRPr="00DB5643">
        <w:rPr>
          <w:bCs/>
          <w:snapToGrid w:val="0"/>
          <w:kern w:val="22"/>
          <w:szCs w:val="22"/>
          <w:lang w:val="ru-RU"/>
        </w:rPr>
        <w:t>45</w:t>
      </w:r>
      <w:r w:rsidRPr="00DB5643">
        <w:rPr>
          <w:bCs/>
          <w:snapToGrid w:val="0"/>
          <w:kern w:val="22"/>
          <w:szCs w:val="22"/>
          <w:lang w:val="ru-RU"/>
        </w:rPr>
        <w:t> </w:t>
      </w:r>
      <w:r w:rsidR="004569FB" w:rsidRPr="00DB5643">
        <w:rPr>
          <w:bCs/>
          <w:snapToGrid w:val="0"/>
          <w:kern w:val="22"/>
          <w:szCs w:val="22"/>
          <w:lang w:val="ru-RU"/>
        </w:rPr>
        <w:t xml:space="preserve">% </w:t>
      </w:r>
      <w:r w:rsidRPr="00DB5643">
        <w:rPr>
          <w:bCs/>
          <w:snapToGrid w:val="0"/>
          <w:kern w:val="22"/>
          <w:szCs w:val="22"/>
          <w:lang w:val="ru-RU"/>
        </w:rPr>
        <w:br/>
      </w:r>
      <w:r w:rsidR="00CE53DC" w:rsidRPr="00DB5643">
        <w:rPr>
          <w:bCs/>
          <w:snapToGrid w:val="0"/>
          <w:kern w:val="22"/>
          <w:szCs w:val="22"/>
          <w:lang w:val="ru-RU"/>
        </w:rPr>
        <w:t>(44</w:t>
      </w:r>
      <w:r w:rsidRPr="00DB5643">
        <w:rPr>
          <w:bCs/>
          <w:snapToGrid w:val="0"/>
          <w:kern w:val="22"/>
          <w:szCs w:val="22"/>
          <w:lang w:val="ru-RU"/>
        </w:rPr>
        <w:t xml:space="preserve"> Стороны</w:t>
      </w:r>
      <w:r w:rsidR="00CE53DC" w:rsidRPr="00DB5643">
        <w:rPr>
          <w:bCs/>
          <w:snapToGrid w:val="0"/>
          <w:kern w:val="22"/>
          <w:szCs w:val="22"/>
          <w:lang w:val="ru-RU"/>
        </w:rPr>
        <w:t xml:space="preserve">) </w:t>
      </w:r>
      <w:r w:rsidRPr="00DB5643">
        <w:rPr>
          <w:bCs/>
          <w:snapToGrid w:val="0"/>
          <w:kern w:val="22"/>
          <w:szCs w:val="22"/>
          <w:lang w:val="ru-RU"/>
        </w:rPr>
        <w:t>сообщили, что они не определили компетентный орган</w:t>
      </w:r>
      <w:r w:rsidR="004569FB" w:rsidRPr="00DB5643">
        <w:rPr>
          <w:bCs/>
          <w:snapToGrid w:val="0"/>
          <w:kern w:val="22"/>
          <w:szCs w:val="22"/>
          <w:lang w:val="ru-RU"/>
        </w:rPr>
        <w:t>.</w:t>
      </w:r>
    </w:p>
    <w:p w14:paraId="5FAD2816" w14:textId="0A9C4997" w:rsidR="004569FB" w:rsidRPr="00DB5643" w:rsidRDefault="00B37B5A"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2.4.1 </w:t>
      </w:r>
      <w:r w:rsidR="004569FB" w:rsidRPr="00DB5643">
        <w:rPr>
          <w:snapToGrid w:val="0"/>
          <w:kern w:val="22"/>
          <w:szCs w:val="22"/>
          <w:lang w:val="ru-RU"/>
        </w:rPr>
        <w:t>(</w:t>
      </w:r>
      <w:r w:rsidRPr="00DB5643">
        <w:rPr>
          <w:snapToGrid w:val="0"/>
          <w:kern w:val="22"/>
          <w:szCs w:val="22"/>
          <w:lang w:val="ru-RU"/>
        </w:rPr>
        <w:t>число Сторон, имеющих право на получение помощи, которым была оказана поддержка в создании потенциала в области ответственности и возмещения, связанных с живыми измененными организмами</w:t>
      </w:r>
      <w:r w:rsidR="004569FB" w:rsidRPr="00DB5643">
        <w:rPr>
          <w:snapToGrid w:val="0"/>
          <w:kern w:val="22"/>
          <w:szCs w:val="22"/>
          <w:lang w:val="ru-RU"/>
        </w:rPr>
        <w:t>)</w:t>
      </w:r>
      <w:r w:rsidRPr="00DB5643">
        <w:rPr>
          <w:snapToGrid w:val="0"/>
          <w:kern w:val="22"/>
          <w:szCs w:val="22"/>
          <w:lang w:val="ru-RU"/>
        </w:rPr>
        <w:t xml:space="preserve"> в общей сложности</w:t>
      </w:r>
      <w:r w:rsidR="004569FB" w:rsidRPr="00DB5643">
        <w:rPr>
          <w:snapToGrid w:val="0"/>
          <w:kern w:val="22"/>
          <w:szCs w:val="22"/>
          <w:lang w:val="ru-RU"/>
        </w:rPr>
        <w:t xml:space="preserve"> 17 </w:t>
      </w:r>
      <w:r w:rsidRPr="00DB5643">
        <w:rPr>
          <w:snapToGrid w:val="0"/>
          <w:kern w:val="22"/>
          <w:szCs w:val="22"/>
          <w:lang w:val="ru-RU"/>
        </w:rPr>
        <w:t>Сторон сообщили, что в текущем отчетном периоде</w:t>
      </w:r>
      <w:r w:rsidR="004569FB" w:rsidRPr="00DB5643">
        <w:rPr>
          <w:snapToGrid w:val="0"/>
          <w:kern w:val="22"/>
          <w:szCs w:val="22"/>
          <w:lang w:val="ru-RU"/>
        </w:rPr>
        <w:t xml:space="preserve"> </w:t>
      </w:r>
      <w:r w:rsidR="00FE3717" w:rsidRPr="00DB5643">
        <w:rPr>
          <w:snapToGrid w:val="0"/>
          <w:kern w:val="22"/>
          <w:szCs w:val="22"/>
          <w:lang w:val="ru-RU"/>
        </w:rPr>
        <w:t>осуществлялась деятельность по развитию и/или укреплению людских ресурсов и организационного потенциала в области</w:t>
      </w:r>
      <w:r w:rsidR="004569FB" w:rsidRPr="00DB5643">
        <w:rPr>
          <w:snapToGrid w:val="0"/>
          <w:kern w:val="22"/>
          <w:szCs w:val="22"/>
          <w:lang w:val="ru-RU"/>
        </w:rPr>
        <w:t xml:space="preserve"> </w:t>
      </w:r>
      <w:r w:rsidR="00FE3717" w:rsidRPr="00DB5643">
        <w:rPr>
          <w:snapToGrid w:val="0"/>
          <w:kern w:val="22"/>
          <w:szCs w:val="22"/>
          <w:lang w:val="ru-RU"/>
        </w:rPr>
        <w:t>ответственности и возмещения</w:t>
      </w:r>
      <w:r w:rsidR="004569FB" w:rsidRPr="00DB5643">
        <w:rPr>
          <w:snapToGrid w:val="0"/>
          <w:kern w:val="22"/>
          <w:szCs w:val="22"/>
          <w:lang w:val="ru-RU"/>
        </w:rPr>
        <w:t xml:space="preserve">. </w:t>
      </w:r>
      <w:r w:rsidR="00FE3717" w:rsidRPr="00DB5643">
        <w:rPr>
          <w:snapToGrid w:val="0"/>
          <w:kern w:val="22"/>
          <w:szCs w:val="22"/>
          <w:lang w:val="ru-RU"/>
        </w:rPr>
        <w:t>По сравнению с третьим циклом отчетности, в рамках которого</w:t>
      </w:r>
      <w:r w:rsidR="004569FB" w:rsidRPr="00DB5643">
        <w:rPr>
          <w:snapToGrid w:val="0"/>
          <w:kern w:val="22"/>
          <w:szCs w:val="22"/>
          <w:lang w:val="ru-RU"/>
        </w:rPr>
        <w:t xml:space="preserve"> 12 </w:t>
      </w:r>
      <w:r w:rsidR="00FE3717" w:rsidRPr="00DB5643">
        <w:rPr>
          <w:snapToGrid w:val="0"/>
          <w:kern w:val="22"/>
          <w:szCs w:val="22"/>
          <w:lang w:val="ru-RU"/>
        </w:rPr>
        <w:t>Сторон сообщили о получении финансовой и/или</w:t>
      </w:r>
      <w:r w:rsidR="004569FB" w:rsidRPr="00DB5643">
        <w:rPr>
          <w:snapToGrid w:val="0"/>
          <w:kern w:val="22"/>
          <w:szCs w:val="22"/>
          <w:lang w:val="ru-RU"/>
        </w:rPr>
        <w:t xml:space="preserve"> </w:t>
      </w:r>
      <w:r w:rsidR="00FE3717" w:rsidRPr="00DB5643">
        <w:rPr>
          <w:snapToGrid w:val="0"/>
          <w:kern w:val="22"/>
          <w:szCs w:val="22"/>
          <w:lang w:val="ru-RU"/>
        </w:rPr>
        <w:t xml:space="preserve">технической помощи для создания потенциала в области ответственности и возмещения, связанных с </w:t>
      </w:r>
      <w:proofErr w:type="spellStart"/>
      <w:r w:rsidR="00FE3717" w:rsidRPr="00DB5643">
        <w:rPr>
          <w:snapToGrid w:val="0"/>
          <w:kern w:val="22"/>
          <w:szCs w:val="22"/>
          <w:lang w:val="ru-RU"/>
        </w:rPr>
        <w:t>ЖИО</w:t>
      </w:r>
      <w:proofErr w:type="spellEnd"/>
      <w:r w:rsidR="004569FB" w:rsidRPr="00DB5643">
        <w:rPr>
          <w:snapToGrid w:val="0"/>
          <w:kern w:val="22"/>
          <w:szCs w:val="22"/>
          <w:lang w:val="ru-RU"/>
        </w:rPr>
        <w:t xml:space="preserve">, </w:t>
      </w:r>
      <w:r w:rsidR="00FE3717" w:rsidRPr="00DB5643">
        <w:rPr>
          <w:snapToGrid w:val="0"/>
          <w:kern w:val="22"/>
          <w:szCs w:val="22"/>
          <w:lang w:val="ru-RU"/>
        </w:rPr>
        <w:t xml:space="preserve">это составляет увеличение на </w:t>
      </w:r>
      <w:r w:rsidR="004569FB" w:rsidRPr="00DB5643">
        <w:rPr>
          <w:snapToGrid w:val="0"/>
          <w:kern w:val="22"/>
          <w:szCs w:val="22"/>
          <w:lang w:val="ru-RU"/>
        </w:rPr>
        <w:t xml:space="preserve">5 </w:t>
      </w:r>
      <w:r w:rsidR="00FE3717" w:rsidRPr="00DB5643">
        <w:rPr>
          <w:snapToGrid w:val="0"/>
          <w:kern w:val="22"/>
          <w:szCs w:val="22"/>
          <w:lang w:val="ru-RU"/>
        </w:rPr>
        <w:t>Сторон</w:t>
      </w:r>
      <w:r w:rsidR="004569FB" w:rsidRPr="00DB5643">
        <w:rPr>
          <w:snapToGrid w:val="0"/>
          <w:kern w:val="22"/>
          <w:szCs w:val="22"/>
          <w:lang w:val="ru-RU"/>
        </w:rPr>
        <w:t xml:space="preserve">, </w:t>
      </w:r>
      <w:r w:rsidR="00FE3717" w:rsidRPr="00DB5643">
        <w:rPr>
          <w:snapToGrid w:val="0"/>
          <w:kern w:val="22"/>
          <w:szCs w:val="22"/>
          <w:lang w:val="ru-RU"/>
        </w:rPr>
        <w:t>при этом</w:t>
      </w:r>
      <w:r w:rsidR="004626A8" w:rsidRPr="00DB5643">
        <w:rPr>
          <w:snapToGrid w:val="0"/>
          <w:kern w:val="22"/>
          <w:szCs w:val="22"/>
          <w:lang w:val="ru-RU"/>
        </w:rPr>
        <w:t xml:space="preserve"> наибольшее увеличение приходится на Африканский регион</w:t>
      </w:r>
      <w:r w:rsidR="004569FB" w:rsidRPr="00DB5643">
        <w:rPr>
          <w:snapToGrid w:val="0"/>
          <w:kern w:val="22"/>
          <w:szCs w:val="22"/>
          <w:lang w:val="ru-RU"/>
        </w:rPr>
        <w:t xml:space="preserve">. </w:t>
      </w:r>
    </w:p>
    <w:p w14:paraId="10E7BA33" w14:textId="32885E41" w:rsidR="004569FB" w:rsidRPr="00DB5643" w:rsidRDefault="004626A8"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Информация 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2.4.2</w:t>
      </w:r>
      <w:r w:rsidR="004569FB" w:rsidRPr="00DB5643">
        <w:rPr>
          <w:snapToGrid w:val="0"/>
          <w:kern w:val="22"/>
          <w:szCs w:val="22"/>
          <w:lang w:val="ru-RU"/>
        </w:rPr>
        <w:t xml:space="preserve"> (</w:t>
      </w:r>
      <w:r w:rsidRPr="00DB5643">
        <w:rPr>
          <w:snapToGrid w:val="0"/>
          <w:kern w:val="22"/>
          <w:szCs w:val="22"/>
          <w:lang w:val="ru-RU"/>
        </w:rPr>
        <w:t>число национальных административных или правовых документов, выявленных, исправленных или нововведенных, которые отвечают целям международных правил и процедур в области ответственности и возмещения</w:t>
      </w:r>
      <w:r w:rsidR="004569FB" w:rsidRPr="00DB5643">
        <w:rPr>
          <w:snapToGrid w:val="0"/>
          <w:kern w:val="22"/>
          <w:szCs w:val="22"/>
          <w:lang w:val="ru-RU"/>
        </w:rPr>
        <w:t xml:space="preserve">) </w:t>
      </w:r>
      <w:r w:rsidRPr="00DB5643">
        <w:rPr>
          <w:snapToGrid w:val="0"/>
          <w:kern w:val="22"/>
          <w:szCs w:val="22"/>
          <w:lang w:val="ru-RU"/>
        </w:rPr>
        <w:t>отсутствует</w:t>
      </w:r>
      <w:r w:rsidR="004569FB" w:rsidRPr="00DB5643">
        <w:rPr>
          <w:snapToGrid w:val="0"/>
          <w:kern w:val="22"/>
          <w:szCs w:val="22"/>
          <w:lang w:val="ru-RU"/>
        </w:rPr>
        <w:t xml:space="preserve">, </w:t>
      </w:r>
      <w:r w:rsidRPr="00DB5643">
        <w:rPr>
          <w:snapToGrid w:val="0"/>
          <w:kern w:val="22"/>
          <w:szCs w:val="22"/>
          <w:lang w:val="ru-RU"/>
        </w:rPr>
        <w:t xml:space="preserve">поэтому следует ссылаться на связанный </w:t>
      </w:r>
      <w:r w:rsidRPr="00DB5643">
        <w:rPr>
          <w:b/>
          <w:snapToGrid w:val="0"/>
          <w:kern w:val="22"/>
          <w:szCs w:val="22"/>
          <w:lang w:val="ru-RU"/>
        </w:rPr>
        <w:t>индикатор</w:t>
      </w:r>
      <w:r w:rsidR="004569FB" w:rsidRPr="00DB5643">
        <w:rPr>
          <w:snapToGrid w:val="0"/>
          <w:kern w:val="22"/>
          <w:szCs w:val="22"/>
          <w:lang w:val="ru-RU"/>
        </w:rPr>
        <w:t xml:space="preserve"> </w:t>
      </w:r>
      <w:r w:rsidR="004569FB" w:rsidRPr="00DB5643">
        <w:rPr>
          <w:b/>
          <w:bCs/>
          <w:snapToGrid w:val="0"/>
          <w:kern w:val="22"/>
          <w:szCs w:val="22"/>
          <w:lang w:val="ru-RU"/>
        </w:rPr>
        <w:t>1.5.2</w:t>
      </w:r>
      <w:r w:rsidRPr="00DB5643">
        <w:rPr>
          <w:snapToGrid w:val="0"/>
          <w:kern w:val="22"/>
          <w:szCs w:val="22"/>
          <w:lang w:val="ru-RU"/>
        </w:rPr>
        <w:t>, описанный выше</w:t>
      </w:r>
      <w:r w:rsidR="004569FB" w:rsidRPr="00DB5643">
        <w:rPr>
          <w:snapToGrid w:val="0"/>
          <w:kern w:val="22"/>
          <w:szCs w:val="22"/>
          <w:lang w:val="ru-RU"/>
        </w:rPr>
        <w:t>.</w:t>
      </w:r>
      <w:bookmarkStart w:id="20" w:name="_Hlk30682099"/>
      <w:bookmarkEnd w:id="18"/>
    </w:p>
    <w:bookmarkEnd w:id="20"/>
    <w:p w14:paraId="155F8A13" w14:textId="4560CEFF" w:rsidR="004569FB" w:rsidRPr="00DB5643" w:rsidRDefault="004626A8" w:rsidP="000A5388">
      <w:pPr>
        <w:keepNext/>
        <w:numPr>
          <w:ilvl w:val="0"/>
          <w:numId w:val="17"/>
        </w:numPr>
        <w:suppressLineNumbers/>
        <w:tabs>
          <w:tab w:val="clear" w:pos="2070"/>
          <w:tab w:val="left" w:pos="360"/>
        </w:tabs>
        <w:suppressAutoHyphens/>
        <w:spacing w:before="120" w:after="120"/>
        <w:ind w:left="0" w:firstLine="0"/>
        <w:jc w:val="center"/>
        <w:outlineLvl w:val="1"/>
        <w:rPr>
          <w:b/>
          <w:iCs/>
          <w:snapToGrid w:val="0"/>
          <w:kern w:val="22"/>
          <w:szCs w:val="22"/>
          <w:lang w:val="ru-RU"/>
        </w:rPr>
      </w:pPr>
      <w:r w:rsidRPr="00DB5643">
        <w:rPr>
          <w:b/>
          <w:iCs/>
          <w:snapToGrid w:val="0"/>
          <w:kern w:val="22"/>
          <w:szCs w:val="22"/>
          <w:lang w:val="ru-RU"/>
        </w:rPr>
        <w:t xml:space="preserve">Обработка, транспортировка, упаковка и идентификация (оперативные цели </w:t>
      </w:r>
      <w:r w:rsidR="004569FB" w:rsidRPr="00DB5643">
        <w:rPr>
          <w:b/>
          <w:iCs/>
          <w:snapToGrid w:val="0"/>
          <w:kern w:val="22"/>
          <w:szCs w:val="22"/>
          <w:lang w:val="ru-RU"/>
        </w:rPr>
        <w:t xml:space="preserve">1.6 </w:t>
      </w:r>
      <w:r w:rsidRPr="00DB5643">
        <w:rPr>
          <w:b/>
          <w:iCs/>
          <w:snapToGrid w:val="0"/>
          <w:kern w:val="22"/>
          <w:szCs w:val="22"/>
          <w:lang w:val="ru-RU"/>
        </w:rPr>
        <w:t>и</w:t>
      </w:r>
      <w:r w:rsidR="004569FB" w:rsidRPr="00DB5643">
        <w:rPr>
          <w:b/>
          <w:iCs/>
          <w:snapToGrid w:val="0"/>
          <w:kern w:val="22"/>
          <w:szCs w:val="22"/>
          <w:lang w:val="ru-RU"/>
        </w:rPr>
        <w:t xml:space="preserve"> 2.3)</w:t>
      </w:r>
    </w:p>
    <w:p w14:paraId="0D40BA38" w14:textId="7BB995AD" w:rsidR="004569FB" w:rsidRPr="00DB5643" w:rsidRDefault="004626A8" w:rsidP="000A5388">
      <w:pPr>
        <w:keepNext/>
        <w:suppressLineNumbers/>
        <w:tabs>
          <w:tab w:val="left" w:pos="2552"/>
        </w:tabs>
        <w:suppressAutoHyphens/>
        <w:spacing w:before="120" w:after="120"/>
        <w:outlineLvl w:val="2"/>
        <w:rPr>
          <w:b/>
          <w:iCs/>
          <w:snapToGrid w:val="0"/>
          <w:kern w:val="22"/>
          <w:szCs w:val="22"/>
          <w:lang w:val="ru-RU"/>
        </w:rPr>
      </w:pPr>
      <w:r w:rsidRPr="00DB5643">
        <w:rPr>
          <w:b/>
          <w:iCs/>
          <w:snapToGrid w:val="0"/>
          <w:kern w:val="22"/>
          <w:szCs w:val="22"/>
          <w:lang w:val="ru-RU"/>
        </w:rPr>
        <w:t>Оперативная цель 1.6. Обработка, транспортировка, упаковка и идентификация</w:t>
      </w:r>
    </w:p>
    <w:p w14:paraId="0734BC7B" w14:textId="5F3D3137" w:rsidR="004569FB" w:rsidRPr="00DB5643" w:rsidRDefault="008D7BE9" w:rsidP="004569FB">
      <w:pPr>
        <w:pStyle w:val="a3"/>
        <w:numPr>
          <w:ilvl w:val="0"/>
          <w:numId w:val="9"/>
        </w:numPr>
        <w:tabs>
          <w:tab w:val="clear" w:pos="3240"/>
        </w:tabs>
        <w:snapToGrid w:val="0"/>
        <w:ind w:left="0" w:firstLine="0"/>
        <w:rPr>
          <w:bCs/>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1.6.1</w:t>
      </w:r>
      <w:r w:rsidR="004569FB" w:rsidRPr="00DB5643">
        <w:rPr>
          <w:snapToGrid w:val="0"/>
          <w:kern w:val="22"/>
          <w:szCs w:val="22"/>
          <w:lang w:val="ru-RU"/>
        </w:rPr>
        <w:t xml:space="preserve"> (</w:t>
      </w:r>
      <w:r w:rsidRPr="00DB5643">
        <w:rPr>
          <w:snapToGrid w:val="0"/>
          <w:kern w:val="22"/>
          <w:szCs w:val="22"/>
          <w:lang w:val="ru-RU"/>
        </w:rPr>
        <w:t xml:space="preserve">процентная доля Сторон, которые ввели требования к документации для </w:t>
      </w:r>
      <w:proofErr w:type="spellStart"/>
      <w:r w:rsidRPr="00DB5643">
        <w:rPr>
          <w:snapToGrid w:val="0"/>
          <w:kern w:val="22"/>
          <w:szCs w:val="22"/>
          <w:lang w:val="ru-RU"/>
        </w:rPr>
        <w:t>ЖИО</w:t>
      </w:r>
      <w:proofErr w:type="spellEnd"/>
      <w:r w:rsidRPr="00DB5643">
        <w:rPr>
          <w:snapToGrid w:val="0"/>
          <w:kern w:val="22"/>
          <w:szCs w:val="22"/>
          <w:lang w:val="ru-RU"/>
        </w:rPr>
        <w:t>, предназначенных для непосредственного использования в качестве продовольствия или корма или для обработки</w:t>
      </w:r>
      <w:r w:rsidR="004569FB" w:rsidRPr="00DB5643">
        <w:rPr>
          <w:snapToGrid w:val="0"/>
          <w:kern w:val="22"/>
          <w:szCs w:val="22"/>
          <w:lang w:val="ru-RU"/>
        </w:rPr>
        <w:t>)</w:t>
      </w:r>
      <w:r w:rsidR="004569FB" w:rsidRPr="00DB5643">
        <w:rPr>
          <w:b/>
          <w:iCs/>
          <w:snapToGrid w:val="0"/>
          <w:kern w:val="22"/>
          <w:szCs w:val="22"/>
          <w:lang w:val="ru-RU"/>
        </w:rPr>
        <w:t xml:space="preserve"> </w:t>
      </w:r>
      <w:r w:rsidR="004569FB" w:rsidRPr="00DB5643">
        <w:rPr>
          <w:snapToGrid w:val="0"/>
          <w:kern w:val="22"/>
          <w:szCs w:val="22"/>
          <w:lang w:val="ru-RU"/>
        </w:rPr>
        <w:t>55</w:t>
      </w:r>
      <w:r w:rsidRPr="00DB5643">
        <w:rPr>
          <w:snapToGrid w:val="0"/>
          <w:kern w:val="22"/>
          <w:szCs w:val="22"/>
          <w:lang w:val="en-US"/>
        </w:rPr>
        <w:t> </w:t>
      </w:r>
      <w:r w:rsidR="004569FB" w:rsidRPr="00DB5643">
        <w:rPr>
          <w:bCs/>
          <w:snapToGrid w:val="0"/>
          <w:kern w:val="22"/>
          <w:szCs w:val="22"/>
          <w:lang w:val="ru-RU"/>
        </w:rPr>
        <w:t xml:space="preserve">% </w:t>
      </w:r>
      <w:r w:rsidRPr="00DB5643">
        <w:rPr>
          <w:bCs/>
          <w:snapToGrid w:val="0"/>
          <w:kern w:val="22"/>
          <w:szCs w:val="22"/>
          <w:lang w:val="ru-RU"/>
        </w:rPr>
        <w:t>Сторон</w:t>
      </w:r>
      <w:r w:rsidR="004569FB" w:rsidRPr="00DB5643">
        <w:rPr>
          <w:bCs/>
          <w:snapToGrid w:val="0"/>
          <w:kern w:val="22"/>
          <w:szCs w:val="22"/>
          <w:lang w:val="ru-RU"/>
        </w:rPr>
        <w:t xml:space="preserve"> </w:t>
      </w:r>
      <w:r w:rsidR="00963E79" w:rsidRPr="00DB5643">
        <w:rPr>
          <w:bCs/>
          <w:snapToGrid w:val="0"/>
          <w:kern w:val="22"/>
          <w:szCs w:val="22"/>
          <w:lang w:val="ru-RU"/>
        </w:rPr>
        <w:t xml:space="preserve">(51 </w:t>
      </w:r>
      <w:r w:rsidRPr="00DB5643">
        <w:rPr>
          <w:bCs/>
          <w:snapToGrid w:val="0"/>
          <w:kern w:val="22"/>
          <w:szCs w:val="22"/>
          <w:lang w:val="ru-RU"/>
        </w:rPr>
        <w:t>Сторона</w:t>
      </w:r>
      <w:r w:rsidR="00963E79" w:rsidRPr="00DB5643">
        <w:rPr>
          <w:bCs/>
          <w:snapToGrid w:val="0"/>
          <w:kern w:val="22"/>
          <w:szCs w:val="22"/>
          <w:lang w:val="ru-RU"/>
        </w:rPr>
        <w:t xml:space="preserve">) </w:t>
      </w:r>
      <w:r w:rsidRPr="00DB5643">
        <w:rPr>
          <w:bCs/>
          <w:snapToGrid w:val="0"/>
          <w:kern w:val="22"/>
          <w:szCs w:val="22"/>
          <w:lang w:val="ru-RU"/>
        </w:rPr>
        <w:t xml:space="preserve">сообщили о </w:t>
      </w:r>
      <w:r w:rsidR="005C3ADB" w:rsidRPr="00DB5643">
        <w:rPr>
          <w:bCs/>
          <w:snapToGrid w:val="0"/>
          <w:kern w:val="22"/>
          <w:szCs w:val="22"/>
          <w:lang w:val="ru-RU"/>
        </w:rPr>
        <w:t>принятии</w:t>
      </w:r>
      <w:r w:rsidRPr="00DB5643">
        <w:rPr>
          <w:bCs/>
          <w:snapToGrid w:val="0"/>
          <w:kern w:val="22"/>
          <w:szCs w:val="22"/>
          <w:lang w:val="ru-RU"/>
        </w:rPr>
        <w:t xml:space="preserve"> мер, требующих, чтобы в документации, сопровождающей </w:t>
      </w:r>
      <w:proofErr w:type="spellStart"/>
      <w:r w:rsidRPr="00DB5643">
        <w:rPr>
          <w:bCs/>
          <w:snapToGrid w:val="0"/>
          <w:kern w:val="22"/>
          <w:szCs w:val="22"/>
          <w:lang w:val="ru-RU"/>
        </w:rPr>
        <w:t>ЖИО-ПКО</w:t>
      </w:r>
      <w:proofErr w:type="spellEnd"/>
      <w:r w:rsidRPr="00DB5643">
        <w:rPr>
          <w:bCs/>
          <w:snapToGrid w:val="0"/>
          <w:kern w:val="22"/>
          <w:szCs w:val="22"/>
          <w:lang w:val="ru-RU"/>
        </w:rPr>
        <w:t xml:space="preserve">, в случаях, когда идентификационные данные </w:t>
      </w:r>
      <w:proofErr w:type="spellStart"/>
      <w:r w:rsidRPr="00DB5643">
        <w:rPr>
          <w:bCs/>
          <w:snapToGrid w:val="0"/>
          <w:kern w:val="22"/>
          <w:szCs w:val="22"/>
          <w:lang w:val="ru-RU"/>
        </w:rPr>
        <w:t>ЖИО</w:t>
      </w:r>
      <w:proofErr w:type="spellEnd"/>
      <w:r w:rsidRPr="00DB5643">
        <w:rPr>
          <w:bCs/>
          <w:snapToGrid w:val="0"/>
          <w:kern w:val="22"/>
          <w:szCs w:val="22"/>
          <w:lang w:val="ru-RU"/>
        </w:rPr>
        <w:t xml:space="preserve"> неизвестны</w:t>
      </w:r>
      <w:r w:rsidR="004569FB" w:rsidRPr="00DB5643">
        <w:rPr>
          <w:bCs/>
          <w:snapToGrid w:val="0"/>
          <w:kern w:val="22"/>
          <w:szCs w:val="22"/>
          <w:lang w:val="ru-RU"/>
        </w:rPr>
        <w:t>,</w:t>
      </w:r>
      <w:r w:rsidRPr="00DB5643">
        <w:rPr>
          <w:bCs/>
          <w:snapToGrid w:val="0"/>
          <w:kern w:val="22"/>
          <w:szCs w:val="22"/>
          <w:lang w:val="ru-RU"/>
        </w:rPr>
        <w:t xml:space="preserve"> четко указывалось, что груз может содержать</w:t>
      </w:r>
      <w:r w:rsidR="004569FB" w:rsidRPr="00DB5643">
        <w:rPr>
          <w:bCs/>
          <w:snapToGrid w:val="0"/>
          <w:kern w:val="22"/>
          <w:szCs w:val="22"/>
          <w:lang w:val="ru-RU"/>
        </w:rPr>
        <w:t xml:space="preserve"> </w:t>
      </w:r>
      <w:proofErr w:type="spellStart"/>
      <w:r w:rsidRPr="00DB5643">
        <w:rPr>
          <w:bCs/>
          <w:snapToGrid w:val="0"/>
          <w:kern w:val="22"/>
          <w:szCs w:val="22"/>
          <w:lang w:val="ru-RU"/>
        </w:rPr>
        <w:t>ЖИО</w:t>
      </w:r>
      <w:proofErr w:type="spellEnd"/>
      <w:r w:rsidRPr="00DB5643">
        <w:rPr>
          <w:bCs/>
          <w:snapToGrid w:val="0"/>
          <w:kern w:val="22"/>
          <w:szCs w:val="22"/>
          <w:lang w:val="ru-RU"/>
        </w:rPr>
        <w:t>,</w:t>
      </w:r>
      <w:r w:rsidRPr="00DB5643">
        <w:rPr>
          <w:rFonts w:eastAsia="Times New Roman" w:cs="Times New Roman"/>
          <w:sz w:val="24"/>
          <w:lang w:val="ru-RU" w:bidi="he-IL"/>
        </w:rPr>
        <w:t xml:space="preserve"> </w:t>
      </w:r>
      <w:r w:rsidRPr="00DB5643">
        <w:rPr>
          <w:bCs/>
          <w:snapToGrid w:val="0"/>
          <w:kern w:val="22"/>
          <w:szCs w:val="22"/>
          <w:lang w:val="ru-RU"/>
        </w:rPr>
        <w:t>не предназначенные для преднамеренной интродукции в окружающую среду</w:t>
      </w:r>
      <w:r w:rsidR="004569FB" w:rsidRPr="00DB5643">
        <w:rPr>
          <w:bCs/>
          <w:snapToGrid w:val="0"/>
          <w:kern w:val="22"/>
          <w:szCs w:val="22"/>
          <w:lang w:val="ru-RU"/>
        </w:rPr>
        <w:t xml:space="preserve">. </w:t>
      </w:r>
      <w:r w:rsidR="00827900" w:rsidRPr="00DB5643">
        <w:rPr>
          <w:bCs/>
          <w:snapToGrid w:val="0"/>
          <w:kern w:val="22"/>
          <w:szCs w:val="22"/>
          <w:lang w:val="ru-RU"/>
        </w:rPr>
        <w:t>Это соответствует увеличению на</w:t>
      </w:r>
      <w:r w:rsidR="004569FB" w:rsidRPr="00DB5643">
        <w:rPr>
          <w:bCs/>
          <w:snapToGrid w:val="0"/>
          <w:kern w:val="22"/>
          <w:szCs w:val="22"/>
          <w:lang w:val="ru-RU"/>
        </w:rPr>
        <w:t xml:space="preserve"> 11</w:t>
      </w:r>
      <w:r w:rsidR="00827900" w:rsidRPr="00DB5643">
        <w:rPr>
          <w:bCs/>
          <w:snapToGrid w:val="0"/>
          <w:kern w:val="22"/>
          <w:szCs w:val="22"/>
          <w:lang w:val="en-US"/>
        </w:rPr>
        <w:t> </w:t>
      </w:r>
      <w:r w:rsidR="004569FB" w:rsidRPr="00DB5643">
        <w:rPr>
          <w:bCs/>
          <w:snapToGrid w:val="0"/>
          <w:kern w:val="22"/>
          <w:szCs w:val="22"/>
          <w:lang w:val="ru-RU"/>
        </w:rPr>
        <w:t xml:space="preserve">% </w:t>
      </w:r>
      <w:r w:rsidR="00827900" w:rsidRPr="00DB5643">
        <w:rPr>
          <w:bCs/>
          <w:snapToGrid w:val="0"/>
          <w:kern w:val="22"/>
          <w:szCs w:val="22"/>
          <w:lang w:val="ru-RU"/>
        </w:rPr>
        <w:t>по сравнению с исходным уровнем</w:t>
      </w:r>
      <w:r w:rsidR="004569FB" w:rsidRPr="00DB5643">
        <w:rPr>
          <w:bCs/>
          <w:snapToGrid w:val="0"/>
          <w:kern w:val="22"/>
          <w:szCs w:val="22"/>
          <w:lang w:val="ru-RU"/>
        </w:rPr>
        <w:t xml:space="preserve"> (</w:t>
      </w:r>
      <w:r w:rsidR="007E67E3" w:rsidRPr="00DB5643">
        <w:rPr>
          <w:snapToGrid w:val="0"/>
          <w:kern w:val="22"/>
          <w:szCs w:val="22"/>
          <w:lang w:val="ru-RU"/>
        </w:rPr>
        <w:t>при следующих региональных изменениях</w:t>
      </w:r>
      <w:r w:rsidR="004569FB" w:rsidRPr="00DB5643">
        <w:rPr>
          <w:bCs/>
          <w:snapToGrid w:val="0"/>
          <w:kern w:val="22"/>
          <w:szCs w:val="22"/>
          <w:lang w:val="ru-RU"/>
        </w:rPr>
        <w:t xml:space="preserve">: </w:t>
      </w:r>
      <w:r w:rsidR="00827900" w:rsidRPr="00DB5643">
        <w:rPr>
          <w:bCs/>
          <w:snapToGrid w:val="0"/>
          <w:kern w:val="22"/>
          <w:szCs w:val="22"/>
          <w:lang w:val="ru-RU"/>
        </w:rPr>
        <w:t>Африка:</w:t>
      </w:r>
      <w:r w:rsidR="004569FB" w:rsidRPr="00DB5643">
        <w:rPr>
          <w:bCs/>
          <w:snapToGrid w:val="0"/>
          <w:kern w:val="22"/>
          <w:szCs w:val="22"/>
          <w:lang w:val="ru-RU"/>
        </w:rPr>
        <w:t xml:space="preserve"> +</w:t>
      </w:r>
      <w:r w:rsidR="00406C33" w:rsidRPr="00DB5643">
        <w:rPr>
          <w:bCs/>
          <w:snapToGrid w:val="0"/>
          <w:kern w:val="22"/>
          <w:szCs w:val="22"/>
          <w:lang w:val="ru-RU"/>
        </w:rPr>
        <w:t>23</w:t>
      </w:r>
      <w:r w:rsidR="00827900" w:rsidRPr="00DB5643">
        <w:rPr>
          <w:bCs/>
          <w:snapToGrid w:val="0"/>
          <w:kern w:val="22"/>
          <w:szCs w:val="22"/>
          <w:lang w:val="ru-RU"/>
        </w:rPr>
        <w:t> </w:t>
      </w:r>
      <w:r w:rsidR="004569FB" w:rsidRPr="00DB5643">
        <w:rPr>
          <w:bCs/>
          <w:snapToGrid w:val="0"/>
          <w:kern w:val="22"/>
          <w:szCs w:val="22"/>
          <w:lang w:val="ru-RU"/>
        </w:rPr>
        <w:t xml:space="preserve">%; </w:t>
      </w:r>
      <w:proofErr w:type="spellStart"/>
      <w:r w:rsidR="00827900" w:rsidRPr="00DB5643">
        <w:rPr>
          <w:bCs/>
          <w:snapToGrid w:val="0"/>
          <w:kern w:val="22"/>
          <w:szCs w:val="22"/>
          <w:lang w:val="ru-RU"/>
        </w:rPr>
        <w:t>ГРУЛАК</w:t>
      </w:r>
      <w:proofErr w:type="spellEnd"/>
      <w:r w:rsidR="00827900" w:rsidRPr="00DB5643">
        <w:rPr>
          <w:bCs/>
          <w:snapToGrid w:val="0"/>
          <w:kern w:val="22"/>
          <w:szCs w:val="22"/>
          <w:lang w:val="ru-RU"/>
        </w:rPr>
        <w:t>:</w:t>
      </w:r>
      <w:r w:rsidR="00406C33" w:rsidRPr="00DB5643">
        <w:rPr>
          <w:bCs/>
          <w:snapToGrid w:val="0"/>
          <w:kern w:val="22"/>
          <w:szCs w:val="22"/>
          <w:lang w:val="ru-RU"/>
        </w:rPr>
        <w:t xml:space="preserve"> +8</w:t>
      </w:r>
      <w:r w:rsidR="00827900" w:rsidRPr="00DB5643">
        <w:rPr>
          <w:bCs/>
          <w:snapToGrid w:val="0"/>
          <w:kern w:val="22"/>
          <w:szCs w:val="22"/>
          <w:lang w:val="ru-RU"/>
        </w:rPr>
        <w:t> </w:t>
      </w:r>
      <w:r w:rsidR="00406C33" w:rsidRPr="00DB5643">
        <w:rPr>
          <w:bCs/>
          <w:snapToGrid w:val="0"/>
          <w:kern w:val="22"/>
          <w:szCs w:val="22"/>
          <w:lang w:val="ru-RU"/>
        </w:rPr>
        <w:t xml:space="preserve">%; </w:t>
      </w:r>
      <w:r w:rsidR="00827900" w:rsidRPr="00DB5643">
        <w:rPr>
          <w:bCs/>
          <w:snapToGrid w:val="0"/>
          <w:kern w:val="22"/>
          <w:szCs w:val="22"/>
          <w:lang w:val="ru-RU"/>
        </w:rPr>
        <w:t>Азиатско-Тихоокеанский регион:</w:t>
      </w:r>
      <w:r w:rsidR="00406C33" w:rsidRPr="00DB5643">
        <w:rPr>
          <w:bCs/>
          <w:snapToGrid w:val="0"/>
          <w:kern w:val="22"/>
          <w:szCs w:val="22"/>
          <w:lang w:val="ru-RU"/>
        </w:rPr>
        <w:t xml:space="preserve"> +6</w:t>
      </w:r>
      <w:r w:rsidR="00827900" w:rsidRPr="00DB5643">
        <w:rPr>
          <w:bCs/>
          <w:snapToGrid w:val="0"/>
          <w:kern w:val="22"/>
          <w:szCs w:val="22"/>
          <w:lang w:val="ru-RU"/>
        </w:rPr>
        <w:t> </w:t>
      </w:r>
      <w:r w:rsidR="00406C33" w:rsidRPr="00DB5643">
        <w:rPr>
          <w:bCs/>
          <w:snapToGrid w:val="0"/>
          <w:kern w:val="22"/>
          <w:szCs w:val="22"/>
          <w:lang w:val="ru-RU"/>
        </w:rPr>
        <w:t>%;</w:t>
      </w:r>
      <w:r w:rsidR="004569FB" w:rsidRPr="00DB5643">
        <w:rPr>
          <w:bCs/>
          <w:snapToGrid w:val="0"/>
          <w:kern w:val="22"/>
          <w:szCs w:val="22"/>
          <w:lang w:val="ru-RU"/>
        </w:rPr>
        <w:t xml:space="preserve"> </w:t>
      </w:r>
      <w:proofErr w:type="spellStart"/>
      <w:r w:rsidR="004569FB" w:rsidRPr="00DB5643">
        <w:rPr>
          <w:bCs/>
          <w:snapToGrid w:val="0"/>
          <w:kern w:val="22"/>
          <w:szCs w:val="22"/>
        </w:rPr>
        <w:t>CEE</w:t>
      </w:r>
      <w:proofErr w:type="spellEnd"/>
      <w:r w:rsidR="00827900" w:rsidRPr="00DB5643">
        <w:rPr>
          <w:bCs/>
          <w:snapToGrid w:val="0"/>
          <w:kern w:val="22"/>
          <w:szCs w:val="22"/>
          <w:lang w:val="ru-RU"/>
        </w:rPr>
        <w:t>:</w:t>
      </w:r>
      <w:r w:rsidR="004569FB" w:rsidRPr="00DB5643">
        <w:rPr>
          <w:bCs/>
          <w:snapToGrid w:val="0"/>
          <w:kern w:val="22"/>
          <w:szCs w:val="22"/>
          <w:lang w:val="ru-RU"/>
        </w:rPr>
        <w:t xml:space="preserve"> </w:t>
      </w:r>
      <w:r w:rsidR="00406C33" w:rsidRPr="00DB5643">
        <w:rPr>
          <w:bCs/>
          <w:snapToGrid w:val="0"/>
          <w:kern w:val="22"/>
          <w:szCs w:val="22"/>
          <w:lang w:val="ru-RU"/>
        </w:rPr>
        <w:t>+6</w:t>
      </w:r>
      <w:r w:rsidR="00827900" w:rsidRPr="00DB5643">
        <w:rPr>
          <w:bCs/>
          <w:snapToGrid w:val="0"/>
          <w:kern w:val="22"/>
          <w:szCs w:val="22"/>
          <w:lang w:val="ru-RU"/>
        </w:rPr>
        <w:t> </w:t>
      </w:r>
      <w:r w:rsidR="00406C33" w:rsidRPr="00DB5643">
        <w:rPr>
          <w:bCs/>
          <w:snapToGrid w:val="0"/>
          <w:kern w:val="22"/>
          <w:szCs w:val="22"/>
          <w:lang w:val="ru-RU"/>
        </w:rPr>
        <w:t xml:space="preserve">%; </w:t>
      </w:r>
      <w:proofErr w:type="spellStart"/>
      <w:r w:rsidR="004569FB" w:rsidRPr="00DB5643">
        <w:rPr>
          <w:bCs/>
          <w:snapToGrid w:val="0"/>
          <w:kern w:val="22"/>
          <w:szCs w:val="22"/>
        </w:rPr>
        <w:t>WEOG</w:t>
      </w:r>
      <w:proofErr w:type="spellEnd"/>
      <w:r w:rsidR="004569FB" w:rsidRPr="00DB5643">
        <w:rPr>
          <w:bCs/>
          <w:snapToGrid w:val="0"/>
          <w:kern w:val="22"/>
          <w:szCs w:val="22"/>
          <w:lang w:val="ru-RU"/>
        </w:rPr>
        <w:t xml:space="preserve">: </w:t>
      </w:r>
      <w:r w:rsidR="00827900" w:rsidRPr="00DB5643">
        <w:rPr>
          <w:snapToGrid w:val="0"/>
          <w:kern w:val="22"/>
          <w:szCs w:val="22"/>
          <w:lang w:val="ru-RU"/>
        </w:rPr>
        <w:t>без изменений по отношению к исходному уровню</w:t>
      </w:r>
      <w:r w:rsidR="004569FB" w:rsidRPr="00DB5643">
        <w:rPr>
          <w:bCs/>
          <w:snapToGrid w:val="0"/>
          <w:kern w:val="22"/>
          <w:szCs w:val="22"/>
          <w:lang w:val="ru-RU"/>
        </w:rPr>
        <w:t xml:space="preserve">). </w:t>
      </w:r>
      <w:r w:rsidR="00827900" w:rsidRPr="00DB5643">
        <w:rPr>
          <w:bCs/>
          <w:snapToGrid w:val="0"/>
          <w:kern w:val="22"/>
          <w:szCs w:val="22"/>
          <w:lang w:val="ru-RU"/>
        </w:rPr>
        <w:t>Кроме того</w:t>
      </w:r>
      <w:r w:rsidR="004569FB" w:rsidRPr="00DB5643">
        <w:rPr>
          <w:bCs/>
          <w:snapToGrid w:val="0"/>
          <w:kern w:val="22"/>
          <w:szCs w:val="22"/>
          <w:lang w:val="ru-RU"/>
        </w:rPr>
        <w:t>, 16</w:t>
      </w:r>
      <w:r w:rsidR="00827900" w:rsidRPr="00DB5643">
        <w:rPr>
          <w:bCs/>
          <w:snapToGrid w:val="0"/>
          <w:kern w:val="22"/>
          <w:szCs w:val="22"/>
          <w:lang w:val="en-US"/>
        </w:rPr>
        <w:t> </w:t>
      </w:r>
      <w:r w:rsidR="004569FB" w:rsidRPr="00DB5643">
        <w:rPr>
          <w:bCs/>
          <w:snapToGrid w:val="0"/>
          <w:kern w:val="22"/>
          <w:szCs w:val="22"/>
          <w:lang w:val="ru-RU"/>
        </w:rPr>
        <w:t xml:space="preserve">% </w:t>
      </w:r>
      <w:r w:rsidR="00827900" w:rsidRPr="00DB5643">
        <w:rPr>
          <w:bCs/>
          <w:snapToGrid w:val="0"/>
          <w:kern w:val="22"/>
          <w:szCs w:val="22"/>
          <w:lang w:val="ru-RU"/>
        </w:rPr>
        <w:t>Сторон</w:t>
      </w:r>
      <w:r w:rsidR="004569FB" w:rsidRPr="00DB5643">
        <w:rPr>
          <w:bCs/>
          <w:snapToGrid w:val="0"/>
          <w:kern w:val="22"/>
          <w:szCs w:val="22"/>
          <w:lang w:val="ru-RU"/>
        </w:rPr>
        <w:t xml:space="preserve"> </w:t>
      </w:r>
      <w:r w:rsidR="00963E79" w:rsidRPr="00DB5643">
        <w:rPr>
          <w:bCs/>
          <w:snapToGrid w:val="0"/>
          <w:kern w:val="22"/>
          <w:szCs w:val="22"/>
          <w:lang w:val="ru-RU"/>
        </w:rPr>
        <w:t xml:space="preserve">(15 </w:t>
      </w:r>
      <w:r w:rsidR="00827900" w:rsidRPr="00DB5643">
        <w:rPr>
          <w:bCs/>
          <w:snapToGrid w:val="0"/>
          <w:kern w:val="22"/>
          <w:szCs w:val="22"/>
          <w:lang w:val="ru-RU"/>
        </w:rPr>
        <w:t>Сторон</w:t>
      </w:r>
      <w:r w:rsidR="00963E79" w:rsidRPr="00DB5643">
        <w:rPr>
          <w:bCs/>
          <w:snapToGrid w:val="0"/>
          <w:kern w:val="22"/>
          <w:szCs w:val="22"/>
          <w:lang w:val="ru-RU"/>
        </w:rPr>
        <w:t xml:space="preserve">) </w:t>
      </w:r>
      <w:r w:rsidR="00827900" w:rsidRPr="00DB5643">
        <w:rPr>
          <w:bCs/>
          <w:snapToGrid w:val="0"/>
          <w:kern w:val="22"/>
          <w:szCs w:val="22"/>
          <w:lang w:val="ru-RU"/>
        </w:rPr>
        <w:t xml:space="preserve">сообщили о </w:t>
      </w:r>
      <w:r w:rsidR="005C3ADB" w:rsidRPr="00DB5643">
        <w:rPr>
          <w:bCs/>
          <w:snapToGrid w:val="0"/>
          <w:kern w:val="22"/>
          <w:szCs w:val="22"/>
          <w:lang w:val="ru-RU"/>
        </w:rPr>
        <w:t>принятии</w:t>
      </w:r>
      <w:r w:rsidR="00827900" w:rsidRPr="00DB5643">
        <w:rPr>
          <w:bCs/>
          <w:snapToGrid w:val="0"/>
          <w:kern w:val="22"/>
          <w:szCs w:val="22"/>
          <w:lang w:val="ru-RU"/>
        </w:rPr>
        <w:t xml:space="preserve"> таких мер</w:t>
      </w:r>
      <w:r w:rsidR="00827900" w:rsidRPr="00DB5643">
        <w:rPr>
          <w:snapToGrid w:val="0"/>
          <w:kern w:val="22"/>
          <w:szCs w:val="22"/>
          <w:lang w:val="ru-RU"/>
        </w:rPr>
        <w:t xml:space="preserve"> в некоторой степени</w:t>
      </w:r>
      <w:r w:rsidR="004569FB" w:rsidRPr="00DB5643">
        <w:rPr>
          <w:bCs/>
          <w:snapToGrid w:val="0"/>
          <w:kern w:val="22"/>
          <w:szCs w:val="22"/>
          <w:lang w:val="ru-RU"/>
        </w:rPr>
        <w:t xml:space="preserve"> (</w:t>
      </w:r>
      <w:r w:rsidR="00827900" w:rsidRPr="00DB5643">
        <w:rPr>
          <w:snapToGrid w:val="0"/>
          <w:kern w:val="22"/>
          <w:szCs w:val="22"/>
          <w:lang w:val="ru-RU"/>
        </w:rPr>
        <w:t>без изменений по отношению к исходному уровню</w:t>
      </w:r>
      <w:r w:rsidR="004569FB" w:rsidRPr="00DB5643">
        <w:rPr>
          <w:bCs/>
          <w:snapToGrid w:val="0"/>
          <w:kern w:val="22"/>
          <w:szCs w:val="22"/>
          <w:lang w:val="ru-RU"/>
        </w:rPr>
        <w:t xml:space="preserve">). </w:t>
      </w:r>
    </w:p>
    <w:p w14:paraId="24309F31" w14:textId="19A05011" w:rsidR="004569FB" w:rsidRPr="00DB5643" w:rsidRDefault="00827900" w:rsidP="00B44100">
      <w:pPr>
        <w:pStyle w:val="a3"/>
        <w:numPr>
          <w:ilvl w:val="0"/>
          <w:numId w:val="9"/>
        </w:numPr>
        <w:tabs>
          <w:tab w:val="clear" w:pos="3240"/>
        </w:tabs>
        <w:snapToGrid w:val="0"/>
        <w:spacing w:before="120" w:after="120"/>
        <w:ind w:left="0" w:firstLine="0"/>
        <w:contextualSpacing w:val="0"/>
        <w:rPr>
          <w:snapToGrid w:val="0"/>
          <w:kern w:val="22"/>
          <w:szCs w:val="22"/>
          <w:lang w:val="ru-RU"/>
        </w:rPr>
      </w:pPr>
      <w:r w:rsidRPr="00DB5643">
        <w:rPr>
          <w:bCs/>
          <w:snapToGrid w:val="0"/>
          <w:kern w:val="22"/>
          <w:szCs w:val="22"/>
          <w:lang w:val="ru-RU"/>
        </w:rPr>
        <w:lastRenderedPageBreak/>
        <w:t>В общей сложности</w:t>
      </w:r>
      <w:r w:rsidR="004569FB" w:rsidRPr="00DB5643">
        <w:rPr>
          <w:bCs/>
          <w:snapToGrid w:val="0"/>
          <w:kern w:val="22"/>
          <w:szCs w:val="22"/>
          <w:lang w:val="ru-RU"/>
        </w:rPr>
        <w:t xml:space="preserve"> 62</w:t>
      </w:r>
      <w:r w:rsidRPr="00DB5643">
        <w:rPr>
          <w:bCs/>
          <w:snapToGrid w:val="0"/>
          <w:kern w:val="22"/>
          <w:szCs w:val="22"/>
          <w:lang w:val="en-US"/>
        </w:rPr>
        <w:t> </w:t>
      </w:r>
      <w:r w:rsidR="004569FB" w:rsidRPr="00DB5643">
        <w:rPr>
          <w:bCs/>
          <w:snapToGrid w:val="0"/>
          <w:kern w:val="22"/>
          <w:szCs w:val="22"/>
          <w:lang w:val="ru-RU"/>
        </w:rPr>
        <w:t xml:space="preserve">% </w:t>
      </w:r>
      <w:r w:rsidRPr="00DB5643">
        <w:rPr>
          <w:bCs/>
          <w:snapToGrid w:val="0"/>
          <w:kern w:val="22"/>
          <w:szCs w:val="22"/>
          <w:lang w:val="ru-RU"/>
        </w:rPr>
        <w:t>Сторон</w:t>
      </w:r>
      <w:r w:rsidR="004569FB" w:rsidRPr="00DB5643">
        <w:rPr>
          <w:bCs/>
          <w:snapToGrid w:val="0"/>
          <w:kern w:val="22"/>
          <w:szCs w:val="22"/>
          <w:lang w:val="ru-RU"/>
        </w:rPr>
        <w:t xml:space="preserve"> </w:t>
      </w:r>
      <w:r w:rsidR="003F1BDE" w:rsidRPr="00DB5643">
        <w:rPr>
          <w:bCs/>
          <w:snapToGrid w:val="0"/>
          <w:kern w:val="22"/>
          <w:szCs w:val="22"/>
          <w:lang w:val="ru-RU"/>
        </w:rPr>
        <w:t xml:space="preserve">(58 </w:t>
      </w:r>
      <w:r w:rsidRPr="00DB5643">
        <w:rPr>
          <w:bCs/>
          <w:snapToGrid w:val="0"/>
          <w:kern w:val="22"/>
          <w:szCs w:val="22"/>
          <w:lang w:val="ru-RU"/>
        </w:rPr>
        <w:t>Сторон</w:t>
      </w:r>
      <w:r w:rsidR="003F1BDE" w:rsidRPr="00DB5643">
        <w:rPr>
          <w:bCs/>
          <w:snapToGrid w:val="0"/>
          <w:kern w:val="22"/>
          <w:szCs w:val="22"/>
          <w:lang w:val="ru-RU"/>
        </w:rPr>
        <w:t xml:space="preserve">) </w:t>
      </w:r>
      <w:r w:rsidRPr="00DB5643">
        <w:rPr>
          <w:bCs/>
          <w:snapToGrid w:val="0"/>
          <w:kern w:val="22"/>
          <w:szCs w:val="22"/>
          <w:lang w:val="ru-RU"/>
        </w:rPr>
        <w:t>сообщили</w:t>
      </w:r>
      <w:r w:rsidR="004569FB" w:rsidRPr="00DB5643">
        <w:rPr>
          <w:bCs/>
          <w:snapToGrid w:val="0"/>
          <w:kern w:val="22"/>
          <w:szCs w:val="22"/>
          <w:lang w:val="ru-RU"/>
        </w:rPr>
        <w:t xml:space="preserve"> </w:t>
      </w:r>
      <w:r w:rsidR="007E67E3" w:rsidRPr="00DB5643">
        <w:rPr>
          <w:bCs/>
          <w:snapToGrid w:val="0"/>
          <w:kern w:val="22"/>
          <w:szCs w:val="22"/>
          <w:lang w:val="ru-RU"/>
        </w:rPr>
        <w:t xml:space="preserve">о </w:t>
      </w:r>
      <w:r w:rsidR="005C3ADB" w:rsidRPr="00DB5643">
        <w:rPr>
          <w:bCs/>
          <w:snapToGrid w:val="0"/>
          <w:kern w:val="22"/>
          <w:szCs w:val="22"/>
          <w:lang w:val="ru-RU"/>
        </w:rPr>
        <w:t>принятии</w:t>
      </w:r>
      <w:r w:rsidR="007E67E3" w:rsidRPr="00DB5643">
        <w:rPr>
          <w:bCs/>
          <w:snapToGrid w:val="0"/>
          <w:kern w:val="22"/>
          <w:szCs w:val="22"/>
          <w:lang w:val="ru-RU"/>
        </w:rPr>
        <w:t xml:space="preserve"> мер, требующих, чтобы в документации, сопровождающей </w:t>
      </w:r>
      <w:proofErr w:type="spellStart"/>
      <w:r w:rsidR="007E67E3" w:rsidRPr="00DB5643">
        <w:rPr>
          <w:bCs/>
          <w:snapToGrid w:val="0"/>
          <w:kern w:val="22"/>
          <w:szCs w:val="22"/>
          <w:lang w:val="ru-RU"/>
        </w:rPr>
        <w:t>ЖИО-ПКО</w:t>
      </w:r>
      <w:proofErr w:type="spellEnd"/>
      <w:r w:rsidR="007E67E3" w:rsidRPr="00DB5643">
        <w:rPr>
          <w:bCs/>
          <w:snapToGrid w:val="0"/>
          <w:kern w:val="22"/>
          <w:szCs w:val="22"/>
          <w:lang w:val="ru-RU"/>
        </w:rPr>
        <w:t xml:space="preserve">, в случаях, когда идентификационные данные </w:t>
      </w:r>
      <w:proofErr w:type="spellStart"/>
      <w:r w:rsidR="007E67E3" w:rsidRPr="00DB5643">
        <w:rPr>
          <w:bCs/>
          <w:snapToGrid w:val="0"/>
          <w:kern w:val="22"/>
          <w:szCs w:val="22"/>
          <w:lang w:val="ru-RU"/>
        </w:rPr>
        <w:t>ЖИО</w:t>
      </w:r>
      <w:proofErr w:type="spellEnd"/>
      <w:r w:rsidR="007E67E3" w:rsidRPr="00DB5643">
        <w:rPr>
          <w:bCs/>
          <w:snapToGrid w:val="0"/>
          <w:kern w:val="22"/>
          <w:szCs w:val="22"/>
          <w:lang w:val="ru-RU"/>
        </w:rPr>
        <w:t xml:space="preserve"> известны, четко указывалось, что груз содержит </w:t>
      </w:r>
      <w:proofErr w:type="spellStart"/>
      <w:r w:rsidR="007E67E3" w:rsidRPr="00DB5643">
        <w:rPr>
          <w:bCs/>
          <w:snapToGrid w:val="0"/>
          <w:kern w:val="22"/>
          <w:szCs w:val="22"/>
          <w:lang w:val="ru-RU"/>
        </w:rPr>
        <w:t>ЖИО</w:t>
      </w:r>
      <w:proofErr w:type="spellEnd"/>
      <w:r w:rsidR="007E67E3" w:rsidRPr="00DB5643">
        <w:rPr>
          <w:bCs/>
          <w:snapToGrid w:val="0"/>
          <w:kern w:val="22"/>
          <w:szCs w:val="22"/>
          <w:lang w:val="ru-RU"/>
        </w:rPr>
        <w:t>, не предназначенные для преднамеренной интродукции в окружающую среду</w:t>
      </w:r>
      <w:r w:rsidR="004569FB" w:rsidRPr="00DB5643">
        <w:rPr>
          <w:bCs/>
          <w:snapToGrid w:val="0"/>
          <w:kern w:val="22"/>
          <w:szCs w:val="22"/>
          <w:lang w:val="ru-RU"/>
        </w:rPr>
        <w:t xml:space="preserve">, </w:t>
      </w:r>
      <w:r w:rsidR="007E67E3" w:rsidRPr="00DB5643">
        <w:rPr>
          <w:bCs/>
          <w:snapToGrid w:val="0"/>
          <w:kern w:val="22"/>
          <w:szCs w:val="22"/>
          <w:lang w:val="ru-RU"/>
        </w:rPr>
        <w:t>а также указывался контактный пункт для получения дополнительной информации</w:t>
      </w:r>
      <w:r w:rsidR="004569FB" w:rsidRPr="00DB5643">
        <w:rPr>
          <w:bCs/>
          <w:snapToGrid w:val="0"/>
          <w:kern w:val="22"/>
          <w:szCs w:val="22"/>
          <w:lang w:val="ru-RU"/>
        </w:rPr>
        <w:t xml:space="preserve">. </w:t>
      </w:r>
      <w:r w:rsidR="007E67E3" w:rsidRPr="00DB5643">
        <w:rPr>
          <w:bCs/>
          <w:snapToGrid w:val="0"/>
          <w:kern w:val="22"/>
          <w:szCs w:val="22"/>
          <w:lang w:val="ru-RU"/>
        </w:rPr>
        <w:t xml:space="preserve">Это соответствует увеличению на </w:t>
      </w:r>
      <w:r w:rsidR="004569FB" w:rsidRPr="00DB5643">
        <w:rPr>
          <w:bCs/>
          <w:snapToGrid w:val="0"/>
          <w:kern w:val="22"/>
          <w:szCs w:val="22"/>
          <w:lang w:val="ru-RU"/>
        </w:rPr>
        <w:t>15</w:t>
      </w:r>
      <w:r w:rsidR="007E67E3" w:rsidRPr="00DB5643">
        <w:rPr>
          <w:bCs/>
          <w:snapToGrid w:val="0"/>
          <w:kern w:val="22"/>
          <w:szCs w:val="22"/>
          <w:lang w:val="en-US"/>
        </w:rPr>
        <w:t> </w:t>
      </w:r>
      <w:r w:rsidR="004569FB" w:rsidRPr="00DB5643">
        <w:rPr>
          <w:bCs/>
          <w:snapToGrid w:val="0"/>
          <w:kern w:val="22"/>
          <w:szCs w:val="22"/>
          <w:lang w:val="ru-RU"/>
        </w:rPr>
        <w:t xml:space="preserve">% </w:t>
      </w:r>
      <w:r w:rsidR="007E67E3" w:rsidRPr="00DB5643">
        <w:rPr>
          <w:bCs/>
          <w:snapToGrid w:val="0"/>
          <w:kern w:val="22"/>
          <w:szCs w:val="22"/>
          <w:lang w:val="ru-RU"/>
        </w:rPr>
        <w:t xml:space="preserve">по сравнению с исходным уровнем </w:t>
      </w:r>
      <w:r w:rsidR="004569FB" w:rsidRPr="00DB5643">
        <w:rPr>
          <w:bCs/>
          <w:snapToGrid w:val="0"/>
          <w:kern w:val="22"/>
          <w:szCs w:val="22"/>
          <w:lang w:val="ru-RU"/>
        </w:rPr>
        <w:t>(</w:t>
      </w:r>
      <w:r w:rsidR="007E67E3" w:rsidRPr="00DB5643">
        <w:rPr>
          <w:snapToGrid w:val="0"/>
          <w:kern w:val="22"/>
          <w:szCs w:val="22"/>
          <w:lang w:val="ru-RU"/>
        </w:rPr>
        <w:t>при следующих региональных изменениях</w:t>
      </w:r>
      <w:r w:rsidR="004569FB" w:rsidRPr="00DB5643">
        <w:rPr>
          <w:bCs/>
          <w:snapToGrid w:val="0"/>
          <w:kern w:val="22"/>
          <w:szCs w:val="22"/>
          <w:lang w:val="ru-RU"/>
        </w:rPr>
        <w:t xml:space="preserve">: </w:t>
      </w:r>
      <w:r w:rsidR="008E625D" w:rsidRPr="00DB5643">
        <w:rPr>
          <w:bCs/>
          <w:snapToGrid w:val="0"/>
          <w:kern w:val="22"/>
          <w:szCs w:val="22"/>
          <w:lang w:val="ru-RU"/>
        </w:rPr>
        <w:t>Африка:</w:t>
      </w:r>
      <w:r w:rsidR="004569FB" w:rsidRPr="00DB5643">
        <w:rPr>
          <w:bCs/>
          <w:snapToGrid w:val="0"/>
          <w:kern w:val="22"/>
          <w:szCs w:val="22"/>
          <w:lang w:val="ru-RU"/>
        </w:rPr>
        <w:t xml:space="preserve"> +</w:t>
      </w:r>
      <w:r w:rsidR="00246DBC" w:rsidRPr="00DB5643">
        <w:rPr>
          <w:bCs/>
          <w:snapToGrid w:val="0"/>
          <w:kern w:val="22"/>
          <w:szCs w:val="22"/>
          <w:lang w:val="ru-RU"/>
        </w:rPr>
        <w:t>30</w:t>
      </w:r>
      <w:r w:rsidR="008E625D" w:rsidRPr="00DB5643">
        <w:rPr>
          <w:bCs/>
          <w:snapToGrid w:val="0"/>
          <w:kern w:val="22"/>
          <w:szCs w:val="22"/>
          <w:lang w:val="ru-RU"/>
        </w:rPr>
        <w:t> </w:t>
      </w:r>
      <w:r w:rsidR="004569FB" w:rsidRPr="00DB5643">
        <w:rPr>
          <w:bCs/>
          <w:snapToGrid w:val="0"/>
          <w:kern w:val="22"/>
          <w:szCs w:val="22"/>
          <w:lang w:val="ru-RU"/>
        </w:rPr>
        <w:t xml:space="preserve">%; </w:t>
      </w:r>
      <w:proofErr w:type="spellStart"/>
      <w:r w:rsidR="008E625D" w:rsidRPr="00DB5643">
        <w:rPr>
          <w:bCs/>
          <w:snapToGrid w:val="0"/>
          <w:kern w:val="22"/>
          <w:szCs w:val="22"/>
          <w:lang w:val="ru-RU"/>
        </w:rPr>
        <w:t>ГРУЛАК</w:t>
      </w:r>
      <w:proofErr w:type="spellEnd"/>
      <w:r w:rsidR="008E625D" w:rsidRPr="00DB5643">
        <w:rPr>
          <w:bCs/>
          <w:snapToGrid w:val="0"/>
          <w:kern w:val="22"/>
          <w:szCs w:val="22"/>
          <w:lang w:val="ru-RU"/>
        </w:rPr>
        <w:t>:</w:t>
      </w:r>
      <w:r w:rsidR="004569FB" w:rsidRPr="00DB5643">
        <w:rPr>
          <w:bCs/>
          <w:snapToGrid w:val="0"/>
          <w:kern w:val="22"/>
          <w:szCs w:val="22"/>
          <w:lang w:val="ru-RU"/>
        </w:rPr>
        <w:t xml:space="preserve"> +</w:t>
      </w:r>
      <w:r w:rsidR="00246DBC" w:rsidRPr="00DB5643">
        <w:rPr>
          <w:bCs/>
          <w:snapToGrid w:val="0"/>
          <w:kern w:val="22"/>
          <w:szCs w:val="22"/>
          <w:lang w:val="ru-RU"/>
        </w:rPr>
        <w:t>2</w:t>
      </w:r>
      <w:r w:rsidR="004569FB" w:rsidRPr="00DB5643">
        <w:rPr>
          <w:bCs/>
          <w:snapToGrid w:val="0"/>
          <w:kern w:val="22"/>
          <w:szCs w:val="22"/>
          <w:lang w:val="ru-RU"/>
        </w:rPr>
        <w:t>3</w:t>
      </w:r>
      <w:r w:rsidR="008E625D" w:rsidRPr="00DB5643">
        <w:rPr>
          <w:bCs/>
          <w:snapToGrid w:val="0"/>
          <w:kern w:val="22"/>
          <w:szCs w:val="22"/>
          <w:lang w:val="ru-RU"/>
        </w:rPr>
        <w:t> </w:t>
      </w:r>
      <w:r w:rsidR="004569FB" w:rsidRPr="00DB5643">
        <w:rPr>
          <w:bCs/>
          <w:snapToGrid w:val="0"/>
          <w:kern w:val="22"/>
          <w:szCs w:val="22"/>
          <w:lang w:val="ru-RU"/>
        </w:rPr>
        <w:t xml:space="preserve">%; </w:t>
      </w:r>
      <w:proofErr w:type="spellStart"/>
      <w:r w:rsidR="00246DBC" w:rsidRPr="00DB5643">
        <w:rPr>
          <w:bCs/>
          <w:snapToGrid w:val="0"/>
          <w:kern w:val="22"/>
          <w:szCs w:val="22"/>
        </w:rPr>
        <w:t>CEE</w:t>
      </w:r>
      <w:proofErr w:type="spellEnd"/>
      <w:r w:rsidR="008E625D" w:rsidRPr="00DB5643">
        <w:rPr>
          <w:bCs/>
          <w:snapToGrid w:val="0"/>
          <w:kern w:val="22"/>
          <w:szCs w:val="22"/>
          <w:lang w:val="ru-RU"/>
        </w:rPr>
        <w:t>:</w:t>
      </w:r>
      <w:r w:rsidR="00246DBC" w:rsidRPr="00DB5643">
        <w:rPr>
          <w:bCs/>
          <w:snapToGrid w:val="0"/>
          <w:kern w:val="22"/>
          <w:szCs w:val="22"/>
          <w:lang w:val="ru-RU"/>
        </w:rPr>
        <w:t xml:space="preserve"> +13</w:t>
      </w:r>
      <w:r w:rsidR="008E625D" w:rsidRPr="00DB5643">
        <w:rPr>
          <w:bCs/>
          <w:snapToGrid w:val="0"/>
          <w:kern w:val="22"/>
          <w:szCs w:val="22"/>
          <w:lang w:val="ru-RU"/>
        </w:rPr>
        <w:t> </w:t>
      </w:r>
      <w:r w:rsidR="00246DBC" w:rsidRPr="00DB5643">
        <w:rPr>
          <w:bCs/>
          <w:snapToGrid w:val="0"/>
          <w:kern w:val="22"/>
          <w:szCs w:val="22"/>
          <w:lang w:val="ru-RU"/>
        </w:rPr>
        <w:t xml:space="preserve">%; </w:t>
      </w:r>
      <w:r w:rsidR="008E625D" w:rsidRPr="00DB5643">
        <w:rPr>
          <w:bCs/>
          <w:snapToGrid w:val="0"/>
          <w:kern w:val="22"/>
          <w:szCs w:val="22"/>
          <w:lang w:val="ru-RU"/>
        </w:rPr>
        <w:t>Азиатско-Тихоокеанский регион и</w:t>
      </w:r>
      <w:r w:rsidR="00246DBC" w:rsidRPr="00DB5643">
        <w:rPr>
          <w:bCs/>
          <w:snapToGrid w:val="0"/>
          <w:kern w:val="22"/>
          <w:szCs w:val="22"/>
          <w:lang w:val="ru-RU"/>
        </w:rPr>
        <w:t xml:space="preserve"> </w:t>
      </w:r>
      <w:proofErr w:type="spellStart"/>
      <w:r w:rsidR="004569FB" w:rsidRPr="00DB5643">
        <w:rPr>
          <w:bCs/>
          <w:snapToGrid w:val="0"/>
          <w:kern w:val="22"/>
          <w:szCs w:val="22"/>
        </w:rPr>
        <w:t>WEOG</w:t>
      </w:r>
      <w:proofErr w:type="spellEnd"/>
      <w:r w:rsidR="004569FB" w:rsidRPr="00DB5643">
        <w:rPr>
          <w:bCs/>
          <w:snapToGrid w:val="0"/>
          <w:kern w:val="22"/>
          <w:szCs w:val="22"/>
          <w:lang w:val="ru-RU"/>
        </w:rPr>
        <w:t xml:space="preserve">: </w:t>
      </w:r>
      <w:r w:rsidR="008E625D" w:rsidRPr="00DB5643">
        <w:rPr>
          <w:snapToGrid w:val="0"/>
          <w:kern w:val="22"/>
          <w:szCs w:val="22"/>
          <w:lang w:val="ru-RU"/>
        </w:rPr>
        <w:t>без изменений по отношению к исходному уровню</w:t>
      </w:r>
      <w:r w:rsidR="004569FB" w:rsidRPr="00DB5643">
        <w:rPr>
          <w:bCs/>
          <w:snapToGrid w:val="0"/>
          <w:kern w:val="22"/>
          <w:szCs w:val="22"/>
          <w:lang w:val="ru-RU"/>
        </w:rPr>
        <w:t xml:space="preserve">). </w:t>
      </w:r>
      <w:r w:rsidR="008E625D" w:rsidRPr="00DB5643">
        <w:rPr>
          <w:bCs/>
          <w:snapToGrid w:val="0"/>
          <w:kern w:val="22"/>
          <w:szCs w:val="22"/>
          <w:lang w:val="ru-RU"/>
        </w:rPr>
        <w:t>Еще</w:t>
      </w:r>
      <w:r w:rsidR="004569FB" w:rsidRPr="00DB5643">
        <w:rPr>
          <w:bCs/>
          <w:snapToGrid w:val="0"/>
          <w:kern w:val="22"/>
          <w:szCs w:val="22"/>
          <w:lang w:val="ru-RU"/>
        </w:rPr>
        <w:t xml:space="preserve"> 16</w:t>
      </w:r>
      <w:r w:rsidR="008E625D" w:rsidRPr="00DB5643">
        <w:rPr>
          <w:bCs/>
          <w:snapToGrid w:val="0"/>
          <w:kern w:val="22"/>
          <w:szCs w:val="22"/>
          <w:lang w:val="en-US"/>
        </w:rPr>
        <w:t> </w:t>
      </w:r>
      <w:r w:rsidR="004569FB" w:rsidRPr="00DB5643">
        <w:rPr>
          <w:bCs/>
          <w:snapToGrid w:val="0"/>
          <w:kern w:val="22"/>
          <w:szCs w:val="22"/>
          <w:lang w:val="ru-RU"/>
        </w:rPr>
        <w:t xml:space="preserve">% </w:t>
      </w:r>
      <w:r w:rsidR="008E625D" w:rsidRPr="00DB5643">
        <w:rPr>
          <w:bCs/>
          <w:snapToGrid w:val="0"/>
          <w:kern w:val="22"/>
          <w:szCs w:val="22"/>
          <w:lang w:val="ru-RU"/>
        </w:rPr>
        <w:t>Сторон</w:t>
      </w:r>
      <w:r w:rsidR="004569FB" w:rsidRPr="00DB5643">
        <w:rPr>
          <w:bCs/>
          <w:snapToGrid w:val="0"/>
          <w:kern w:val="22"/>
          <w:szCs w:val="22"/>
          <w:lang w:val="ru-RU"/>
        </w:rPr>
        <w:t xml:space="preserve"> </w:t>
      </w:r>
      <w:r w:rsidR="003F1BDE" w:rsidRPr="00DB5643">
        <w:rPr>
          <w:bCs/>
          <w:snapToGrid w:val="0"/>
          <w:kern w:val="22"/>
          <w:szCs w:val="22"/>
          <w:lang w:val="ru-RU"/>
        </w:rPr>
        <w:t xml:space="preserve">(15 </w:t>
      </w:r>
      <w:r w:rsidR="008E625D" w:rsidRPr="00DB5643">
        <w:rPr>
          <w:bCs/>
          <w:snapToGrid w:val="0"/>
          <w:kern w:val="22"/>
          <w:szCs w:val="22"/>
          <w:lang w:val="ru-RU"/>
        </w:rPr>
        <w:t>Сторон</w:t>
      </w:r>
      <w:r w:rsidR="003F1BDE" w:rsidRPr="00DB5643">
        <w:rPr>
          <w:bCs/>
          <w:snapToGrid w:val="0"/>
          <w:kern w:val="22"/>
          <w:szCs w:val="22"/>
          <w:lang w:val="ru-RU"/>
        </w:rPr>
        <w:t xml:space="preserve">) </w:t>
      </w:r>
      <w:r w:rsidR="008E625D" w:rsidRPr="00DB5643">
        <w:rPr>
          <w:bCs/>
          <w:snapToGrid w:val="0"/>
          <w:kern w:val="22"/>
          <w:szCs w:val="22"/>
          <w:lang w:val="ru-RU"/>
        </w:rPr>
        <w:t xml:space="preserve">сообщили о </w:t>
      </w:r>
      <w:r w:rsidR="005C3ADB" w:rsidRPr="00DB5643">
        <w:rPr>
          <w:bCs/>
          <w:snapToGrid w:val="0"/>
          <w:kern w:val="22"/>
          <w:szCs w:val="22"/>
          <w:lang w:val="ru-RU"/>
        </w:rPr>
        <w:t>принятии</w:t>
      </w:r>
      <w:r w:rsidR="008E625D" w:rsidRPr="00DB5643">
        <w:rPr>
          <w:bCs/>
          <w:snapToGrid w:val="0"/>
          <w:kern w:val="22"/>
          <w:szCs w:val="22"/>
          <w:lang w:val="ru-RU"/>
        </w:rPr>
        <w:t xml:space="preserve"> таких мер</w:t>
      </w:r>
      <w:r w:rsidR="008E625D" w:rsidRPr="00DB5643">
        <w:rPr>
          <w:snapToGrid w:val="0"/>
          <w:kern w:val="22"/>
          <w:szCs w:val="22"/>
          <w:lang w:val="ru-RU"/>
        </w:rPr>
        <w:t xml:space="preserve"> в некоторой степени</w:t>
      </w:r>
      <w:r w:rsidR="004569FB" w:rsidRPr="00DB5643">
        <w:rPr>
          <w:bCs/>
          <w:snapToGrid w:val="0"/>
          <w:kern w:val="22"/>
          <w:szCs w:val="22"/>
          <w:lang w:val="ru-RU"/>
        </w:rPr>
        <w:t xml:space="preserve">, </w:t>
      </w:r>
      <w:r w:rsidR="008E625D" w:rsidRPr="00DB5643">
        <w:rPr>
          <w:bCs/>
          <w:snapToGrid w:val="0"/>
          <w:kern w:val="22"/>
          <w:szCs w:val="22"/>
          <w:lang w:val="ru-RU"/>
        </w:rPr>
        <w:t>что соответствует уменьшению на</w:t>
      </w:r>
      <w:r w:rsidR="004569FB" w:rsidRPr="00DB5643">
        <w:rPr>
          <w:bCs/>
          <w:snapToGrid w:val="0"/>
          <w:kern w:val="22"/>
          <w:szCs w:val="22"/>
          <w:lang w:val="ru-RU"/>
        </w:rPr>
        <w:t xml:space="preserve"> 1% (</w:t>
      </w:r>
      <w:r w:rsidR="008E625D" w:rsidRPr="00DB5643">
        <w:rPr>
          <w:bCs/>
          <w:snapToGrid w:val="0"/>
          <w:kern w:val="22"/>
          <w:szCs w:val="22"/>
          <w:lang w:val="ru-RU"/>
        </w:rPr>
        <w:t>см. рис.</w:t>
      </w:r>
      <w:r w:rsidR="004569FB" w:rsidRPr="00DB5643">
        <w:rPr>
          <w:bCs/>
          <w:snapToGrid w:val="0"/>
          <w:kern w:val="22"/>
          <w:szCs w:val="22"/>
          <w:lang w:val="ru-RU"/>
        </w:rPr>
        <w:t xml:space="preserve"> 4)</w:t>
      </w:r>
      <w:r w:rsidR="003A3DD9" w:rsidRPr="00DB5643">
        <w:rPr>
          <w:bCs/>
          <w:snapToGrid w:val="0"/>
          <w:kern w:val="22"/>
          <w:szCs w:val="22"/>
          <w:lang w:val="ru-RU"/>
        </w:rPr>
        <w:t>.</w:t>
      </w:r>
    </w:p>
    <w:p w14:paraId="7857EC18" w14:textId="7F31FD81" w:rsidR="004569FB" w:rsidRPr="00DB5643" w:rsidRDefault="006E4C44" w:rsidP="00B44100">
      <w:pPr>
        <w:pStyle w:val="a3"/>
        <w:numPr>
          <w:ilvl w:val="0"/>
          <w:numId w:val="9"/>
        </w:numPr>
        <w:tabs>
          <w:tab w:val="clear" w:pos="3240"/>
        </w:tabs>
        <w:snapToGrid w:val="0"/>
        <w:spacing w:before="120" w:after="120"/>
        <w:ind w:left="0" w:firstLine="0"/>
        <w:contextualSpacing w:val="0"/>
        <w:rPr>
          <w:bCs/>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1.6.2</w:t>
      </w:r>
      <w:r w:rsidR="004569FB" w:rsidRPr="00DB5643">
        <w:rPr>
          <w:snapToGrid w:val="0"/>
          <w:kern w:val="22"/>
          <w:szCs w:val="22"/>
          <w:lang w:val="ru-RU"/>
        </w:rPr>
        <w:t xml:space="preserve"> (</w:t>
      </w:r>
      <w:r w:rsidRPr="00DB5643">
        <w:rPr>
          <w:snapToGrid w:val="0"/>
          <w:kern w:val="22"/>
          <w:szCs w:val="22"/>
          <w:lang w:val="ru-RU"/>
        </w:rPr>
        <w:t xml:space="preserve">процентная доля Сторон, которые ввели требования к документации для </w:t>
      </w:r>
      <w:proofErr w:type="spellStart"/>
      <w:r w:rsidRPr="00DB5643">
        <w:rPr>
          <w:snapToGrid w:val="0"/>
          <w:kern w:val="22"/>
          <w:szCs w:val="22"/>
          <w:lang w:val="ru-RU"/>
        </w:rPr>
        <w:t>ЖИО</w:t>
      </w:r>
      <w:proofErr w:type="spellEnd"/>
      <w:r w:rsidRPr="00DB5643">
        <w:rPr>
          <w:snapToGrid w:val="0"/>
          <w:kern w:val="22"/>
          <w:szCs w:val="22"/>
          <w:lang w:val="ru-RU"/>
        </w:rPr>
        <w:t>, предназначенных для использования в замкнутых системах и для преднамеренной интродукции в окружающую среду</w:t>
      </w:r>
      <w:r w:rsidR="004569FB" w:rsidRPr="00DB5643">
        <w:rPr>
          <w:snapToGrid w:val="0"/>
          <w:kern w:val="22"/>
          <w:szCs w:val="22"/>
          <w:lang w:val="ru-RU"/>
        </w:rPr>
        <w:t>) 63</w:t>
      </w:r>
      <w:r w:rsidR="005C3ADB" w:rsidRPr="00DB5643">
        <w:rPr>
          <w:snapToGrid w:val="0"/>
          <w:kern w:val="22"/>
          <w:szCs w:val="22"/>
          <w:lang w:val="en-US"/>
        </w:rPr>
        <w:t> </w:t>
      </w:r>
      <w:r w:rsidR="004569FB" w:rsidRPr="00DB5643">
        <w:rPr>
          <w:snapToGrid w:val="0"/>
          <w:kern w:val="22"/>
          <w:szCs w:val="22"/>
          <w:lang w:val="ru-RU"/>
        </w:rPr>
        <w:t xml:space="preserve">% </w:t>
      </w:r>
      <w:r w:rsidR="005C3ADB" w:rsidRPr="00DB5643">
        <w:rPr>
          <w:snapToGrid w:val="0"/>
          <w:kern w:val="22"/>
          <w:szCs w:val="22"/>
          <w:lang w:val="ru-RU"/>
        </w:rPr>
        <w:t>Сторон</w:t>
      </w:r>
      <w:r w:rsidR="004569FB" w:rsidRPr="00DB5643">
        <w:rPr>
          <w:snapToGrid w:val="0"/>
          <w:kern w:val="22"/>
          <w:szCs w:val="22"/>
          <w:lang w:val="ru-RU"/>
        </w:rPr>
        <w:t xml:space="preserve"> </w:t>
      </w:r>
      <w:r w:rsidR="00F7690F" w:rsidRPr="00DB5643">
        <w:rPr>
          <w:snapToGrid w:val="0"/>
          <w:kern w:val="22"/>
          <w:szCs w:val="22"/>
          <w:lang w:val="ru-RU"/>
        </w:rPr>
        <w:t xml:space="preserve">(59 </w:t>
      </w:r>
      <w:r w:rsidR="005C3ADB" w:rsidRPr="00DB5643">
        <w:rPr>
          <w:snapToGrid w:val="0"/>
          <w:kern w:val="22"/>
          <w:szCs w:val="22"/>
          <w:lang w:val="ru-RU"/>
        </w:rPr>
        <w:t>Сторон</w:t>
      </w:r>
      <w:r w:rsidR="00F7690F" w:rsidRPr="00DB5643">
        <w:rPr>
          <w:snapToGrid w:val="0"/>
          <w:kern w:val="22"/>
          <w:szCs w:val="22"/>
          <w:lang w:val="ru-RU"/>
        </w:rPr>
        <w:t xml:space="preserve">) </w:t>
      </w:r>
      <w:r w:rsidR="005C3ADB" w:rsidRPr="00DB5643">
        <w:rPr>
          <w:snapToGrid w:val="0"/>
          <w:kern w:val="22"/>
          <w:szCs w:val="22"/>
          <w:lang w:val="ru-RU"/>
        </w:rPr>
        <w:t>сообщили</w:t>
      </w:r>
      <w:r w:rsidR="004569FB" w:rsidRPr="00DB5643">
        <w:rPr>
          <w:snapToGrid w:val="0"/>
          <w:kern w:val="22"/>
          <w:szCs w:val="22"/>
          <w:lang w:val="ru-RU"/>
        </w:rPr>
        <w:t xml:space="preserve"> </w:t>
      </w:r>
      <w:r w:rsidR="005C3ADB" w:rsidRPr="00DB5643">
        <w:rPr>
          <w:snapToGrid w:val="0"/>
          <w:kern w:val="22"/>
          <w:szCs w:val="22"/>
          <w:lang w:val="ru-RU"/>
        </w:rPr>
        <w:t xml:space="preserve">о принятии мер, в соответствии с которыми требуется, чтобы в документации, сопровождающей </w:t>
      </w:r>
      <w:proofErr w:type="spellStart"/>
      <w:r w:rsidR="005C3ADB" w:rsidRPr="00DB5643">
        <w:rPr>
          <w:snapToGrid w:val="0"/>
          <w:kern w:val="22"/>
          <w:szCs w:val="22"/>
          <w:lang w:val="ru-RU"/>
        </w:rPr>
        <w:t>ЖИО</w:t>
      </w:r>
      <w:proofErr w:type="spellEnd"/>
      <w:r w:rsidR="005C3ADB" w:rsidRPr="00DB5643">
        <w:rPr>
          <w:snapToGrid w:val="0"/>
          <w:kern w:val="22"/>
          <w:szCs w:val="22"/>
          <w:lang w:val="ru-RU"/>
        </w:rPr>
        <w:t xml:space="preserve">, предназначенные для </w:t>
      </w:r>
      <w:r w:rsidR="005C3ADB" w:rsidRPr="00DB5643">
        <w:rPr>
          <w:rFonts w:cs="Times New Roman"/>
          <w:snapToGrid w:val="0"/>
          <w:kern w:val="22"/>
          <w:szCs w:val="22"/>
          <w:lang w:val="ru-RU"/>
        </w:rPr>
        <w:t xml:space="preserve">использования в замкнутых системах, они четко определялись как </w:t>
      </w:r>
      <w:proofErr w:type="spellStart"/>
      <w:r w:rsidR="005C3ADB" w:rsidRPr="00DB5643">
        <w:rPr>
          <w:rFonts w:cs="Times New Roman"/>
          <w:snapToGrid w:val="0"/>
          <w:kern w:val="22"/>
          <w:szCs w:val="22"/>
          <w:lang w:val="ru-RU"/>
        </w:rPr>
        <w:t>ЖИО</w:t>
      </w:r>
      <w:proofErr w:type="spellEnd"/>
      <w:r w:rsidR="005C3ADB" w:rsidRPr="00DB5643">
        <w:rPr>
          <w:rFonts w:cs="Times New Roman"/>
          <w:snapToGrid w:val="0"/>
          <w:kern w:val="22"/>
          <w:szCs w:val="22"/>
          <w:lang w:val="ru-RU"/>
        </w:rPr>
        <w:t xml:space="preserve"> с указанием вс</w:t>
      </w:r>
      <w:r w:rsidR="005C3ADB" w:rsidRPr="00DB5643">
        <w:rPr>
          <w:snapToGrid w:val="0"/>
          <w:kern w:val="22"/>
          <w:szCs w:val="22"/>
          <w:lang w:val="ru-RU"/>
        </w:rPr>
        <w:t xml:space="preserve">ех требований к безопасной обработке, хранению, транспортировке и использованию, контактного пункта для получения дополнительной информации, включая ФИО и адрес </w:t>
      </w:r>
      <w:proofErr w:type="gramStart"/>
      <w:r w:rsidR="005C3ADB" w:rsidRPr="00DB5643">
        <w:rPr>
          <w:snapToGrid w:val="0"/>
          <w:kern w:val="22"/>
          <w:szCs w:val="22"/>
          <w:lang w:val="ru-RU"/>
        </w:rPr>
        <w:t>лица</w:t>
      </w:r>
      <w:proofErr w:type="gramEnd"/>
      <w:r w:rsidR="005C3ADB" w:rsidRPr="00DB5643">
        <w:rPr>
          <w:snapToGrid w:val="0"/>
          <w:kern w:val="22"/>
          <w:szCs w:val="22"/>
          <w:lang w:val="ru-RU"/>
        </w:rPr>
        <w:t xml:space="preserve"> и название учреждения, которым направляются </w:t>
      </w:r>
      <w:proofErr w:type="spellStart"/>
      <w:r w:rsidR="005C3ADB" w:rsidRPr="00DB5643">
        <w:rPr>
          <w:snapToGrid w:val="0"/>
          <w:kern w:val="22"/>
          <w:szCs w:val="22"/>
          <w:lang w:val="ru-RU"/>
        </w:rPr>
        <w:t>ЖИО</w:t>
      </w:r>
      <w:proofErr w:type="spellEnd"/>
      <w:r w:rsidR="004569FB" w:rsidRPr="00DB5643">
        <w:rPr>
          <w:snapToGrid w:val="0"/>
          <w:kern w:val="22"/>
          <w:szCs w:val="22"/>
          <w:lang w:val="ru-RU"/>
        </w:rPr>
        <w:t xml:space="preserve">. </w:t>
      </w:r>
      <w:r w:rsidR="005C3ADB" w:rsidRPr="00DB5643">
        <w:rPr>
          <w:snapToGrid w:val="0"/>
          <w:kern w:val="22"/>
          <w:szCs w:val="22"/>
          <w:lang w:val="ru-RU"/>
        </w:rPr>
        <w:t>Это соответствует увеличению на</w:t>
      </w:r>
      <w:r w:rsidR="004569FB" w:rsidRPr="00DB5643">
        <w:rPr>
          <w:snapToGrid w:val="0"/>
          <w:kern w:val="22"/>
          <w:szCs w:val="22"/>
          <w:lang w:val="ru-RU"/>
        </w:rPr>
        <w:t xml:space="preserve"> 9</w:t>
      </w:r>
      <w:r w:rsidR="005C3ADB" w:rsidRPr="00DB5643">
        <w:rPr>
          <w:snapToGrid w:val="0"/>
          <w:kern w:val="22"/>
          <w:szCs w:val="22"/>
          <w:lang w:val="en-US"/>
        </w:rPr>
        <w:t> </w:t>
      </w:r>
      <w:r w:rsidR="004569FB" w:rsidRPr="00DB5643">
        <w:rPr>
          <w:snapToGrid w:val="0"/>
          <w:kern w:val="22"/>
          <w:szCs w:val="22"/>
          <w:lang w:val="ru-RU"/>
        </w:rPr>
        <w:t xml:space="preserve">% </w:t>
      </w:r>
      <w:r w:rsidR="005C3ADB" w:rsidRPr="00DB5643">
        <w:rPr>
          <w:bCs/>
          <w:snapToGrid w:val="0"/>
          <w:kern w:val="22"/>
          <w:szCs w:val="22"/>
          <w:lang w:val="ru-RU"/>
        </w:rPr>
        <w:t>по сравнению с исходным уровнем</w:t>
      </w:r>
      <w:r w:rsidR="005C3ADB" w:rsidRPr="00DB5643">
        <w:rPr>
          <w:snapToGrid w:val="0"/>
          <w:kern w:val="22"/>
          <w:szCs w:val="22"/>
          <w:lang w:val="ru-RU"/>
        </w:rPr>
        <w:t xml:space="preserve"> </w:t>
      </w:r>
      <w:r w:rsidR="004569FB" w:rsidRPr="00DB5643">
        <w:rPr>
          <w:snapToGrid w:val="0"/>
          <w:kern w:val="22"/>
          <w:szCs w:val="22"/>
          <w:lang w:val="ru-RU"/>
        </w:rPr>
        <w:t>(</w:t>
      </w:r>
      <w:r w:rsidR="005C3ADB" w:rsidRPr="00DB5643">
        <w:rPr>
          <w:snapToGrid w:val="0"/>
          <w:kern w:val="22"/>
          <w:szCs w:val="22"/>
          <w:lang w:val="ru-RU"/>
        </w:rPr>
        <w:t>при следующих региональных изменениях</w:t>
      </w:r>
      <w:r w:rsidR="004569FB" w:rsidRPr="00DB5643">
        <w:rPr>
          <w:snapToGrid w:val="0"/>
          <w:kern w:val="22"/>
          <w:szCs w:val="22"/>
          <w:lang w:val="ru-RU"/>
        </w:rPr>
        <w:t xml:space="preserve">: </w:t>
      </w:r>
      <w:r w:rsidR="005C3ADB" w:rsidRPr="00DB5643">
        <w:rPr>
          <w:snapToGrid w:val="0"/>
          <w:kern w:val="22"/>
          <w:szCs w:val="22"/>
          <w:lang w:val="ru-RU"/>
        </w:rPr>
        <w:t>Африка:</w:t>
      </w:r>
      <w:r w:rsidR="004569FB" w:rsidRPr="00DB5643">
        <w:rPr>
          <w:snapToGrid w:val="0"/>
          <w:kern w:val="22"/>
          <w:szCs w:val="22"/>
          <w:lang w:val="ru-RU"/>
        </w:rPr>
        <w:t xml:space="preserve"> +</w:t>
      </w:r>
      <w:r w:rsidR="007479FC" w:rsidRPr="00DB5643">
        <w:rPr>
          <w:snapToGrid w:val="0"/>
          <w:kern w:val="22"/>
          <w:szCs w:val="22"/>
          <w:lang w:val="ru-RU"/>
        </w:rPr>
        <w:t>27</w:t>
      </w:r>
      <w:r w:rsidR="005C3ADB"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5C3ADB" w:rsidRPr="00DB5643">
        <w:rPr>
          <w:snapToGrid w:val="0"/>
          <w:kern w:val="22"/>
          <w:szCs w:val="22"/>
          <w:lang w:val="ru-RU"/>
        </w:rPr>
        <w:t>:</w:t>
      </w:r>
      <w:r w:rsidR="004569FB" w:rsidRPr="00DB5643">
        <w:rPr>
          <w:snapToGrid w:val="0"/>
          <w:kern w:val="22"/>
          <w:szCs w:val="22"/>
          <w:lang w:val="ru-RU"/>
        </w:rPr>
        <w:t xml:space="preserve"> +</w:t>
      </w:r>
      <w:r w:rsidR="007479FC" w:rsidRPr="00DB5643">
        <w:rPr>
          <w:snapToGrid w:val="0"/>
          <w:kern w:val="22"/>
          <w:szCs w:val="22"/>
          <w:lang w:val="ru-RU"/>
        </w:rPr>
        <w:t>19</w:t>
      </w:r>
      <w:r w:rsidR="005C3ADB" w:rsidRPr="00DB5643">
        <w:rPr>
          <w:snapToGrid w:val="0"/>
          <w:kern w:val="22"/>
          <w:szCs w:val="22"/>
          <w:lang w:val="ru-RU"/>
        </w:rPr>
        <w:t> </w:t>
      </w:r>
      <w:r w:rsidR="004569FB" w:rsidRPr="00DB5643">
        <w:rPr>
          <w:snapToGrid w:val="0"/>
          <w:kern w:val="22"/>
          <w:szCs w:val="22"/>
          <w:lang w:val="ru-RU"/>
        </w:rPr>
        <w:t xml:space="preserve">%; </w:t>
      </w:r>
      <w:r w:rsidR="005C3ADB" w:rsidRPr="00DB5643">
        <w:rPr>
          <w:bCs/>
          <w:snapToGrid w:val="0"/>
          <w:kern w:val="22"/>
          <w:szCs w:val="22"/>
          <w:lang w:val="ru-RU"/>
        </w:rPr>
        <w:t xml:space="preserve">Азиатско-Тихоокеанский регион: </w:t>
      </w:r>
      <w:r w:rsidR="004569FB" w:rsidRPr="00DB5643">
        <w:rPr>
          <w:snapToGrid w:val="0"/>
          <w:kern w:val="22"/>
          <w:szCs w:val="22"/>
          <w:lang w:val="ru-RU"/>
        </w:rPr>
        <w:t>+</w:t>
      </w:r>
      <w:r w:rsidR="007479FC" w:rsidRPr="00DB5643">
        <w:rPr>
          <w:snapToGrid w:val="0"/>
          <w:kern w:val="22"/>
          <w:szCs w:val="22"/>
          <w:lang w:val="ru-RU"/>
        </w:rPr>
        <w:t>6</w:t>
      </w:r>
      <w:r w:rsidR="005C3ADB"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5C3ADB" w:rsidRPr="00DB5643">
        <w:rPr>
          <w:snapToGrid w:val="0"/>
          <w:kern w:val="22"/>
          <w:szCs w:val="22"/>
          <w:lang w:val="ru-RU"/>
        </w:rPr>
        <w:t>:</w:t>
      </w:r>
      <w:r w:rsidR="004569FB" w:rsidRPr="00DB5643">
        <w:rPr>
          <w:snapToGrid w:val="0"/>
          <w:kern w:val="22"/>
          <w:szCs w:val="22"/>
          <w:lang w:val="ru-RU"/>
        </w:rPr>
        <w:t xml:space="preserve"> </w:t>
      </w:r>
      <w:r w:rsidR="005C3ADB" w:rsidRPr="00DB5643">
        <w:rPr>
          <w:snapToGrid w:val="0"/>
          <w:kern w:val="22"/>
          <w:szCs w:val="22"/>
          <w:lang w:val="ru-RU"/>
        </w:rPr>
        <w:t>без изменений по отношению к исходному уровню</w:t>
      </w:r>
      <w:r w:rsidR="00430E26" w:rsidRPr="00DB5643">
        <w:rPr>
          <w:snapToGrid w:val="0"/>
          <w:kern w:val="22"/>
          <w:szCs w:val="22"/>
          <w:lang w:val="ru-RU"/>
        </w:rPr>
        <w:t xml:space="preserve">; </w:t>
      </w:r>
      <w:proofErr w:type="spellStart"/>
      <w:r w:rsidR="008856BF" w:rsidRPr="00DB5643">
        <w:rPr>
          <w:snapToGrid w:val="0"/>
          <w:kern w:val="22"/>
          <w:szCs w:val="22"/>
          <w:lang w:val="ru-RU"/>
        </w:rPr>
        <w:t>ГРУЛАК</w:t>
      </w:r>
      <w:proofErr w:type="spellEnd"/>
      <w:r w:rsidR="005C3ADB" w:rsidRPr="00DB5643">
        <w:rPr>
          <w:snapToGrid w:val="0"/>
          <w:kern w:val="22"/>
          <w:szCs w:val="22"/>
          <w:lang w:val="ru-RU"/>
        </w:rPr>
        <w:t>:</w:t>
      </w:r>
      <w:r w:rsidR="00430E26" w:rsidRPr="00DB5643">
        <w:rPr>
          <w:snapToGrid w:val="0"/>
          <w:kern w:val="22"/>
          <w:szCs w:val="22"/>
          <w:lang w:val="ru-RU"/>
        </w:rPr>
        <w:t xml:space="preserve"> -23</w:t>
      </w:r>
      <w:r w:rsidR="005C3ADB" w:rsidRPr="00DB5643">
        <w:rPr>
          <w:snapToGrid w:val="0"/>
          <w:kern w:val="22"/>
          <w:szCs w:val="22"/>
          <w:lang w:val="ru-RU"/>
        </w:rPr>
        <w:t> </w:t>
      </w:r>
      <w:r w:rsidR="00430E26" w:rsidRPr="00DB5643">
        <w:rPr>
          <w:snapToGrid w:val="0"/>
          <w:kern w:val="22"/>
          <w:szCs w:val="22"/>
          <w:lang w:val="ru-RU"/>
        </w:rPr>
        <w:t>%</w:t>
      </w:r>
      <w:r w:rsidR="003B5B24" w:rsidRPr="00DB5643">
        <w:rPr>
          <w:snapToGrid w:val="0"/>
          <w:kern w:val="22"/>
          <w:szCs w:val="22"/>
          <w:lang w:val="ru-RU"/>
        </w:rPr>
        <w:t xml:space="preserve">). </w:t>
      </w:r>
      <w:r w:rsidR="004569FB" w:rsidRPr="00DB5643">
        <w:rPr>
          <w:snapToGrid w:val="0"/>
          <w:kern w:val="22"/>
          <w:szCs w:val="22"/>
          <w:lang w:val="ru-RU"/>
        </w:rPr>
        <w:t>13</w:t>
      </w:r>
      <w:r w:rsidR="005C3ADB" w:rsidRPr="00DB5643">
        <w:rPr>
          <w:snapToGrid w:val="0"/>
          <w:kern w:val="22"/>
          <w:szCs w:val="22"/>
          <w:lang w:val="en-US"/>
        </w:rPr>
        <w:t> </w:t>
      </w:r>
      <w:r w:rsidR="004569FB" w:rsidRPr="00DB5643">
        <w:rPr>
          <w:snapToGrid w:val="0"/>
          <w:kern w:val="22"/>
          <w:szCs w:val="22"/>
          <w:lang w:val="ru-RU"/>
        </w:rPr>
        <w:t xml:space="preserve">% </w:t>
      </w:r>
      <w:r w:rsidR="005C3ADB" w:rsidRPr="00DB5643">
        <w:rPr>
          <w:snapToGrid w:val="0"/>
          <w:kern w:val="22"/>
          <w:szCs w:val="22"/>
          <w:lang w:val="ru-RU"/>
        </w:rPr>
        <w:t>Сторон</w:t>
      </w:r>
      <w:r w:rsidR="004569FB" w:rsidRPr="00DB5643">
        <w:rPr>
          <w:snapToGrid w:val="0"/>
          <w:kern w:val="22"/>
          <w:szCs w:val="22"/>
          <w:lang w:val="ru-RU"/>
        </w:rPr>
        <w:t xml:space="preserve"> </w:t>
      </w:r>
      <w:r w:rsidR="00F7690F" w:rsidRPr="00DB5643">
        <w:rPr>
          <w:snapToGrid w:val="0"/>
          <w:kern w:val="22"/>
          <w:szCs w:val="22"/>
          <w:lang w:val="ru-RU"/>
        </w:rPr>
        <w:t xml:space="preserve">(12 </w:t>
      </w:r>
      <w:r w:rsidR="005C3ADB" w:rsidRPr="00DB5643">
        <w:rPr>
          <w:snapToGrid w:val="0"/>
          <w:kern w:val="22"/>
          <w:szCs w:val="22"/>
          <w:lang w:val="ru-RU"/>
        </w:rPr>
        <w:t>Сторон</w:t>
      </w:r>
      <w:r w:rsidR="00F7690F" w:rsidRPr="00DB5643">
        <w:rPr>
          <w:snapToGrid w:val="0"/>
          <w:kern w:val="22"/>
          <w:szCs w:val="22"/>
          <w:lang w:val="ru-RU"/>
        </w:rPr>
        <w:t xml:space="preserve">) </w:t>
      </w:r>
      <w:r w:rsidR="005C3ADB" w:rsidRPr="00DB5643">
        <w:rPr>
          <w:bCs/>
          <w:snapToGrid w:val="0"/>
          <w:kern w:val="22"/>
          <w:szCs w:val="22"/>
          <w:lang w:val="ru-RU"/>
        </w:rPr>
        <w:t>сообщили о принятии таких мер</w:t>
      </w:r>
      <w:r w:rsidR="005C3ADB" w:rsidRPr="00DB5643">
        <w:rPr>
          <w:snapToGrid w:val="0"/>
          <w:kern w:val="22"/>
          <w:szCs w:val="22"/>
          <w:lang w:val="ru-RU"/>
        </w:rPr>
        <w:t xml:space="preserve"> в некоторой степени</w:t>
      </w:r>
      <w:r w:rsidR="005C3ADB" w:rsidRPr="00DB5643">
        <w:rPr>
          <w:bCs/>
          <w:snapToGrid w:val="0"/>
          <w:kern w:val="22"/>
          <w:szCs w:val="22"/>
          <w:lang w:val="ru-RU"/>
        </w:rPr>
        <w:t>, что соответствует уменьшению</w:t>
      </w:r>
      <w:r w:rsidR="005C3ADB" w:rsidRPr="00DB5643">
        <w:rPr>
          <w:snapToGrid w:val="0"/>
          <w:kern w:val="22"/>
          <w:szCs w:val="22"/>
          <w:lang w:val="ru-RU"/>
        </w:rPr>
        <w:t xml:space="preserve"> на</w:t>
      </w:r>
      <w:r w:rsidR="004569FB" w:rsidRPr="00DB5643">
        <w:rPr>
          <w:snapToGrid w:val="0"/>
          <w:kern w:val="22"/>
          <w:szCs w:val="22"/>
          <w:lang w:val="ru-RU"/>
        </w:rPr>
        <w:t xml:space="preserve"> 5</w:t>
      </w:r>
      <w:r w:rsidR="005C3ADB" w:rsidRPr="00DB5643">
        <w:rPr>
          <w:snapToGrid w:val="0"/>
          <w:kern w:val="22"/>
          <w:szCs w:val="22"/>
          <w:lang w:val="ru-RU"/>
        </w:rPr>
        <w:t> </w:t>
      </w:r>
      <w:r w:rsidR="004569FB" w:rsidRPr="00DB5643">
        <w:rPr>
          <w:snapToGrid w:val="0"/>
          <w:kern w:val="22"/>
          <w:szCs w:val="22"/>
          <w:lang w:val="ru-RU"/>
        </w:rPr>
        <w:t xml:space="preserve">% </w:t>
      </w:r>
      <w:r w:rsidR="005C3ADB" w:rsidRPr="00DB5643">
        <w:rPr>
          <w:bCs/>
          <w:snapToGrid w:val="0"/>
          <w:kern w:val="22"/>
          <w:szCs w:val="22"/>
          <w:lang w:val="ru-RU"/>
        </w:rPr>
        <w:t>по сравнению с исходным уровнем</w:t>
      </w:r>
      <w:r w:rsidR="005C3ADB" w:rsidRPr="00DB5643">
        <w:rPr>
          <w:snapToGrid w:val="0"/>
          <w:kern w:val="22"/>
          <w:szCs w:val="22"/>
          <w:lang w:val="ru-RU"/>
        </w:rPr>
        <w:t xml:space="preserve"> </w:t>
      </w:r>
      <w:r w:rsidR="00E74EAB">
        <w:rPr>
          <w:snapToGrid w:val="0"/>
          <w:kern w:val="22"/>
          <w:szCs w:val="22"/>
          <w:lang w:val="ru-RU"/>
        </w:rPr>
        <w:br/>
      </w:r>
      <w:r w:rsidR="004569FB" w:rsidRPr="00DB5643">
        <w:rPr>
          <w:bCs/>
          <w:snapToGrid w:val="0"/>
          <w:kern w:val="22"/>
          <w:szCs w:val="22"/>
          <w:lang w:val="ru-RU"/>
        </w:rPr>
        <w:t>(</w:t>
      </w:r>
      <w:r w:rsidR="005C3ADB" w:rsidRPr="00DB5643">
        <w:rPr>
          <w:bCs/>
          <w:snapToGrid w:val="0"/>
          <w:kern w:val="22"/>
          <w:szCs w:val="22"/>
          <w:lang w:val="ru-RU"/>
        </w:rPr>
        <w:t>см. рис.</w:t>
      </w:r>
      <w:r w:rsidR="004569FB" w:rsidRPr="00DB5643">
        <w:rPr>
          <w:bCs/>
          <w:snapToGrid w:val="0"/>
          <w:kern w:val="22"/>
          <w:szCs w:val="22"/>
          <w:lang w:val="ru-RU"/>
        </w:rPr>
        <w:t xml:space="preserve"> 4)</w:t>
      </w:r>
      <w:r w:rsidR="003A3DD9" w:rsidRPr="00DB5643">
        <w:rPr>
          <w:bCs/>
          <w:snapToGrid w:val="0"/>
          <w:kern w:val="22"/>
          <w:szCs w:val="22"/>
          <w:lang w:val="ru-RU"/>
        </w:rPr>
        <w:t>.</w:t>
      </w:r>
    </w:p>
    <w:p w14:paraId="600957FE" w14:textId="1E595F6F" w:rsidR="004569FB" w:rsidRPr="00DB5643" w:rsidRDefault="00246077" w:rsidP="00246077">
      <w:pPr>
        <w:pStyle w:val="a3"/>
        <w:suppressLineNumbers/>
        <w:suppressAutoHyphens/>
        <w:snapToGrid w:val="0"/>
        <w:spacing w:before="120" w:after="120"/>
        <w:ind w:left="0"/>
        <w:contextualSpacing w:val="0"/>
        <w:jc w:val="left"/>
        <w:rPr>
          <w:iCs/>
          <w:snapToGrid w:val="0"/>
          <w:kern w:val="22"/>
          <w:szCs w:val="22"/>
          <w:lang w:val="ru-RU"/>
        </w:rPr>
      </w:pPr>
      <w:r w:rsidRPr="00DB5643">
        <w:rPr>
          <w:iCs/>
          <w:noProof/>
          <w:kern w:val="22"/>
          <w:szCs w:val="22"/>
          <w:lang w:val="ru-RU" w:eastAsia="ru-RU"/>
        </w:rPr>
        <w:drawing>
          <wp:inline distT="0" distB="0" distL="0" distR="0" wp14:anchorId="4EC47B9E" wp14:editId="2F27AA8E">
            <wp:extent cx="5953014" cy="3835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59270" cy="3839431"/>
                    </a:xfrm>
                    <a:prstGeom prst="rect">
                      <a:avLst/>
                    </a:prstGeom>
                    <a:noFill/>
                  </pic:spPr>
                </pic:pic>
              </a:graphicData>
            </a:graphic>
          </wp:inline>
        </w:drawing>
      </w:r>
    </w:p>
    <w:p w14:paraId="61818E1A" w14:textId="64C0A1C6" w:rsidR="004569FB" w:rsidRPr="00DB5643" w:rsidRDefault="00CA2624"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DB5643">
        <w:rPr>
          <w:snapToGrid w:val="0"/>
          <w:kern w:val="22"/>
          <w:szCs w:val="22"/>
          <w:lang w:val="ru-RU"/>
        </w:rPr>
        <w:t>В отношении</w:t>
      </w:r>
      <w:r w:rsidR="004569FB" w:rsidRPr="00DB5643">
        <w:rPr>
          <w:snapToGrid w:val="0"/>
          <w:kern w:val="22"/>
          <w:szCs w:val="22"/>
          <w:lang w:val="ru-RU"/>
        </w:rPr>
        <w:t xml:space="preserve"> </w:t>
      </w:r>
      <w:r w:rsidR="005D40E3" w:rsidRPr="00DB5643">
        <w:rPr>
          <w:b/>
          <w:bCs/>
          <w:snapToGrid w:val="0"/>
          <w:kern w:val="22"/>
          <w:szCs w:val="22"/>
          <w:lang w:val="ru-RU"/>
        </w:rPr>
        <w:t>индикатора</w:t>
      </w:r>
      <w:r w:rsidR="004569FB" w:rsidRPr="00DB5643">
        <w:rPr>
          <w:b/>
          <w:bCs/>
          <w:snapToGrid w:val="0"/>
          <w:kern w:val="22"/>
          <w:szCs w:val="22"/>
          <w:lang w:val="ru-RU"/>
        </w:rPr>
        <w:t xml:space="preserve"> 1.6.3</w:t>
      </w:r>
      <w:r w:rsidR="004569FB" w:rsidRPr="00DB5643">
        <w:rPr>
          <w:snapToGrid w:val="0"/>
          <w:kern w:val="22"/>
          <w:szCs w:val="22"/>
          <w:lang w:val="ru-RU"/>
        </w:rPr>
        <w:t xml:space="preserve"> (</w:t>
      </w:r>
      <w:r w:rsidR="00C37703" w:rsidRPr="00DB5643">
        <w:rPr>
          <w:snapToGrid w:val="0"/>
          <w:kern w:val="22"/>
          <w:szCs w:val="22"/>
          <w:lang w:val="ru-RU"/>
        </w:rPr>
        <w:t xml:space="preserve">число Сторон, имеющих доступ к инструментам для обнаружения несанкционированных </w:t>
      </w:r>
      <w:proofErr w:type="spellStart"/>
      <w:r w:rsidR="00C37703" w:rsidRPr="00DB5643">
        <w:rPr>
          <w:snapToGrid w:val="0"/>
          <w:kern w:val="22"/>
          <w:szCs w:val="22"/>
          <w:lang w:val="ru-RU"/>
        </w:rPr>
        <w:t>ЖИО</w:t>
      </w:r>
      <w:proofErr w:type="spellEnd"/>
      <w:r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 xml:space="preserve">наиболее подходящая доступная информация для оценки прогресса касается Сторон, внедривших процедуры по отбору проб и обнаружению </w:t>
      </w:r>
      <w:proofErr w:type="spellStart"/>
      <w:r w:rsidRPr="00DB5643">
        <w:rPr>
          <w:snapToGrid w:val="0"/>
          <w:kern w:val="22"/>
          <w:szCs w:val="22"/>
          <w:lang w:val="ru-RU"/>
        </w:rPr>
        <w:t>ЖИО</w:t>
      </w:r>
      <w:proofErr w:type="spellEnd"/>
      <w:r w:rsidR="004569FB" w:rsidRPr="00DB5643">
        <w:rPr>
          <w:snapToGrid w:val="0"/>
          <w:kern w:val="22"/>
          <w:szCs w:val="22"/>
          <w:lang w:val="ru-RU"/>
        </w:rPr>
        <w:t xml:space="preserve">. </w:t>
      </w:r>
      <w:r w:rsidRPr="00DB5643">
        <w:rPr>
          <w:snapToGrid w:val="0"/>
          <w:kern w:val="22"/>
          <w:szCs w:val="22"/>
          <w:lang w:val="ru-RU"/>
        </w:rPr>
        <w:t>В общей сложности</w:t>
      </w:r>
      <w:r w:rsidR="004569FB" w:rsidRPr="00DB5643">
        <w:rPr>
          <w:snapToGrid w:val="0"/>
          <w:kern w:val="22"/>
          <w:szCs w:val="22"/>
          <w:lang w:val="ru-RU"/>
        </w:rPr>
        <w:t xml:space="preserve"> 56</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(52 </w:t>
      </w:r>
      <w:r w:rsidRPr="00DB5643">
        <w:rPr>
          <w:snapToGrid w:val="0"/>
          <w:kern w:val="22"/>
          <w:szCs w:val="22"/>
          <w:lang w:val="ru-RU"/>
        </w:rPr>
        <w:t>Стороны</w:t>
      </w:r>
      <w:r w:rsidR="004569FB" w:rsidRPr="00DB5643">
        <w:rPr>
          <w:snapToGrid w:val="0"/>
          <w:kern w:val="22"/>
          <w:szCs w:val="22"/>
          <w:lang w:val="ru-RU"/>
        </w:rPr>
        <w:t xml:space="preserve">) </w:t>
      </w:r>
      <w:r w:rsidRPr="00DB5643">
        <w:rPr>
          <w:snapToGrid w:val="0"/>
          <w:kern w:val="22"/>
          <w:szCs w:val="22"/>
          <w:lang w:val="ru-RU"/>
        </w:rPr>
        <w:t>сообщили о внедрении таких процедур</w:t>
      </w:r>
      <w:r w:rsidR="004569FB" w:rsidRPr="00DB5643">
        <w:rPr>
          <w:snapToGrid w:val="0"/>
          <w:kern w:val="22"/>
          <w:szCs w:val="22"/>
          <w:lang w:val="ru-RU"/>
        </w:rPr>
        <w:t xml:space="preserve">, </w:t>
      </w:r>
      <w:r w:rsidRPr="00DB5643">
        <w:rPr>
          <w:snapToGrid w:val="0"/>
          <w:kern w:val="22"/>
          <w:szCs w:val="22"/>
          <w:lang w:val="ru-RU"/>
        </w:rPr>
        <w:t>что соответствует увеличению на</w:t>
      </w:r>
      <w:r w:rsidR="004569FB" w:rsidRPr="00DB5643">
        <w:rPr>
          <w:snapToGrid w:val="0"/>
          <w:kern w:val="22"/>
          <w:szCs w:val="22"/>
          <w:lang w:val="ru-RU"/>
        </w:rPr>
        <w:t xml:space="preserve"> 21</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Pr="00DB5643">
        <w:rPr>
          <w:snapToGrid w:val="0"/>
          <w:kern w:val="22"/>
          <w:szCs w:val="22"/>
          <w:lang w:val="ru-RU"/>
        </w:rPr>
        <w:t>при следующих региональных изменениях</w:t>
      </w:r>
      <w:r w:rsidR="004569FB" w:rsidRPr="00DB5643">
        <w:rPr>
          <w:snapToGrid w:val="0"/>
          <w:kern w:val="22"/>
          <w:szCs w:val="22"/>
          <w:lang w:val="ru-RU"/>
        </w:rPr>
        <w:t xml:space="preserve">: </w:t>
      </w:r>
      <w:r w:rsidRPr="00DB5643">
        <w:rPr>
          <w:bCs/>
          <w:snapToGrid w:val="0"/>
          <w:kern w:val="22"/>
          <w:szCs w:val="22"/>
          <w:lang w:val="ru-RU"/>
        </w:rPr>
        <w:t>Азиатско-Тихоокеанский регион:</w:t>
      </w:r>
      <w:r w:rsidRPr="00DB5643">
        <w:rPr>
          <w:snapToGrid w:val="0"/>
          <w:kern w:val="22"/>
          <w:szCs w:val="22"/>
          <w:lang w:val="ru-RU"/>
        </w:rPr>
        <w:t xml:space="preserve"> </w:t>
      </w:r>
      <w:r w:rsidR="004569FB" w:rsidRPr="00DB5643">
        <w:rPr>
          <w:snapToGrid w:val="0"/>
          <w:kern w:val="22"/>
          <w:szCs w:val="22"/>
          <w:lang w:val="ru-RU"/>
        </w:rPr>
        <w:t>+</w:t>
      </w:r>
      <w:r w:rsidR="00430E26" w:rsidRPr="00DB5643">
        <w:rPr>
          <w:snapToGrid w:val="0"/>
          <w:kern w:val="22"/>
          <w:szCs w:val="22"/>
          <w:lang w:val="ru-RU"/>
        </w:rPr>
        <w:t>50</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Африка</w:t>
      </w:r>
      <w:r w:rsidR="004569FB" w:rsidRPr="00DB5643">
        <w:rPr>
          <w:snapToGrid w:val="0"/>
          <w:kern w:val="22"/>
          <w:szCs w:val="22"/>
          <w:lang w:val="ru-RU"/>
        </w:rPr>
        <w:t xml:space="preserve"> +</w:t>
      </w:r>
      <w:r w:rsidR="00623904" w:rsidRPr="00DB5643">
        <w:rPr>
          <w:snapToGrid w:val="0"/>
          <w:kern w:val="22"/>
          <w:szCs w:val="22"/>
          <w:lang w:val="ru-RU"/>
        </w:rPr>
        <w:t>20</w:t>
      </w:r>
      <w:r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Pr="00DB5643">
        <w:rPr>
          <w:snapToGrid w:val="0"/>
          <w:kern w:val="22"/>
          <w:szCs w:val="22"/>
          <w:lang w:val="ru-RU"/>
        </w:rPr>
        <w:t>:</w:t>
      </w:r>
      <w:r w:rsidR="004569FB" w:rsidRPr="00DB5643">
        <w:rPr>
          <w:snapToGrid w:val="0"/>
          <w:kern w:val="22"/>
          <w:szCs w:val="22"/>
          <w:lang w:val="ru-RU"/>
        </w:rPr>
        <w:t xml:space="preserve"> </w:t>
      </w:r>
      <w:r w:rsidR="004569FB" w:rsidRPr="00DB5643">
        <w:rPr>
          <w:snapToGrid w:val="0"/>
          <w:kern w:val="22"/>
          <w:szCs w:val="22"/>
          <w:lang w:val="ru-RU"/>
        </w:rPr>
        <w:lastRenderedPageBreak/>
        <w:t>+</w:t>
      </w:r>
      <w:r w:rsidR="00623904" w:rsidRPr="00DB5643">
        <w:rPr>
          <w:snapToGrid w:val="0"/>
          <w:kern w:val="22"/>
          <w:szCs w:val="22"/>
          <w:lang w:val="ru-RU"/>
        </w:rPr>
        <w:t>17</w:t>
      </w:r>
      <w:r w:rsidRPr="00DB5643">
        <w:rPr>
          <w:snapToGrid w:val="0"/>
          <w:kern w:val="22"/>
          <w:szCs w:val="22"/>
          <w:lang w:val="ru-RU"/>
        </w:rPr>
        <w:t> </w:t>
      </w:r>
      <w:r w:rsidR="004569FB" w:rsidRPr="00DB5643">
        <w:rPr>
          <w:snapToGrid w:val="0"/>
          <w:kern w:val="22"/>
          <w:szCs w:val="22"/>
          <w:lang w:val="ru-RU"/>
        </w:rPr>
        <w:t xml:space="preserve">%; </w:t>
      </w:r>
      <w:proofErr w:type="spellStart"/>
      <w:r w:rsidRPr="00DB5643">
        <w:rPr>
          <w:snapToGrid w:val="0"/>
          <w:kern w:val="22"/>
          <w:szCs w:val="22"/>
          <w:lang w:val="ru-RU"/>
        </w:rPr>
        <w:t>ГРУЛАК</w:t>
      </w:r>
      <w:proofErr w:type="spellEnd"/>
      <w:r w:rsidRPr="00DB5643">
        <w:rPr>
          <w:snapToGrid w:val="0"/>
          <w:kern w:val="22"/>
          <w:szCs w:val="22"/>
          <w:lang w:val="ru-RU"/>
        </w:rPr>
        <w:t>:</w:t>
      </w:r>
      <w:r w:rsidR="00623904" w:rsidRPr="00DB5643">
        <w:rPr>
          <w:snapToGrid w:val="0"/>
          <w:kern w:val="22"/>
          <w:szCs w:val="22"/>
          <w:lang w:val="ru-RU"/>
        </w:rPr>
        <w:t xml:space="preserve"> +8</w:t>
      </w:r>
      <w:r w:rsidRPr="00DB5643">
        <w:rPr>
          <w:snapToGrid w:val="0"/>
          <w:kern w:val="22"/>
          <w:szCs w:val="22"/>
          <w:lang w:val="ru-RU"/>
        </w:rPr>
        <w:t> </w:t>
      </w:r>
      <w:r w:rsidR="00623904" w:rsidRPr="00DB5643">
        <w:rPr>
          <w:snapToGrid w:val="0"/>
          <w:kern w:val="22"/>
          <w:szCs w:val="22"/>
          <w:lang w:val="ru-RU"/>
        </w:rPr>
        <w:t xml:space="preserve">%; </w:t>
      </w:r>
      <w:proofErr w:type="spellStart"/>
      <w:r w:rsidR="004569FB" w:rsidRPr="00DB5643">
        <w:rPr>
          <w:snapToGrid w:val="0"/>
          <w:kern w:val="22"/>
          <w:szCs w:val="22"/>
        </w:rPr>
        <w:t>CEE</w:t>
      </w:r>
      <w:proofErr w:type="spellEnd"/>
      <w:r w:rsidRPr="00DB5643">
        <w:rPr>
          <w:snapToGrid w:val="0"/>
          <w:kern w:val="22"/>
          <w:szCs w:val="22"/>
          <w:lang w:val="ru-RU"/>
        </w:rPr>
        <w:t>:</w:t>
      </w:r>
      <w:r w:rsidR="004569FB" w:rsidRPr="00DB5643">
        <w:rPr>
          <w:snapToGrid w:val="0"/>
          <w:kern w:val="22"/>
          <w:szCs w:val="22"/>
          <w:lang w:val="ru-RU"/>
        </w:rPr>
        <w:t xml:space="preserve"> </w:t>
      </w:r>
      <w:r w:rsidR="00623904" w:rsidRPr="00DB5643">
        <w:rPr>
          <w:snapToGrid w:val="0"/>
          <w:kern w:val="22"/>
          <w:szCs w:val="22"/>
          <w:lang w:val="ru-RU"/>
        </w:rPr>
        <w:t>+6</w:t>
      </w:r>
      <w:r w:rsidRPr="00DB5643">
        <w:rPr>
          <w:snapToGrid w:val="0"/>
          <w:kern w:val="22"/>
          <w:szCs w:val="22"/>
          <w:lang w:val="ru-RU"/>
        </w:rPr>
        <w:t> </w:t>
      </w:r>
      <w:r w:rsidR="00623904"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В общей сложности</w:t>
      </w:r>
      <w:r w:rsidR="004569FB" w:rsidRPr="00DB5643">
        <w:rPr>
          <w:snapToGrid w:val="0"/>
          <w:kern w:val="22"/>
          <w:szCs w:val="22"/>
          <w:lang w:val="ru-RU"/>
        </w:rPr>
        <w:t xml:space="preserve"> 19</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(18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 о внедрении таких процедур в некоторой степени</w:t>
      </w:r>
      <w:r w:rsidR="004569FB" w:rsidRPr="00DB5643">
        <w:rPr>
          <w:snapToGrid w:val="0"/>
          <w:kern w:val="22"/>
          <w:szCs w:val="22"/>
          <w:lang w:val="ru-RU"/>
        </w:rPr>
        <w:t xml:space="preserve">, </w:t>
      </w:r>
      <w:r w:rsidRPr="00DB5643">
        <w:rPr>
          <w:snapToGrid w:val="0"/>
          <w:kern w:val="22"/>
          <w:szCs w:val="22"/>
          <w:lang w:val="ru-RU"/>
        </w:rPr>
        <w:t>что соответствует уменьшению на</w:t>
      </w:r>
      <w:r w:rsidR="004569FB" w:rsidRPr="00DB5643">
        <w:rPr>
          <w:snapToGrid w:val="0"/>
          <w:kern w:val="22"/>
          <w:szCs w:val="22"/>
          <w:lang w:val="ru-RU"/>
        </w:rPr>
        <w:t xml:space="preserve"> 9</w:t>
      </w:r>
      <w:r w:rsidRPr="00DB5643">
        <w:rPr>
          <w:snapToGrid w:val="0"/>
          <w:kern w:val="22"/>
          <w:szCs w:val="22"/>
          <w:lang w:val="ru-RU"/>
        </w:rPr>
        <w:t> </w:t>
      </w:r>
      <w:r w:rsidR="004569FB" w:rsidRPr="00DB5643">
        <w:rPr>
          <w:snapToGrid w:val="0"/>
          <w:kern w:val="22"/>
          <w:szCs w:val="22"/>
          <w:lang w:val="ru-RU"/>
        </w:rPr>
        <w:t xml:space="preserve">%. </w:t>
      </w:r>
      <w:r w:rsidR="004569FB" w:rsidRPr="00DB5643">
        <w:rPr>
          <w:snapToGrid w:val="0"/>
          <w:kern w:val="22"/>
          <w:szCs w:val="22"/>
        </w:rPr>
        <w:t>(</w:t>
      </w:r>
      <w:r w:rsidRPr="00DB5643">
        <w:rPr>
          <w:snapToGrid w:val="0"/>
          <w:kern w:val="22"/>
          <w:szCs w:val="22"/>
          <w:lang w:val="ru-RU"/>
        </w:rPr>
        <w:t>Также см.</w:t>
      </w:r>
      <w:r w:rsidR="008C0D29" w:rsidRPr="00DB5643">
        <w:rPr>
          <w:snapToGrid w:val="0"/>
          <w:kern w:val="22"/>
          <w:szCs w:val="22"/>
        </w:rPr>
        <w:t xml:space="preserve"> </w:t>
      </w:r>
      <w:r w:rsidRPr="00DB5643">
        <w:rPr>
          <w:b/>
          <w:snapToGrid w:val="0"/>
          <w:kern w:val="22"/>
          <w:szCs w:val="22"/>
          <w:lang w:val="ru-RU"/>
        </w:rPr>
        <w:t>индикатор</w:t>
      </w:r>
      <w:r w:rsidR="004569FB" w:rsidRPr="00DB5643">
        <w:rPr>
          <w:b/>
          <w:snapToGrid w:val="0"/>
          <w:kern w:val="22"/>
          <w:szCs w:val="22"/>
        </w:rPr>
        <w:t xml:space="preserve"> 1.4.2 a) </w:t>
      </w:r>
      <w:r w:rsidRPr="00DB5643">
        <w:rPr>
          <w:snapToGrid w:val="0"/>
          <w:kern w:val="22"/>
          <w:szCs w:val="22"/>
          <w:lang w:val="ru-RU"/>
        </w:rPr>
        <w:t>выше</w:t>
      </w:r>
      <w:r w:rsidR="004569FB" w:rsidRPr="00DB5643">
        <w:rPr>
          <w:snapToGrid w:val="0"/>
          <w:kern w:val="22"/>
          <w:szCs w:val="22"/>
        </w:rPr>
        <w:t xml:space="preserve">). </w:t>
      </w:r>
    </w:p>
    <w:p w14:paraId="42356BB0" w14:textId="772417B2" w:rsidR="004569FB" w:rsidRPr="00DB5643" w:rsidRDefault="00C24525" w:rsidP="004569FB">
      <w:pPr>
        <w:pStyle w:val="a3"/>
        <w:numPr>
          <w:ilvl w:val="0"/>
          <w:numId w:val="9"/>
        </w:numPr>
        <w:suppressLineNumbers/>
        <w:tabs>
          <w:tab w:val="clear" w:pos="3240"/>
        </w:tabs>
        <w:suppressAutoHyphens/>
        <w:snapToGrid w:val="0"/>
        <w:spacing w:before="120" w:after="120"/>
        <w:ind w:left="0" w:firstLine="0"/>
        <w:contextualSpacing w:val="0"/>
        <w:rPr>
          <w:bCs/>
          <w:iCs/>
          <w:snapToGrid w:val="0"/>
          <w:kern w:val="22"/>
          <w:szCs w:val="22"/>
          <w:lang w:val="ru-RU"/>
        </w:rPr>
      </w:pPr>
      <w:r w:rsidRPr="00DB5643">
        <w:rPr>
          <w:iCs/>
          <w:snapToGrid w:val="0"/>
          <w:kern w:val="22"/>
          <w:szCs w:val="22"/>
          <w:lang w:val="ru-RU"/>
        </w:rPr>
        <w:t>В отношении</w:t>
      </w:r>
      <w:r w:rsidR="004569FB" w:rsidRPr="00DB5643">
        <w:rPr>
          <w:iCs/>
          <w:snapToGrid w:val="0"/>
          <w:kern w:val="22"/>
          <w:szCs w:val="22"/>
          <w:lang w:val="ru-RU"/>
        </w:rPr>
        <w:t xml:space="preserve"> </w:t>
      </w:r>
      <w:r w:rsidRPr="00DB5643">
        <w:rPr>
          <w:b/>
          <w:bCs/>
          <w:iCs/>
          <w:snapToGrid w:val="0"/>
          <w:kern w:val="22"/>
          <w:szCs w:val="22"/>
          <w:lang w:val="ru-RU"/>
        </w:rPr>
        <w:t>индикатора</w:t>
      </w:r>
      <w:r w:rsidR="004569FB" w:rsidRPr="00DB5643">
        <w:rPr>
          <w:b/>
          <w:bCs/>
          <w:iCs/>
          <w:snapToGrid w:val="0"/>
          <w:kern w:val="22"/>
          <w:szCs w:val="22"/>
          <w:lang w:val="ru-RU"/>
        </w:rPr>
        <w:t xml:space="preserve"> 1.6.4</w:t>
      </w:r>
      <w:r w:rsidR="004569FB" w:rsidRPr="00DB5643">
        <w:rPr>
          <w:iCs/>
          <w:snapToGrid w:val="0"/>
          <w:kern w:val="22"/>
          <w:szCs w:val="22"/>
          <w:lang w:val="ru-RU"/>
        </w:rPr>
        <w:t xml:space="preserve"> (</w:t>
      </w:r>
      <w:r w:rsidRPr="00DB5643">
        <w:rPr>
          <w:iCs/>
          <w:snapToGrid w:val="0"/>
          <w:kern w:val="22"/>
          <w:szCs w:val="22"/>
          <w:lang w:val="ru-RU"/>
        </w:rPr>
        <w:t xml:space="preserve">число Сторон, использующих руководящие указания, разработанные для обработки, транспортировки и упаковки </w:t>
      </w:r>
      <w:proofErr w:type="spellStart"/>
      <w:r w:rsidRPr="00DB5643">
        <w:rPr>
          <w:iCs/>
          <w:snapToGrid w:val="0"/>
          <w:kern w:val="22"/>
          <w:szCs w:val="22"/>
          <w:lang w:val="ru-RU"/>
        </w:rPr>
        <w:t>ЖИО</w:t>
      </w:r>
      <w:proofErr w:type="spellEnd"/>
      <w:r w:rsidR="004569FB" w:rsidRPr="00DB5643">
        <w:rPr>
          <w:iCs/>
          <w:snapToGrid w:val="0"/>
          <w:kern w:val="22"/>
          <w:szCs w:val="22"/>
          <w:lang w:val="ru-RU"/>
        </w:rPr>
        <w:t xml:space="preserve">) </w:t>
      </w:r>
      <w:r w:rsidR="004569FB" w:rsidRPr="00DB5643">
        <w:rPr>
          <w:bCs/>
          <w:iCs/>
          <w:snapToGrid w:val="0"/>
          <w:kern w:val="22"/>
          <w:szCs w:val="22"/>
          <w:lang w:val="ru-RU"/>
        </w:rPr>
        <w:t>69</w:t>
      </w:r>
      <w:r w:rsidRPr="00DB5643">
        <w:rPr>
          <w:bCs/>
          <w:iCs/>
          <w:snapToGrid w:val="0"/>
          <w:kern w:val="22"/>
          <w:szCs w:val="22"/>
        </w:rPr>
        <w:t> </w:t>
      </w:r>
      <w:r w:rsidR="004569FB" w:rsidRPr="00DB5643">
        <w:rPr>
          <w:bCs/>
          <w:iCs/>
          <w:snapToGrid w:val="0"/>
          <w:kern w:val="22"/>
          <w:szCs w:val="22"/>
          <w:lang w:val="ru-RU"/>
        </w:rPr>
        <w:t xml:space="preserve">% </w:t>
      </w:r>
      <w:r w:rsidRPr="00DB5643">
        <w:rPr>
          <w:bCs/>
          <w:iCs/>
          <w:snapToGrid w:val="0"/>
          <w:kern w:val="22"/>
          <w:szCs w:val="22"/>
          <w:lang w:val="ru-RU"/>
        </w:rPr>
        <w:t>Сторон</w:t>
      </w:r>
      <w:r w:rsidR="004569FB" w:rsidRPr="00DB5643">
        <w:rPr>
          <w:bCs/>
          <w:iCs/>
          <w:snapToGrid w:val="0"/>
          <w:kern w:val="22"/>
          <w:szCs w:val="22"/>
          <w:lang w:val="ru-RU"/>
        </w:rPr>
        <w:t xml:space="preserve"> (49 </w:t>
      </w:r>
      <w:r w:rsidRPr="00DB5643">
        <w:rPr>
          <w:bCs/>
          <w:iCs/>
          <w:snapToGrid w:val="0"/>
          <w:kern w:val="22"/>
          <w:szCs w:val="22"/>
          <w:lang w:val="ru-RU"/>
        </w:rPr>
        <w:t>Сторон</w:t>
      </w:r>
      <w:r w:rsidR="004569FB" w:rsidRPr="00DB5643">
        <w:rPr>
          <w:bCs/>
          <w:iCs/>
          <w:snapToGrid w:val="0"/>
          <w:kern w:val="22"/>
          <w:szCs w:val="22"/>
          <w:lang w:val="ru-RU"/>
        </w:rPr>
        <w:t xml:space="preserve">) </w:t>
      </w:r>
      <w:r w:rsidRPr="00DB5643">
        <w:rPr>
          <w:bCs/>
          <w:iCs/>
          <w:snapToGrid w:val="0"/>
          <w:kern w:val="22"/>
          <w:szCs w:val="22"/>
          <w:lang w:val="ru-RU"/>
        </w:rPr>
        <w:t xml:space="preserve">сообщили о наличии у них руководящих указаний для целей обеспечения безопасной </w:t>
      </w:r>
      <w:r w:rsidRPr="00DB5643">
        <w:rPr>
          <w:iCs/>
          <w:snapToGrid w:val="0"/>
          <w:kern w:val="22"/>
          <w:szCs w:val="22"/>
          <w:lang w:val="ru-RU"/>
        </w:rPr>
        <w:t>обработки, транспортировки и упаковки</w:t>
      </w:r>
      <w:r w:rsidRPr="00DB5643">
        <w:rPr>
          <w:bCs/>
          <w:iCs/>
          <w:snapToGrid w:val="0"/>
          <w:kern w:val="22"/>
          <w:szCs w:val="22"/>
          <w:lang w:val="ru-RU"/>
        </w:rPr>
        <w:t xml:space="preserve"> живых измененных организмов</w:t>
      </w:r>
      <w:r w:rsidR="004569FB" w:rsidRPr="00DB5643">
        <w:rPr>
          <w:bCs/>
          <w:iCs/>
          <w:snapToGrid w:val="0"/>
          <w:kern w:val="22"/>
          <w:szCs w:val="22"/>
          <w:lang w:val="ru-RU"/>
        </w:rPr>
        <w:t xml:space="preserve">. </w:t>
      </w:r>
      <w:r w:rsidRPr="00DB5643">
        <w:rPr>
          <w:bCs/>
          <w:iCs/>
          <w:snapToGrid w:val="0"/>
          <w:kern w:val="22"/>
          <w:szCs w:val="22"/>
          <w:lang w:val="ru-RU"/>
        </w:rPr>
        <w:t>Это</w:t>
      </w:r>
      <w:r w:rsidRPr="003926D8">
        <w:rPr>
          <w:bCs/>
          <w:iCs/>
          <w:snapToGrid w:val="0"/>
          <w:kern w:val="22"/>
          <w:szCs w:val="22"/>
          <w:lang w:val="ru-RU"/>
        </w:rPr>
        <w:t xml:space="preserve"> </w:t>
      </w:r>
      <w:r w:rsidRPr="00DB5643">
        <w:rPr>
          <w:bCs/>
          <w:iCs/>
          <w:snapToGrid w:val="0"/>
          <w:kern w:val="22"/>
          <w:szCs w:val="22"/>
          <w:lang w:val="ru-RU"/>
        </w:rPr>
        <w:t>соответствует</w:t>
      </w:r>
      <w:r w:rsidRPr="003926D8">
        <w:rPr>
          <w:bCs/>
          <w:iCs/>
          <w:snapToGrid w:val="0"/>
          <w:kern w:val="22"/>
          <w:szCs w:val="22"/>
          <w:lang w:val="ru-RU"/>
        </w:rPr>
        <w:t xml:space="preserve"> </w:t>
      </w:r>
      <w:r w:rsidRPr="00DB5643">
        <w:rPr>
          <w:bCs/>
          <w:iCs/>
          <w:snapToGrid w:val="0"/>
          <w:kern w:val="22"/>
          <w:szCs w:val="22"/>
          <w:lang w:val="ru-RU"/>
        </w:rPr>
        <w:t>увеличению</w:t>
      </w:r>
      <w:r w:rsidRPr="003926D8">
        <w:rPr>
          <w:bCs/>
          <w:iCs/>
          <w:snapToGrid w:val="0"/>
          <w:kern w:val="22"/>
          <w:szCs w:val="22"/>
          <w:lang w:val="ru-RU"/>
        </w:rPr>
        <w:t xml:space="preserve"> </w:t>
      </w:r>
      <w:r w:rsidRPr="00DB5643">
        <w:rPr>
          <w:bCs/>
          <w:iCs/>
          <w:snapToGrid w:val="0"/>
          <w:kern w:val="22"/>
          <w:szCs w:val="22"/>
          <w:lang w:val="ru-RU"/>
        </w:rPr>
        <w:t>на</w:t>
      </w:r>
      <w:r w:rsidRPr="003926D8">
        <w:rPr>
          <w:bCs/>
          <w:iCs/>
          <w:snapToGrid w:val="0"/>
          <w:kern w:val="22"/>
          <w:szCs w:val="22"/>
          <w:lang w:val="ru-RU"/>
        </w:rPr>
        <w:t xml:space="preserve"> </w:t>
      </w:r>
      <w:r w:rsidR="004569FB" w:rsidRPr="003926D8">
        <w:rPr>
          <w:bCs/>
          <w:iCs/>
          <w:snapToGrid w:val="0"/>
          <w:kern w:val="22"/>
          <w:szCs w:val="22"/>
          <w:lang w:val="ru-RU"/>
        </w:rPr>
        <w:t>7</w:t>
      </w:r>
      <w:r w:rsidRPr="00DB5643">
        <w:rPr>
          <w:bCs/>
          <w:iCs/>
          <w:snapToGrid w:val="0"/>
          <w:kern w:val="22"/>
          <w:szCs w:val="22"/>
          <w:lang w:val="en-US"/>
        </w:rPr>
        <w:t> </w:t>
      </w:r>
      <w:r w:rsidR="004569FB" w:rsidRPr="003926D8">
        <w:rPr>
          <w:bCs/>
          <w:iCs/>
          <w:snapToGrid w:val="0"/>
          <w:kern w:val="22"/>
          <w:szCs w:val="22"/>
          <w:lang w:val="ru-RU"/>
        </w:rPr>
        <w:t xml:space="preserve">%. </w:t>
      </w:r>
      <w:r w:rsidRPr="00DB5643">
        <w:rPr>
          <w:bCs/>
          <w:iCs/>
          <w:snapToGrid w:val="0"/>
          <w:kern w:val="22"/>
          <w:szCs w:val="22"/>
          <w:lang w:val="ru-RU"/>
        </w:rPr>
        <w:t>На региональном уровне было сообщено об изменениях в</w:t>
      </w:r>
      <w:r w:rsidR="004569FB" w:rsidRPr="00DB5643">
        <w:rPr>
          <w:bCs/>
          <w:iCs/>
          <w:snapToGrid w:val="0"/>
          <w:kern w:val="22"/>
          <w:szCs w:val="22"/>
          <w:lang w:val="ru-RU"/>
        </w:rPr>
        <w:t xml:space="preserve"> </w:t>
      </w:r>
      <w:r w:rsidRPr="00DB5643">
        <w:rPr>
          <w:bCs/>
          <w:iCs/>
          <w:snapToGrid w:val="0"/>
          <w:kern w:val="22"/>
          <w:szCs w:val="22"/>
          <w:lang w:val="ru-RU"/>
        </w:rPr>
        <w:t>Африке</w:t>
      </w:r>
      <w:r w:rsidR="004569FB" w:rsidRPr="00DB5643">
        <w:rPr>
          <w:bCs/>
          <w:iCs/>
          <w:snapToGrid w:val="0"/>
          <w:kern w:val="22"/>
          <w:szCs w:val="22"/>
          <w:lang w:val="ru-RU"/>
        </w:rPr>
        <w:t xml:space="preserve"> (+4</w:t>
      </w:r>
      <w:r w:rsidRPr="00DB5643">
        <w:rPr>
          <w:bCs/>
          <w:iCs/>
          <w:snapToGrid w:val="0"/>
          <w:kern w:val="22"/>
          <w:szCs w:val="22"/>
          <w:lang w:val="en-US"/>
        </w:rPr>
        <w:t> </w:t>
      </w:r>
      <w:r w:rsidR="004569FB" w:rsidRPr="00DB5643">
        <w:rPr>
          <w:bCs/>
          <w:iCs/>
          <w:snapToGrid w:val="0"/>
          <w:kern w:val="22"/>
          <w:szCs w:val="22"/>
          <w:lang w:val="ru-RU"/>
        </w:rPr>
        <w:t xml:space="preserve">%) </w:t>
      </w:r>
      <w:r w:rsidRPr="00DB5643">
        <w:rPr>
          <w:bCs/>
          <w:iCs/>
          <w:snapToGrid w:val="0"/>
          <w:kern w:val="22"/>
          <w:szCs w:val="22"/>
          <w:lang w:val="ru-RU"/>
        </w:rPr>
        <w:t>и Азиатско-Тихоокеанском регионе</w:t>
      </w:r>
      <w:r w:rsidR="004569FB" w:rsidRPr="00DB5643">
        <w:rPr>
          <w:bCs/>
          <w:iCs/>
          <w:snapToGrid w:val="0"/>
          <w:kern w:val="22"/>
          <w:szCs w:val="22"/>
          <w:lang w:val="ru-RU"/>
        </w:rPr>
        <w:t xml:space="preserve"> (+3</w:t>
      </w:r>
      <w:r w:rsidRPr="00DB5643">
        <w:rPr>
          <w:bCs/>
          <w:iCs/>
          <w:snapToGrid w:val="0"/>
          <w:kern w:val="22"/>
          <w:szCs w:val="22"/>
        </w:rPr>
        <w:t> </w:t>
      </w:r>
      <w:r w:rsidR="004569FB" w:rsidRPr="00DB5643">
        <w:rPr>
          <w:bCs/>
          <w:iCs/>
          <w:snapToGrid w:val="0"/>
          <w:kern w:val="22"/>
          <w:szCs w:val="22"/>
          <w:lang w:val="ru-RU"/>
        </w:rPr>
        <w:t xml:space="preserve">%), </w:t>
      </w:r>
      <w:r w:rsidRPr="00DB5643">
        <w:rPr>
          <w:bCs/>
          <w:iCs/>
          <w:snapToGrid w:val="0"/>
          <w:kern w:val="22"/>
          <w:szCs w:val="22"/>
          <w:lang w:val="ru-RU"/>
        </w:rPr>
        <w:t xml:space="preserve">тогда как в других регионах </w:t>
      </w:r>
      <w:r w:rsidR="00775600" w:rsidRPr="00DB5643">
        <w:rPr>
          <w:bCs/>
          <w:iCs/>
          <w:snapToGrid w:val="0"/>
          <w:kern w:val="22"/>
          <w:szCs w:val="22"/>
          <w:lang w:val="ru-RU"/>
        </w:rPr>
        <w:t>не было отмечено изменений по отношению к исходному уровню</w:t>
      </w:r>
      <w:r w:rsidR="004569FB" w:rsidRPr="00DB5643">
        <w:rPr>
          <w:bCs/>
          <w:iCs/>
          <w:snapToGrid w:val="0"/>
          <w:kern w:val="22"/>
          <w:szCs w:val="22"/>
          <w:lang w:val="ru-RU"/>
        </w:rPr>
        <w:t xml:space="preserve">. </w:t>
      </w:r>
    </w:p>
    <w:p w14:paraId="16711C87" w14:textId="3C3C7248" w:rsidR="004569FB" w:rsidRPr="00DB5643" w:rsidRDefault="00775600" w:rsidP="000A5388">
      <w:pPr>
        <w:keepNext/>
        <w:suppressLineNumbers/>
        <w:tabs>
          <w:tab w:val="left" w:pos="720"/>
        </w:tabs>
        <w:suppressAutoHyphens/>
        <w:spacing w:before="120" w:after="120"/>
        <w:textAlignment w:val="baseline"/>
        <w:outlineLvl w:val="2"/>
        <w:rPr>
          <w:b/>
          <w:iCs/>
          <w:snapToGrid w:val="0"/>
          <w:kern w:val="22"/>
          <w:szCs w:val="22"/>
          <w:lang w:val="ru-RU"/>
        </w:rPr>
      </w:pPr>
      <w:r w:rsidRPr="00DB5643">
        <w:rPr>
          <w:b/>
          <w:iCs/>
          <w:snapToGrid w:val="0"/>
          <w:kern w:val="22"/>
          <w:szCs w:val="22"/>
          <w:lang w:val="ru-RU"/>
        </w:rPr>
        <w:t>Оперативная цель</w:t>
      </w:r>
      <w:r w:rsidR="004569FB" w:rsidRPr="00DB5643">
        <w:rPr>
          <w:b/>
          <w:iCs/>
          <w:snapToGrid w:val="0"/>
          <w:kern w:val="22"/>
          <w:szCs w:val="22"/>
          <w:lang w:val="ru-RU"/>
        </w:rPr>
        <w:t xml:space="preserve"> 2.3</w:t>
      </w:r>
      <w:r w:rsidR="009042CB" w:rsidRPr="00DB5643">
        <w:rPr>
          <w:b/>
          <w:iCs/>
          <w:snapToGrid w:val="0"/>
          <w:kern w:val="22"/>
          <w:szCs w:val="22"/>
          <w:lang w:val="ru-RU"/>
        </w:rPr>
        <w:t>.</w:t>
      </w:r>
      <w:r w:rsidR="004569FB" w:rsidRPr="00DB5643">
        <w:rPr>
          <w:b/>
          <w:iCs/>
          <w:snapToGrid w:val="0"/>
          <w:kern w:val="22"/>
          <w:szCs w:val="22"/>
          <w:lang w:val="ru-RU"/>
        </w:rPr>
        <w:t xml:space="preserve"> </w:t>
      </w:r>
      <w:r w:rsidRPr="00DB5643">
        <w:rPr>
          <w:b/>
          <w:iCs/>
          <w:snapToGrid w:val="0"/>
          <w:kern w:val="22"/>
          <w:szCs w:val="22"/>
          <w:lang w:val="ru-RU"/>
        </w:rPr>
        <w:t>Обработка, транспортировка, упаковка и идентификация</w:t>
      </w:r>
    </w:p>
    <w:p w14:paraId="0C601581" w14:textId="555AEFE4" w:rsidR="004569FB" w:rsidRPr="00DB5643" w:rsidRDefault="002911A0" w:rsidP="004569FB">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2.3.1</w:t>
      </w:r>
      <w:r w:rsidR="004569FB" w:rsidRPr="00DB5643">
        <w:rPr>
          <w:snapToGrid w:val="0"/>
          <w:kern w:val="22"/>
          <w:szCs w:val="22"/>
          <w:lang w:val="ru-RU"/>
        </w:rPr>
        <w:t xml:space="preserve"> (</w:t>
      </w:r>
      <w:r w:rsidRPr="00DB5643">
        <w:rPr>
          <w:snapToGrid w:val="0"/>
          <w:kern w:val="22"/>
          <w:szCs w:val="22"/>
          <w:lang w:val="ru-RU"/>
        </w:rPr>
        <w:t>число обученных сотрудников таможни и персонала лабораторий</w:t>
      </w:r>
      <w:r w:rsidR="004569FB" w:rsidRPr="00DB5643">
        <w:rPr>
          <w:snapToGrid w:val="0"/>
          <w:kern w:val="22"/>
          <w:szCs w:val="22"/>
          <w:lang w:val="ru-RU"/>
        </w:rPr>
        <w:t>) 59</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(42 </w:t>
      </w:r>
      <w:r w:rsidRPr="00DB5643">
        <w:rPr>
          <w:snapToGrid w:val="0"/>
          <w:kern w:val="22"/>
          <w:szCs w:val="22"/>
          <w:lang w:val="ru-RU"/>
        </w:rPr>
        <w:t>Стороны</w:t>
      </w:r>
      <w:r w:rsidR="004569FB" w:rsidRPr="00DB5643">
        <w:rPr>
          <w:snapToGrid w:val="0"/>
          <w:kern w:val="22"/>
          <w:szCs w:val="22"/>
          <w:lang w:val="ru-RU"/>
        </w:rPr>
        <w:t xml:space="preserve">) </w:t>
      </w:r>
      <w:r w:rsidRPr="00DB5643">
        <w:rPr>
          <w:snapToGrid w:val="0"/>
          <w:kern w:val="22"/>
          <w:szCs w:val="22"/>
          <w:lang w:val="ru-RU"/>
        </w:rPr>
        <w:t>сообщили</w:t>
      </w:r>
      <w:r w:rsidR="004569FB" w:rsidRPr="00DB5643">
        <w:rPr>
          <w:snapToGrid w:val="0"/>
          <w:kern w:val="22"/>
          <w:szCs w:val="22"/>
          <w:lang w:val="ru-RU"/>
        </w:rPr>
        <w:t xml:space="preserve"> </w:t>
      </w:r>
      <w:r w:rsidRPr="00DB5643">
        <w:rPr>
          <w:snapToGrid w:val="0"/>
          <w:kern w:val="22"/>
          <w:szCs w:val="22"/>
          <w:lang w:val="ru-RU"/>
        </w:rPr>
        <w:t>о подготовке сотрудников таможни</w:t>
      </w:r>
      <w:r w:rsidR="004569FB" w:rsidRPr="00DB5643">
        <w:rPr>
          <w:snapToGrid w:val="0"/>
          <w:kern w:val="22"/>
          <w:szCs w:val="22"/>
          <w:lang w:val="ru-RU"/>
        </w:rPr>
        <w:t xml:space="preserve">, </w:t>
      </w:r>
      <w:r w:rsidR="008A4087" w:rsidRPr="00DB5643">
        <w:rPr>
          <w:snapToGrid w:val="0"/>
          <w:kern w:val="22"/>
          <w:szCs w:val="22"/>
          <w:lang w:val="ru-RU"/>
        </w:rPr>
        <w:t>что соответствует увеличению на</w:t>
      </w:r>
      <w:r w:rsidR="004569FB" w:rsidRPr="00DB5643">
        <w:rPr>
          <w:snapToGrid w:val="0"/>
          <w:kern w:val="22"/>
          <w:szCs w:val="22"/>
          <w:lang w:val="ru-RU"/>
        </w:rPr>
        <w:t xml:space="preserve"> 6</w:t>
      </w:r>
      <w:r w:rsidR="008A4087" w:rsidRPr="00DB5643">
        <w:rPr>
          <w:snapToGrid w:val="0"/>
          <w:kern w:val="22"/>
          <w:szCs w:val="22"/>
          <w:lang w:val="ru-RU"/>
        </w:rPr>
        <w:t> </w:t>
      </w:r>
      <w:r w:rsidR="004569FB" w:rsidRPr="00DB5643">
        <w:rPr>
          <w:snapToGrid w:val="0"/>
          <w:kern w:val="22"/>
          <w:szCs w:val="22"/>
          <w:lang w:val="ru-RU"/>
        </w:rPr>
        <w:t xml:space="preserve">% </w:t>
      </w:r>
      <w:r w:rsidR="008A4087"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8A4087" w:rsidRPr="00DB5643">
        <w:rPr>
          <w:snapToGrid w:val="0"/>
          <w:kern w:val="22"/>
          <w:szCs w:val="22"/>
          <w:lang w:val="ru-RU"/>
        </w:rPr>
        <w:t>Большинство этих Сторон</w:t>
      </w:r>
      <w:r w:rsidR="004569FB" w:rsidRPr="00DB5643">
        <w:rPr>
          <w:snapToGrid w:val="0"/>
          <w:kern w:val="22"/>
          <w:szCs w:val="22"/>
          <w:lang w:val="ru-RU"/>
        </w:rPr>
        <w:t xml:space="preserve"> (23 </w:t>
      </w:r>
      <w:r w:rsidR="008A4087" w:rsidRPr="00DB5643">
        <w:rPr>
          <w:snapToGrid w:val="0"/>
          <w:kern w:val="22"/>
          <w:szCs w:val="22"/>
          <w:lang w:val="ru-RU"/>
        </w:rPr>
        <w:t>Стороны</w:t>
      </w:r>
      <w:r w:rsidR="004569FB" w:rsidRPr="00DB5643">
        <w:rPr>
          <w:snapToGrid w:val="0"/>
          <w:kern w:val="22"/>
          <w:szCs w:val="22"/>
          <w:lang w:val="ru-RU"/>
        </w:rPr>
        <w:t xml:space="preserve">) </w:t>
      </w:r>
      <w:r w:rsidR="008A4087" w:rsidRPr="00DB5643">
        <w:rPr>
          <w:snapToGrid w:val="0"/>
          <w:kern w:val="22"/>
          <w:szCs w:val="22"/>
          <w:lang w:val="ru-RU"/>
        </w:rPr>
        <w:t xml:space="preserve">сообщили о подготовке до </w:t>
      </w:r>
      <w:r w:rsidR="004569FB" w:rsidRPr="00DB5643">
        <w:rPr>
          <w:snapToGrid w:val="0"/>
          <w:kern w:val="22"/>
          <w:szCs w:val="22"/>
          <w:lang w:val="ru-RU"/>
        </w:rPr>
        <w:t xml:space="preserve">10 </w:t>
      </w:r>
      <w:r w:rsidR="008A4087" w:rsidRPr="00DB5643">
        <w:rPr>
          <w:snapToGrid w:val="0"/>
          <w:kern w:val="22"/>
          <w:szCs w:val="22"/>
          <w:lang w:val="ru-RU"/>
        </w:rPr>
        <w:t>сотрудников таможни</w:t>
      </w:r>
      <w:r w:rsidR="004569FB" w:rsidRPr="00DB5643">
        <w:rPr>
          <w:snapToGrid w:val="0"/>
          <w:kern w:val="22"/>
          <w:szCs w:val="22"/>
          <w:lang w:val="ru-RU"/>
        </w:rPr>
        <w:t xml:space="preserve"> (55</w:t>
      </w:r>
      <w:r w:rsidR="008A4087" w:rsidRPr="00DB5643">
        <w:rPr>
          <w:snapToGrid w:val="0"/>
          <w:kern w:val="22"/>
          <w:szCs w:val="22"/>
          <w:lang w:val="ru-RU"/>
        </w:rPr>
        <w:t> </w:t>
      </w:r>
      <w:r w:rsidR="004569FB" w:rsidRPr="00DB5643">
        <w:rPr>
          <w:snapToGrid w:val="0"/>
          <w:kern w:val="22"/>
          <w:szCs w:val="22"/>
          <w:lang w:val="ru-RU"/>
        </w:rPr>
        <w:t xml:space="preserve">% </w:t>
      </w:r>
      <w:r w:rsidR="008A4087" w:rsidRPr="00DB5643">
        <w:rPr>
          <w:snapToGrid w:val="0"/>
          <w:kern w:val="22"/>
          <w:szCs w:val="22"/>
          <w:lang w:val="ru-RU"/>
        </w:rPr>
        <w:t>этой группы</w:t>
      </w:r>
      <w:r w:rsidR="004569FB" w:rsidRPr="00DB5643">
        <w:rPr>
          <w:snapToGrid w:val="0"/>
          <w:kern w:val="22"/>
          <w:szCs w:val="22"/>
          <w:lang w:val="ru-RU"/>
        </w:rPr>
        <w:t xml:space="preserve">), </w:t>
      </w:r>
      <w:r w:rsidR="008A4087" w:rsidRPr="00DB5643">
        <w:rPr>
          <w:snapToGrid w:val="0"/>
          <w:kern w:val="22"/>
          <w:szCs w:val="22"/>
          <w:lang w:val="ru-RU"/>
        </w:rPr>
        <w:t xml:space="preserve">что соответствует увеличению на </w:t>
      </w:r>
      <w:r w:rsidR="004569FB" w:rsidRPr="00DB5643">
        <w:rPr>
          <w:snapToGrid w:val="0"/>
          <w:kern w:val="22"/>
          <w:szCs w:val="22"/>
          <w:lang w:val="ru-RU"/>
        </w:rPr>
        <w:t>2</w:t>
      </w:r>
      <w:r w:rsidR="008A4087" w:rsidRPr="00DB5643">
        <w:rPr>
          <w:snapToGrid w:val="0"/>
          <w:kern w:val="22"/>
          <w:szCs w:val="22"/>
          <w:lang w:val="ru-RU"/>
        </w:rPr>
        <w:t> </w:t>
      </w:r>
      <w:r w:rsidR="004569FB" w:rsidRPr="00DB5643">
        <w:rPr>
          <w:snapToGrid w:val="0"/>
          <w:kern w:val="22"/>
          <w:szCs w:val="22"/>
          <w:lang w:val="ru-RU"/>
        </w:rPr>
        <w:t xml:space="preserve">% </w:t>
      </w:r>
      <w:r w:rsidR="008A4087"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8A4087" w:rsidRPr="00DB5643">
        <w:rPr>
          <w:snapToGrid w:val="0"/>
          <w:kern w:val="22"/>
          <w:szCs w:val="22"/>
          <w:lang w:val="ru-RU"/>
        </w:rPr>
        <w:t xml:space="preserve">Число Сторон, сообщивших о подготовке </w:t>
      </w:r>
      <w:r w:rsidR="004569FB" w:rsidRPr="00DB5643">
        <w:rPr>
          <w:snapToGrid w:val="0"/>
          <w:kern w:val="22"/>
          <w:szCs w:val="22"/>
          <w:lang w:val="ru-RU"/>
        </w:rPr>
        <w:t xml:space="preserve">100 </w:t>
      </w:r>
      <w:r w:rsidR="008A4087" w:rsidRPr="00DB5643">
        <w:rPr>
          <w:snapToGrid w:val="0"/>
          <w:kern w:val="22"/>
          <w:szCs w:val="22"/>
          <w:lang w:val="ru-RU"/>
        </w:rPr>
        <w:t>или более сотрудников таможни, увеличилось на</w:t>
      </w:r>
      <w:r w:rsidR="00717B37" w:rsidRPr="00DB5643">
        <w:rPr>
          <w:snapToGrid w:val="0"/>
          <w:kern w:val="22"/>
          <w:szCs w:val="22"/>
          <w:lang w:val="ru-RU"/>
        </w:rPr>
        <w:t xml:space="preserve"> 7</w:t>
      </w:r>
      <w:r w:rsidR="008A4087" w:rsidRPr="00DB5643">
        <w:rPr>
          <w:snapToGrid w:val="0"/>
          <w:kern w:val="22"/>
          <w:szCs w:val="22"/>
          <w:lang w:val="en-US"/>
        </w:rPr>
        <w:t> </w:t>
      </w:r>
      <w:r w:rsidR="00717B37" w:rsidRPr="00DB5643">
        <w:rPr>
          <w:snapToGrid w:val="0"/>
          <w:kern w:val="22"/>
          <w:szCs w:val="22"/>
          <w:lang w:val="ru-RU"/>
        </w:rPr>
        <w:t xml:space="preserve">% </w:t>
      </w:r>
      <w:r w:rsidR="008A4087" w:rsidRPr="00DB5643">
        <w:rPr>
          <w:snapToGrid w:val="0"/>
          <w:kern w:val="22"/>
          <w:szCs w:val="22"/>
          <w:lang w:val="ru-RU"/>
        </w:rPr>
        <w:t xml:space="preserve">до </w:t>
      </w:r>
      <w:r w:rsidR="009F6D92" w:rsidRPr="00DB5643">
        <w:rPr>
          <w:snapToGrid w:val="0"/>
          <w:kern w:val="22"/>
          <w:szCs w:val="22"/>
          <w:lang w:val="ru-RU"/>
        </w:rPr>
        <w:t xml:space="preserve">6 </w:t>
      </w:r>
      <w:r w:rsidR="008A4087" w:rsidRPr="00DB5643">
        <w:rPr>
          <w:snapToGrid w:val="0"/>
          <w:kern w:val="22"/>
          <w:szCs w:val="22"/>
          <w:lang w:val="ru-RU"/>
        </w:rPr>
        <w:t>Сторон</w:t>
      </w:r>
      <w:r w:rsidR="00666672" w:rsidRPr="00DB5643">
        <w:rPr>
          <w:snapToGrid w:val="0"/>
          <w:kern w:val="22"/>
          <w:szCs w:val="22"/>
          <w:lang w:val="ru-RU"/>
        </w:rPr>
        <w:t xml:space="preserve"> (14</w:t>
      </w:r>
      <w:r w:rsidR="008A4087" w:rsidRPr="00DB5643">
        <w:rPr>
          <w:snapToGrid w:val="0"/>
          <w:kern w:val="22"/>
          <w:szCs w:val="22"/>
          <w:lang w:val="en-US"/>
        </w:rPr>
        <w:t> </w:t>
      </w:r>
      <w:r w:rsidR="00666672" w:rsidRPr="00DB5643">
        <w:rPr>
          <w:snapToGrid w:val="0"/>
          <w:kern w:val="22"/>
          <w:szCs w:val="22"/>
          <w:lang w:val="ru-RU"/>
        </w:rPr>
        <w:t xml:space="preserve">% </w:t>
      </w:r>
      <w:r w:rsidR="008A4087" w:rsidRPr="00DB5643">
        <w:rPr>
          <w:snapToGrid w:val="0"/>
          <w:kern w:val="22"/>
          <w:szCs w:val="22"/>
          <w:lang w:val="ru-RU"/>
        </w:rPr>
        <w:t>Сторон,</w:t>
      </w:r>
      <w:r w:rsidR="00666672" w:rsidRPr="00DB5643">
        <w:rPr>
          <w:snapToGrid w:val="0"/>
          <w:kern w:val="22"/>
          <w:szCs w:val="22"/>
          <w:lang w:val="ru-RU"/>
        </w:rPr>
        <w:t xml:space="preserve"> </w:t>
      </w:r>
      <w:r w:rsidR="008A4087" w:rsidRPr="00DB5643">
        <w:rPr>
          <w:snapToGrid w:val="0"/>
          <w:kern w:val="22"/>
          <w:szCs w:val="22"/>
          <w:lang w:val="ru-RU"/>
        </w:rPr>
        <w:t>сообщивших о подготовке сотрудников таможни</w:t>
      </w:r>
      <w:r w:rsidR="00D8609F" w:rsidRPr="00DB5643">
        <w:rPr>
          <w:snapToGrid w:val="0"/>
          <w:kern w:val="22"/>
          <w:szCs w:val="22"/>
          <w:lang w:val="ru-RU"/>
        </w:rPr>
        <w:t>)</w:t>
      </w:r>
      <w:r w:rsidR="008A4087" w:rsidRPr="00DB5643">
        <w:rPr>
          <w:snapToGrid w:val="0"/>
          <w:kern w:val="22"/>
          <w:szCs w:val="22"/>
          <w:lang w:val="ru-RU"/>
        </w:rPr>
        <w:t xml:space="preserve"> за счет увеличения в Азиатско-Тихоокеанском регионе и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w:t>
      </w:r>
      <w:r w:rsidR="008A4087" w:rsidRPr="00DB5643">
        <w:rPr>
          <w:snapToGrid w:val="0"/>
          <w:kern w:val="22"/>
          <w:szCs w:val="22"/>
          <w:lang w:val="ru-RU"/>
        </w:rPr>
        <w:t>Почти половина Сторон</w:t>
      </w:r>
      <w:r w:rsidR="004569FB" w:rsidRPr="00DB5643">
        <w:rPr>
          <w:snapToGrid w:val="0"/>
          <w:kern w:val="22"/>
          <w:szCs w:val="22"/>
          <w:lang w:val="ru-RU"/>
        </w:rPr>
        <w:t xml:space="preserve"> (41</w:t>
      </w:r>
      <w:r w:rsidR="008A4087" w:rsidRPr="00DB5643">
        <w:rPr>
          <w:snapToGrid w:val="0"/>
          <w:kern w:val="22"/>
          <w:szCs w:val="22"/>
          <w:lang w:val="en-US"/>
        </w:rPr>
        <w:t> </w:t>
      </w:r>
      <w:r w:rsidR="004569FB" w:rsidRPr="00DB5643">
        <w:rPr>
          <w:snapToGrid w:val="0"/>
          <w:kern w:val="22"/>
          <w:szCs w:val="22"/>
          <w:lang w:val="ru-RU"/>
        </w:rPr>
        <w:t xml:space="preserve">%) </w:t>
      </w:r>
      <w:r w:rsidR="008A4087" w:rsidRPr="00DB5643">
        <w:rPr>
          <w:snapToGrid w:val="0"/>
          <w:kern w:val="22"/>
          <w:szCs w:val="22"/>
          <w:lang w:val="ru-RU"/>
        </w:rPr>
        <w:t>сообщили о том, что они не подготовили сотрудников таможни</w:t>
      </w:r>
      <w:r w:rsidR="004569FB" w:rsidRPr="00DB5643">
        <w:rPr>
          <w:snapToGrid w:val="0"/>
          <w:kern w:val="22"/>
          <w:szCs w:val="22"/>
          <w:lang w:val="ru-RU"/>
        </w:rPr>
        <w:t>,</w:t>
      </w:r>
      <w:r w:rsidR="008A4087" w:rsidRPr="00DB5643">
        <w:rPr>
          <w:snapToGrid w:val="0"/>
          <w:kern w:val="22"/>
          <w:szCs w:val="22"/>
          <w:lang w:val="ru-RU"/>
        </w:rPr>
        <w:t xml:space="preserve"> что соответствует уменьшению на</w:t>
      </w:r>
      <w:r w:rsidR="004569FB" w:rsidRPr="00DB5643">
        <w:rPr>
          <w:snapToGrid w:val="0"/>
          <w:kern w:val="22"/>
          <w:szCs w:val="22"/>
          <w:lang w:val="ru-RU"/>
        </w:rPr>
        <w:t xml:space="preserve"> 6</w:t>
      </w:r>
      <w:r w:rsidR="008A4087" w:rsidRPr="00DB5643">
        <w:rPr>
          <w:snapToGrid w:val="0"/>
          <w:kern w:val="22"/>
          <w:szCs w:val="22"/>
          <w:lang w:val="ru-RU"/>
        </w:rPr>
        <w:t> </w:t>
      </w:r>
      <w:r w:rsidR="004569FB" w:rsidRPr="00DB5643">
        <w:rPr>
          <w:snapToGrid w:val="0"/>
          <w:kern w:val="22"/>
          <w:szCs w:val="22"/>
          <w:lang w:val="ru-RU"/>
        </w:rPr>
        <w:t xml:space="preserve">% </w:t>
      </w:r>
      <w:r w:rsidR="008A4087" w:rsidRPr="00DB5643">
        <w:rPr>
          <w:snapToGrid w:val="0"/>
          <w:kern w:val="22"/>
          <w:szCs w:val="22"/>
          <w:lang w:val="ru-RU"/>
        </w:rPr>
        <w:t>по сравнению с исходным уровнем</w:t>
      </w:r>
      <w:r w:rsidR="004569FB" w:rsidRPr="00DB5643">
        <w:rPr>
          <w:snapToGrid w:val="0"/>
          <w:kern w:val="22"/>
          <w:szCs w:val="22"/>
          <w:lang w:val="ru-RU"/>
        </w:rPr>
        <w:t>.</w:t>
      </w:r>
    </w:p>
    <w:p w14:paraId="5D259AA7" w14:textId="44E5EAEA" w:rsidR="004569FB" w:rsidRPr="00DB5643" w:rsidRDefault="008A4087" w:rsidP="004569FB">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w:t>
      </w:r>
      <w:r w:rsidR="00B379C4" w:rsidRPr="00DB5643">
        <w:rPr>
          <w:snapToGrid w:val="0"/>
          <w:kern w:val="22"/>
          <w:szCs w:val="22"/>
          <w:lang w:val="ru-RU"/>
        </w:rPr>
        <w:t>96</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(68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 xml:space="preserve">сообщили о подготовке персонала лабораторий в области обнаружения </w:t>
      </w:r>
      <w:proofErr w:type="spellStart"/>
      <w:r w:rsidRPr="00DB5643">
        <w:rPr>
          <w:snapToGrid w:val="0"/>
          <w:kern w:val="22"/>
          <w:szCs w:val="22"/>
          <w:lang w:val="ru-RU"/>
        </w:rPr>
        <w:t>ЖИО</w:t>
      </w:r>
      <w:proofErr w:type="spellEnd"/>
      <w:r w:rsidRPr="00DB5643">
        <w:rPr>
          <w:snapToGrid w:val="0"/>
          <w:kern w:val="22"/>
          <w:szCs w:val="22"/>
          <w:lang w:val="ru-RU"/>
        </w:rPr>
        <w:t xml:space="preserve">, что соответствует увеличению на </w:t>
      </w:r>
      <w:r w:rsidR="004569FB" w:rsidRPr="00DB5643">
        <w:rPr>
          <w:snapToGrid w:val="0"/>
          <w:kern w:val="22"/>
          <w:szCs w:val="22"/>
          <w:lang w:val="ru-RU"/>
        </w:rPr>
        <w:t>9</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Pr="00DB5643">
        <w:rPr>
          <w:snapToGrid w:val="0"/>
          <w:kern w:val="22"/>
          <w:szCs w:val="22"/>
          <w:lang w:val="ru-RU"/>
        </w:rPr>
        <w:t>Это увеличение</w:t>
      </w:r>
      <w:r w:rsidR="004569FB" w:rsidRPr="00DB5643">
        <w:rPr>
          <w:snapToGrid w:val="0"/>
          <w:kern w:val="22"/>
          <w:szCs w:val="22"/>
          <w:lang w:val="ru-RU"/>
        </w:rPr>
        <w:t xml:space="preserve"> </w:t>
      </w:r>
      <w:r w:rsidRPr="00DB5643">
        <w:rPr>
          <w:snapToGrid w:val="0"/>
          <w:kern w:val="22"/>
          <w:szCs w:val="22"/>
          <w:lang w:val="ru-RU"/>
        </w:rPr>
        <w:t xml:space="preserve">связано главным образом с </w:t>
      </w:r>
      <w:r w:rsidR="006C7300" w:rsidRPr="00DB5643">
        <w:rPr>
          <w:snapToGrid w:val="0"/>
          <w:kern w:val="22"/>
          <w:szCs w:val="22"/>
          <w:lang w:val="ru-RU"/>
        </w:rPr>
        <w:t>увеличением на</w:t>
      </w:r>
      <w:r w:rsidR="004569FB" w:rsidRPr="00DB5643">
        <w:rPr>
          <w:snapToGrid w:val="0"/>
          <w:kern w:val="22"/>
          <w:szCs w:val="22"/>
          <w:lang w:val="ru-RU"/>
        </w:rPr>
        <w:t xml:space="preserve"> 12</w:t>
      </w:r>
      <w:r w:rsidR="006C7300" w:rsidRPr="00DB5643">
        <w:rPr>
          <w:snapToGrid w:val="0"/>
          <w:kern w:val="22"/>
          <w:szCs w:val="22"/>
          <w:lang w:val="en-US"/>
        </w:rPr>
        <w:t> </w:t>
      </w:r>
      <w:r w:rsidR="004569FB" w:rsidRPr="00DB5643">
        <w:rPr>
          <w:snapToGrid w:val="0"/>
          <w:kern w:val="22"/>
          <w:szCs w:val="22"/>
          <w:lang w:val="ru-RU"/>
        </w:rPr>
        <w:t xml:space="preserve">% </w:t>
      </w:r>
      <w:r w:rsidR="006C7300" w:rsidRPr="00DB5643">
        <w:rPr>
          <w:snapToGrid w:val="0"/>
          <w:kern w:val="22"/>
          <w:szCs w:val="22"/>
          <w:lang w:val="ru-RU"/>
        </w:rPr>
        <w:t xml:space="preserve">по сравнению с исходным уровнем числа Сторон, сообщивших о подготовке до </w:t>
      </w:r>
      <w:r w:rsidR="004569FB" w:rsidRPr="00DB5643">
        <w:rPr>
          <w:snapToGrid w:val="0"/>
          <w:kern w:val="22"/>
          <w:szCs w:val="22"/>
          <w:lang w:val="ru-RU"/>
        </w:rPr>
        <w:t>10</w:t>
      </w:r>
      <w:r w:rsidR="006C7300" w:rsidRPr="00DB5643">
        <w:rPr>
          <w:snapToGrid w:val="0"/>
          <w:kern w:val="22"/>
          <w:szCs w:val="22"/>
          <w:lang w:val="ru-RU"/>
        </w:rPr>
        <w:t xml:space="preserve"> сотрудников лабораторий</w:t>
      </w:r>
      <w:r w:rsidR="004569FB" w:rsidRPr="00DB5643">
        <w:rPr>
          <w:snapToGrid w:val="0"/>
          <w:kern w:val="22"/>
          <w:szCs w:val="22"/>
          <w:lang w:val="ru-RU"/>
        </w:rPr>
        <w:t xml:space="preserve"> (</w:t>
      </w:r>
      <w:r w:rsidR="006C7300" w:rsidRPr="00DB5643">
        <w:rPr>
          <w:snapToGrid w:val="0"/>
          <w:kern w:val="22"/>
          <w:szCs w:val="22"/>
          <w:lang w:val="ru-RU"/>
        </w:rPr>
        <w:t xml:space="preserve">всего </w:t>
      </w:r>
      <w:r w:rsidR="004569FB" w:rsidRPr="00DB5643">
        <w:rPr>
          <w:snapToGrid w:val="0"/>
          <w:kern w:val="22"/>
          <w:szCs w:val="22"/>
          <w:lang w:val="ru-RU"/>
        </w:rPr>
        <w:t xml:space="preserve">35 </w:t>
      </w:r>
      <w:r w:rsidR="006C7300" w:rsidRPr="00DB5643">
        <w:rPr>
          <w:snapToGrid w:val="0"/>
          <w:kern w:val="22"/>
          <w:szCs w:val="22"/>
          <w:lang w:val="ru-RU"/>
        </w:rPr>
        <w:t>Сторон</w:t>
      </w:r>
      <w:r w:rsidR="004569FB" w:rsidRPr="00DB5643">
        <w:rPr>
          <w:snapToGrid w:val="0"/>
          <w:kern w:val="22"/>
          <w:szCs w:val="22"/>
          <w:lang w:val="ru-RU"/>
        </w:rPr>
        <w:t xml:space="preserve">). </w:t>
      </w:r>
    </w:p>
    <w:p w14:paraId="06AAD9A1" w14:textId="5347AAE8" w:rsidR="004569FB" w:rsidRPr="00DB5643" w:rsidRDefault="00385AC8" w:rsidP="004569FB">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2.3.2</w:t>
      </w:r>
      <w:r w:rsidR="004569FB" w:rsidRPr="00DB5643">
        <w:rPr>
          <w:snapToGrid w:val="0"/>
          <w:kern w:val="22"/>
          <w:szCs w:val="22"/>
          <w:lang w:val="ru-RU"/>
        </w:rPr>
        <w:t xml:space="preserve"> (</w:t>
      </w:r>
      <w:r w:rsidRPr="00DB5643">
        <w:rPr>
          <w:snapToGrid w:val="0"/>
          <w:kern w:val="22"/>
          <w:szCs w:val="22"/>
          <w:lang w:val="ru-RU"/>
        </w:rPr>
        <w:t xml:space="preserve">процентная доля Сторон, создавших лаборатории для обнаружения </w:t>
      </w:r>
      <w:proofErr w:type="spellStart"/>
      <w:r w:rsidRPr="00DB5643">
        <w:rPr>
          <w:snapToGrid w:val="0"/>
          <w:kern w:val="22"/>
          <w:szCs w:val="22"/>
          <w:lang w:val="ru-RU"/>
        </w:rPr>
        <w:t>ЖИО</w:t>
      </w:r>
      <w:proofErr w:type="spellEnd"/>
      <w:r w:rsidRPr="00DB5643">
        <w:rPr>
          <w:snapToGrid w:val="0"/>
          <w:kern w:val="22"/>
          <w:szCs w:val="22"/>
          <w:lang w:val="ru-RU"/>
        </w:rPr>
        <w:t xml:space="preserve"> или имеющих надежный доступ к ним</w:t>
      </w:r>
      <w:r w:rsidR="004569FB" w:rsidRPr="00DB5643">
        <w:rPr>
          <w:snapToGrid w:val="0"/>
          <w:kern w:val="22"/>
          <w:szCs w:val="22"/>
          <w:lang w:val="ru-RU"/>
        </w:rPr>
        <w:t>) 87</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 сообщили о наличии у них надежного доступа к лабораторному оборудованию, что соответствует увеличению на</w:t>
      </w:r>
      <w:r w:rsidR="004569FB" w:rsidRPr="00DB5643">
        <w:rPr>
          <w:snapToGrid w:val="0"/>
          <w:kern w:val="22"/>
          <w:szCs w:val="22"/>
          <w:lang w:val="ru-RU"/>
        </w:rPr>
        <w:t xml:space="preserve"> 10</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6D6BB9" w:rsidRPr="00DB5643">
        <w:rPr>
          <w:snapToGrid w:val="0"/>
          <w:kern w:val="22"/>
          <w:szCs w:val="22"/>
          <w:lang w:val="ru-RU"/>
        </w:rPr>
        <w:t>при следующих региональных изменениях</w:t>
      </w:r>
      <w:r w:rsidR="00560E28" w:rsidRPr="00DB5643">
        <w:rPr>
          <w:snapToGrid w:val="0"/>
          <w:kern w:val="22"/>
          <w:szCs w:val="22"/>
          <w:lang w:val="ru-RU"/>
        </w:rPr>
        <w:t xml:space="preserve">: </w:t>
      </w:r>
      <w:r w:rsidR="006D6BB9" w:rsidRPr="00DB5643">
        <w:rPr>
          <w:snapToGrid w:val="0"/>
          <w:kern w:val="22"/>
          <w:szCs w:val="22"/>
          <w:lang w:val="ru-RU"/>
        </w:rPr>
        <w:t>Африка</w:t>
      </w:r>
      <w:r w:rsidR="00560E28" w:rsidRPr="00DB5643">
        <w:rPr>
          <w:snapToGrid w:val="0"/>
          <w:kern w:val="22"/>
          <w:szCs w:val="22"/>
          <w:lang w:val="ru-RU"/>
        </w:rPr>
        <w:t>:</w:t>
      </w:r>
      <w:r w:rsidR="004569FB" w:rsidRPr="00DB5643">
        <w:rPr>
          <w:snapToGrid w:val="0"/>
          <w:kern w:val="22"/>
          <w:szCs w:val="22"/>
          <w:lang w:val="ru-RU"/>
        </w:rPr>
        <w:t xml:space="preserve"> </w:t>
      </w:r>
      <w:r w:rsidR="00560E28" w:rsidRPr="00DB5643">
        <w:rPr>
          <w:snapToGrid w:val="0"/>
          <w:kern w:val="22"/>
          <w:szCs w:val="22"/>
          <w:lang w:val="ru-RU"/>
        </w:rPr>
        <w:t>79</w:t>
      </w:r>
      <w:r w:rsidR="006D6BB9" w:rsidRPr="00DB5643">
        <w:rPr>
          <w:snapToGrid w:val="0"/>
          <w:kern w:val="22"/>
          <w:szCs w:val="22"/>
          <w:lang w:val="ru-RU"/>
        </w:rPr>
        <w:t> </w:t>
      </w:r>
      <w:r w:rsidR="00560E28" w:rsidRPr="00DB5643">
        <w:rPr>
          <w:snapToGrid w:val="0"/>
          <w:kern w:val="22"/>
          <w:szCs w:val="22"/>
          <w:lang w:val="ru-RU"/>
        </w:rPr>
        <w:t>% (</w:t>
      </w:r>
      <w:r w:rsidR="004569FB" w:rsidRPr="00DB5643">
        <w:rPr>
          <w:snapToGrid w:val="0"/>
          <w:kern w:val="22"/>
          <w:szCs w:val="22"/>
          <w:lang w:val="ru-RU"/>
        </w:rPr>
        <w:t>+</w:t>
      </w:r>
      <w:r w:rsidR="003A70E6" w:rsidRPr="00DB5643">
        <w:rPr>
          <w:snapToGrid w:val="0"/>
          <w:kern w:val="22"/>
          <w:szCs w:val="22"/>
          <w:lang w:val="ru-RU"/>
        </w:rPr>
        <w:t>11</w:t>
      </w:r>
      <w:r w:rsidR="006D6BB9" w:rsidRPr="00DB5643">
        <w:rPr>
          <w:snapToGrid w:val="0"/>
          <w:kern w:val="22"/>
          <w:szCs w:val="22"/>
          <w:lang w:val="ru-RU"/>
        </w:rPr>
        <w:t> </w:t>
      </w:r>
      <w:r w:rsidR="004569FB" w:rsidRPr="00DB5643">
        <w:rPr>
          <w:snapToGrid w:val="0"/>
          <w:kern w:val="22"/>
          <w:szCs w:val="22"/>
          <w:lang w:val="ru-RU"/>
        </w:rPr>
        <w:t>%</w:t>
      </w:r>
      <w:r w:rsidR="00560E28" w:rsidRPr="00DB5643">
        <w:rPr>
          <w:snapToGrid w:val="0"/>
          <w:kern w:val="22"/>
          <w:szCs w:val="22"/>
          <w:lang w:val="ru-RU"/>
        </w:rPr>
        <w:t>)</w:t>
      </w:r>
      <w:r w:rsidR="004569FB" w:rsidRPr="00DB5643">
        <w:rPr>
          <w:snapToGrid w:val="0"/>
          <w:kern w:val="22"/>
          <w:szCs w:val="22"/>
          <w:lang w:val="ru-RU"/>
        </w:rPr>
        <w:t xml:space="preserve">; </w:t>
      </w:r>
      <w:r w:rsidR="006D6BB9" w:rsidRPr="00DB5643">
        <w:rPr>
          <w:snapToGrid w:val="0"/>
          <w:kern w:val="22"/>
          <w:szCs w:val="22"/>
          <w:lang w:val="ru-RU"/>
        </w:rPr>
        <w:t>Азиатско-Тихоокеанский регион</w:t>
      </w:r>
      <w:r w:rsidR="00560E28" w:rsidRPr="00DB5643">
        <w:rPr>
          <w:snapToGrid w:val="0"/>
          <w:kern w:val="22"/>
          <w:szCs w:val="22"/>
          <w:lang w:val="ru-RU"/>
        </w:rPr>
        <w:t>: 89</w:t>
      </w:r>
      <w:r w:rsidR="006D6BB9" w:rsidRPr="00DB5643">
        <w:rPr>
          <w:snapToGrid w:val="0"/>
          <w:kern w:val="22"/>
          <w:szCs w:val="22"/>
          <w:lang w:val="ru-RU"/>
        </w:rPr>
        <w:t> </w:t>
      </w:r>
      <w:r w:rsidR="00560E28" w:rsidRPr="00DB5643">
        <w:rPr>
          <w:snapToGrid w:val="0"/>
          <w:kern w:val="22"/>
          <w:szCs w:val="22"/>
          <w:lang w:val="ru-RU"/>
        </w:rPr>
        <w:t>% (+</w:t>
      </w:r>
      <w:r w:rsidR="003A70E6" w:rsidRPr="00DB5643">
        <w:rPr>
          <w:snapToGrid w:val="0"/>
          <w:kern w:val="22"/>
          <w:szCs w:val="22"/>
          <w:lang w:val="ru-RU"/>
        </w:rPr>
        <w:t>11</w:t>
      </w:r>
      <w:r w:rsidR="006D6BB9" w:rsidRPr="00DB5643">
        <w:rPr>
          <w:snapToGrid w:val="0"/>
          <w:kern w:val="22"/>
          <w:szCs w:val="22"/>
          <w:lang w:val="ru-RU"/>
        </w:rPr>
        <w:t> </w:t>
      </w:r>
      <w:r w:rsidR="00560E28" w:rsidRPr="00DB5643">
        <w:rPr>
          <w:snapToGrid w:val="0"/>
          <w:kern w:val="22"/>
          <w:szCs w:val="22"/>
          <w:lang w:val="ru-RU"/>
        </w:rPr>
        <w:t xml:space="preserve">%); </w:t>
      </w:r>
      <w:proofErr w:type="spellStart"/>
      <w:r w:rsidR="004569FB" w:rsidRPr="00DB5643">
        <w:rPr>
          <w:snapToGrid w:val="0"/>
          <w:kern w:val="22"/>
          <w:szCs w:val="22"/>
        </w:rPr>
        <w:t>CEE</w:t>
      </w:r>
      <w:proofErr w:type="spellEnd"/>
      <w:r w:rsidR="00560E28" w:rsidRPr="00DB5643">
        <w:rPr>
          <w:snapToGrid w:val="0"/>
          <w:kern w:val="22"/>
          <w:szCs w:val="22"/>
          <w:lang w:val="ru-RU"/>
        </w:rPr>
        <w:t xml:space="preserve">: </w:t>
      </w:r>
      <w:r w:rsidR="00F577D6" w:rsidRPr="00DB5643">
        <w:rPr>
          <w:snapToGrid w:val="0"/>
          <w:kern w:val="22"/>
          <w:szCs w:val="22"/>
          <w:lang w:val="ru-RU"/>
        </w:rPr>
        <w:t>100</w:t>
      </w:r>
      <w:r w:rsidR="006D6BB9" w:rsidRPr="00DB5643">
        <w:rPr>
          <w:snapToGrid w:val="0"/>
          <w:kern w:val="22"/>
          <w:szCs w:val="22"/>
          <w:lang w:val="ru-RU"/>
        </w:rPr>
        <w:t> </w:t>
      </w:r>
      <w:r w:rsidR="00F577D6" w:rsidRPr="00DB5643">
        <w:rPr>
          <w:snapToGrid w:val="0"/>
          <w:kern w:val="22"/>
          <w:szCs w:val="22"/>
          <w:lang w:val="ru-RU"/>
        </w:rPr>
        <w:t>% (</w:t>
      </w:r>
      <w:r w:rsidR="004569FB" w:rsidRPr="00DB5643">
        <w:rPr>
          <w:snapToGrid w:val="0"/>
          <w:kern w:val="22"/>
          <w:szCs w:val="22"/>
          <w:lang w:val="ru-RU"/>
        </w:rPr>
        <w:t>+</w:t>
      </w:r>
      <w:r w:rsidR="002A2CC3" w:rsidRPr="00DB5643">
        <w:rPr>
          <w:snapToGrid w:val="0"/>
          <w:kern w:val="22"/>
          <w:szCs w:val="22"/>
          <w:lang w:val="ru-RU"/>
        </w:rPr>
        <w:t>14</w:t>
      </w:r>
      <w:r w:rsidR="006D6BB9" w:rsidRPr="00DB5643">
        <w:rPr>
          <w:snapToGrid w:val="0"/>
          <w:kern w:val="22"/>
          <w:szCs w:val="22"/>
          <w:lang w:val="ru-RU"/>
        </w:rPr>
        <w:t> </w:t>
      </w:r>
      <w:r w:rsidR="004569FB" w:rsidRPr="00DB5643">
        <w:rPr>
          <w:snapToGrid w:val="0"/>
          <w:kern w:val="22"/>
          <w:szCs w:val="22"/>
          <w:lang w:val="ru-RU"/>
        </w:rPr>
        <w:t>%</w:t>
      </w:r>
      <w:r w:rsidR="00F577D6" w:rsidRPr="00DB5643">
        <w:rPr>
          <w:snapToGrid w:val="0"/>
          <w:kern w:val="22"/>
          <w:szCs w:val="22"/>
          <w:lang w:val="ru-RU"/>
        </w:rPr>
        <w:t>)</w:t>
      </w:r>
      <w:r w:rsidR="004569FB" w:rsidRPr="00DB5643">
        <w:rPr>
          <w:snapToGrid w:val="0"/>
          <w:kern w:val="22"/>
          <w:szCs w:val="22"/>
          <w:lang w:val="ru-RU"/>
        </w:rPr>
        <w:t xml:space="preserve">; </w:t>
      </w:r>
      <w:proofErr w:type="spellStart"/>
      <w:r w:rsidR="006D6BB9" w:rsidRPr="00DB5643">
        <w:rPr>
          <w:snapToGrid w:val="0"/>
          <w:kern w:val="22"/>
          <w:szCs w:val="22"/>
          <w:lang w:val="ru-RU"/>
        </w:rPr>
        <w:t>ГРУЛАК</w:t>
      </w:r>
      <w:proofErr w:type="spellEnd"/>
      <w:r w:rsidR="00F577D6" w:rsidRPr="00DB5643">
        <w:rPr>
          <w:snapToGrid w:val="0"/>
          <w:kern w:val="22"/>
          <w:szCs w:val="22"/>
          <w:lang w:val="ru-RU"/>
        </w:rPr>
        <w:t>: 69</w:t>
      </w:r>
      <w:r w:rsidR="006D6BB9" w:rsidRPr="00DB5643">
        <w:rPr>
          <w:snapToGrid w:val="0"/>
          <w:kern w:val="22"/>
          <w:szCs w:val="22"/>
          <w:lang w:val="ru-RU"/>
        </w:rPr>
        <w:t> </w:t>
      </w:r>
      <w:r w:rsidR="00F577D6" w:rsidRPr="00DB5643">
        <w:rPr>
          <w:snapToGrid w:val="0"/>
          <w:kern w:val="22"/>
          <w:szCs w:val="22"/>
          <w:lang w:val="ru-RU"/>
        </w:rPr>
        <w:t>%</w:t>
      </w:r>
      <w:r w:rsidR="004569FB" w:rsidRPr="00DB5643">
        <w:rPr>
          <w:snapToGrid w:val="0"/>
          <w:kern w:val="22"/>
          <w:szCs w:val="22"/>
          <w:lang w:val="ru-RU"/>
        </w:rPr>
        <w:t xml:space="preserve"> </w:t>
      </w:r>
      <w:r w:rsidR="00F577D6" w:rsidRPr="00DB5643">
        <w:rPr>
          <w:snapToGrid w:val="0"/>
          <w:kern w:val="22"/>
          <w:szCs w:val="22"/>
          <w:lang w:val="ru-RU"/>
        </w:rPr>
        <w:t>(</w:t>
      </w:r>
      <w:r w:rsidR="004569FB" w:rsidRPr="00DB5643">
        <w:rPr>
          <w:snapToGrid w:val="0"/>
          <w:kern w:val="22"/>
          <w:szCs w:val="22"/>
          <w:lang w:val="ru-RU"/>
        </w:rPr>
        <w:t>+</w:t>
      </w:r>
      <w:r w:rsidR="002A2CC3" w:rsidRPr="00DB5643">
        <w:rPr>
          <w:snapToGrid w:val="0"/>
          <w:kern w:val="22"/>
          <w:szCs w:val="22"/>
          <w:lang w:val="ru-RU"/>
        </w:rPr>
        <w:t>15</w:t>
      </w:r>
      <w:r w:rsidR="006D6BB9" w:rsidRPr="00DB5643">
        <w:rPr>
          <w:snapToGrid w:val="0"/>
          <w:kern w:val="22"/>
          <w:szCs w:val="22"/>
          <w:lang w:val="ru-RU"/>
        </w:rPr>
        <w:t> </w:t>
      </w:r>
      <w:r w:rsidR="004569FB" w:rsidRPr="00DB5643">
        <w:rPr>
          <w:snapToGrid w:val="0"/>
          <w:kern w:val="22"/>
          <w:szCs w:val="22"/>
          <w:lang w:val="ru-RU"/>
        </w:rPr>
        <w:t>%</w:t>
      </w:r>
      <w:r w:rsidR="00F577D6" w:rsidRPr="00DB5643">
        <w:rPr>
          <w:snapToGrid w:val="0"/>
          <w:kern w:val="22"/>
          <w:szCs w:val="22"/>
          <w:lang w:val="ru-RU"/>
        </w:rPr>
        <w:t>)</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w:t>
      </w:r>
      <w:r w:rsidR="00F577D6" w:rsidRPr="00DB5643">
        <w:rPr>
          <w:snapToGrid w:val="0"/>
          <w:kern w:val="22"/>
          <w:szCs w:val="22"/>
          <w:lang w:val="ru-RU"/>
        </w:rPr>
        <w:t>100</w:t>
      </w:r>
      <w:r w:rsidR="006D6BB9" w:rsidRPr="00DB5643">
        <w:rPr>
          <w:snapToGrid w:val="0"/>
          <w:kern w:val="22"/>
          <w:szCs w:val="22"/>
          <w:lang w:val="ru-RU"/>
        </w:rPr>
        <w:t> </w:t>
      </w:r>
      <w:r w:rsidR="00F577D6" w:rsidRPr="00DB5643">
        <w:rPr>
          <w:snapToGrid w:val="0"/>
          <w:kern w:val="22"/>
          <w:szCs w:val="22"/>
          <w:lang w:val="ru-RU"/>
        </w:rPr>
        <w:t>% (</w:t>
      </w:r>
      <w:r w:rsidR="006D6BB9"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p>
    <w:p w14:paraId="636BAA9C" w14:textId="7ECA880B" w:rsidR="004569FB" w:rsidRPr="00DB5643" w:rsidRDefault="006D6BB9" w:rsidP="004569FB">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lang w:val="ru-RU"/>
        </w:rPr>
      </w:pPr>
      <w:r w:rsidRPr="00DB5643">
        <w:rPr>
          <w:snapToGrid w:val="0"/>
          <w:kern w:val="22"/>
          <w:szCs w:val="22"/>
          <w:lang w:val="ru-RU"/>
        </w:rPr>
        <w:t>В отношении</w:t>
      </w:r>
      <w:r w:rsidR="004569FB" w:rsidRPr="00DB5643">
        <w:rPr>
          <w:b/>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2.3.3 </w:t>
      </w:r>
      <w:r w:rsidR="004569FB" w:rsidRPr="00DB5643">
        <w:rPr>
          <w:snapToGrid w:val="0"/>
          <w:kern w:val="22"/>
          <w:szCs w:val="22"/>
          <w:lang w:val="ru-RU"/>
        </w:rPr>
        <w:t>(</w:t>
      </w:r>
      <w:r w:rsidRPr="00DB5643">
        <w:rPr>
          <w:snapToGrid w:val="0"/>
          <w:kern w:val="22"/>
          <w:szCs w:val="22"/>
          <w:lang w:val="ru-RU"/>
        </w:rPr>
        <w:t xml:space="preserve">число сертифицированных национальных и региональных лабораторий, способных выявлять </w:t>
      </w:r>
      <w:proofErr w:type="spellStart"/>
      <w:r w:rsidRPr="00DB5643">
        <w:rPr>
          <w:snapToGrid w:val="0"/>
          <w:kern w:val="22"/>
          <w:szCs w:val="22"/>
          <w:lang w:val="ru-RU"/>
        </w:rPr>
        <w:t>ЖИО</w:t>
      </w:r>
      <w:proofErr w:type="spellEnd"/>
      <w:r w:rsidR="004569FB" w:rsidRPr="00DB5643">
        <w:rPr>
          <w:snapToGrid w:val="0"/>
          <w:kern w:val="22"/>
          <w:szCs w:val="22"/>
          <w:lang w:val="ru-RU"/>
        </w:rPr>
        <w:t>)</w:t>
      </w:r>
      <w:r w:rsidRPr="00DB5643">
        <w:rPr>
          <w:snapToGrid w:val="0"/>
          <w:kern w:val="22"/>
          <w:szCs w:val="22"/>
          <w:lang w:val="ru-RU"/>
        </w:rPr>
        <w:t xml:space="preserve"> национальные доклады содержат информацию о числе Сторон, сообщающих о наличии в их странах сертифицированных лабораторий для выявления </w:t>
      </w:r>
      <w:proofErr w:type="spellStart"/>
      <w:r w:rsidRPr="00DB5643">
        <w:rPr>
          <w:snapToGrid w:val="0"/>
          <w:kern w:val="22"/>
          <w:szCs w:val="22"/>
          <w:lang w:val="ru-RU"/>
        </w:rPr>
        <w:t>ЖИО</w:t>
      </w:r>
      <w:proofErr w:type="spellEnd"/>
      <w:r w:rsidR="004569FB" w:rsidRPr="00DB5643">
        <w:rPr>
          <w:snapToGrid w:val="0"/>
          <w:kern w:val="22"/>
          <w:szCs w:val="22"/>
          <w:lang w:val="ru-RU"/>
        </w:rPr>
        <w:t xml:space="preserve">. </w:t>
      </w:r>
      <w:r w:rsidRPr="00DB5643">
        <w:rPr>
          <w:snapToGrid w:val="0"/>
          <w:kern w:val="22"/>
          <w:szCs w:val="22"/>
          <w:lang w:val="ru-RU"/>
        </w:rPr>
        <w:t>В общей сложности</w:t>
      </w:r>
      <w:r w:rsidR="004569FB" w:rsidRPr="00DB5643">
        <w:rPr>
          <w:snapToGrid w:val="0"/>
          <w:kern w:val="22"/>
          <w:szCs w:val="22"/>
          <w:lang w:val="ru-RU"/>
        </w:rPr>
        <w:t xml:space="preserve"> 68</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(48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 xml:space="preserve">сообщили о наличии в их странах одной или нескольких сертифицированных лабораторий для выявления </w:t>
      </w:r>
      <w:proofErr w:type="spellStart"/>
      <w:r w:rsidRPr="00DB5643">
        <w:rPr>
          <w:snapToGrid w:val="0"/>
          <w:kern w:val="22"/>
          <w:szCs w:val="22"/>
          <w:lang w:val="ru-RU"/>
        </w:rPr>
        <w:t>ЖИО</w:t>
      </w:r>
      <w:proofErr w:type="spellEnd"/>
      <w:r w:rsidRPr="00DB5643">
        <w:rPr>
          <w:snapToGrid w:val="0"/>
          <w:kern w:val="22"/>
          <w:szCs w:val="22"/>
          <w:lang w:val="ru-RU"/>
        </w:rPr>
        <w:t xml:space="preserve"> – на</w:t>
      </w:r>
      <w:r w:rsidR="004569FB" w:rsidRPr="00DB5643">
        <w:rPr>
          <w:snapToGrid w:val="0"/>
          <w:kern w:val="22"/>
          <w:szCs w:val="22"/>
          <w:lang w:val="ru-RU"/>
        </w:rPr>
        <w:t xml:space="preserve"> 2 </w:t>
      </w:r>
      <w:r w:rsidRPr="00DB5643">
        <w:rPr>
          <w:snapToGrid w:val="0"/>
          <w:kern w:val="22"/>
          <w:szCs w:val="22"/>
          <w:lang w:val="ru-RU"/>
        </w:rPr>
        <w:t xml:space="preserve">Стороны больше по сравнению с исходным уровнем, что соответствует увеличению на </w:t>
      </w:r>
      <w:r w:rsidR="004569FB" w:rsidRPr="00DB5643">
        <w:rPr>
          <w:snapToGrid w:val="0"/>
          <w:kern w:val="22"/>
          <w:szCs w:val="22"/>
          <w:lang w:val="ru-RU"/>
        </w:rPr>
        <w:t>3</w:t>
      </w:r>
      <w:r w:rsidRPr="00DB5643">
        <w:rPr>
          <w:snapToGrid w:val="0"/>
          <w:kern w:val="22"/>
          <w:szCs w:val="22"/>
          <w:lang w:val="ru-RU"/>
        </w:rPr>
        <w:t> </w:t>
      </w:r>
      <w:r w:rsidR="00DD5771" w:rsidRPr="00DB5643">
        <w:rPr>
          <w:snapToGrid w:val="0"/>
          <w:kern w:val="22"/>
          <w:szCs w:val="22"/>
          <w:lang w:val="ru-RU"/>
        </w:rPr>
        <w:t>%</w:t>
      </w:r>
      <w:r w:rsidRPr="00DB5643">
        <w:rPr>
          <w:snapToGrid w:val="0"/>
          <w:kern w:val="22"/>
          <w:szCs w:val="22"/>
          <w:lang w:val="ru-RU"/>
        </w:rPr>
        <w:t xml:space="preserve"> в основном за счет Азиатско-Тихоокеанского региона</w:t>
      </w:r>
      <w:r w:rsidR="004569FB" w:rsidRPr="00DB5643">
        <w:rPr>
          <w:snapToGrid w:val="0"/>
          <w:kern w:val="22"/>
          <w:szCs w:val="22"/>
          <w:lang w:val="ru-RU"/>
        </w:rPr>
        <w:t xml:space="preserve"> (+</w:t>
      </w:r>
      <w:r w:rsidR="002C1367" w:rsidRPr="00DB5643">
        <w:rPr>
          <w:snapToGrid w:val="0"/>
          <w:kern w:val="22"/>
          <w:szCs w:val="22"/>
          <w:lang w:val="ru-RU"/>
        </w:rPr>
        <w:t>22</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и</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w:t>
      </w:r>
      <w:r w:rsidR="002C1367" w:rsidRPr="00DB5643">
        <w:rPr>
          <w:snapToGrid w:val="0"/>
          <w:kern w:val="22"/>
          <w:szCs w:val="22"/>
          <w:lang w:val="ru-RU"/>
        </w:rPr>
        <w:t>7</w:t>
      </w:r>
      <w:r w:rsidRPr="00DB5643">
        <w:rPr>
          <w:snapToGrid w:val="0"/>
          <w:kern w:val="22"/>
          <w:szCs w:val="22"/>
          <w:lang w:val="ru-RU"/>
        </w:rPr>
        <w:t> </w:t>
      </w:r>
      <w:r w:rsidR="004569FB" w:rsidRPr="00DB5643">
        <w:rPr>
          <w:snapToGrid w:val="0"/>
          <w:kern w:val="22"/>
          <w:szCs w:val="22"/>
          <w:lang w:val="ru-RU"/>
        </w:rPr>
        <w:t xml:space="preserve">%). </w:t>
      </w:r>
    </w:p>
    <w:p w14:paraId="347D1A8F" w14:textId="147F36F6" w:rsidR="004569FB" w:rsidRPr="00DB5643" w:rsidRDefault="00DD5771" w:rsidP="004569FB">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lang w:val="ru-RU"/>
        </w:rPr>
      </w:pPr>
      <w:r w:rsidRPr="00DB5643">
        <w:rPr>
          <w:snapToGrid w:val="0"/>
          <w:kern w:val="22"/>
          <w:szCs w:val="22"/>
          <w:lang w:val="ru-RU"/>
        </w:rPr>
        <w:t>Что касается</w:t>
      </w:r>
      <w:r w:rsidR="004569FB" w:rsidRPr="00DB5643">
        <w:rPr>
          <w:snapToGrid w:val="0"/>
          <w:kern w:val="22"/>
          <w:szCs w:val="22"/>
          <w:lang w:val="ru-RU"/>
        </w:rPr>
        <w:t xml:space="preserve"> </w:t>
      </w:r>
      <w:r w:rsidRPr="00DB5643">
        <w:rPr>
          <w:b/>
          <w:snapToGrid w:val="0"/>
          <w:kern w:val="22"/>
          <w:szCs w:val="22"/>
          <w:lang w:val="ru-RU"/>
        </w:rPr>
        <w:t xml:space="preserve">индикатора </w:t>
      </w:r>
      <w:r w:rsidR="004569FB" w:rsidRPr="00DB5643">
        <w:rPr>
          <w:b/>
          <w:snapToGrid w:val="0"/>
          <w:kern w:val="22"/>
          <w:szCs w:val="22"/>
          <w:lang w:val="ru-RU"/>
        </w:rPr>
        <w:t xml:space="preserve">2.3.4 </w:t>
      </w:r>
      <w:r w:rsidR="004569FB" w:rsidRPr="00DB5643">
        <w:rPr>
          <w:snapToGrid w:val="0"/>
          <w:kern w:val="22"/>
          <w:szCs w:val="22"/>
          <w:lang w:val="ru-RU"/>
        </w:rPr>
        <w:t>(</w:t>
      </w:r>
      <w:r w:rsidRPr="00DB5643">
        <w:rPr>
          <w:snapToGrid w:val="0"/>
          <w:kern w:val="22"/>
          <w:szCs w:val="22"/>
          <w:lang w:val="ru-RU"/>
        </w:rPr>
        <w:t>число действующих сертифицированных лабораторий</w:t>
      </w:r>
      <w:r w:rsidR="004569FB" w:rsidRPr="00DB5643">
        <w:rPr>
          <w:snapToGrid w:val="0"/>
          <w:kern w:val="22"/>
          <w:szCs w:val="22"/>
          <w:lang w:val="ru-RU"/>
        </w:rPr>
        <w:t xml:space="preserve">), </w:t>
      </w:r>
      <w:r w:rsidRPr="00DB5643">
        <w:rPr>
          <w:snapToGrid w:val="0"/>
          <w:kern w:val="22"/>
          <w:szCs w:val="22"/>
          <w:lang w:val="ru-RU"/>
        </w:rPr>
        <w:t xml:space="preserve">из числа Сторон, сообщивших о наличии в их странах сертифицированных лабораторий для выявления </w:t>
      </w:r>
      <w:proofErr w:type="spellStart"/>
      <w:r w:rsidRPr="00DB5643">
        <w:rPr>
          <w:snapToGrid w:val="0"/>
          <w:kern w:val="22"/>
          <w:szCs w:val="22"/>
          <w:lang w:val="ru-RU"/>
        </w:rPr>
        <w:t>ЖИО</w:t>
      </w:r>
      <w:proofErr w:type="spellEnd"/>
      <w:r w:rsidRPr="00DB5643">
        <w:rPr>
          <w:snapToGrid w:val="0"/>
          <w:kern w:val="22"/>
          <w:szCs w:val="22"/>
          <w:lang w:val="ru-RU"/>
        </w:rPr>
        <w:t xml:space="preserve">, </w:t>
      </w:r>
      <w:r w:rsidR="004569FB" w:rsidRPr="00DB5643">
        <w:rPr>
          <w:snapToGrid w:val="0"/>
          <w:kern w:val="22"/>
          <w:szCs w:val="22"/>
          <w:lang w:val="ru-RU"/>
        </w:rPr>
        <w:t>9</w:t>
      </w:r>
      <w:r w:rsidR="007A0B0D" w:rsidRPr="00DB5643">
        <w:rPr>
          <w:snapToGrid w:val="0"/>
          <w:kern w:val="22"/>
          <w:szCs w:val="22"/>
          <w:lang w:val="ru-RU"/>
        </w:rPr>
        <w:t>6</w:t>
      </w:r>
      <w:r w:rsidRPr="00DB5643">
        <w:rPr>
          <w:snapToGrid w:val="0"/>
          <w:kern w:val="22"/>
          <w:szCs w:val="22"/>
          <w:lang w:val="ru-RU"/>
        </w:rPr>
        <w:t> </w:t>
      </w:r>
      <w:r w:rsidR="004569FB" w:rsidRPr="00DB5643">
        <w:rPr>
          <w:snapToGrid w:val="0"/>
          <w:kern w:val="22"/>
          <w:szCs w:val="22"/>
          <w:lang w:val="ru-RU"/>
        </w:rPr>
        <w:t xml:space="preserve">% </w:t>
      </w:r>
      <w:r w:rsidR="00E9517C" w:rsidRPr="00DB5643">
        <w:rPr>
          <w:snapToGrid w:val="0"/>
          <w:kern w:val="22"/>
          <w:szCs w:val="22"/>
          <w:lang w:val="ru-RU"/>
        </w:rPr>
        <w:t xml:space="preserve">(46 </w:t>
      </w:r>
      <w:r w:rsidRPr="00DB5643">
        <w:rPr>
          <w:snapToGrid w:val="0"/>
          <w:kern w:val="22"/>
          <w:szCs w:val="22"/>
          <w:lang w:val="ru-RU"/>
        </w:rPr>
        <w:t>Сторон</w:t>
      </w:r>
      <w:r w:rsidR="00E9517C" w:rsidRPr="00DB5643">
        <w:rPr>
          <w:snapToGrid w:val="0"/>
          <w:kern w:val="22"/>
          <w:szCs w:val="22"/>
          <w:lang w:val="ru-RU"/>
        </w:rPr>
        <w:t xml:space="preserve">) </w:t>
      </w:r>
      <w:r w:rsidRPr="00DB5643">
        <w:rPr>
          <w:snapToGrid w:val="0"/>
          <w:kern w:val="22"/>
          <w:szCs w:val="22"/>
          <w:lang w:val="ru-RU"/>
        </w:rPr>
        <w:t xml:space="preserve">сообщили, что эти лаборатории в настоящее время выполняют функции по выявлению </w:t>
      </w:r>
      <w:proofErr w:type="spellStart"/>
      <w:r w:rsidRPr="00DB5643">
        <w:rPr>
          <w:snapToGrid w:val="0"/>
          <w:kern w:val="22"/>
          <w:szCs w:val="22"/>
          <w:lang w:val="ru-RU"/>
        </w:rPr>
        <w:t>ЖИО</w:t>
      </w:r>
      <w:proofErr w:type="spellEnd"/>
      <w:r w:rsidR="004569FB" w:rsidRPr="00DB5643">
        <w:rPr>
          <w:snapToGrid w:val="0"/>
          <w:kern w:val="22"/>
          <w:szCs w:val="22"/>
          <w:lang w:val="ru-RU"/>
        </w:rPr>
        <w:t xml:space="preserve">. </w:t>
      </w:r>
      <w:r w:rsidRPr="00DB5643">
        <w:rPr>
          <w:snapToGrid w:val="0"/>
          <w:kern w:val="22"/>
          <w:szCs w:val="22"/>
          <w:lang w:val="ru-RU"/>
        </w:rPr>
        <w:t>Это соответствует увеличению на</w:t>
      </w:r>
      <w:r w:rsidR="004569FB" w:rsidRPr="00DB5643">
        <w:rPr>
          <w:snapToGrid w:val="0"/>
          <w:kern w:val="22"/>
          <w:szCs w:val="22"/>
          <w:lang w:val="ru-RU"/>
        </w:rPr>
        <w:t xml:space="preserve"> 10</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по сравнению с исходным уровнем за счет регионов Африки</w:t>
      </w:r>
      <w:r w:rsidR="004569FB" w:rsidRPr="00DB5643">
        <w:rPr>
          <w:snapToGrid w:val="0"/>
          <w:kern w:val="22"/>
          <w:szCs w:val="22"/>
          <w:lang w:val="ru-RU"/>
        </w:rPr>
        <w:t xml:space="preserve"> (+33</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и</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(+15</w:t>
      </w:r>
      <w:r w:rsidRPr="00DB5643">
        <w:rPr>
          <w:snapToGrid w:val="0"/>
          <w:kern w:val="22"/>
          <w:szCs w:val="22"/>
          <w:lang w:val="ru-RU"/>
        </w:rPr>
        <w:t> </w:t>
      </w:r>
      <w:r w:rsidR="004569FB" w:rsidRPr="00DB5643">
        <w:rPr>
          <w:snapToGrid w:val="0"/>
          <w:kern w:val="22"/>
          <w:szCs w:val="22"/>
          <w:lang w:val="ru-RU"/>
        </w:rPr>
        <w:t xml:space="preserve">%). </w:t>
      </w:r>
    </w:p>
    <w:p w14:paraId="3E70AB67" w14:textId="61311B30" w:rsidR="004569FB" w:rsidRPr="00DB5643" w:rsidRDefault="00754841" w:rsidP="00754841">
      <w:pPr>
        <w:suppressLineNumbers/>
        <w:tabs>
          <w:tab w:val="num" w:pos="0"/>
        </w:tabs>
        <w:suppressAutoHyphens/>
        <w:spacing w:before="120" w:after="120"/>
        <w:jc w:val="left"/>
        <w:textAlignment w:val="baseline"/>
        <w:rPr>
          <w:iCs/>
          <w:snapToGrid w:val="0"/>
          <w:kern w:val="22"/>
          <w:szCs w:val="22"/>
        </w:rPr>
      </w:pPr>
      <w:r w:rsidRPr="00DB5643">
        <w:rPr>
          <w:iCs/>
          <w:noProof/>
          <w:kern w:val="22"/>
          <w:szCs w:val="22"/>
          <w:lang w:val="ru-RU" w:eastAsia="ru-RU"/>
        </w:rPr>
        <w:lastRenderedPageBreak/>
        <w:drawing>
          <wp:inline distT="0" distB="0" distL="0" distR="0" wp14:anchorId="142EEB35" wp14:editId="02ADB3C8">
            <wp:extent cx="5926370" cy="3337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4189" cy="3341963"/>
                    </a:xfrm>
                    <a:prstGeom prst="rect">
                      <a:avLst/>
                    </a:prstGeom>
                    <a:noFill/>
                  </pic:spPr>
                </pic:pic>
              </a:graphicData>
            </a:graphic>
          </wp:inline>
        </w:drawing>
      </w:r>
    </w:p>
    <w:p w14:paraId="70672377" w14:textId="154B92C1" w:rsidR="004569FB" w:rsidRPr="00DB5643" w:rsidRDefault="00754841"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bookmarkStart w:id="21" w:name="_Hlk30609254"/>
      <w:r w:rsidRPr="00DB5643">
        <w:rPr>
          <w:snapToGrid w:val="0"/>
          <w:kern w:val="22"/>
          <w:szCs w:val="22"/>
          <w:lang w:val="ru-RU"/>
        </w:rPr>
        <w:t>В своих ответах в развернутой форме несколько Сторон перечислили ряд лабораторий</w:t>
      </w:r>
      <w:r w:rsidR="004569FB" w:rsidRPr="00DB5643">
        <w:rPr>
          <w:snapToGrid w:val="0"/>
          <w:kern w:val="22"/>
          <w:szCs w:val="22"/>
          <w:lang w:val="ru-RU"/>
        </w:rPr>
        <w:t>,</w:t>
      </w:r>
      <w:r w:rsidRPr="00DB5643">
        <w:rPr>
          <w:snapToGrid w:val="0"/>
          <w:kern w:val="22"/>
          <w:szCs w:val="22"/>
          <w:lang w:val="ru-RU"/>
        </w:rPr>
        <w:t xml:space="preserve"> а также</w:t>
      </w:r>
      <w:r w:rsidR="007C6C5F" w:rsidRPr="00DB5643">
        <w:rPr>
          <w:snapToGrid w:val="0"/>
          <w:kern w:val="22"/>
          <w:szCs w:val="22"/>
          <w:lang w:val="ru-RU"/>
        </w:rPr>
        <w:t xml:space="preserve"> национальных сетей, созданных в пределах их юрисдикции</w:t>
      </w:r>
      <w:r w:rsidR="004569FB" w:rsidRPr="00DB5643">
        <w:rPr>
          <w:snapToGrid w:val="0"/>
          <w:kern w:val="22"/>
          <w:szCs w:val="22"/>
          <w:lang w:val="ru-RU"/>
        </w:rPr>
        <w:t xml:space="preserve">. </w:t>
      </w:r>
      <w:r w:rsidR="007C6C5F" w:rsidRPr="00DB5643">
        <w:rPr>
          <w:snapToGrid w:val="0"/>
          <w:kern w:val="22"/>
          <w:szCs w:val="22"/>
          <w:lang w:val="ru-RU"/>
        </w:rPr>
        <w:t>Некоторые Стороны сообщили о недавнем создании национальных лабораторий</w:t>
      </w:r>
      <w:r w:rsidR="004569FB" w:rsidRPr="00DB5643">
        <w:rPr>
          <w:snapToGrid w:val="0"/>
          <w:kern w:val="22"/>
          <w:szCs w:val="22"/>
          <w:lang w:val="ru-RU"/>
        </w:rPr>
        <w:t xml:space="preserve">. </w:t>
      </w:r>
      <w:r w:rsidR="007C6C5F" w:rsidRPr="00DB5643">
        <w:rPr>
          <w:snapToGrid w:val="0"/>
          <w:kern w:val="22"/>
          <w:szCs w:val="22"/>
          <w:lang w:val="ru-RU"/>
        </w:rPr>
        <w:t xml:space="preserve">Стороны из Европейского союза сообщили о своем участии в сетях лабораторий, занимающихся выявлением и идентификацией </w:t>
      </w:r>
      <w:proofErr w:type="spellStart"/>
      <w:r w:rsidR="007C6C5F" w:rsidRPr="00DB5643">
        <w:rPr>
          <w:snapToGrid w:val="0"/>
          <w:kern w:val="22"/>
          <w:szCs w:val="22"/>
          <w:lang w:val="ru-RU"/>
        </w:rPr>
        <w:t>ЖИО</w:t>
      </w:r>
      <w:proofErr w:type="spellEnd"/>
      <w:r w:rsidR="004569FB" w:rsidRPr="00DB5643">
        <w:rPr>
          <w:snapToGrid w:val="0"/>
          <w:kern w:val="22"/>
          <w:szCs w:val="22"/>
          <w:lang w:val="ru-RU"/>
        </w:rPr>
        <w:t xml:space="preserve">. </w:t>
      </w:r>
      <w:r w:rsidR="007C6C5F" w:rsidRPr="00DB5643">
        <w:rPr>
          <w:snapToGrid w:val="0"/>
          <w:kern w:val="22"/>
          <w:szCs w:val="22"/>
          <w:lang w:val="ru-RU"/>
        </w:rPr>
        <w:t>Несколько Сторон сообщили о том, что они имеют доступ к международным</w:t>
      </w:r>
      <w:r w:rsidR="004569FB" w:rsidRPr="00DB5643">
        <w:rPr>
          <w:snapToGrid w:val="0"/>
          <w:kern w:val="22"/>
          <w:szCs w:val="22"/>
          <w:lang w:val="ru-RU"/>
        </w:rPr>
        <w:t xml:space="preserve"> </w:t>
      </w:r>
      <w:r w:rsidR="007C6C5F" w:rsidRPr="00DB5643">
        <w:rPr>
          <w:snapToGrid w:val="0"/>
          <w:kern w:val="22"/>
          <w:szCs w:val="22"/>
          <w:lang w:val="ru-RU"/>
        </w:rPr>
        <w:t>или зарубежным лабораториям и используют их для своей деятельности по выявлению</w:t>
      </w:r>
      <w:r w:rsidR="004569FB" w:rsidRPr="00DB5643">
        <w:rPr>
          <w:snapToGrid w:val="0"/>
          <w:kern w:val="22"/>
          <w:szCs w:val="22"/>
          <w:lang w:val="ru-RU"/>
        </w:rPr>
        <w:t xml:space="preserve">. </w:t>
      </w:r>
      <w:r w:rsidR="007C6C5F" w:rsidRPr="00DB5643">
        <w:rPr>
          <w:snapToGrid w:val="0"/>
          <w:kern w:val="22"/>
          <w:szCs w:val="22"/>
          <w:lang w:val="ru-RU"/>
        </w:rPr>
        <w:t>Кроме того</w:t>
      </w:r>
      <w:r w:rsidR="004569FB" w:rsidRPr="00DB5643">
        <w:rPr>
          <w:snapToGrid w:val="0"/>
          <w:kern w:val="22"/>
          <w:szCs w:val="22"/>
          <w:lang w:val="ru-RU"/>
        </w:rPr>
        <w:t xml:space="preserve">, </w:t>
      </w:r>
      <w:r w:rsidR="007C6C5F" w:rsidRPr="00DB5643">
        <w:rPr>
          <w:snapToGrid w:val="0"/>
          <w:kern w:val="22"/>
          <w:szCs w:val="22"/>
          <w:lang w:val="ru-RU"/>
        </w:rPr>
        <w:t xml:space="preserve">несколько Сторон отметили, что </w:t>
      </w:r>
      <w:r w:rsidR="00B46B48" w:rsidRPr="00DB5643">
        <w:rPr>
          <w:snapToGrid w:val="0"/>
          <w:kern w:val="22"/>
          <w:szCs w:val="22"/>
          <w:lang w:val="ru-RU"/>
        </w:rPr>
        <w:t>ведется работа по наращиванию потенциала</w:t>
      </w:r>
      <w:r w:rsidR="004569FB" w:rsidRPr="00DB5643">
        <w:rPr>
          <w:snapToGrid w:val="0"/>
          <w:kern w:val="22"/>
          <w:szCs w:val="22"/>
          <w:lang w:val="ru-RU"/>
        </w:rPr>
        <w:t xml:space="preserve"> </w:t>
      </w:r>
      <w:r w:rsidR="00B46B48" w:rsidRPr="00DB5643">
        <w:rPr>
          <w:snapToGrid w:val="0"/>
          <w:kern w:val="22"/>
          <w:szCs w:val="22"/>
          <w:lang w:val="ru-RU"/>
        </w:rPr>
        <w:t xml:space="preserve">для создания лабораторий, специально предназначенных для выявления </w:t>
      </w:r>
      <w:proofErr w:type="spellStart"/>
      <w:r w:rsidR="00B46B48" w:rsidRPr="00DB5643">
        <w:rPr>
          <w:snapToGrid w:val="0"/>
          <w:kern w:val="22"/>
          <w:szCs w:val="22"/>
          <w:lang w:val="ru-RU"/>
        </w:rPr>
        <w:t>ЖИО</w:t>
      </w:r>
      <w:proofErr w:type="spellEnd"/>
      <w:r w:rsidR="00B46B48" w:rsidRPr="00DB5643">
        <w:rPr>
          <w:snapToGrid w:val="0"/>
          <w:kern w:val="22"/>
          <w:szCs w:val="22"/>
          <w:lang w:val="ru-RU"/>
        </w:rPr>
        <w:t>, и/или прохождения международной сертификации</w:t>
      </w:r>
      <w:r w:rsidR="004569FB" w:rsidRPr="00DB5643">
        <w:rPr>
          <w:snapToGrid w:val="0"/>
          <w:kern w:val="22"/>
          <w:szCs w:val="22"/>
          <w:lang w:val="ru-RU"/>
        </w:rPr>
        <w:t xml:space="preserve">. </w:t>
      </w:r>
      <w:r w:rsidR="00B46B48" w:rsidRPr="00DB5643">
        <w:rPr>
          <w:snapToGrid w:val="0"/>
          <w:kern w:val="22"/>
          <w:szCs w:val="22"/>
          <w:lang w:val="ru-RU"/>
        </w:rPr>
        <w:t>Также было перечислено несколько недавно проведенных или предстоящих учебных курсов для сотрудников таможни и соответствующих законов</w:t>
      </w:r>
      <w:r w:rsidR="004569FB" w:rsidRPr="00DB5643">
        <w:rPr>
          <w:snapToGrid w:val="0"/>
          <w:kern w:val="22"/>
          <w:szCs w:val="22"/>
          <w:lang w:val="ru-RU"/>
        </w:rPr>
        <w:t>.</w:t>
      </w:r>
    </w:p>
    <w:p w14:paraId="0ABABBC5" w14:textId="60D1D8DD" w:rsidR="004569FB" w:rsidRPr="00DB5643" w:rsidRDefault="00B46B48"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Другие Стороны отметили, что они не имеют возможности осуществлять выявление и идентификацию </w:t>
      </w:r>
      <w:proofErr w:type="spellStart"/>
      <w:r w:rsidRPr="00DB5643">
        <w:rPr>
          <w:snapToGrid w:val="0"/>
          <w:kern w:val="22"/>
          <w:szCs w:val="22"/>
          <w:lang w:val="ru-RU"/>
        </w:rPr>
        <w:t>ЖИО</w:t>
      </w:r>
      <w:proofErr w:type="spellEnd"/>
      <w:r w:rsidR="004569FB" w:rsidRPr="00DB5643">
        <w:rPr>
          <w:snapToGrid w:val="0"/>
          <w:kern w:val="22"/>
          <w:szCs w:val="22"/>
          <w:lang w:val="ru-RU"/>
        </w:rPr>
        <w:t xml:space="preserve">. </w:t>
      </w:r>
      <w:r w:rsidR="005E19F2" w:rsidRPr="00DB5643">
        <w:rPr>
          <w:snapToGrid w:val="0"/>
          <w:kern w:val="22"/>
          <w:szCs w:val="22"/>
          <w:lang w:val="ru-RU"/>
        </w:rPr>
        <w:t>Некоторые Стороны</w:t>
      </w:r>
      <w:r w:rsidR="004569FB" w:rsidRPr="00DB5643">
        <w:rPr>
          <w:snapToGrid w:val="0"/>
          <w:kern w:val="22"/>
          <w:szCs w:val="22"/>
          <w:lang w:val="ru-RU"/>
        </w:rPr>
        <w:t xml:space="preserve"> </w:t>
      </w:r>
      <w:r w:rsidR="005E19F2" w:rsidRPr="00DB5643">
        <w:rPr>
          <w:snapToGrid w:val="0"/>
          <w:kern w:val="22"/>
          <w:szCs w:val="22"/>
          <w:lang w:val="ru-RU"/>
        </w:rPr>
        <w:t>ссылались на нехватку лабораторий, персонала, оборудования, отсутствие сертификации</w:t>
      </w:r>
      <w:r w:rsidR="004569FB" w:rsidRPr="00DB5643">
        <w:rPr>
          <w:snapToGrid w:val="0"/>
          <w:kern w:val="22"/>
          <w:szCs w:val="22"/>
          <w:lang w:val="ru-RU"/>
        </w:rPr>
        <w:t xml:space="preserve"> </w:t>
      </w:r>
      <w:r w:rsidR="005E19F2" w:rsidRPr="00DB5643">
        <w:rPr>
          <w:snapToGrid w:val="0"/>
          <w:kern w:val="22"/>
          <w:szCs w:val="22"/>
          <w:lang w:val="ru-RU"/>
        </w:rPr>
        <w:t>и</w:t>
      </w:r>
      <w:r w:rsidR="004569FB" w:rsidRPr="00DB5643">
        <w:rPr>
          <w:snapToGrid w:val="0"/>
          <w:kern w:val="22"/>
          <w:szCs w:val="22"/>
          <w:lang w:val="ru-RU"/>
        </w:rPr>
        <w:t>/</w:t>
      </w:r>
      <w:r w:rsidR="005E19F2" w:rsidRPr="00DB5643">
        <w:rPr>
          <w:snapToGrid w:val="0"/>
          <w:kern w:val="22"/>
          <w:szCs w:val="22"/>
          <w:lang w:val="ru-RU"/>
        </w:rPr>
        <w:t>или потенциала для проведения деятельности по выявлению</w:t>
      </w:r>
      <w:r w:rsidR="004569FB" w:rsidRPr="00DB5643">
        <w:rPr>
          <w:snapToGrid w:val="0"/>
          <w:kern w:val="22"/>
          <w:szCs w:val="22"/>
          <w:lang w:val="ru-RU"/>
        </w:rPr>
        <w:t xml:space="preserve"> </w:t>
      </w:r>
      <w:proofErr w:type="spellStart"/>
      <w:r w:rsidR="005E19F2" w:rsidRPr="00DB5643">
        <w:rPr>
          <w:snapToGrid w:val="0"/>
          <w:kern w:val="22"/>
          <w:szCs w:val="22"/>
          <w:lang w:val="ru-RU"/>
        </w:rPr>
        <w:t>ЖИО</w:t>
      </w:r>
      <w:proofErr w:type="spellEnd"/>
      <w:r w:rsidR="004569FB" w:rsidRPr="00DB5643">
        <w:rPr>
          <w:snapToGrid w:val="0"/>
          <w:kern w:val="22"/>
          <w:szCs w:val="22"/>
          <w:lang w:val="ru-RU"/>
        </w:rPr>
        <w:t xml:space="preserve">. </w:t>
      </w:r>
      <w:r w:rsidR="005E19F2" w:rsidRPr="00DB5643">
        <w:rPr>
          <w:snapToGrid w:val="0"/>
          <w:kern w:val="22"/>
          <w:szCs w:val="22"/>
          <w:lang w:val="ru-RU"/>
        </w:rPr>
        <w:t>Несколько Сторон сообщили об отсутствии необходимых</w:t>
      </w:r>
      <w:r w:rsidR="004569FB" w:rsidRPr="00DB5643">
        <w:rPr>
          <w:snapToGrid w:val="0"/>
          <w:kern w:val="22"/>
          <w:szCs w:val="22"/>
          <w:lang w:val="ru-RU"/>
        </w:rPr>
        <w:t xml:space="preserve"> </w:t>
      </w:r>
      <w:r w:rsidR="005E19F2" w:rsidRPr="00DB5643">
        <w:rPr>
          <w:snapToGrid w:val="0"/>
          <w:kern w:val="22"/>
          <w:szCs w:val="22"/>
          <w:lang w:val="ru-RU"/>
        </w:rPr>
        <w:t xml:space="preserve">нормативных положений по биобезопасности для регулирования деятельности по выявлению </w:t>
      </w:r>
      <w:proofErr w:type="spellStart"/>
      <w:r w:rsidR="005E19F2" w:rsidRPr="00DB5643">
        <w:rPr>
          <w:snapToGrid w:val="0"/>
          <w:kern w:val="22"/>
          <w:szCs w:val="22"/>
          <w:lang w:val="ru-RU"/>
        </w:rPr>
        <w:t>ЖИО</w:t>
      </w:r>
      <w:proofErr w:type="spellEnd"/>
      <w:r w:rsidR="00B26099" w:rsidRPr="00DB5643">
        <w:rPr>
          <w:snapToGrid w:val="0"/>
          <w:kern w:val="22"/>
          <w:szCs w:val="22"/>
          <w:lang w:val="ru-RU"/>
        </w:rPr>
        <w:t>,</w:t>
      </w:r>
      <w:r w:rsidR="004569FB" w:rsidRPr="00DB5643">
        <w:rPr>
          <w:snapToGrid w:val="0"/>
          <w:kern w:val="22"/>
          <w:szCs w:val="22"/>
          <w:lang w:val="ru-RU"/>
        </w:rPr>
        <w:t xml:space="preserve"> </w:t>
      </w:r>
      <w:r w:rsidR="005E19F2" w:rsidRPr="00DB5643">
        <w:rPr>
          <w:snapToGrid w:val="0"/>
          <w:kern w:val="22"/>
          <w:szCs w:val="22"/>
          <w:lang w:val="ru-RU"/>
        </w:rPr>
        <w:t>но при этом заявили, что они разрабатывают такие документы</w:t>
      </w:r>
      <w:r w:rsidR="004569FB" w:rsidRPr="00DB5643">
        <w:rPr>
          <w:snapToGrid w:val="0"/>
          <w:kern w:val="22"/>
          <w:szCs w:val="22"/>
          <w:lang w:val="ru-RU"/>
        </w:rPr>
        <w:t xml:space="preserve">. </w:t>
      </w:r>
      <w:r w:rsidR="005E19F2" w:rsidRPr="00DB5643">
        <w:rPr>
          <w:snapToGrid w:val="0"/>
          <w:kern w:val="22"/>
          <w:szCs w:val="22"/>
          <w:lang w:val="ru-RU"/>
        </w:rPr>
        <w:t xml:space="preserve">Несколько Сторон отметили, что сотрудники таможни не проходили специальной подготовки по выявлению </w:t>
      </w:r>
      <w:proofErr w:type="spellStart"/>
      <w:r w:rsidR="005E19F2" w:rsidRPr="00DB5643">
        <w:rPr>
          <w:snapToGrid w:val="0"/>
          <w:kern w:val="22"/>
          <w:szCs w:val="22"/>
          <w:lang w:val="ru-RU"/>
        </w:rPr>
        <w:t>ЖИО</w:t>
      </w:r>
      <w:proofErr w:type="spellEnd"/>
      <w:r w:rsidR="005E19F2" w:rsidRPr="00DB5643">
        <w:rPr>
          <w:snapToGrid w:val="0"/>
          <w:kern w:val="22"/>
          <w:szCs w:val="22"/>
          <w:lang w:val="ru-RU"/>
        </w:rPr>
        <w:t xml:space="preserve"> и могли бы извлечь пользу из дополнительной подготовки</w:t>
      </w:r>
      <w:r w:rsidR="004569FB" w:rsidRPr="00DB5643">
        <w:rPr>
          <w:snapToGrid w:val="0"/>
          <w:kern w:val="22"/>
          <w:szCs w:val="22"/>
          <w:lang w:val="ru-RU"/>
        </w:rPr>
        <w:t>.</w:t>
      </w:r>
      <w:r w:rsidR="005E19F2" w:rsidRPr="00DB5643">
        <w:rPr>
          <w:snapToGrid w:val="0"/>
          <w:kern w:val="22"/>
          <w:szCs w:val="22"/>
          <w:lang w:val="ru-RU"/>
        </w:rPr>
        <w:t xml:space="preserve"> Некоторые Стороны отметили, что требуется </w:t>
      </w:r>
      <w:r w:rsidR="00125A5B" w:rsidRPr="00DB5643">
        <w:rPr>
          <w:snapToGrid w:val="0"/>
          <w:kern w:val="22"/>
          <w:szCs w:val="22"/>
          <w:lang w:val="ru-RU"/>
        </w:rPr>
        <w:t>также укрепление на уровне персонала и лабораторий для развития потенциала в данной области</w:t>
      </w:r>
      <w:r w:rsidR="004569FB" w:rsidRPr="00DB5643">
        <w:rPr>
          <w:snapToGrid w:val="0"/>
          <w:kern w:val="22"/>
          <w:szCs w:val="22"/>
          <w:lang w:val="ru-RU"/>
        </w:rPr>
        <w:t xml:space="preserve">. </w:t>
      </w:r>
      <w:r w:rsidR="00125A5B" w:rsidRPr="00DB5643">
        <w:rPr>
          <w:snapToGrid w:val="0"/>
          <w:kern w:val="22"/>
          <w:szCs w:val="22"/>
          <w:lang w:val="ru-RU"/>
        </w:rPr>
        <w:t>Одна Сторона отметила важность учебных курсов, которые необходимы для обеспечения поддержания потенциала</w:t>
      </w:r>
      <w:r w:rsidR="004569FB" w:rsidRPr="00DB5643">
        <w:rPr>
          <w:snapToGrid w:val="0"/>
          <w:kern w:val="22"/>
          <w:szCs w:val="22"/>
          <w:lang w:val="ru-RU"/>
        </w:rPr>
        <w:t>.</w:t>
      </w:r>
    </w:p>
    <w:bookmarkEnd w:id="21"/>
    <w:p w14:paraId="0A2B2F52" w14:textId="72E01190" w:rsidR="004569FB" w:rsidRPr="00DB5643" w:rsidRDefault="00125A5B" w:rsidP="00124868">
      <w:pPr>
        <w:keepNext/>
        <w:numPr>
          <w:ilvl w:val="0"/>
          <w:numId w:val="17"/>
        </w:numPr>
        <w:suppressLineNumbers/>
        <w:tabs>
          <w:tab w:val="clear" w:pos="2070"/>
          <w:tab w:val="left" w:pos="426"/>
        </w:tabs>
        <w:suppressAutoHyphens/>
        <w:spacing w:before="120" w:after="120"/>
        <w:ind w:left="0" w:right="4" w:firstLine="0"/>
        <w:jc w:val="center"/>
        <w:outlineLvl w:val="1"/>
        <w:rPr>
          <w:b/>
          <w:iCs/>
          <w:snapToGrid w:val="0"/>
          <w:kern w:val="22"/>
          <w:szCs w:val="22"/>
          <w:lang w:val="ru-RU"/>
        </w:rPr>
      </w:pPr>
      <w:r w:rsidRPr="00DB5643">
        <w:rPr>
          <w:b/>
          <w:iCs/>
          <w:snapToGrid w:val="0"/>
          <w:kern w:val="22"/>
          <w:szCs w:val="22"/>
          <w:lang w:val="ru-RU"/>
        </w:rPr>
        <w:t xml:space="preserve">Социально-экономические </w:t>
      </w:r>
      <w:r w:rsidR="003C6B09" w:rsidRPr="00DB5643">
        <w:rPr>
          <w:b/>
          <w:iCs/>
          <w:snapToGrid w:val="0"/>
          <w:kern w:val="22"/>
          <w:szCs w:val="22"/>
          <w:lang w:val="ru-RU"/>
        </w:rPr>
        <w:t>соображения</w:t>
      </w:r>
      <w:r w:rsidRPr="00DB5643">
        <w:rPr>
          <w:b/>
          <w:iCs/>
          <w:snapToGrid w:val="0"/>
          <w:kern w:val="22"/>
          <w:szCs w:val="22"/>
          <w:lang w:val="ru-RU"/>
        </w:rPr>
        <w:t xml:space="preserve"> (оперативная цель </w:t>
      </w:r>
      <w:r w:rsidR="004569FB" w:rsidRPr="00DB5643">
        <w:rPr>
          <w:b/>
          <w:iCs/>
          <w:snapToGrid w:val="0"/>
          <w:kern w:val="22"/>
          <w:szCs w:val="22"/>
          <w:lang w:val="ru-RU"/>
        </w:rPr>
        <w:t>1.7)</w:t>
      </w:r>
    </w:p>
    <w:p w14:paraId="173FB348" w14:textId="0D18AD4A" w:rsidR="004569FB" w:rsidRPr="00DB5643" w:rsidRDefault="0085345B"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Оперативная цель</w:t>
      </w:r>
      <w:r w:rsidR="004569FB" w:rsidRPr="00DB5643">
        <w:rPr>
          <w:snapToGrid w:val="0"/>
          <w:kern w:val="22"/>
          <w:szCs w:val="22"/>
          <w:lang w:val="ru-RU"/>
        </w:rPr>
        <w:t xml:space="preserve"> 1.7 </w:t>
      </w:r>
      <w:r w:rsidRPr="00DB5643">
        <w:rPr>
          <w:snapToGrid w:val="0"/>
          <w:kern w:val="22"/>
          <w:szCs w:val="22"/>
          <w:lang w:val="ru-RU"/>
        </w:rPr>
        <w:t xml:space="preserve">предусматривает </w:t>
      </w:r>
      <w:r w:rsidR="00CA2340" w:rsidRPr="00DB5643">
        <w:rPr>
          <w:snapToGrid w:val="0"/>
          <w:kern w:val="22"/>
          <w:szCs w:val="22"/>
          <w:lang w:val="ru-RU"/>
        </w:rPr>
        <w:t>разработку на основе соответствующих исследований и обмена информацией руководящих указаний относительно социально-экономических соображений, которые можно было бы учитывать при выработке решений</w:t>
      </w:r>
      <w:r w:rsidR="004569FB" w:rsidRPr="00DB5643">
        <w:rPr>
          <w:snapToGrid w:val="0"/>
          <w:kern w:val="22"/>
          <w:szCs w:val="22"/>
          <w:lang w:val="ru-RU"/>
        </w:rPr>
        <w:t xml:space="preserve"> </w:t>
      </w:r>
      <w:r w:rsidR="00CA2340" w:rsidRPr="00DB5643">
        <w:rPr>
          <w:snapToGrid w:val="0"/>
          <w:kern w:val="22"/>
          <w:szCs w:val="22"/>
          <w:lang w:val="ru-RU"/>
        </w:rPr>
        <w:t>об импорте живых измененных организмов</w:t>
      </w:r>
      <w:r w:rsidR="004569FB" w:rsidRPr="00DB5643">
        <w:rPr>
          <w:snapToGrid w:val="0"/>
          <w:kern w:val="22"/>
          <w:szCs w:val="22"/>
          <w:lang w:val="ru-RU"/>
        </w:rPr>
        <w:t xml:space="preserve">. </w:t>
      </w:r>
      <w:r w:rsidR="00CA2340" w:rsidRPr="00DB5643">
        <w:rPr>
          <w:snapToGrid w:val="0"/>
          <w:kern w:val="22"/>
          <w:szCs w:val="22"/>
          <w:lang w:val="ru-RU"/>
        </w:rPr>
        <w:t>Стороны</w:t>
      </w:r>
      <w:r w:rsidR="003C6B09" w:rsidRPr="00DB5643">
        <w:rPr>
          <w:snapToGrid w:val="0"/>
          <w:kern w:val="22"/>
          <w:szCs w:val="22"/>
          <w:lang w:val="ru-RU"/>
        </w:rPr>
        <w:t xml:space="preserve"> согласовали результаты, включающие разработку и использование руководящих </w:t>
      </w:r>
      <w:proofErr w:type="gramStart"/>
      <w:r w:rsidR="003C6B09" w:rsidRPr="00DB5643">
        <w:rPr>
          <w:snapToGrid w:val="0"/>
          <w:kern w:val="22"/>
          <w:szCs w:val="22"/>
          <w:lang w:val="ru-RU"/>
        </w:rPr>
        <w:t>указаний</w:t>
      </w:r>
      <w:proofErr w:type="gramEnd"/>
      <w:r w:rsidR="003C6B09" w:rsidRPr="00DB5643">
        <w:rPr>
          <w:snapToGrid w:val="0"/>
          <w:kern w:val="22"/>
          <w:szCs w:val="22"/>
          <w:lang w:val="ru-RU"/>
        </w:rPr>
        <w:t xml:space="preserve"> и </w:t>
      </w:r>
      <w:r w:rsidR="002C1487" w:rsidRPr="00DB5643">
        <w:rPr>
          <w:snapToGrid w:val="0"/>
          <w:kern w:val="22"/>
          <w:szCs w:val="22"/>
          <w:lang w:val="ru-RU"/>
        </w:rPr>
        <w:t>применение социально-экономических соображений в соответствующих случаях</w:t>
      </w:r>
      <w:r w:rsidR="004569FB" w:rsidRPr="00DB5643">
        <w:rPr>
          <w:snapToGrid w:val="0"/>
          <w:kern w:val="22"/>
          <w:szCs w:val="22"/>
          <w:lang w:val="ru-RU"/>
        </w:rPr>
        <w:t xml:space="preserve">. </w:t>
      </w:r>
      <w:r w:rsidR="002C1487" w:rsidRPr="00DB5643">
        <w:rPr>
          <w:snapToGrid w:val="0"/>
          <w:kern w:val="22"/>
          <w:szCs w:val="22"/>
          <w:lang w:val="ru-RU"/>
        </w:rPr>
        <w:t>Было определено четыре индикатора для оценки результатов выполнения данной оперативной цели</w:t>
      </w:r>
      <w:r w:rsidR="004569FB" w:rsidRPr="00DB5643">
        <w:rPr>
          <w:snapToGrid w:val="0"/>
          <w:kern w:val="22"/>
          <w:szCs w:val="22"/>
          <w:lang w:val="ru-RU"/>
        </w:rPr>
        <w:t>.</w:t>
      </w:r>
    </w:p>
    <w:p w14:paraId="48A77B82" w14:textId="4C26289C" w:rsidR="004569FB" w:rsidRPr="00DB5643" w:rsidRDefault="006B12F5"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lastRenderedPageBreak/>
        <w:t xml:space="preserve">В отношении </w:t>
      </w:r>
      <w:r w:rsidRPr="00DB5643">
        <w:rPr>
          <w:b/>
          <w:bCs/>
          <w:snapToGrid w:val="0"/>
          <w:kern w:val="22"/>
          <w:szCs w:val="22"/>
          <w:lang w:val="ru-RU"/>
        </w:rPr>
        <w:t>индикатора</w:t>
      </w:r>
      <w:r w:rsidR="004569FB" w:rsidRPr="00DB5643">
        <w:rPr>
          <w:b/>
          <w:bCs/>
          <w:snapToGrid w:val="0"/>
          <w:kern w:val="22"/>
          <w:szCs w:val="22"/>
          <w:lang w:val="ru-RU"/>
        </w:rPr>
        <w:t xml:space="preserve"> 1.7.1</w:t>
      </w:r>
      <w:r w:rsidR="004569FB" w:rsidRPr="00DB5643">
        <w:rPr>
          <w:snapToGrid w:val="0"/>
          <w:kern w:val="22"/>
          <w:szCs w:val="22"/>
          <w:lang w:val="ru-RU"/>
        </w:rPr>
        <w:t xml:space="preserve"> (</w:t>
      </w:r>
      <w:r w:rsidRPr="00DB5643">
        <w:rPr>
          <w:snapToGrid w:val="0"/>
          <w:kern w:val="22"/>
          <w:szCs w:val="22"/>
          <w:lang w:val="ru-RU"/>
        </w:rPr>
        <w:t xml:space="preserve">число опубликованных исследований, прошедших независимую коллегиальную оценку, которые были распространены и использованы Сторонами в процессе изучения социально-экономического воздействия </w:t>
      </w:r>
      <w:proofErr w:type="spellStart"/>
      <w:r w:rsidRPr="00DB5643">
        <w:rPr>
          <w:snapToGrid w:val="0"/>
          <w:kern w:val="22"/>
          <w:szCs w:val="22"/>
          <w:lang w:val="ru-RU"/>
        </w:rPr>
        <w:t>ЖИО</w:t>
      </w:r>
      <w:proofErr w:type="spellEnd"/>
      <w:r w:rsidR="004569FB" w:rsidRPr="00DB5643">
        <w:rPr>
          <w:snapToGrid w:val="0"/>
          <w:kern w:val="22"/>
          <w:szCs w:val="22"/>
          <w:lang w:val="ru-RU"/>
        </w:rPr>
        <w:t>) 34</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w:t>
      </w:r>
      <w:r w:rsidR="00E05CFC" w:rsidRPr="00DB5643">
        <w:rPr>
          <w:snapToGrid w:val="0"/>
          <w:kern w:val="22"/>
          <w:szCs w:val="22"/>
          <w:lang w:val="ru-RU"/>
        </w:rPr>
        <w:t xml:space="preserve">(24 </w:t>
      </w:r>
      <w:r w:rsidRPr="00DB5643">
        <w:rPr>
          <w:snapToGrid w:val="0"/>
          <w:kern w:val="22"/>
          <w:szCs w:val="22"/>
          <w:lang w:val="ru-RU"/>
        </w:rPr>
        <w:t>Стороны</w:t>
      </w:r>
      <w:r w:rsidR="00E05CFC" w:rsidRPr="00DB5643">
        <w:rPr>
          <w:snapToGrid w:val="0"/>
          <w:kern w:val="22"/>
          <w:szCs w:val="22"/>
          <w:lang w:val="ru-RU"/>
        </w:rPr>
        <w:t>)</w:t>
      </w:r>
      <w:r w:rsidRPr="00DB5643">
        <w:rPr>
          <w:snapToGrid w:val="0"/>
          <w:kern w:val="22"/>
          <w:szCs w:val="22"/>
          <w:lang w:val="ru-RU"/>
        </w:rPr>
        <w:t xml:space="preserve"> сообщили об использовании ими материалов, прошедших коллегиальную оценку,</w:t>
      </w:r>
      <w:r w:rsidR="0016652A" w:rsidRPr="00DB5643">
        <w:rPr>
          <w:rFonts w:eastAsia="Times New Roman" w:cs="Times New Roman"/>
          <w:color w:val="000000"/>
          <w:kern w:val="22"/>
          <w:szCs w:val="22"/>
          <w:lang w:val="ru-RU" w:eastAsia="ru-RU"/>
        </w:rPr>
        <w:t xml:space="preserve"> </w:t>
      </w:r>
      <w:r w:rsidR="0016652A" w:rsidRPr="00DB5643">
        <w:rPr>
          <w:snapToGrid w:val="0"/>
          <w:kern w:val="22"/>
          <w:szCs w:val="22"/>
          <w:lang w:val="ru-RU"/>
        </w:rPr>
        <w:t>для целей разработки или определения мер на национальном уровне в отношении социально-экономических соображений, что соответствует уменьшению на</w:t>
      </w:r>
      <w:r w:rsidR="004569FB" w:rsidRPr="00DB5643">
        <w:rPr>
          <w:snapToGrid w:val="0"/>
          <w:kern w:val="22"/>
          <w:szCs w:val="22"/>
          <w:lang w:val="ru-RU"/>
        </w:rPr>
        <w:t xml:space="preserve"> 8</w:t>
      </w:r>
      <w:r w:rsidR="0016652A" w:rsidRPr="00DB5643">
        <w:rPr>
          <w:snapToGrid w:val="0"/>
          <w:kern w:val="22"/>
          <w:szCs w:val="22"/>
          <w:lang w:val="ru-RU"/>
        </w:rPr>
        <w:t> </w:t>
      </w:r>
      <w:r w:rsidR="004569FB" w:rsidRPr="00DB5643">
        <w:rPr>
          <w:snapToGrid w:val="0"/>
          <w:kern w:val="22"/>
          <w:szCs w:val="22"/>
          <w:lang w:val="ru-RU"/>
        </w:rPr>
        <w:t xml:space="preserve">% </w:t>
      </w:r>
      <w:r w:rsidR="0016652A"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16652A" w:rsidRPr="00DB5643">
        <w:rPr>
          <w:snapToGrid w:val="0"/>
          <w:kern w:val="22"/>
          <w:szCs w:val="22"/>
          <w:lang w:val="ru-RU"/>
        </w:rPr>
        <w:t xml:space="preserve">В общей сложности </w:t>
      </w:r>
      <w:r w:rsidR="004569FB" w:rsidRPr="00DB5643">
        <w:rPr>
          <w:snapToGrid w:val="0"/>
          <w:kern w:val="22"/>
          <w:szCs w:val="22"/>
          <w:lang w:val="ru-RU"/>
        </w:rPr>
        <w:t>14</w:t>
      </w:r>
      <w:r w:rsidR="0016652A" w:rsidRPr="00DB5643">
        <w:rPr>
          <w:snapToGrid w:val="0"/>
          <w:kern w:val="22"/>
          <w:szCs w:val="22"/>
          <w:lang w:val="en-US"/>
        </w:rPr>
        <w:t> </w:t>
      </w:r>
      <w:r w:rsidR="004569FB" w:rsidRPr="00DB5643">
        <w:rPr>
          <w:snapToGrid w:val="0"/>
          <w:kern w:val="22"/>
          <w:szCs w:val="22"/>
          <w:lang w:val="ru-RU"/>
        </w:rPr>
        <w:t xml:space="preserve">% </w:t>
      </w:r>
      <w:r w:rsidR="0016652A" w:rsidRPr="00DB5643">
        <w:rPr>
          <w:snapToGrid w:val="0"/>
          <w:kern w:val="22"/>
          <w:szCs w:val="22"/>
          <w:lang w:val="ru-RU"/>
        </w:rPr>
        <w:t>Сторон сообщили об использовании</w:t>
      </w:r>
      <w:r w:rsidR="004569FB" w:rsidRPr="00DB5643">
        <w:rPr>
          <w:snapToGrid w:val="0"/>
          <w:kern w:val="22"/>
          <w:szCs w:val="22"/>
          <w:lang w:val="ru-RU"/>
        </w:rPr>
        <w:t xml:space="preserve"> 50 </w:t>
      </w:r>
      <w:r w:rsidR="0016652A" w:rsidRPr="00DB5643">
        <w:rPr>
          <w:snapToGrid w:val="0"/>
          <w:kern w:val="22"/>
          <w:szCs w:val="22"/>
          <w:lang w:val="ru-RU"/>
        </w:rPr>
        <w:t>или более материалов, прошедших коллегиальную оценку</w:t>
      </w:r>
      <w:r w:rsidR="004569FB" w:rsidRPr="00DB5643">
        <w:rPr>
          <w:snapToGrid w:val="0"/>
          <w:kern w:val="22"/>
          <w:szCs w:val="22"/>
          <w:lang w:val="ru-RU"/>
        </w:rPr>
        <w:t xml:space="preserve"> (+4</w:t>
      </w:r>
      <w:r w:rsidR="0016652A" w:rsidRPr="00DB5643">
        <w:rPr>
          <w:snapToGrid w:val="0"/>
          <w:kern w:val="22"/>
          <w:szCs w:val="22"/>
          <w:lang w:val="en-US"/>
        </w:rPr>
        <w:t> </w:t>
      </w:r>
      <w:r w:rsidR="004569FB" w:rsidRPr="00DB5643">
        <w:rPr>
          <w:snapToGrid w:val="0"/>
          <w:kern w:val="22"/>
          <w:szCs w:val="22"/>
          <w:lang w:val="ru-RU"/>
        </w:rPr>
        <w:t>%); 6</w:t>
      </w:r>
      <w:r w:rsidR="0016652A" w:rsidRPr="00DB5643">
        <w:rPr>
          <w:snapToGrid w:val="0"/>
          <w:kern w:val="22"/>
          <w:szCs w:val="22"/>
          <w:lang w:val="en-US"/>
        </w:rPr>
        <w:t> </w:t>
      </w:r>
      <w:r w:rsidR="004569FB" w:rsidRPr="00DB5643">
        <w:rPr>
          <w:snapToGrid w:val="0"/>
          <w:kern w:val="22"/>
          <w:szCs w:val="22"/>
          <w:lang w:val="ru-RU"/>
        </w:rPr>
        <w:t xml:space="preserve">% </w:t>
      </w:r>
      <w:r w:rsidR="0016652A" w:rsidRPr="00DB5643">
        <w:rPr>
          <w:snapToGrid w:val="0"/>
          <w:kern w:val="22"/>
          <w:szCs w:val="22"/>
          <w:lang w:val="ru-RU"/>
        </w:rPr>
        <w:t xml:space="preserve">сообщили об использовании </w:t>
      </w:r>
      <w:r w:rsidR="004569FB" w:rsidRPr="00DB5643">
        <w:rPr>
          <w:snapToGrid w:val="0"/>
          <w:kern w:val="22"/>
          <w:szCs w:val="22"/>
          <w:lang w:val="ru-RU"/>
        </w:rPr>
        <w:t>10</w:t>
      </w:r>
      <w:r w:rsidR="0016652A" w:rsidRPr="00DB5643">
        <w:rPr>
          <w:snapToGrid w:val="0"/>
          <w:kern w:val="22"/>
          <w:szCs w:val="22"/>
          <w:lang w:val="ru-RU"/>
        </w:rPr>
        <w:t>–</w:t>
      </w:r>
      <w:r w:rsidR="004569FB" w:rsidRPr="00DB5643">
        <w:rPr>
          <w:snapToGrid w:val="0"/>
          <w:kern w:val="22"/>
          <w:szCs w:val="22"/>
          <w:lang w:val="ru-RU"/>
        </w:rPr>
        <w:t xml:space="preserve">49 </w:t>
      </w:r>
      <w:r w:rsidR="0016652A" w:rsidRPr="00DB5643">
        <w:rPr>
          <w:snapToGrid w:val="0"/>
          <w:kern w:val="22"/>
          <w:szCs w:val="22"/>
          <w:lang w:val="ru-RU"/>
        </w:rPr>
        <w:t>таких материалов</w:t>
      </w:r>
      <w:r w:rsidR="004569FB" w:rsidRPr="00DB5643">
        <w:rPr>
          <w:snapToGrid w:val="0"/>
          <w:kern w:val="22"/>
          <w:szCs w:val="22"/>
          <w:lang w:val="ru-RU"/>
        </w:rPr>
        <w:t xml:space="preserve"> (-1</w:t>
      </w:r>
      <w:r w:rsidR="0016652A" w:rsidRPr="00DB5643">
        <w:rPr>
          <w:snapToGrid w:val="0"/>
          <w:kern w:val="22"/>
          <w:szCs w:val="22"/>
          <w:lang w:val="ru-RU"/>
        </w:rPr>
        <w:t> </w:t>
      </w:r>
      <w:r w:rsidR="004569FB" w:rsidRPr="00DB5643">
        <w:rPr>
          <w:snapToGrid w:val="0"/>
          <w:kern w:val="22"/>
          <w:szCs w:val="22"/>
          <w:lang w:val="ru-RU"/>
        </w:rPr>
        <w:t>%); 3</w:t>
      </w:r>
      <w:r w:rsidR="0016652A" w:rsidRPr="00DB5643">
        <w:rPr>
          <w:snapToGrid w:val="0"/>
          <w:kern w:val="22"/>
          <w:szCs w:val="22"/>
          <w:lang w:val="ru-RU"/>
        </w:rPr>
        <w:t> </w:t>
      </w:r>
      <w:r w:rsidR="004569FB" w:rsidRPr="00DB5643">
        <w:rPr>
          <w:snapToGrid w:val="0"/>
          <w:kern w:val="22"/>
          <w:szCs w:val="22"/>
          <w:lang w:val="ru-RU"/>
        </w:rPr>
        <w:t xml:space="preserve">% </w:t>
      </w:r>
      <w:r w:rsidR="0016652A" w:rsidRPr="00DB5643">
        <w:rPr>
          <w:snapToGrid w:val="0"/>
          <w:kern w:val="22"/>
          <w:szCs w:val="22"/>
          <w:lang w:val="ru-RU"/>
        </w:rPr>
        <w:t xml:space="preserve">сообщили об использовании </w:t>
      </w:r>
      <w:r w:rsidR="004569FB" w:rsidRPr="00DB5643">
        <w:rPr>
          <w:snapToGrid w:val="0"/>
          <w:kern w:val="22"/>
          <w:szCs w:val="22"/>
          <w:lang w:val="ru-RU"/>
        </w:rPr>
        <w:t>5</w:t>
      </w:r>
      <w:r w:rsidR="0016652A" w:rsidRPr="00DB5643">
        <w:rPr>
          <w:snapToGrid w:val="0"/>
          <w:kern w:val="22"/>
          <w:szCs w:val="22"/>
          <w:lang w:val="ru-RU"/>
        </w:rPr>
        <w:t>–</w:t>
      </w:r>
      <w:r w:rsidR="004569FB" w:rsidRPr="00DB5643">
        <w:rPr>
          <w:snapToGrid w:val="0"/>
          <w:kern w:val="22"/>
          <w:szCs w:val="22"/>
          <w:lang w:val="ru-RU"/>
        </w:rPr>
        <w:t xml:space="preserve">9 </w:t>
      </w:r>
      <w:r w:rsidR="0016652A" w:rsidRPr="00DB5643">
        <w:rPr>
          <w:snapToGrid w:val="0"/>
          <w:kern w:val="22"/>
          <w:szCs w:val="22"/>
          <w:lang w:val="ru-RU"/>
        </w:rPr>
        <w:t>материалов</w:t>
      </w:r>
      <w:r w:rsidR="004569FB" w:rsidRPr="00DB5643">
        <w:rPr>
          <w:snapToGrid w:val="0"/>
          <w:kern w:val="22"/>
          <w:szCs w:val="22"/>
          <w:lang w:val="ru-RU"/>
        </w:rPr>
        <w:t xml:space="preserve"> (</w:t>
      </w:r>
      <w:r w:rsidR="0016652A"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11</w:t>
      </w:r>
      <w:r w:rsidR="0016652A" w:rsidRPr="00DB5643">
        <w:rPr>
          <w:snapToGrid w:val="0"/>
          <w:kern w:val="22"/>
          <w:szCs w:val="22"/>
          <w:lang w:val="ru-RU"/>
        </w:rPr>
        <w:t> </w:t>
      </w:r>
      <w:r w:rsidR="004569FB" w:rsidRPr="00DB5643">
        <w:rPr>
          <w:snapToGrid w:val="0"/>
          <w:kern w:val="22"/>
          <w:szCs w:val="22"/>
          <w:lang w:val="ru-RU"/>
        </w:rPr>
        <w:t xml:space="preserve">% </w:t>
      </w:r>
      <w:r w:rsidR="0016652A" w:rsidRPr="00DB5643">
        <w:rPr>
          <w:snapToGrid w:val="0"/>
          <w:kern w:val="22"/>
          <w:szCs w:val="22"/>
          <w:lang w:val="ru-RU"/>
        </w:rPr>
        <w:t>Сторон</w:t>
      </w:r>
      <w:r w:rsidR="004569FB" w:rsidRPr="00DB5643">
        <w:rPr>
          <w:snapToGrid w:val="0"/>
          <w:kern w:val="22"/>
          <w:szCs w:val="22"/>
          <w:lang w:val="ru-RU"/>
        </w:rPr>
        <w:t xml:space="preserve"> </w:t>
      </w:r>
      <w:r w:rsidR="0016652A" w:rsidRPr="00DB5643">
        <w:rPr>
          <w:snapToGrid w:val="0"/>
          <w:kern w:val="22"/>
          <w:szCs w:val="22"/>
          <w:lang w:val="ru-RU"/>
        </w:rPr>
        <w:t xml:space="preserve">сообщили об использовании </w:t>
      </w:r>
      <w:r w:rsidR="004569FB" w:rsidRPr="00DB5643">
        <w:rPr>
          <w:snapToGrid w:val="0"/>
          <w:kern w:val="22"/>
          <w:szCs w:val="22"/>
          <w:lang w:val="ru-RU"/>
        </w:rPr>
        <w:t>1</w:t>
      </w:r>
      <w:r w:rsidR="0016652A" w:rsidRPr="00DB5643">
        <w:rPr>
          <w:snapToGrid w:val="0"/>
          <w:kern w:val="22"/>
          <w:szCs w:val="22"/>
          <w:lang w:val="ru-RU"/>
        </w:rPr>
        <w:t>–</w:t>
      </w:r>
      <w:r w:rsidR="004569FB" w:rsidRPr="00DB5643">
        <w:rPr>
          <w:snapToGrid w:val="0"/>
          <w:kern w:val="22"/>
          <w:szCs w:val="22"/>
          <w:lang w:val="ru-RU"/>
        </w:rPr>
        <w:t xml:space="preserve">4 </w:t>
      </w:r>
      <w:r w:rsidR="0016652A" w:rsidRPr="00DB5643">
        <w:rPr>
          <w:snapToGrid w:val="0"/>
          <w:kern w:val="22"/>
          <w:szCs w:val="22"/>
          <w:lang w:val="ru-RU"/>
        </w:rPr>
        <w:t>материалов</w:t>
      </w:r>
      <w:r w:rsidR="004569FB" w:rsidRPr="00DB5643">
        <w:rPr>
          <w:snapToGrid w:val="0"/>
          <w:kern w:val="22"/>
          <w:szCs w:val="22"/>
          <w:lang w:val="ru-RU"/>
        </w:rPr>
        <w:t xml:space="preserve"> (-1</w:t>
      </w:r>
      <w:r w:rsidR="009421A2" w:rsidRPr="00DB5643">
        <w:rPr>
          <w:snapToGrid w:val="0"/>
          <w:kern w:val="22"/>
          <w:szCs w:val="22"/>
          <w:lang w:val="ru-RU"/>
        </w:rPr>
        <w:t>1</w:t>
      </w:r>
      <w:r w:rsidR="0016652A" w:rsidRPr="00DB5643">
        <w:rPr>
          <w:snapToGrid w:val="0"/>
          <w:kern w:val="22"/>
          <w:szCs w:val="22"/>
          <w:lang w:val="ru-RU"/>
        </w:rPr>
        <w:t> </w:t>
      </w:r>
      <w:r w:rsidR="004569FB" w:rsidRPr="00DB5643">
        <w:rPr>
          <w:snapToGrid w:val="0"/>
          <w:kern w:val="22"/>
          <w:szCs w:val="22"/>
          <w:lang w:val="ru-RU"/>
        </w:rPr>
        <w:t xml:space="preserve">%). </w:t>
      </w:r>
      <w:r w:rsidR="0016652A" w:rsidRPr="00DB5643">
        <w:rPr>
          <w:snapToGrid w:val="0"/>
          <w:kern w:val="22"/>
          <w:szCs w:val="22"/>
          <w:lang w:val="ru-RU"/>
        </w:rPr>
        <w:t>Все Стороны, сообщившие об использовании</w:t>
      </w:r>
      <w:r w:rsidR="004569FB" w:rsidRPr="00DB5643">
        <w:rPr>
          <w:snapToGrid w:val="0"/>
          <w:kern w:val="22"/>
          <w:szCs w:val="22"/>
          <w:lang w:val="ru-RU"/>
        </w:rPr>
        <w:t xml:space="preserve"> 50 </w:t>
      </w:r>
      <w:r w:rsidR="0016652A" w:rsidRPr="00DB5643">
        <w:rPr>
          <w:snapToGrid w:val="0"/>
          <w:kern w:val="22"/>
          <w:szCs w:val="22"/>
          <w:lang w:val="ru-RU"/>
        </w:rPr>
        <w:t xml:space="preserve">или более материалов в течение отчетного периода, относятся к регионам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w:t>
      </w:r>
      <w:r w:rsidR="0016652A" w:rsidRPr="00DB5643">
        <w:rPr>
          <w:snapToGrid w:val="0"/>
          <w:kern w:val="22"/>
          <w:szCs w:val="22"/>
          <w:lang w:val="ru-RU"/>
        </w:rPr>
        <w:t>и</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xml:space="preserve">. </w:t>
      </w:r>
      <w:r w:rsidR="0016652A" w:rsidRPr="00DB5643">
        <w:rPr>
          <w:snapToGrid w:val="0"/>
          <w:kern w:val="22"/>
          <w:szCs w:val="22"/>
          <w:lang w:val="ru-RU"/>
        </w:rPr>
        <w:t>В общей сложности</w:t>
      </w:r>
      <w:r w:rsidR="00C8400A" w:rsidRPr="00DB5643">
        <w:rPr>
          <w:snapToGrid w:val="0"/>
          <w:kern w:val="22"/>
          <w:szCs w:val="22"/>
          <w:lang w:val="ru-RU"/>
        </w:rPr>
        <w:t xml:space="preserve"> </w:t>
      </w:r>
      <w:r w:rsidR="009421A2" w:rsidRPr="00DB5643">
        <w:rPr>
          <w:snapToGrid w:val="0"/>
          <w:kern w:val="22"/>
          <w:szCs w:val="22"/>
          <w:lang w:val="ru-RU"/>
        </w:rPr>
        <w:t>63</w:t>
      </w:r>
      <w:r w:rsidR="0016652A" w:rsidRPr="00DB5643">
        <w:rPr>
          <w:snapToGrid w:val="0"/>
          <w:kern w:val="22"/>
          <w:szCs w:val="22"/>
          <w:lang w:val="en-US"/>
        </w:rPr>
        <w:t> </w:t>
      </w:r>
      <w:r w:rsidR="009421A2" w:rsidRPr="00DB5643">
        <w:rPr>
          <w:snapToGrid w:val="0"/>
          <w:kern w:val="22"/>
          <w:szCs w:val="22"/>
          <w:lang w:val="ru-RU"/>
        </w:rPr>
        <w:t>%</w:t>
      </w:r>
      <w:r w:rsidR="004569FB" w:rsidRPr="00DB5643">
        <w:rPr>
          <w:snapToGrid w:val="0"/>
          <w:kern w:val="22"/>
          <w:szCs w:val="22"/>
          <w:lang w:val="ru-RU"/>
        </w:rPr>
        <w:t xml:space="preserve"> </w:t>
      </w:r>
      <w:r w:rsidR="0016652A" w:rsidRPr="00DB5643">
        <w:rPr>
          <w:snapToGrid w:val="0"/>
          <w:kern w:val="22"/>
          <w:szCs w:val="22"/>
          <w:lang w:val="ru-RU"/>
        </w:rPr>
        <w:t>Сторон</w:t>
      </w:r>
      <w:r w:rsidR="004569FB" w:rsidRPr="00DB5643">
        <w:rPr>
          <w:snapToGrid w:val="0"/>
          <w:kern w:val="22"/>
          <w:szCs w:val="22"/>
          <w:lang w:val="ru-RU"/>
        </w:rPr>
        <w:t xml:space="preserve"> </w:t>
      </w:r>
      <w:r w:rsidR="005000D0" w:rsidRPr="00DB5643">
        <w:rPr>
          <w:snapToGrid w:val="0"/>
          <w:kern w:val="22"/>
          <w:szCs w:val="22"/>
          <w:lang w:val="ru-RU"/>
        </w:rPr>
        <w:t xml:space="preserve">(17 </w:t>
      </w:r>
      <w:r w:rsidR="0016652A" w:rsidRPr="00DB5643">
        <w:rPr>
          <w:snapToGrid w:val="0"/>
          <w:kern w:val="22"/>
          <w:szCs w:val="22"/>
          <w:lang w:val="ru-RU"/>
        </w:rPr>
        <w:t>Сторон</w:t>
      </w:r>
      <w:r w:rsidR="005000D0" w:rsidRPr="00DB5643">
        <w:rPr>
          <w:snapToGrid w:val="0"/>
          <w:kern w:val="22"/>
          <w:szCs w:val="22"/>
          <w:lang w:val="ru-RU"/>
        </w:rPr>
        <w:t xml:space="preserve">) </w:t>
      </w:r>
      <w:r w:rsidR="0016652A" w:rsidRPr="00DB5643">
        <w:rPr>
          <w:snapToGrid w:val="0"/>
          <w:kern w:val="22"/>
          <w:szCs w:val="22"/>
          <w:lang w:val="ru-RU"/>
        </w:rPr>
        <w:t>сообщили в своих четвертых национальных докладах</w:t>
      </w:r>
      <w:r w:rsidR="007636B8" w:rsidRPr="00DB5643">
        <w:rPr>
          <w:snapToGrid w:val="0"/>
          <w:kern w:val="22"/>
          <w:szCs w:val="22"/>
          <w:lang w:val="ru-RU"/>
        </w:rPr>
        <w:t>, что они считают количество использованных ими опубликованных материалов, прошедших коллегиальную оценку, достаточным</w:t>
      </w:r>
      <w:r w:rsidR="004569FB" w:rsidRPr="00DB5643">
        <w:rPr>
          <w:snapToGrid w:val="0"/>
          <w:kern w:val="22"/>
          <w:szCs w:val="22"/>
          <w:lang w:val="ru-RU"/>
        </w:rPr>
        <w:t xml:space="preserve">.  </w:t>
      </w:r>
    </w:p>
    <w:p w14:paraId="3A50369E" w14:textId="33F7C2CB" w:rsidR="004569FB" w:rsidRPr="00DB5643" w:rsidRDefault="007636B8"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1.7.2</w:t>
      </w:r>
      <w:r w:rsidR="004569FB" w:rsidRPr="00DB5643">
        <w:rPr>
          <w:snapToGrid w:val="0"/>
          <w:kern w:val="22"/>
          <w:szCs w:val="22"/>
          <w:lang w:val="ru-RU"/>
        </w:rPr>
        <w:t xml:space="preserve"> (</w:t>
      </w:r>
      <w:r w:rsidRPr="00DB5643">
        <w:rPr>
          <w:snapToGrid w:val="0"/>
          <w:kern w:val="22"/>
          <w:szCs w:val="22"/>
          <w:lang w:val="ru-RU"/>
        </w:rPr>
        <w:t>число Сторон, сообщающих о своих подходах к учету социально-экономических соображений</w:t>
      </w:r>
      <w:r w:rsidR="004569FB" w:rsidRPr="00DB5643">
        <w:rPr>
          <w:snapToGrid w:val="0"/>
          <w:kern w:val="22"/>
          <w:szCs w:val="22"/>
          <w:lang w:val="ru-RU"/>
        </w:rPr>
        <w:t>) 52</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(37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w:t>
      </w:r>
      <w:r w:rsidRPr="00DB5643">
        <w:rPr>
          <w:rFonts w:eastAsia="Times New Roman" w:cs="Times New Roman"/>
          <w:color w:val="000000"/>
          <w:kern w:val="22"/>
          <w:szCs w:val="22"/>
          <w:lang w:val="ru-RU" w:eastAsia="ru-RU"/>
        </w:rPr>
        <w:t xml:space="preserve"> </w:t>
      </w:r>
      <w:r w:rsidRPr="00DB5643">
        <w:rPr>
          <w:snapToGrid w:val="0"/>
          <w:kern w:val="22"/>
          <w:szCs w:val="22"/>
          <w:lang w:val="ru-RU"/>
        </w:rPr>
        <w:t xml:space="preserve">о наличии специальных подходов или требований, упрощающих процедуру учета социально-экономических соображений в процессе принятия решений о </w:t>
      </w:r>
      <w:proofErr w:type="spellStart"/>
      <w:r w:rsidRPr="00DB5643">
        <w:rPr>
          <w:snapToGrid w:val="0"/>
          <w:kern w:val="22"/>
          <w:szCs w:val="22"/>
          <w:lang w:val="ru-RU"/>
        </w:rPr>
        <w:t>ЖИО</w:t>
      </w:r>
      <w:proofErr w:type="spellEnd"/>
      <w:r w:rsidR="004569FB" w:rsidRPr="00DB5643">
        <w:rPr>
          <w:snapToGrid w:val="0"/>
          <w:kern w:val="22"/>
          <w:szCs w:val="22"/>
          <w:lang w:val="ru-RU"/>
        </w:rPr>
        <w:t xml:space="preserve">, </w:t>
      </w:r>
      <w:r w:rsidRPr="00DB5643">
        <w:rPr>
          <w:snapToGrid w:val="0"/>
          <w:kern w:val="22"/>
          <w:szCs w:val="22"/>
          <w:lang w:val="ru-RU"/>
        </w:rPr>
        <w:t>что соответствует увеличению на</w:t>
      </w:r>
      <w:r w:rsidR="004569FB" w:rsidRPr="00DB5643">
        <w:rPr>
          <w:snapToGrid w:val="0"/>
          <w:kern w:val="22"/>
          <w:szCs w:val="22"/>
          <w:lang w:val="ru-RU"/>
        </w:rPr>
        <w:t xml:space="preserve"> 10</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Pr="00DB5643">
        <w:rPr>
          <w:snapToGrid w:val="0"/>
          <w:kern w:val="22"/>
          <w:szCs w:val="22"/>
          <w:lang w:val="ru-RU"/>
        </w:rPr>
        <w:t>Н</w:t>
      </w:r>
      <w:r w:rsidR="0083375B" w:rsidRPr="00DB5643">
        <w:rPr>
          <w:snapToGrid w:val="0"/>
          <w:kern w:val="22"/>
          <w:szCs w:val="22"/>
          <w:lang w:val="ru-RU"/>
        </w:rPr>
        <w:t>а</w:t>
      </w:r>
      <w:r w:rsidRPr="00DB5643">
        <w:rPr>
          <w:snapToGrid w:val="0"/>
          <w:kern w:val="22"/>
          <w:szCs w:val="22"/>
          <w:lang w:val="ru-RU"/>
        </w:rPr>
        <w:t xml:space="preserve"> региональном уровне наблюдаются значительные колебания в </w:t>
      </w:r>
      <w:r w:rsidR="0083375B" w:rsidRPr="00DB5643">
        <w:rPr>
          <w:snapToGrid w:val="0"/>
          <w:kern w:val="22"/>
          <w:szCs w:val="22"/>
          <w:lang w:val="ru-RU"/>
        </w:rPr>
        <w:t xml:space="preserve">представленных </w:t>
      </w:r>
      <w:r w:rsidRPr="00DB5643">
        <w:rPr>
          <w:snapToGrid w:val="0"/>
          <w:kern w:val="22"/>
          <w:szCs w:val="22"/>
          <w:lang w:val="ru-RU"/>
        </w:rPr>
        <w:t>данных</w:t>
      </w:r>
      <w:r w:rsidR="004569FB" w:rsidRPr="00DB5643">
        <w:rPr>
          <w:snapToGrid w:val="0"/>
          <w:kern w:val="22"/>
          <w:szCs w:val="22"/>
          <w:lang w:val="ru-RU"/>
        </w:rPr>
        <w:t xml:space="preserve">, </w:t>
      </w:r>
      <w:r w:rsidRPr="00DB5643">
        <w:rPr>
          <w:snapToGrid w:val="0"/>
          <w:kern w:val="22"/>
          <w:szCs w:val="22"/>
          <w:lang w:val="ru-RU"/>
        </w:rPr>
        <w:t xml:space="preserve">как </w:t>
      </w:r>
      <w:r w:rsidR="0083375B" w:rsidRPr="00DB5643">
        <w:rPr>
          <w:snapToGrid w:val="0"/>
          <w:kern w:val="22"/>
          <w:szCs w:val="22"/>
          <w:lang w:val="ru-RU"/>
        </w:rPr>
        <w:t>в абсолютных числах, так и в изменениях по отношению к исходному уровню</w:t>
      </w:r>
      <w:r w:rsidR="004569FB" w:rsidRPr="00DB5643">
        <w:rPr>
          <w:snapToGrid w:val="0"/>
          <w:kern w:val="22"/>
          <w:szCs w:val="22"/>
          <w:lang w:val="ru-RU"/>
        </w:rPr>
        <w:t xml:space="preserve">: </w:t>
      </w:r>
      <w:r w:rsidR="0083375B" w:rsidRPr="00DB5643">
        <w:rPr>
          <w:snapToGrid w:val="0"/>
          <w:kern w:val="22"/>
          <w:szCs w:val="22"/>
          <w:lang w:val="ru-RU"/>
        </w:rPr>
        <w:t>Африка</w:t>
      </w:r>
      <w:r w:rsidR="004569FB" w:rsidRPr="00DB5643">
        <w:rPr>
          <w:snapToGrid w:val="0"/>
          <w:kern w:val="22"/>
          <w:szCs w:val="22"/>
          <w:lang w:val="ru-RU"/>
        </w:rPr>
        <w:t>: 63</w:t>
      </w:r>
      <w:r w:rsidR="0083375B" w:rsidRPr="00DB5643">
        <w:rPr>
          <w:snapToGrid w:val="0"/>
          <w:kern w:val="22"/>
          <w:szCs w:val="22"/>
          <w:lang w:val="ru-RU"/>
        </w:rPr>
        <w:t> </w:t>
      </w:r>
      <w:r w:rsidR="004569FB" w:rsidRPr="00DB5643">
        <w:rPr>
          <w:snapToGrid w:val="0"/>
          <w:kern w:val="22"/>
          <w:szCs w:val="22"/>
          <w:lang w:val="ru-RU"/>
        </w:rPr>
        <w:t>% (+3</w:t>
      </w:r>
      <w:r w:rsidR="009421A2" w:rsidRPr="00DB5643">
        <w:rPr>
          <w:snapToGrid w:val="0"/>
          <w:kern w:val="22"/>
          <w:szCs w:val="22"/>
          <w:lang w:val="ru-RU"/>
        </w:rPr>
        <w:t>2</w:t>
      </w:r>
      <w:r w:rsidR="0083375B" w:rsidRPr="00DB5643">
        <w:rPr>
          <w:snapToGrid w:val="0"/>
          <w:kern w:val="22"/>
          <w:szCs w:val="22"/>
          <w:lang w:val="ru-RU"/>
        </w:rPr>
        <w:t> </w:t>
      </w:r>
      <w:r w:rsidR="004569FB" w:rsidRPr="00DB5643">
        <w:rPr>
          <w:snapToGrid w:val="0"/>
          <w:kern w:val="22"/>
          <w:szCs w:val="22"/>
          <w:lang w:val="ru-RU"/>
        </w:rPr>
        <w:t xml:space="preserve">%); </w:t>
      </w:r>
      <w:r w:rsidR="0083375B" w:rsidRPr="00DB5643">
        <w:rPr>
          <w:snapToGrid w:val="0"/>
          <w:kern w:val="22"/>
          <w:szCs w:val="22"/>
          <w:lang w:val="ru-RU"/>
        </w:rPr>
        <w:t>Азиатско-Тихоокеанский регион</w:t>
      </w:r>
      <w:r w:rsidR="004569FB" w:rsidRPr="00DB5643">
        <w:rPr>
          <w:snapToGrid w:val="0"/>
          <w:kern w:val="22"/>
          <w:szCs w:val="22"/>
          <w:lang w:val="ru-RU"/>
        </w:rPr>
        <w:t>: 44</w:t>
      </w:r>
      <w:r w:rsidR="0083375B" w:rsidRPr="00DB5643">
        <w:rPr>
          <w:snapToGrid w:val="0"/>
          <w:kern w:val="22"/>
          <w:szCs w:val="22"/>
          <w:lang w:val="ru-RU"/>
        </w:rPr>
        <w:t> </w:t>
      </w:r>
      <w:r w:rsidR="004569FB" w:rsidRPr="00DB5643">
        <w:rPr>
          <w:snapToGrid w:val="0"/>
          <w:kern w:val="22"/>
          <w:szCs w:val="22"/>
          <w:lang w:val="ru-RU"/>
        </w:rPr>
        <w:t>% (+22</w:t>
      </w:r>
      <w:r w:rsidR="0083375B"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50</w:t>
      </w:r>
      <w:r w:rsidR="0083375B" w:rsidRPr="00DB5643">
        <w:rPr>
          <w:snapToGrid w:val="0"/>
          <w:kern w:val="22"/>
          <w:szCs w:val="22"/>
          <w:lang w:val="ru-RU"/>
        </w:rPr>
        <w:t> </w:t>
      </w:r>
      <w:r w:rsidR="004569FB" w:rsidRPr="00DB5643">
        <w:rPr>
          <w:snapToGrid w:val="0"/>
          <w:kern w:val="22"/>
          <w:szCs w:val="22"/>
          <w:lang w:val="ru-RU"/>
        </w:rPr>
        <w:t>% (</w:t>
      </w:r>
      <w:r w:rsidR="0083375B"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proofErr w:type="spellStart"/>
      <w:r w:rsidR="0083375B" w:rsidRPr="00DB5643">
        <w:rPr>
          <w:snapToGrid w:val="0"/>
          <w:kern w:val="22"/>
          <w:szCs w:val="22"/>
          <w:lang w:val="ru-RU"/>
        </w:rPr>
        <w:t>ГРУЛАК</w:t>
      </w:r>
      <w:proofErr w:type="spellEnd"/>
      <w:r w:rsidR="004569FB" w:rsidRPr="00DB5643">
        <w:rPr>
          <w:snapToGrid w:val="0"/>
          <w:kern w:val="22"/>
          <w:szCs w:val="22"/>
          <w:lang w:val="ru-RU"/>
        </w:rPr>
        <w:t>: 8</w:t>
      </w:r>
      <w:r w:rsidR="0083375B" w:rsidRPr="00DB5643">
        <w:rPr>
          <w:snapToGrid w:val="0"/>
          <w:kern w:val="22"/>
          <w:szCs w:val="22"/>
          <w:lang w:val="ru-RU"/>
        </w:rPr>
        <w:t> </w:t>
      </w:r>
      <w:r w:rsidR="004569FB" w:rsidRPr="00DB5643">
        <w:rPr>
          <w:snapToGrid w:val="0"/>
          <w:kern w:val="22"/>
          <w:szCs w:val="22"/>
          <w:lang w:val="ru-RU"/>
        </w:rPr>
        <w:t>% (-15</w:t>
      </w:r>
      <w:r w:rsidR="0083375B" w:rsidRPr="00DB5643">
        <w:rPr>
          <w:snapToGrid w:val="0"/>
          <w:kern w:val="22"/>
          <w:szCs w:val="22"/>
          <w:lang w:val="ru-RU"/>
        </w:rPr>
        <w:t> </w:t>
      </w:r>
      <w:r w:rsidR="004569FB" w:rsidRPr="00DB5643">
        <w:rPr>
          <w:snapToGrid w:val="0"/>
          <w:kern w:val="22"/>
          <w:szCs w:val="22"/>
          <w:lang w:val="ru-RU"/>
        </w:rPr>
        <w:t>%);</w:t>
      </w:r>
      <w:r w:rsidR="00C8400A" w:rsidRPr="00DB5643">
        <w:rPr>
          <w:snapToGrid w:val="0"/>
          <w:kern w:val="22"/>
          <w:szCs w:val="22"/>
          <w:lang w:val="ru-RU"/>
        </w:rPr>
        <w:t xml:space="preserve"> </w:t>
      </w:r>
      <w:proofErr w:type="spellStart"/>
      <w:r w:rsidR="00C8400A" w:rsidRPr="00DB5643">
        <w:rPr>
          <w:snapToGrid w:val="0"/>
          <w:kern w:val="22"/>
          <w:szCs w:val="22"/>
        </w:rPr>
        <w:t>WEOG</w:t>
      </w:r>
      <w:proofErr w:type="spellEnd"/>
      <w:r w:rsidR="00C8400A" w:rsidRPr="00DB5643">
        <w:rPr>
          <w:snapToGrid w:val="0"/>
          <w:kern w:val="22"/>
          <w:szCs w:val="22"/>
          <w:lang w:val="ru-RU"/>
        </w:rPr>
        <w:t>: 81</w:t>
      </w:r>
      <w:r w:rsidR="0083375B" w:rsidRPr="00DB5643">
        <w:rPr>
          <w:snapToGrid w:val="0"/>
          <w:kern w:val="22"/>
          <w:szCs w:val="22"/>
          <w:lang w:val="ru-RU"/>
        </w:rPr>
        <w:t> </w:t>
      </w:r>
      <w:r w:rsidR="00C8400A" w:rsidRPr="00DB5643">
        <w:rPr>
          <w:snapToGrid w:val="0"/>
          <w:kern w:val="22"/>
          <w:szCs w:val="22"/>
          <w:lang w:val="ru-RU"/>
        </w:rPr>
        <w:t>% (+6</w:t>
      </w:r>
      <w:r w:rsidR="0083375B" w:rsidRPr="00DB5643">
        <w:rPr>
          <w:snapToGrid w:val="0"/>
          <w:kern w:val="22"/>
          <w:szCs w:val="22"/>
          <w:lang w:val="ru-RU"/>
        </w:rPr>
        <w:t> %</w:t>
      </w:r>
      <w:r w:rsidR="00C8400A" w:rsidRPr="00DB5643">
        <w:rPr>
          <w:snapToGrid w:val="0"/>
          <w:kern w:val="22"/>
          <w:szCs w:val="22"/>
          <w:lang w:val="ru-RU"/>
        </w:rPr>
        <w:t>)</w:t>
      </w:r>
      <w:r w:rsidR="004569FB" w:rsidRPr="00DB5643">
        <w:rPr>
          <w:snapToGrid w:val="0"/>
          <w:kern w:val="22"/>
          <w:szCs w:val="22"/>
          <w:lang w:val="ru-RU"/>
        </w:rPr>
        <w:t>.</w:t>
      </w:r>
    </w:p>
    <w:p w14:paraId="2BF8C0F5" w14:textId="2F782889" w:rsidR="004569FB" w:rsidRPr="00DB5643" w:rsidRDefault="0083375B"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1.7.3</w:t>
      </w:r>
      <w:r w:rsidR="004569FB" w:rsidRPr="00DB5643">
        <w:rPr>
          <w:snapToGrid w:val="0"/>
          <w:kern w:val="22"/>
          <w:szCs w:val="22"/>
          <w:lang w:val="ru-RU"/>
        </w:rPr>
        <w:t xml:space="preserve"> (</w:t>
      </w:r>
      <w:r w:rsidRPr="00DB5643">
        <w:rPr>
          <w:snapToGrid w:val="0"/>
          <w:kern w:val="22"/>
          <w:szCs w:val="22"/>
          <w:lang w:val="ru-RU"/>
        </w:rPr>
        <w:t>число Сторон, сообщающих о своем опыте учета социально-экономических соображений в процессе принятия решений об импорте живых измененных организмов)</w:t>
      </w:r>
      <w:r w:rsidR="004569FB" w:rsidRPr="00DB5643">
        <w:rPr>
          <w:snapToGrid w:val="0"/>
          <w:kern w:val="22"/>
          <w:szCs w:val="22"/>
          <w:lang w:val="ru-RU"/>
        </w:rPr>
        <w:t xml:space="preserve"> </w:t>
      </w:r>
      <w:r w:rsidR="005A204D" w:rsidRPr="00DB5643">
        <w:rPr>
          <w:snapToGrid w:val="0"/>
          <w:kern w:val="22"/>
          <w:szCs w:val="22"/>
          <w:lang w:val="ru-RU"/>
        </w:rPr>
        <w:t xml:space="preserve">60 </w:t>
      </w:r>
      <w:r w:rsidRPr="00DB5643">
        <w:rPr>
          <w:snapToGrid w:val="0"/>
          <w:kern w:val="22"/>
          <w:szCs w:val="22"/>
          <w:lang w:val="ru-RU"/>
        </w:rPr>
        <w:t>Сторон</w:t>
      </w:r>
      <w:r w:rsidR="005A204D" w:rsidRPr="00DB5643">
        <w:rPr>
          <w:snapToGrid w:val="0"/>
          <w:kern w:val="22"/>
          <w:szCs w:val="22"/>
          <w:lang w:val="ru-RU"/>
        </w:rPr>
        <w:t xml:space="preserve"> (65</w:t>
      </w:r>
      <w:r w:rsidRPr="00DB5643">
        <w:rPr>
          <w:snapToGrid w:val="0"/>
          <w:kern w:val="22"/>
          <w:szCs w:val="22"/>
          <w:lang w:val="ru-RU"/>
        </w:rPr>
        <w:t> </w:t>
      </w:r>
      <w:r w:rsidR="005A204D" w:rsidRPr="00DB5643">
        <w:rPr>
          <w:snapToGrid w:val="0"/>
          <w:kern w:val="22"/>
          <w:szCs w:val="22"/>
          <w:lang w:val="ru-RU"/>
        </w:rPr>
        <w:t xml:space="preserve">%) </w:t>
      </w:r>
      <w:r w:rsidRPr="00DB5643">
        <w:rPr>
          <w:snapToGrid w:val="0"/>
          <w:kern w:val="22"/>
          <w:szCs w:val="22"/>
          <w:lang w:val="ru-RU"/>
        </w:rPr>
        <w:t xml:space="preserve">сообщили </w:t>
      </w:r>
      <w:r w:rsidR="001A6661" w:rsidRPr="00DB5643">
        <w:rPr>
          <w:snapToGrid w:val="0"/>
          <w:kern w:val="22"/>
          <w:szCs w:val="22"/>
          <w:lang w:val="ru-RU"/>
        </w:rPr>
        <w:t xml:space="preserve">о принятии решений о </w:t>
      </w:r>
      <w:proofErr w:type="spellStart"/>
      <w:r w:rsidR="001A6661" w:rsidRPr="00DB5643">
        <w:rPr>
          <w:snapToGrid w:val="0"/>
          <w:kern w:val="22"/>
          <w:szCs w:val="22"/>
          <w:lang w:val="ru-RU"/>
        </w:rPr>
        <w:t>ЖИО</w:t>
      </w:r>
      <w:proofErr w:type="spellEnd"/>
      <w:r w:rsidR="004569FB" w:rsidRPr="00DB5643">
        <w:rPr>
          <w:snapToGrid w:val="0"/>
          <w:kern w:val="22"/>
          <w:szCs w:val="22"/>
          <w:lang w:val="ru-RU"/>
        </w:rPr>
        <w:t xml:space="preserve"> </w:t>
      </w:r>
      <w:r w:rsidR="001A6661" w:rsidRPr="00DB5643">
        <w:rPr>
          <w:snapToGrid w:val="0"/>
          <w:kern w:val="22"/>
          <w:szCs w:val="22"/>
          <w:lang w:val="ru-RU"/>
        </w:rPr>
        <w:t>в данном контексте в течение отчетного периода</w:t>
      </w:r>
      <w:r w:rsidR="00ED3F2F" w:rsidRPr="00DB5643">
        <w:rPr>
          <w:rStyle w:val="ac"/>
          <w:snapToGrid w:val="0"/>
          <w:kern w:val="22"/>
          <w:szCs w:val="22"/>
        </w:rPr>
        <w:footnoteReference w:id="34"/>
      </w:r>
      <w:r w:rsidR="001A6661" w:rsidRPr="00DB5643">
        <w:rPr>
          <w:snapToGrid w:val="0"/>
          <w:kern w:val="22"/>
          <w:szCs w:val="22"/>
          <w:lang w:val="ru-RU"/>
        </w:rPr>
        <w:t>.</w:t>
      </w:r>
      <w:r w:rsidR="005A204D" w:rsidRPr="00DB5643">
        <w:rPr>
          <w:snapToGrid w:val="0"/>
          <w:kern w:val="22"/>
          <w:szCs w:val="22"/>
          <w:lang w:val="ru-RU"/>
        </w:rPr>
        <w:t xml:space="preserve"> </w:t>
      </w:r>
      <w:r w:rsidR="001A6661" w:rsidRPr="00DB5643">
        <w:rPr>
          <w:snapToGrid w:val="0"/>
          <w:kern w:val="22"/>
          <w:szCs w:val="22"/>
          <w:lang w:val="ru-RU"/>
        </w:rPr>
        <w:t xml:space="preserve">Из этих </w:t>
      </w:r>
      <w:r w:rsidR="005A204D" w:rsidRPr="00DB5643">
        <w:rPr>
          <w:snapToGrid w:val="0"/>
          <w:kern w:val="22"/>
          <w:szCs w:val="22"/>
          <w:lang w:val="ru-RU"/>
        </w:rPr>
        <w:t xml:space="preserve">60 </w:t>
      </w:r>
      <w:r w:rsidR="001A6661" w:rsidRPr="00DB5643">
        <w:rPr>
          <w:snapToGrid w:val="0"/>
          <w:kern w:val="22"/>
          <w:szCs w:val="22"/>
          <w:lang w:val="ru-RU"/>
        </w:rPr>
        <w:t>Сторон</w:t>
      </w:r>
      <w:r w:rsidR="004569FB" w:rsidRPr="00DB5643">
        <w:rPr>
          <w:snapToGrid w:val="0"/>
          <w:kern w:val="22"/>
          <w:szCs w:val="22"/>
          <w:lang w:val="ru-RU"/>
        </w:rPr>
        <w:t xml:space="preserve"> 27</w:t>
      </w:r>
      <w:r w:rsidR="001A6661" w:rsidRPr="00DB5643">
        <w:rPr>
          <w:snapToGrid w:val="0"/>
          <w:kern w:val="22"/>
          <w:szCs w:val="22"/>
          <w:lang w:val="en-US"/>
        </w:rPr>
        <w:t> </w:t>
      </w:r>
      <w:r w:rsidR="004569FB" w:rsidRPr="00DB5643">
        <w:rPr>
          <w:snapToGrid w:val="0"/>
          <w:kern w:val="22"/>
          <w:szCs w:val="22"/>
          <w:lang w:val="ru-RU"/>
        </w:rPr>
        <w:t xml:space="preserve">% </w:t>
      </w:r>
      <w:r w:rsidR="001A6661" w:rsidRPr="00DB5643">
        <w:rPr>
          <w:snapToGrid w:val="0"/>
          <w:kern w:val="22"/>
          <w:szCs w:val="22"/>
          <w:lang w:val="ru-RU"/>
        </w:rPr>
        <w:t>сообщили</w:t>
      </w:r>
      <w:r w:rsidR="004569FB" w:rsidRPr="00DB5643">
        <w:rPr>
          <w:snapToGrid w:val="0"/>
          <w:kern w:val="22"/>
          <w:szCs w:val="22"/>
          <w:lang w:val="ru-RU"/>
        </w:rPr>
        <w:t xml:space="preserve"> </w:t>
      </w:r>
      <w:r w:rsidR="001A6661" w:rsidRPr="00DB5643">
        <w:rPr>
          <w:snapToGrid w:val="0"/>
          <w:kern w:val="22"/>
          <w:szCs w:val="22"/>
          <w:lang w:val="ru-RU"/>
        </w:rPr>
        <w:t xml:space="preserve">о том, что при принятии таких решений всегда учитывали социально-экономические соображения, связанные с воздействием </w:t>
      </w:r>
      <w:proofErr w:type="spellStart"/>
      <w:r w:rsidR="001A6661" w:rsidRPr="00DB5643">
        <w:rPr>
          <w:snapToGrid w:val="0"/>
          <w:kern w:val="22"/>
          <w:szCs w:val="22"/>
          <w:lang w:val="ru-RU"/>
        </w:rPr>
        <w:t>ЖИО</w:t>
      </w:r>
      <w:proofErr w:type="spellEnd"/>
      <w:r w:rsidR="004569FB" w:rsidRPr="00DB5643">
        <w:rPr>
          <w:snapToGrid w:val="0"/>
          <w:kern w:val="22"/>
          <w:szCs w:val="22"/>
          <w:lang w:val="ru-RU"/>
        </w:rPr>
        <w:t>; 38</w:t>
      </w:r>
      <w:r w:rsidR="001A6661" w:rsidRPr="00DB5643">
        <w:rPr>
          <w:snapToGrid w:val="0"/>
          <w:kern w:val="22"/>
          <w:szCs w:val="22"/>
          <w:lang w:val="ru-RU"/>
        </w:rPr>
        <w:t> </w:t>
      </w:r>
      <w:r w:rsidR="004569FB" w:rsidRPr="00DB5643">
        <w:rPr>
          <w:snapToGrid w:val="0"/>
          <w:kern w:val="22"/>
          <w:szCs w:val="22"/>
          <w:lang w:val="ru-RU"/>
        </w:rPr>
        <w:t xml:space="preserve">% </w:t>
      </w:r>
      <w:r w:rsidR="001A6661" w:rsidRPr="00DB5643">
        <w:rPr>
          <w:snapToGrid w:val="0"/>
          <w:kern w:val="22"/>
          <w:szCs w:val="22"/>
          <w:lang w:val="ru-RU"/>
        </w:rPr>
        <w:t xml:space="preserve">этих Сторон сообщили о таком учете лишь в некоторых случаях и </w:t>
      </w:r>
      <w:r w:rsidR="004569FB" w:rsidRPr="00DB5643">
        <w:rPr>
          <w:snapToGrid w:val="0"/>
          <w:kern w:val="22"/>
          <w:szCs w:val="22"/>
          <w:lang w:val="ru-RU"/>
        </w:rPr>
        <w:t>35</w:t>
      </w:r>
      <w:r w:rsidR="001A6661" w:rsidRPr="00DB5643">
        <w:rPr>
          <w:snapToGrid w:val="0"/>
          <w:kern w:val="22"/>
          <w:szCs w:val="22"/>
          <w:lang w:val="ru-RU"/>
        </w:rPr>
        <w:t> </w:t>
      </w:r>
      <w:r w:rsidR="004569FB" w:rsidRPr="00DB5643">
        <w:rPr>
          <w:snapToGrid w:val="0"/>
          <w:kern w:val="22"/>
          <w:szCs w:val="22"/>
          <w:lang w:val="ru-RU"/>
        </w:rPr>
        <w:t xml:space="preserve">% </w:t>
      </w:r>
      <w:r w:rsidR="001A6661" w:rsidRPr="00DB5643">
        <w:rPr>
          <w:snapToGrid w:val="0"/>
          <w:kern w:val="22"/>
          <w:szCs w:val="22"/>
          <w:lang w:val="ru-RU"/>
        </w:rPr>
        <w:t>сообщили, что не учитывали социально-экономические соображения</w:t>
      </w:r>
      <w:r w:rsidR="004569FB" w:rsidRPr="00DB5643">
        <w:rPr>
          <w:snapToGrid w:val="0"/>
          <w:kern w:val="22"/>
          <w:szCs w:val="22"/>
          <w:lang w:val="ru-RU"/>
        </w:rPr>
        <w:t xml:space="preserve">. </w:t>
      </w:r>
      <w:r w:rsidR="001A6661" w:rsidRPr="00DB5643">
        <w:rPr>
          <w:snapToGrid w:val="0"/>
          <w:kern w:val="22"/>
          <w:szCs w:val="22"/>
          <w:lang w:val="ru-RU"/>
        </w:rPr>
        <w:t>Из тех</w:t>
      </w:r>
      <w:r w:rsidR="004569FB" w:rsidRPr="00DB5643">
        <w:rPr>
          <w:snapToGrid w:val="0"/>
          <w:kern w:val="22"/>
          <w:szCs w:val="22"/>
          <w:lang w:val="ru-RU"/>
        </w:rPr>
        <w:t xml:space="preserve"> </w:t>
      </w:r>
      <w:r w:rsidR="00255FF3" w:rsidRPr="00DB5643">
        <w:rPr>
          <w:snapToGrid w:val="0"/>
          <w:kern w:val="22"/>
          <w:szCs w:val="22"/>
          <w:lang w:val="ru-RU"/>
        </w:rPr>
        <w:t xml:space="preserve">60 </w:t>
      </w:r>
      <w:r w:rsidR="001A6661" w:rsidRPr="00DB5643">
        <w:rPr>
          <w:snapToGrid w:val="0"/>
          <w:kern w:val="22"/>
          <w:szCs w:val="22"/>
          <w:lang w:val="ru-RU"/>
        </w:rPr>
        <w:t xml:space="preserve">Сторон, которые сообщили о принятии решений о </w:t>
      </w:r>
      <w:proofErr w:type="spellStart"/>
      <w:r w:rsidR="001A6661" w:rsidRPr="00DB5643">
        <w:rPr>
          <w:snapToGrid w:val="0"/>
          <w:kern w:val="22"/>
          <w:szCs w:val="22"/>
          <w:lang w:val="ru-RU"/>
        </w:rPr>
        <w:t>ЖИО</w:t>
      </w:r>
      <w:proofErr w:type="spellEnd"/>
      <w:r w:rsidR="001A6661" w:rsidRPr="00DB5643">
        <w:rPr>
          <w:snapToGrid w:val="0"/>
          <w:kern w:val="22"/>
          <w:szCs w:val="22"/>
          <w:lang w:val="ru-RU"/>
        </w:rPr>
        <w:t xml:space="preserve">, процентная доля Сторон, сообщивших о том, что они всегда или в некоторых случаях учитывали социально-экономические соображения при принятии решений о </w:t>
      </w:r>
      <w:proofErr w:type="spellStart"/>
      <w:r w:rsidR="001A6661" w:rsidRPr="00DB5643">
        <w:rPr>
          <w:snapToGrid w:val="0"/>
          <w:kern w:val="22"/>
          <w:szCs w:val="22"/>
          <w:lang w:val="ru-RU"/>
        </w:rPr>
        <w:t>ЖИО</w:t>
      </w:r>
      <w:proofErr w:type="spellEnd"/>
      <w:r w:rsidR="001A6661" w:rsidRPr="00DB5643">
        <w:rPr>
          <w:snapToGrid w:val="0"/>
          <w:kern w:val="22"/>
          <w:szCs w:val="22"/>
          <w:lang w:val="ru-RU"/>
        </w:rPr>
        <w:t xml:space="preserve">, увеличилась на </w:t>
      </w:r>
      <w:r w:rsidR="004569FB" w:rsidRPr="00DB5643">
        <w:rPr>
          <w:snapToGrid w:val="0"/>
          <w:kern w:val="22"/>
          <w:szCs w:val="22"/>
          <w:lang w:val="ru-RU"/>
        </w:rPr>
        <w:t>14</w:t>
      </w:r>
      <w:r w:rsidR="001A6661" w:rsidRPr="00DB5643">
        <w:rPr>
          <w:snapToGrid w:val="0"/>
          <w:kern w:val="22"/>
          <w:szCs w:val="22"/>
          <w:lang w:val="ru-RU"/>
        </w:rPr>
        <w:t> </w:t>
      </w:r>
      <w:r w:rsidR="004569FB" w:rsidRPr="00DB5643">
        <w:rPr>
          <w:snapToGrid w:val="0"/>
          <w:kern w:val="22"/>
          <w:szCs w:val="22"/>
          <w:lang w:val="ru-RU"/>
        </w:rPr>
        <w:t xml:space="preserve">%.  </w:t>
      </w:r>
    </w:p>
    <w:p w14:paraId="41D154D5" w14:textId="4E79C8E9" w:rsidR="004569FB" w:rsidRPr="00DB5643" w:rsidRDefault="00A815D8"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bCs/>
          <w:snapToGrid w:val="0"/>
          <w:kern w:val="22"/>
          <w:szCs w:val="22"/>
          <w:lang w:val="ru-RU"/>
        </w:rPr>
        <w:t xml:space="preserve">индикатора </w:t>
      </w:r>
      <w:r w:rsidR="004569FB" w:rsidRPr="00DB5643">
        <w:rPr>
          <w:b/>
          <w:bCs/>
          <w:snapToGrid w:val="0"/>
          <w:kern w:val="22"/>
          <w:szCs w:val="22"/>
          <w:lang w:val="ru-RU"/>
        </w:rPr>
        <w:t>1.7.4</w:t>
      </w:r>
      <w:r w:rsidR="004569FB" w:rsidRPr="00DB5643">
        <w:rPr>
          <w:snapToGrid w:val="0"/>
          <w:kern w:val="22"/>
          <w:szCs w:val="22"/>
          <w:lang w:val="ru-RU"/>
        </w:rPr>
        <w:t xml:space="preserve"> (</w:t>
      </w:r>
      <w:r w:rsidRPr="00DB5643">
        <w:rPr>
          <w:snapToGrid w:val="0"/>
          <w:kern w:val="22"/>
          <w:szCs w:val="22"/>
          <w:lang w:val="ru-RU"/>
        </w:rPr>
        <w:t>число Сторон, использующих руководящие указания относительно социально-экономических соображений</w:t>
      </w:r>
      <w:r w:rsidR="004569FB" w:rsidRPr="00DB5643">
        <w:rPr>
          <w:snapToGrid w:val="0"/>
          <w:kern w:val="22"/>
          <w:szCs w:val="22"/>
          <w:lang w:val="ru-RU"/>
        </w:rPr>
        <w:t>)</w:t>
      </w:r>
      <w:r w:rsidRPr="00DB5643">
        <w:rPr>
          <w:snapToGrid w:val="0"/>
          <w:kern w:val="22"/>
          <w:szCs w:val="22"/>
          <w:lang w:val="ru-RU"/>
        </w:rPr>
        <w:t xml:space="preserve"> отсутствует конкретная информация</w:t>
      </w:r>
      <w:r w:rsidR="004569FB" w:rsidRPr="00DB5643">
        <w:rPr>
          <w:snapToGrid w:val="0"/>
          <w:kern w:val="22"/>
          <w:szCs w:val="22"/>
          <w:lang w:val="ru-RU"/>
        </w:rPr>
        <w:t xml:space="preserve">. </w:t>
      </w:r>
      <w:r w:rsidRPr="00DB5643">
        <w:rPr>
          <w:snapToGrid w:val="0"/>
          <w:kern w:val="22"/>
          <w:szCs w:val="22"/>
          <w:lang w:val="ru-RU"/>
        </w:rPr>
        <w:t>В отсутствие конкретной информации</w:t>
      </w:r>
      <w:r w:rsidR="004569FB" w:rsidRPr="00DB5643">
        <w:rPr>
          <w:snapToGrid w:val="0"/>
          <w:kern w:val="22"/>
          <w:szCs w:val="22"/>
          <w:lang w:val="ru-RU"/>
        </w:rPr>
        <w:t xml:space="preserve"> </w:t>
      </w:r>
      <w:r w:rsidR="00861EC9" w:rsidRPr="00DB5643">
        <w:rPr>
          <w:snapToGrid w:val="0"/>
          <w:kern w:val="22"/>
          <w:szCs w:val="22"/>
          <w:lang w:val="ru-RU"/>
        </w:rPr>
        <w:t>об использовании</w:t>
      </w:r>
      <w:r w:rsidR="004569FB" w:rsidRPr="00DB5643">
        <w:rPr>
          <w:snapToGrid w:val="0"/>
          <w:kern w:val="22"/>
          <w:szCs w:val="22"/>
          <w:lang w:val="ru-RU"/>
        </w:rPr>
        <w:t xml:space="preserve"> </w:t>
      </w:r>
      <w:r w:rsidR="00861EC9" w:rsidRPr="00DB5643">
        <w:rPr>
          <w:snapToGrid w:val="0"/>
          <w:kern w:val="22"/>
          <w:szCs w:val="22"/>
          <w:lang w:val="ru-RU"/>
        </w:rPr>
        <w:t>руководящих указаний предоставл</w:t>
      </w:r>
      <w:r w:rsidR="009D4684">
        <w:rPr>
          <w:snapToGrid w:val="0"/>
          <w:kern w:val="22"/>
          <w:szCs w:val="22"/>
          <w:lang w:val="ru-RU"/>
        </w:rPr>
        <w:t>ена</w:t>
      </w:r>
      <w:r w:rsidR="00861EC9" w:rsidRPr="00DB5643">
        <w:rPr>
          <w:snapToGrid w:val="0"/>
          <w:kern w:val="22"/>
          <w:szCs w:val="22"/>
          <w:lang w:val="ru-RU"/>
        </w:rPr>
        <w:t xml:space="preserve"> некоторая информация о деятельности, осуществлявшейся со времени установления исходного уровня в отношении достижения оперативной цели</w:t>
      </w:r>
      <w:r w:rsidR="004569FB" w:rsidRPr="00DB5643">
        <w:rPr>
          <w:snapToGrid w:val="0"/>
          <w:kern w:val="22"/>
          <w:szCs w:val="22"/>
          <w:lang w:val="ru-RU"/>
        </w:rPr>
        <w:t xml:space="preserve"> 1.7 </w:t>
      </w:r>
      <w:r w:rsidR="00861EC9" w:rsidRPr="00DB5643">
        <w:rPr>
          <w:snapToGrid w:val="0"/>
          <w:kern w:val="22"/>
          <w:szCs w:val="22"/>
          <w:lang w:val="ru-RU"/>
        </w:rPr>
        <w:t>Стратегического плана, по разработке Сторонами руководящих указаний относительно социально-экономических соображений</w:t>
      </w:r>
      <w:r w:rsidR="00861EC9" w:rsidRPr="00DB5643">
        <w:rPr>
          <w:rFonts w:eastAsia="Times New Roman" w:cs="Times New Roman"/>
          <w:sz w:val="20"/>
          <w:lang w:val="ru-RU"/>
        </w:rPr>
        <w:t xml:space="preserve"> </w:t>
      </w:r>
      <w:r w:rsidR="00861EC9" w:rsidRPr="00DB5643">
        <w:rPr>
          <w:snapToGrid w:val="0"/>
          <w:kern w:val="22"/>
          <w:szCs w:val="22"/>
          <w:lang w:val="ru-RU"/>
        </w:rPr>
        <w:t>в отношении живых измененных организмов</w:t>
      </w:r>
      <w:r w:rsidR="004569FB" w:rsidRPr="00DB5643">
        <w:rPr>
          <w:snapToGrid w:val="0"/>
          <w:kern w:val="22"/>
          <w:szCs w:val="22"/>
          <w:lang w:val="ru-RU"/>
        </w:rPr>
        <w:t xml:space="preserve">. </w:t>
      </w:r>
    </w:p>
    <w:p w14:paraId="04F87AD8" w14:textId="5258BA38" w:rsidR="004569FB" w:rsidRPr="00DB5643" w:rsidRDefault="008F54A6"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Решением </w:t>
      </w:r>
      <w:r w:rsidRPr="00DB5643">
        <w:rPr>
          <w:snapToGrid w:val="0"/>
          <w:kern w:val="22"/>
          <w:szCs w:val="22"/>
        </w:rPr>
        <w:t>BS</w:t>
      </w:r>
      <w:r w:rsidRPr="00DB5643">
        <w:rPr>
          <w:snapToGrid w:val="0"/>
          <w:kern w:val="22"/>
          <w:szCs w:val="22"/>
          <w:lang w:val="ru-RU"/>
        </w:rPr>
        <w:t>-</w:t>
      </w:r>
      <w:r w:rsidRPr="00DB5643">
        <w:rPr>
          <w:snapToGrid w:val="0"/>
          <w:kern w:val="22"/>
          <w:szCs w:val="22"/>
        </w:rPr>
        <w:t>VI</w:t>
      </w:r>
      <w:r w:rsidRPr="00DB5643">
        <w:rPr>
          <w:snapToGrid w:val="0"/>
          <w:kern w:val="22"/>
          <w:szCs w:val="22"/>
          <w:lang w:val="ru-RU"/>
        </w:rPr>
        <w:t>/13 была учреждена Специальная группа технических экспертов</w:t>
      </w:r>
      <w:r w:rsidR="004569FB" w:rsidRPr="00DB5643">
        <w:rPr>
          <w:snapToGrid w:val="0"/>
          <w:kern w:val="22"/>
          <w:szCs w:val="22"/>
          <w:lang w:val="ru-RU"/>
        </w:rPr>
        <w:t xml:space="preserve"> (</w:t>
      </w:r>
      <w:proofErr w:type="spellStart"/>
      <w:r w:rsidRPr="00DB5643">
        <w:rPr>
          <w:snapToGrid w:val="0"/>
          <w:kern w:val="22"/>
          <w:szCs w:val="22"/>
          <w:lang w:val="ru-RU"/>
        </w:rPr>
        <w:t>СГТЭ</w:t>
      </w:r>
      <w:proofErr w:type="spellEnd"/>
      <w:r w:rsidR="004569FB" w:rsidRPr="00DB5643">
        <w:rPr>
          <w:snapToGrid w:val="0"/>
          <w:kern w:val="22"/>
          <w:szCs w:val="22"/>
          <w:lang w:val="ru-RU"/>
        </w:rPr>
        <w:t xml:space="preserve">) </w:t>
      </w:r>
      <w:r w:rsidRPr="00DB5643">
        <w:rPr>
          <w:snapToGrid w:val="0"/>
          <w:kern w:val="22"/>
          <w:szCs w:val="22"/>
          <w:lang w:val="ru-RU"/>
        </w:rPr>
        <w:t>по социально-экономическим соображениям</w:t>
      </w:r>
      <w:r w:rsidR="004569FB" w:rsidRPr="00DB5643">
        <w:rPr>
          <w:snapToGrid w:val="0"/>
          <w:kern w:val="22"/>
          <w:szCs w:val="22"/>
          <w:lang w:val="ru-RU"/>
        </w:rPr>
        <w:t xml:space="preserve"> </w:t>
      </w:r>
      <w:r w:rsidRPr="00DB5643">
        <w:rPr>
          <w:snapToGrid w:val="0"/>
          <w:kern w:val="22"/>
          <w:szCs w:val="22"/>
          <w:lang w:val="ru-RU"/>
        </w:rPr>
        <w:t xml:space="preserve">для </w:t>
      </w:r>
      <w:r w:rsidR="003B5877" w:rsidRPr="00DB5643">
        <w:rPr>
          <w:snapToGrid w:val="0"/>
          <w:kern w:val="22"/>
          <w:szCs w:val="22"/>
          <w:lang w:val="ru-RU"/>
        </w:rPr>
        <w:t>раз</w:t>
      </w:r>
      <w:r w:rsidRPr="00DB5643">
        <w:rPr>
          <w:snapToGrid w:val="0"/>
          <w:kern w:val="22"/>
          <w:szCs w:val="22"/>
          <w:lang w:val="ru-RU"/>
        </w:rPr>
        <w:t>работки концептуальной ясности в контексте пункта</w:t>
      </w:r>
      <w:r w:rsidR="004569FB" w:rsidRPr="00DB5643">
        <w:rPr>
          <w:snapToGrid w:val="0"/>
          <w:kern w:val="22"/>
          <w:szCs w:val="22"/>
          <w:lang w:val="ru-RU"/>
        </w:rPr>
        <w:t xml:space="preserve"> 1 </w:t>
      </w:r>
      <w:r w:rsidRPr="00DB5643">
        <w:rPr>
          <w:snapToGrid w:val="0"/>
          <w:kern w:val="22"/>
          <w:szCs w:val="22"/>
          <w:lang w:val="ru-RU"/>
        </w:rPr>
        <w:t>статьи</w:t>
      </w:r>
      <w:r w:rsidR="004569FB" w:rsidRPr="00DB5643">
        <w:rPr>
          <w:snapToGrid w:val="0"/>
          <w:kern w:val="22"/>
          <w:szCs w:val="22"/>
          <w:lang w:val="ru-RU"/>
        </w:rPr>
        <w:t xml:space="preserve"> 26. </w:t>
      </w:r>
      <w:r w:rsidRPr="00DB5643">
        <w:rPr>
          <w:snapToGrid w:val="0"/>
          <w:kern w:val="22"/>
          <w:szCs w:val="22"/>
          <w:lang w:val="ru-RU"/>
        </w:rPr>
        <w:t>Она провела свое первое совещание в Сеуле (Республика Корея) в феврале</w:t>
      </w:r>
      <w:r w:rsidR="004569FB" w:rsidRPr="00DB5643">
        <w:rPr>
          <w:snapToGrid w:val="0"/>
          <w:kern w:val="22"/>
          <w:szCs w:val="22"/>
          <w:lang w:val="ru-RU"/>
        </w:rPr>
        <w:t xml:space="preserve"> 2014</w:t>
      </w:r>
      <w:r w:rsidRPr="00DB5643">
        <w:rPr>
          <w:snapToGrid w:val="0"/>
          <w:kern w:val="22"/>
          <w:szCs w:val="22"/>
          <w:lang w:val="ru-RU"/>
        </w:rPr>
        <w:t xml:space="preserve"> года и согласовала перечень элементов структуры для </w:t>
      </w:r>
      <w:r w:rsidR="003B5877" w:rsidRPr="00DB5643">
        <w:rPr>
          <w:snapToGrid w:val="0"/>
          <w:kern w:val="22"/>
          <w:szCs w:val="22"/>
          <w:lang w:val="ru-RU"/>
        </w:rPr>
        <w:t>раз</w:t>
      </w:r>
      <w:r w:rsidRPr="00DB5643">
        <w:rPr>
          <w:snapToGrid w:val="0"/>
          <w:kern w:val="22"/>
          <w:szCs w:val="22"/>
          <w:lang w:val="ru-RU"/>
        </w:rPr>
        <w:t>работки концептуальной ясности в отношении социально-экономических соображений</w:t>
      </w:r>
      <w:r w:rsidR="004569FB" w:rsidRPr="00DB5643">
        <w:rPr>
          <w:snapToGrid w:val="0"/>
          <w:kern w:val="22"/>
          <w:szCs w:val="22"/>
          <w:lang w:val="ru-RU"/>
        </w:rPr>
        <w:t xml:space="preserve">. </w:t>
      </w:r>
      <w:r w:rsidR="00F15598" w:rsidRPr="00DB5643">
        <w:rPr>
          <w:snapToGrid w:val="0"/>
          <w:kern w:val="22"/>
          <w:szCs w:val="22"/>
          <w:lang w:val="ru-RU"/>
        </w:rPr>
        <w:t>На своем седьмом совещании</w:t>
      </w:r>
      <w:r w:rsidR="009D4684">
        <w:rPr>
          <w:snapToGrid w:val="0"/>
          <w:kern w:val="22"/>
          <w:szCs w:val="22"/>
          <w:lang w:val="ru-RU"/>
        </w:rPr>
        <w:t xml:space="preserve"> </w:t>
      </w:r>
      <w:r w:rsidR="009D4684" w:rsidRPr="00DB5643">
        <w:rPr>
          <w:snapToGrid w:val="0"/>
          <w:kern w:val="22"/>
          <w:szCs w:val="22"/>
          <w:lang w:val="ru-RU"/>
        </w:rPr>
        <w:t>Конференция Сторон, выступающая в качестве Совещания Сторон Протокола,</w:t>
      </w:r>
      <w:r w:rsidR="004569FB" w:rsidRPr="00DB5643">
        <w:rPr>
          <w:snapToGrid w:val="0"/>
          <w:kern w:val="22"/>
          <w:szCs w:val="22"/>
          <w:lang w:val="ru-RU"/>
        </w:rPr>
        <w:t xml:space="preserve"> </w:t>
      </w:r>
      <w:r w:rsidR="00F15598" w:rsidRPr="00DB5643">
        <w:rPr>
          <w:snapToGrid w:val="0"/>
          <w:kern w:val="22"/>
          <w:szCs w:val="22"/>
          <w:lang w:val="ru-RU"/>
        </w:rPr>
        <w:t xml:space="preserve">продлила полномочия </w:t>
      </w:r>
      <w:proofErr w:type="spellStart"/>
      <w:r w:rsidR="00F15598" w:rsidRPr="00DB5643">
        <w:rPr>
          <w:snapToGrid w:val="0"/>
          <w:kern w:val="22"/>
          <w:szCs w:val="22"/>
          <w:lang w:val="ru-RU"/>
        </w:rPr>
        <w:t>СГТЭ</w:t>
      </w:r>
      <w:proofErr w:type="spellEnd"/>
      <w:r w:rsidR="00F15598" w:rsidRPr="00DB5643">
        <w:rPr>
          <w:snapToGrid w:val="0"/>
          <w:kern w:val="22"/>
          <w:szCs w:val="22"/>
          <w:lang w:val="ru-RU"/>
        </w:rPr>
        <w:t xml:space="preserve"> для работы над дальнейшим обеспечением концептуальной ясности и над разработкой конспекта </w:t>
      </w:r>
      <w:r w:rsidR="00F15598" w:rsidRPr="00DB5643">
        <w:rPr>
          <w:snapToGrid w:val="0"/>
          <w:kern w:val="22"/>
          <w:szCs w:val="22"/>
          <w:lang w:val="ru-RU"/>
        </w:rPr>
        <w:lastRenderedPageBreak/>
        <w:t>руководящих указаний в целях обеспечения прогресса</w:t>
      </w:r>
      <w:r w:rsidR="004569FB" w:rsidRPr="00DB5643">
        <w:rPr>
          <w:snapToGrid w:val="0"/>
          <w:kern w:val="22"/>
          <w:szCs w:val="22"/>
          <w:lang w:val="ru-RU"/>
        </w:rPr>
        <w:t xml:space="preserve"> </w:t>
      </w:r>
      <w:r w:rsidR="00F15598" w:rsidRPr="00DB5643">
        <w:rPr>
          <w:snapToGrid w:val="0"/>
          <w:kern w:val="22"/>
          <w:szCs w:val="22"/>
          <w:lang w:val="ru-RU"/>
        </w:rPr>
        <w:t>в реализации оперативной</w:t>
      </w:r>
      <w:r w:rsidR="004569FB" w:rsidRPr="00DB5643">
        <w:rPr>
          <w:snapToGrid w:val="0"/>
          <w:kern w:val="22"/>
          <w:szCs w:val="22"/>
          <w:lang w:val="ru-RU"/>
        </w:rPr>
        <w:t xml:space="preserve"> </w:t>
      </w:r>
      <w:r w:rsidR="00F15598" w:rsidRPr="00DB5643">
        <w:rPr>
          <w:snapToGrid w:val="0"/>
          <w:kern w:val="22"/>
          <w:szCs w:val="22"/>
          <w:lang w:val="ru-RU"/>
        </w:rPr>
        <w:t>цели</w:t>
      </w:r>
      <w:r w:rsidR="004569FB" w:rsidRPr="00DB5643">
        <w:rPr>
          <w:snapToGrid w:val="0"/>
          <w:kern w:val="22"/>
          <w:szCs w:val="22"/>
          <w:lang w:val="ru-RU"/>
        </w:rPr>
        <w:t xml:space="preserve"> 1.7 </w:t>
      </w:r>
      <w:r w:rsidR="00F15598" w:rsidRPr="00DB5643">
        <w:rPr>
          <w:snapToGrid w:val="0"/>
          <w:kern w:val="22"/>
          <w:szCs w:val="22"/>
          <w:lang w:val="ru-RU"/>
        </w:rPr>
        <w:t>Стратегического плана и ее итогов</w:t>
      </w:r>
      <w:r w:rsidR="004569FB" w:rsidRPr="00DB5643">
        <w:rPr>
          <w:snapToGrid w:val="0"/>
          <w:kern w:val="22"/>
          <w:szCs w:val="22"/>
          <w:lang w:val="ru-RU"/>
        </w:rPr>
        <w:t xml:space="preserve">. </w:t>
      </w:r>
      <w:proofErr w:type="spellStart"/>
      <w:r w:rsidR="00F15598" w:rsidRPr="00DB5643">
        <w:rPr>
          <w:snapToGrid w:val="0"/>
          <w:kern w:val="22"/>
          <w:szCs w:val="22"/>
          <w:lang w:val="ru-RU"/>
        </w:rPr>
        <w:t>СГТЭ</w:t>
      </w:r>
      <w:proofErr w:type="spellEnd"/>
      <w:r w:rsidR="00F15598" w:rsidRPr="00DB5643">
        <w:rPr>
          <w:snapToGrid w:val="0"/>
          <w:kern w:val="22"/>
          <w:szCs w:val="22"/>
          <w:lang w:val="ru-RU"/>
        </w:rPr>
        <w:t xml:space="preserve"> продолжила свою работу в режиме онлайн и согласовала пересмотренную Структуру для</w:t>
      </w:r>
      <w:r w:rsidR="003B5877" w:rsidRPr="00DB5643">
        <w:rPr>
          <w:snapToGrid w:val="0"/>
          <w:kern w:val="22"/>
          <w:szCs w:val="22"/>
          <w:lang w:val="ru-RU"/>
        </w:rPr>
        <w:t xml:space="preserve"> разр</w:t>
      </w:r>
      <w:r w:rsidR="00F15598" w:rsidRPr="00DB5643">
        <w:rPr>
          <w:snapToGrid w:val="0"/>
          <w:kern w:val="22"/>
          <w:szCs w:val="22"/>
          <w:lang w:val="ru-RU"/>
        </w:rPr>
        <w:t>аботки концептуальной ясности, которая была рассмотрена Конференцией Сторон, выступающ</w:t>
      </w:r>
      <w:r w:rsidR="003B5877" w:rsidRPr="00DB5643">
        <w:rPr>
          <w:snapToGrid w:val="0"/>
          <w:kern w:val="22"/>
          <w:szCs w:val="22"/>
          <w:lang w:val="ru-RU"/>
        </w:rPr>
        <w:t>ей</w:t>
      </w:r>
      <w:r w:rsidR="00F15598" w:rsidRPr="00DB5643">
        <w:rPr>
          <w:snapToGrid w:val="0"/>
          <w:kern w:val="22"/>
          <w:szCs w:val="22"/>
          <w:lang w:val="ru-RU"/>
        </w:rPr>
        <w:t xml:space="preserve"> в качестве Совещания Сторон Протокола,</w:t>
      </w:r>
      <w:r w:rsidR="003B5877" w:rsidRPr="00DB5643">
        <w:rPr>
          <w:snapToGrid w:val="0"/>
          <w:kern w:val="22"/>
          <w:szCs w:val="22"/>
          <w:lang w:val="ru-RU"/>
        </w:rPr>
        <w:t xml:space="preserve"> на ее восьмом совещании</w:t>
      </w:r>
      <w:r w:rsidR="004569FB" w:rsidRPr="00DB5643">
        <w:rPr>
          <w:snapToGrid w:val="0"/>
          <w:kern w:val="22"/>
          <w:szCs w:val="22"/>
          <w:lang w:val="ru-RU"/>
        </w:rPr>
        <w:t xml:space="preserve">. </w:t>
      </w:r>
      <w:r w:rsidR="003B5877" w:rsidRPr="00DB5643">
        <w:rPr>
          <w:snapToGrid w:val="0"/>
          <w:kern w:val="22"/>
          <w:szCs w:val="22"/>
          <w:lang w:val="ru-RU"/>
        </w:rPr>
        <w:t>Совещание Сторон</w:t>
      </w:r>
      <w:r w:rsidR="004569FB" w:rsidRPr="00DB5643">
        <w:rPr>
          <w:snapToGrid w:val="0"/>
          <w:kern w:val="22"/>
          <w:szCs w:val="22"/>
          <w:lang w:val="ru-RU"/>
        </w:rPr>
        <w:t xml:space="preserve"> </w:t>
      </w:r>
      <w:r w:rsidR="003B5877" w:rsidRPr="00DB5643">
        <w:rPr>
          <w:snapToGrid w:val="0"/>
          <w:kern w:val="22"/>
          <w:szCs w:val="22"/>
          <w:lang w:val="ru-RU"/>
        </w:rPr>
        <w:t>посредством решения</w:t>
      </w:r>
      <w:r w:rsidR="004569FB" w:rsidRPr="00DB5643">
        <w:rPr>
          <w:snapToGrid w:val="0"/>
          <w:kern w:val="22"/>
          <w:szCs w:val="22"/>
          <w:lang w:val="ru-RU"/>
        </w:rPr>
        <w:t xml:space="preserve"> </w:t>
      </w:r>
      <w:proofErr w:type="spellStart"/>
      <w:r w:rsidR="004569FB" w:rsidRPr="00DB5643">
        <w:rPr>
          <w:snapToGrid w:val="0"/>
          <w:kern w:val="22"/>
          <w:szCs w:val="22"/>
        </w:rPr>
        <w:t>CP</w:t>
      </w:r>
      <w:proofErr w:type="spellEnd"/>
      <w:r w:rsidR="004569FB" w:rsidRPr="00DB5643">
        <w:rPr>
          <w:snapToGrid w:val="0"/>
          <w:kern w:val="22"/>
          <w:szCs w:val="22"/>
          <w:lang w:val="ru-RU"/>
        </w:rPr>
        <w:t>-</w:t>
      </w:r>
      <w:r w:rsidR="004569FB" w:rsidRPr="00DB5643">
        <w:rPr>
          <w:snapToGrid w:val="0"/>
          <w:kern w:val="22"/>
          <w:szCs w:val="22"/>
        </w:rPr>
        <w:t>VIII</w:t>
      </w:r>
      <w:r w:rsidR="004569FB" w:rsidRPr="00DB5643">
        <w:rPr>
          <w:snapToGrid w:val="0"/>
          <w:kern w:val="22"/>
          <w:szCs w:val="22"/>
          <w:lang w:val="ru-RU"/>
        </w:rPr>
        <w:t>/13</w:t>
      </w:r>
      <w:r w:rsidR="003B5877" w:rsidRPr="00DB5643">
        <w:rPr>
          <w:snapToGrid w:val="0"/>
          <w:kern w:val="22"/>
          <w:szCs w:val="22"/>
          <w:lang w:val="ru-RU"/>
        </w:rPr>
        <w:t xml:space="preserve"> продлило полномочия </w:t>
      </w:r>
      <w:proofErr w:type="spellStart"/>
      <w:r w:rsidR="003B5877" w:rsidRPr="00DB5643">
        <w:rPr>
          <w:snapToGrid w:val="0"/>
          <w:kern w:val="22"/>
          <w:szCs w:val="22"/>
          <w:lang w:val="ru-RU"/>
        </w:rPr>
        <w:t>СГТЭ</w:t>
      </w:r>
      <w:proofErr w:type="spellEnd"/>
      <w:r w:rsidR="004569FB" w:rsidRPr="00DB5643">
        <w:rPr>
          <w:snapToGrid w:val="0"/>
          <w:kern w:val="22"/>
          <w:szCs w:val="22"/>
          <w:lang w:val="ru-RU"/>
        </w:rPr>
        <w:t>,</w:t>
      </w:r>
      <w:r w:rsidR="003B5877" w:rsidRPr="00DB5643">
        <w:rPr>
          <w:snapToGrid w:val="0"/>
          <w:kern w:val="22"/>
          <w:szCs w:val="22"/>
          <w:lang w:val="ru-RU"/>
        </w:rPr>
        <w:t xml:space="preserve"> чтобы позволить ей провести очное совещание для разработки руководящих указаний, предусмотренных в итогах по оперативной цели</w:t>
      </w:r>
      <w:r w:rsidR="004569FB" w:rsidRPr="00DB5643">
        <w:rPr>
          <w:snapToGrid w:val="0"/>
          <w:kern w:val="22"/>
          <w:szCs w:val="22"/>
          <w:lang w:val="ru-RU"/>
        </w:rPr>
        <w:t xml:space="preserve"> 1.7 </w:t>
      </w:r>
      <w:r w:rsidR="003B5877" w:rsidRPr="00DB5643">
        <w:rPr>
          <w:snapToGrid w:val="0"/>
          <w:kern w:val="22"/>
          <w:szCs w:val="22"/>
          <w:lang w:val="ru-RU"/>
        </w:rPr>
        <w:t>Стратегического плана</w:t>
      </w:r>
      <w:r w:rsidR="004569FB" w:rsidRPr="00DB5643">
        <w:rPr>
          <w:snapToGrid w:val="0"/>
          <w:kern w:val="22"/>
          <w:szCs w:val="22"/>
          <w:lang w:val="ru-RU"/>
        </w:rPr>
        <w:t xml:space="preserve">. </w:t>
      </w:r>
      <w:proofErr w:type="spellStart"/>
      <w:r w:rsidR="003B5877" w:rsidRPr="00DB5643">
        <w:rPr>
          <w:snapToGrid w:val="0"/>
          <w:kern w:val="22"/>
          <w:szCs w:val="22"/>
          <w:lang w:val="ru-RU"/>
        </w:rPr>
        <w:t>СГТЭ</w:t>
      </w:r>
      <w:proofErr w:type="spellEnd"/>
      <w:r w:rsidR="003B5877" w:rsidRPr="00DB5643">
        <w:rPr>
          <w:snapToGrid w:val="0"/>
          <w:kern w:val="22"/>
          <w:szCs w:val="22"/>
          <w:lang w:val="ru-RU"/>
        </w:rPr>
        <w:t xml:space="preserve"> провела совещание в Любляне</w:t>
      </w:r>
      <w:r w:rsidR="004569FB" w:rsidRPr="00DB5643">
        <w:rPr>
          <w:snapToGrid w:val="0"/>
          <w:kern w:val="22"/>
          <w:szCs w:val="22"/>
          <w:lang w:val="ru-RU"/>
        </w:rPr>
        <w:t xml:space="preserve"> </w:t>
      </w:r>
      <w:r w:rsidR="003B5877" w:rsidRPr="00DB5643">
        <w:rPr>
          <w:snapToGrid w:val="0"/>
          <w:kern w:val="22"/>
          <w:szCs w:val="22"/>
          <w:lang w:val="ru-RU"/>
        </w:rPr>
        <w:t xml:space="preserve">в октябре </w:t>
      </w:r>
      <w:r w:rsidR="004569FB" w:rsidRPr="00DB5643">
        <w:rPr>
          <w:snapToGrid w:val="0"/>
          <w:kern w:val="22"/>
          <w:szCs w:val="22"/>
          <w:lang w:val="ru-RU"/>
        </w:rPr>
        <w:t>2017</w:t>
      </w:r>
      <w:r w:rsidR="003B5877" w:rsidRPr="00DB5643">
        <w:rPr>
          <w:snapToGrid w:val="0"/>
          <w:kern w:val="22"/>
          <w:szCs w:val="22"/>
          <w:lang w:val="ru-RU"/>
        </w:rPr>
        <w:t xml:space="preserve"> года</w:t>
      </w:r>
      <w:r w:rsidR="004569FB" w:rsidRPr="00DB5643">
        <w:rPr>
          <w:snapToGrid w:val="0"/>
          <w:kern w:val="22"/>
          <w:szCs w:val="22"/>
          <w:lang w:val="ru-RU"/>
        </w:rPr>
        <w:t xml:space="preserve">. </w:t>
      </w:r>
      <w:r w:rsidR="00291972" w:rsidRPr="00DB5643">
        <w:rPr>
          <w:snapToGrid w:val="0"/>
          <w:kern w:val="22"/>
          <w:szCs w:val="22"/>
          <w:lang w:val="ru-RU"/>
        </w:rPr>
        <w:t>Она разработала проект «Руководящих указаний по оценке социально-экономических соображений в контексте статьи</w:t>
      </w:r>
      <w:r w:rsidR="004569FB" w:rsidRPr="00DB5643">
        <w:rPr>
          <w:snapToGrid w:val="0"/>
          <w:kern w:val="22"/>
          <w:szCs w:val="22"/>
          <w:lang w:val="ru-RU"/>
        </w:rPr>
        <w:t xml:space="preserve"> 26 </w:t>
      </w:r>
      <w:proofErr w:type="spellStart"/>
      <w:r w:rsidR="00291972" w:rsidRPr="00DB5643">
        <w:rPr>
          <w:snapToGrid w:val="0"/>
          <w:kern w:val="22"/>
          <w:szCs w:val="22"/>
          <w:lang w:val="ru-RU"/>
        </w:rPr>
        <w:t>Картахенского</w:t>
      </w:r>
      <w:proofErr w:type="spellEnd"/>
      <w:r w:rsidR="00291972" w:rsidRPr="00DB5643">
        <w:rPr>
          <w:snapToGrid w:val="0"/>
          <w:kern w:val="22"/>
          <w:szCs w:val="22"/>
          <w:lang w:val="ru-RU"/>
        </w:rPr>
        <w:t xml:space="preserve"> протокола по биобезопасности»</w:t>
      </w:r>
      <w:r w:rsidR="004569FB" w:rsidRPr="00DB5643">
        <w:rPr>
          <w:snapToGrid w:val="0"/>
          <w:kern w:val="22"/>
          <w:szCs w:val="22"/>
          <w:lang w:val="ru-RU"/>
        </w:rPr>
        <w:t xml:space="preserve">. </w:t>
      </w:r>
      <w:r w:rsidR="00291972" w:rsidRPr="00DB5643">
        <w:rPr>
          <w:snapToGrid w:val="0"/>
          <w:kern w:val="22"/>
          <w:szCs w:val="22"/>
          <w:lang w:val="ru-RU"/>
        </w:rPr>
        <w:t xml:space="preserve">Руководящие указания </w:t>
      </w:r>
      <w:r w:rsidR="007C1187" w:rsidRPr="00DB5643">
        <w:rPr>
          <w:snapToGrid w:val="0"/>
          <w:kern w:val="22"/>
          <w:szCs w:val="22"/>
          <w:lang w:val="ru-RU"/>
        </w:rPr>
        <w:t>содержат рабочее определение</w:t>
      </w:r>
      <w:r w:rsidR="004569FB" w:rsidRPr="00DB5643">
        <w:rPr>
          <w:snapToGrid w:val="0"/>
          <w:kern w:val="22"/>
          <w:szCs w:val="22"/>
          <w:lang w:val="ru-RU"/>
        </w:rPr>
        <w:t>,</w:t>
      </w:r>
      <w:r w:rsidR="007C1187" w:rsidRPr="00DB5643">
        <w:rPr>
          <w:snapToGrid w:val="0"/>
          <w:kern w:val="22"/>
          <w:szCs w:val="22"/>
          <w:lang w:val="ru-RU"/>
        </w:rPr>
        <w:t xml:space="preserve"> перечисляют принципы и излагают поэтапный подход для общего процесса оценки, посредством которого будут применяться установленные принципы</w:t>
      </w:r>
      <w:r w:rsidR="004569FB" w:rsidRPr="00DB5643">
        <w:rPr>
          <w:snapToGrid w:val="0"/>
          <w:kern w:val="22"/>
          <w:szCs w:val="22"/>
          <w:lang w:val="ru-RU"/>
        </w:rPr>
        <w:t>.</w:t>
      </w:r>
      <w:r w:rsidR="007C1187" w:rsidRPr="00DB5643">
        <w:rPr>
          <w:snapToGrid w:val="0"/>
          <w:kern w:val="22"/>
          <w:szCs w:val="22"/>
          <w:lang w:val="ru-RU"/>
        </w:rPr>
        <w:t xml:space="preserve"> Конференция Сторон, выступающая в качестве Совещания Сторон Протокола, приняла Руководящие указания к сведению</w:t>
      </w:r>
      <w:r w:rsidR="004569FB" w:rsidRPr="00DB5643">
        <w:rPr>
          <w:snapToGrid w:val="0"/>
          <w:kern w:val="22"/>
          <w:szCs w:val="22"/>
          <w:lang w:val="ru-RU"/>
        </w:rPr>
        <w:t xml:space="preserve"> </w:t>
      </w:r>
      <w:r w:rsidR="007C1187" w:rsidRPr="00DB5643">
        <w:rPr>
          <w:snapToGrid w:val="0"/>
          <w:kern w:val="22"/>
          <w:szCs w:val="22"/>
          <w:lang w:val="ru-RU"/>
        </w:rPr>
        <w:t xml:space="preserve">в решении </w:t>
      </w:r>
      <w:proofErr w:type="spellStart"/>
      <w:r w:rsidR="00BF01F9" w:rsidRPr="00DB5643">
        <w:rPr>
          <w:snapToGrid w:val="0"/>
          <w:kern w:val="22"/>
          <w:szCs w:val="22"/>
        </w:rPr>
        <w:t>CP</w:t>
      </w:r>
      <w:proofErr w:type="spellEnd"/>
      <w:r w:rsidR="00BF01F9" w:rsidRPr="00DB5643">
        <w:rPr>
          <w:snapToGrid w:val="0"/>
          <w:kern w:val="22"/>
          <w:szCs w:val="22"/>
          <w:lang w:val="ru-RU"/>
        </w:rPr>
        <w:t>-9/14</w:t>
      </w:r>
      <w:r w:rsidR="00A85D9B" w:rsidRPr="00DB5643">
        <w:rPr>
          <w:snapToGrid w:val="0"/>
          <w:kern w:val="22"/>
          <w:szCs w:val="22"/>
          <w:lang w:val="ru-RU"/>
        </w:rPr>
        <w:t xml:space="preserve">. </w:t>
      </w:r>
      <w:r w:rsidR="007C1187" w:rsidRPr="00DB5643">
        <w:rPr>
          <w:snapToGrid w:val="0"/>
          <w:kern w:val="22"/>
          <w:szCs w:val="22"/>
          <w:lang w:val="ru-RU"/>
        </w:rPr>
        <w:t>Работа</w:t>
      </w:r>
      <w:r w:rsidR="00BF01F9" w:rsidRPr="00DB5643">
        <w:rPr>
          <w:snapToGrid w:val="0"/>
          <w:kern w:val="22"/>
          <w:szCs w:val="22"/>
          <w:lang w:val="ru-RU"/>
        </w:rPr>
        <w:t xml:space="preserve"> </w:t>
      </w:r>
      <w:r w:rsidR="007C1187" w:rsidRPr="00DB5643">
        <w:rPr>
          <w:snapToGrid w:val="0"/>
          <w:kern w:val="22"/>
          <w:szCs w:val="22"/>
          <w:lang w:val="ru-RU"/>
        </w:rPr>
        <w:t>по дополнению</w:t>
      </w:r>
      <w:r w:rsidR="004569FB" w:rsidRPr="00DB5643">
        <w:rPr>
          <w:snapToGrid w:val="0"/>
          <w:kern w:val="22"/>
          <w:szCs w:val="22"/>
          <w:lang w:val="ru-RU"/>
        </w:rPr>
        <w:t xml:space="preserve"> </w:t>
      </w:r>
      <w:r w:rsidR="007C1187" w:rsidRPr="00DB5643">
        <w:rPr>
          <w:snapToGrid w:val="0"/>
          <w:kern w:val="22"/>
          <w:szCs w:val="22"/>
          <w:lang w:val="ru-RU"/>
        </w:rPr>
        <w:t>Руководящих указаний на основе предварительного опыта их использования, а также примеров метод</w:t>
      </w:r>
      <w:r w:rsidR="0036637D" w:rsidRPr="00DB5643">
        <w:rPr>
          <w:snapToGrid w:val="0"/>
          <w:kern w:val="22"/>
          <w:szCs w:val="22"/>
          <w:lang w:val="ru-RU"/>
        </w:rPr>
        <w:t>ологий</w:t>
      </w:r>
      <w:r w:rsidR="007C1187" w:rsidRPr="00DB5643">
        <w:rPr>
          <w:snapToGrid w:val="0"/>
          <w:kern w:val="22"/>
          <w:szCs w:val="22"/>
          <w:lang w:val="ru-RU"/>
        </w:rPr>
        <w:t xml:space="preserve"> и применения социально-экономических соображений продолжилась в межсессионный период </w:t>
      </w:r>
      <w:r w:rsidR="00726A3A" w:rsidRPr="00DB5643">
        <w:rPr>
          <w:snapToGrid w:val="0"/>
          <w:kern w:val="22"/>
          <w:szCs w:val="22"/>
          <w:lang w:val="ru-RU"/>
        </w:rPr>
        <w:t xml:space="preserve">2019-2020 </w:t>
      </w:r>
      <w:r w:rsidR="007C1187" w:rsidRPr="00DB5643">
        <w:rPr>
          <w:snapToGrid w:val="0"/>
          <w:kern w:val="22"/>
          <w:szCs w:val="22"/>
          <w:lang w:val="ru-RU"/>
        </w:rPr>
        <w:t>гг</w:t>
      </w:r>
      <w:r w:rsidR="004569FB" w:rsidRPr="00DB5643">
        <w:rPr>
          <w:snapToGrid w:val="0"/>
          <w:kern w:val="22"/>
          <w:szCs w:val="22"/>
          <w:lang w:val="ru-RU"/>
        </w:rPr>
        <w:t>.</w:t>
      </w:r>
    </w:p>
    <w:p w14:paraId="0AE3E538" w14:textId="1FC56216" w:rsidR="004569FB" w:rsidRPr="00DB5643" w:rsidRDefault="00491F34"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Письменные материалы, представленные в четвертых национальных докладах</w:t>
      </w:r>
      <w:r w:rsidR="004569FB" w:rsidRPr="00DB5643">
        <w:rPr>
          <w:snapToGrid w:val="0"/>
          <w:kern w:val="22"/>
          <w:szCs w:val="22"/>
          <w:lang w:val="ru-RU"/>
        </w:rPr>
        <w:t xml:space="preserve">, </w:t>
      </w:r>
      <w:r w:rsidRPr="00DB5643">
        <w:rPr>
          <w:snapToGrid w:val="0"/>
          <w:kern w:val="22"/>
          <w:szCs w:val="22"/>
          <w:lang w:val="ru-RU"/>
        </w:rPr>
        <w:t>показали, что некоторые Стороны учитывают социально-экономические соображения, но в различной степени</w:t>
      </w:r>
      <w:r w:rsidR="004569FB" w:rsidRPr="00DB5643">
        <w:rPr>
          <w:snapToGrid w:val="0"/>
          <w:kern w:val="22"/>
          <w:szCs w:val="22"/>
          <w:lang w:val="ru-RU"/>
        </w:rPr>
        <w:t xml:space="preserve">. </w:t>
      </w:r>
      <w:r w:rsidRPr="00DB5643">
        <w:rPr>
          <w:snapToGrid w:val="0"/>
          <w:kern w:val="22"/>
          <w:szCs w:val="22"/>
          <w:lang w:val="ru-RU"/>
        </w:rPr>
        <w:t>Некоторые Стороны</w:t>
      </w:r>
      <w:r w:rsidR="004569FB" w:rsidRPr="00DB5643">
        <w:rPr>
          <w:snapToGrid w:val="0"/>
          <w:kern w:val="22"/>
          <w:szCs w:val="22"/>
          <w:lang w:val="ru-RU"/>
        </w:rPr>
        <w:t xml:space="preserve"> </w:t>
      </w:r>
      <w:r w:rsidRPr="00DB5643">
        <w:rPr>
          <w:snapToGrid w:val="0"/>
          <w:kern w:val="22"/>
          <w:szCs w:val="22"/>
          <w:lang w:val="ru-RU"/>
        </w:rPr>
        <w:t>сообщили, что их внутреннее законодательство в отношении</w:t>
      </w:r>
      <w:r w:rsidR="004569FB" w:rsidRPr="00DB5643">
        <w:rPr>
          <w:snapToGrid w:val="0"/>
          <w:kern w:val="22"/>
          <w:szCs w:val="22"/>
          <w:lang w:val="ru-RU"/>
        </w:rPr>
        <w:t xml:space="preserve"> </w:t>
      </w:r>
      <w:proofErr w:type="spellStart"/>
      <w:r w:rsidRPr="00DB5643">
        <w:rPr>
          <w:snapToGrid w:val="0"/>
          <w:kern w:val="22"/>
          <w:szCs w:val="22"/>
          <w:lang w:val="ru-RU"/>
        </w:rPr>
        <w:t>ЖИО</w:t>
      </w:r>
      <w:proofErr w:type="spellEnd"/>
      <w:r w:rsidRPr="00DB5643">
        <w:rPr>
          <w:snapToGrid w:val="0"/>
          <w:kern w:val="22"/>
          <w:szCs w:val="22"/>
          <w:lang w:val="ru-RU"/>
        </w:rPr>
        <w:t xml:space="preserve"> требует, чтобы социально-экономические соображения в полной мере учитывались в процессе принятия решений, и предоставили дополнительные разъяснения, включая, в некоторых случаях, текст соответствующих законов, описание процесса принятия решений</w:t>
      </w:r>
      <w:r w:rsidR="004569FB" w:rsidRPr="00DB5643">
        <w:rPr>
          <w:snapToGrid w:val="0"/>
          <w:kern w:val="22"/>
          <w:szCs w:val="22"/>
          <w:lang w:val="ru-RU"/>
        </w:rPr>
        <w:t xml:space="preserve"> </w:t>
      </w:r>
      <w:r w:rsidRPr="00DB5643">
        <w:rPr>
          <w:snapToGrid w:val="0"/>
          <w:kern w:val="22"/>
          <w:szCs w:val="22"/>
          <w:lang w:val="ru-RU"/>
        </w:rPr>
        <w:t>или внутренний контекст, связанный с социально-экономическими соображениями</w:t>
      </w:r>
      <w:r w:rsidR="004569FB" w:rsidRPr="00DB5643">
        <w:rPr>
          <w:snapToGrid w:val="0"/>
          <w:kern w:val="22"/>
          <w:szCs w:val="22"/>
          <w:lang w:val="ru-RU"/>
        </w:rPr>
        <w:t xml:space="preserve">. </w:t>
      </w:r>
      <w:r w:rsidRPr="00DB5643">
        <w:rPr>
          <w:snapToGrid w:val="0"/>
          <w:kern w:val="22"/>
          <w:szCs w:val="22"/>
          <w:lang w:val="ru-RU"/>
        </w:rPr>
        <w:t xml:space="preserve">Другие Стороны сообщили, что социально-экономические соображения </w:t>
      </w:r>
      <w:r w:rsidR="00535BDA" w:rsidRPr="00DB5643">
        <w:rPr>
          <w:snapToGrid w:val="0"/>
          <w:kern w:val="22"/>
          <w:szCs w:val="22"/>
          <w:lang w:val="ru-RU"/>
        </w:rPr>
        <w:t>учитываются только для</w:t>
      </w:r>
      <w:r w:rsidR="004569FB" w:rsidRPr="00DB5643">
        <w:rPr>
          <w:snapToGrid w:val="0"/>
          <w:kern w:val="22"/>
          <w:szCs w:val="22"/>
          <w:lang w:val="ru-RU"/>
        </w:rPr>
        <w:t xml:space="preserve"> </w:t>
      </w:r>
      <w:r w:rsidR="00535BDA" w:rsidRPr="00DB5643">
        <w:rPr>
          <w:snapToGrid w:val="0"/>
          <w:kern w:val="22"/>
          <w:szCs w:val="22"/>
          <w:lang w:val="ru-RU"/>
        </w:rPr>
        <w:t>полевых испытаний или для коммерческого высвобождения</w:t>
      </w:r>
      <w:r w:rsidR="004569FB" w:rsidRPr="00DB5643">
        <w:rPr>
          <w:snapToGrid w:val="0"/>
          <w:kern w:val="22"/>
          <w:szCs w:val="22"/>
          <w:lang w:val="ru-RU"/>
        </w:rPr>
        <w:t xml:space="preserve">. </w:t>
      </w:r>
    </w:p>
    <w:p w14:paraId="3A791AE3" w14:textId="6A06E4F6" w:rsidR="004569FB" w:rsidRPr="00DB5643" w:rsidRDefault="00093594"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Что касается трудностей</w:t>
      </w:r>
      <w:r w:rsidR="004569FB" w:rsidRPr="00DB5643">
        <w:rPr>
          <w:snapToGrid w:val="0"/>
          <w:kern w:val="22"/>
          <w:szCs w:val="22"/>
          <w:lang w:val="ru-RU"/>
        </w:rPr>
        <w:t xml:space="preserve">, </w:t>
      </w:r>
      <w:r w:rsidRPr="00DB5643">
        <w:rPr>
          <w:snapToGrid w:val="0"/>
          <w:kern w:val="22"/>
          <w:szCs w:val="22"/>
          <w:lang w:val="ru-RU"/>
        </w:rPr>
        <w:t>Стороны отметили в своих письменных материалах недостаток данных в качестве большой проблемы</w:t>
      </w:r>
      <w:r w:rsidR="002F3718">
        <w:rPr>
          <w:snapToGrid w:val="0"/>
          <w:kern w:val="22"/>
          <w:szCs w:val="22"/>
          <w:lang w:val="ru-RU"/>
        </w:rPr>
        <w:t xml:space="preserve"> и</w:t>
      </w:r>
      <w:r w:rsidRPr="00DB5643">
        <w:rPr>
          <w:snapToGrid w:val="0"/>
          <w:kern w:val="22"/>
          <w:szCs w:val="22"/>
          <w:lang w:val="ru-RU"/>
        </w:rPr>
        <w:t xml:space="preserve"> подчеркнули потребность в проведении местных исследований и дополнительных изысканий с целью создания методологических рамок для определения социально-экономических индикаторов и правил для сбора данных</w:t>
      </w:r>
      <w:r w:rsidR="004569FB" w:rsidRPr="00DB5643">
        <w:rPr>
          <w:snapToGrid w:val="0"/>
          <w:kern w:val="22"/>
          <w:szCs w:val="22"/>
          <w:lang w:val="ru-RU"/>
        </w:rPr>
        <w:t xml:space="preserve">. </w:t>
      </w:r>
      <w:r w:rsidRPr="00DB5643">
        <w:rPr>
          <w:snapToGrid w:val="0"/>
          <w:kern w:val="22"/>
          <w:szCs w:val="22"/>
          <w:lang w:val="ru-RU"/>
        </w:rPr>
        <w:t xml:space="preserve">Некоторые Стороны сообщили, что они в настоящее время проводят исследования </w:t>
      </w:r>
      <w:r w:rsidR="00C5233E" w:rsidRPr="00DB5643">
        <w:rPr>
          <w:snapToGrid w:val="0"/>
          <w:kern w:val="22"/>
          <w:szCs w:val="22"/>
          <w:lang w:val="ru-RU"/>
        </w:rPr>
        <w:t xml:space="preserve">по включению социально-экономических соображений в политику и процесс принятия решений в отношении </w:t>
      </w:r>
      <w:proofErr w:type="spellStart"/>
      <w:r w:rsidR="00C5233E" w:rsidRPr="00DB5643">
        <w:rPr>
          <w:snapToGrid w:val="0"/>
          <w:kern w:val="22"/>
          <w:szCs w:val="22"/>
          <w:lang w:val="ru-RU"/>
        </w:rPr>
        <w:t>ЖИО</w:t>
      </w:r>
      <w:proofErr w:type="spellEnd"/>
      <w:r w:rsidR="004569FB" w:rsidRPr="00DB5643">
        <w:rPr>
          <w:snapToGrid w:val="0"/>
          <w:kern w:val="22"/>
          <w:szCs w:val="22"/>
          <w:lang w:val="ru-RU"/>
        </w:rPr>
        <w:t xml:space="preserve">. </w:t>
      </w:r>
      <w:r w:rsidR="00C5233E" w:rsidRPr="00DB5643">
        <w:rPr>
          <w:snapToGrid w:val="0"/>
          <w:kern w:val="22"/>
          <w:szCs w:val="22"/>
          <w:lang w:val="ru-RU"/>
        </w:rPr>
        <w:t xml:space="preserve">Некоторые Стороны отметили, что они могли бы извлечь пользу из продолжающихся дискуссий в рамках </w:t>
      </w:r>
      <w:proofErr w:type="spellStart"/>
      <w:r w:rsidR="00C5233E" w:rsidRPr="00DB5643">
        <w:rPr>
          <w:snapToGrid w:val="0"/>
          <w:kern w:val="22"/>
          <w:szCs w:val="22"/>
          <w:lang w:val="ru-RU"/>
        </w:rPr>
        <w:t>Картахенского</w:t>
      </w:r>
      <w:proofErr w:type="spellEnd"/>
      <w:r w:rsidR="00C5233E" w:rsidRPr="00DB5643">
        <w:rPr>
          <w:snapToGrid w:val="0"/>
          <w:kern w:val="22"/>
          <w:szCs w:val="22"/>
          <w:lang w:val="ru-RU"/>
        </w:rPr>
        <w:t xml:space="preserve"> протокола, касающихся разработки руководящих указаний относительно социально-экономических соображений для обеспечения включения социально-экономических соображений в национальный процесс принятия решений</w:t>
      </w:r>
      <w:r w:rsidR="004569FB" w:rsidRPr="00DB5643">
        <w:rPr>
          <w:snapToGrid w:val="0"/>
          <w:kern w:val="22"/>
          <w:szCs w:val="22"/>
          <w:lang w:val="ru-RU"/>
        </w:rPr>
        <w:t>.</w:t>
      </w:r>
      <w:r w:rsidR="00C5233E" w:rsidRPr="00DB5643">
        <w:rPr>
          <w:snapToGrid w:val="0"/>
          <w:kern w:val="22"/>
          <w:szCs w:val="22"/>
          <w:lang w:val="ru-RU"/>
        </w:rPr>
        <w:t xml:space="preserve"> Другие Стороны отметили, что они уже находятся в процессе изменения их механизмов в целях включения </w:t>
      </w:r>
      <w:r w:rsidR="002F3718">
        <w:rPr>
          <w:snapToGrid w:val="0"/>
          <w:kern w:val="22"/>
          <w:szCs w:val="22"/>
          <w:lang w:val="ru-RU"/>
        </w:rPr>
        <w:t>р</w:t>
      </w:r>
      <w:r w:rsidR="00C5233E" w:rsidRPr="00DB5643">
        <w:rPr>
          <w:snapToGrid w:val="0"/>
          <w:kern w:val="22"/>
          <w:szCs w:val="22"/>
          <w:lang w:val="ru-RU"/>
        </w:rPr>
        <w:t>уководящих указаний, разработанных на данный момент</w:t>
      </w:r>
      <w:r w:rsidR="004569FB" w:rsidRPr="00DB5643">
        <w:rPr>
          <w:snapToGrid w:val="0"/>
          <w:kern w:val="22"/>
          <w:szCs w:val="22"/>
          <w:lang w:val="ru-RU"/>
        </w:rPr>
        <w:t xml:space="preserve">. </w:t>
      </w:r>
      <w:r w:rsidR="00CC6FC6" w:rsidRPr="00DB5643">
        <w:rPr>
          <w:snapToGrid w:val="0"/>
          <w:kern w:val="22"/>
          <w:szCs w:val="22"/>
          <w:lang w:val="ru-RU"/>
        </w:rPr>
        <w:t>Одна Сторона также отметила, что потребуется помощь для создания необходимого потенциала для проведения социально-экономических оценок</w:t>
      </w:r>
      <w:r w:rsidR="004569FB" w:rsidRPr="00DB5643">
        <w:rPr>
          <w:snapToGrid w:val="0"/>
          <w:kern w:val="22"/>
          <w:szCs w:val="22"/>
          <w:lang w:val="ru-RU"/>
        </w:rPr>
        <w:t>.</w:t>
      </w:r>
    </w:p>
    <w:p w14:paraId="1EE3ECBB" w14:textId="0E99D6BF" w:rsidR="004C0BFD" w:rsidRPr="00DB5643" w:rsidRDefault="00CC6FC6"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Наконец</w:t>
      </w:r>
      <w:r w:rsidR="004569FB" w:rsidRPr="00DB5643">
        <w:rPr>
          <w:snapToGrid w:val="0"/>
          <w:kern w:val="22"/>
          <w:szCs w:val="22"/>
          <w:lang w:val="ru-RU"/>
        </w:rPr>
        <w:t xml:space="preserve">, </w:t>
      </w:r>
      <w:r w:rsidRPr="00DB5643">
        <w:rPr>
          <w:snapToGrid w:val="0"/>
          <w:kern w:val="22"/>
          <w:szCs w:val="22"/>
          <w:lang w:val="ru-RU"/>
        </w:rPr>
        <w:t>несколько Сторон отметили в своих ответах в развернутой форме, что разрабатывается законодательство, касающееся социально-экономических соображений</w:t>
      </w:r>
      <w:r w:rsidR="004569FB" w:rsidRPr="00DB5643">
        <w:rPr>
          <w:snapToGrid w:val="0"/>
          <w:kern w:val="22"/>
          <w:szCs w:val="22"/>
          <w:lang w:val="ru-RU"/>
        </w:rPr>
        <w:t xml:space="preserve">. </w:t>
      </w:r>
    </w:p>
    <w:p w14:paraId="23E819B6" w14:textId="4FF13794" w:rsidR="004569FB" w:rsidRPr="00DB5643" w:rsidRDefault="00CC6FC6" w:rsidP="00A67453">
      <w:pPr>
        <w:keepNext/>
        <w:numPr>
          <w:ilvl w:val="0"/>
          <w:numId w:val="17"/>
        </w:numPr>
        <w:suppressLineNumbers/>
        <w:tabs>
          <w:tab w:val="clear" w:pos="2070"/>
          <w:tab w:val="left" w:pos="1560"/>
        </w:tabs>
        <w:suppressAutoHyphens/>
        <w:spacing w:before="120" w:after="120"/>
        <w:ind w:left="1418" w:right="431" w:hanging="567"/>
        <w:jc w:val="left"/>
        <w:outlineLvl w:val="1"/>
        <w:rPr>
          <w:b/>
          <w:iCs/>
          <w:snapToGrid w:val="0"/>
          <w:kern w:val="22"/>
          <w:szCs w:val="22"/>
          <w:lang w:val="ru-RU"/>
        </w:rPr>
      </w:pPr>
      <w:bookmarkStart w:id="22" w:name="_Hlk30609306"/>
      <w:r w:rsidRPr="00DB5643">
        <w:rPr>
          <w:b/>
          <w:iCs/>
          <w:snapToGrid w:val="0"/>
          <w:kern w:val="22"/>
          <w:szCs w:val="22"/>
          <w:lang w:val="ru-RU"/>
        </w:rPr>
        <w:t xml:space="preserve">Транзит, использование в замкнутых системах, непреднамеренные трансграничные перемещения и чрезвычайные меры </w:t>
      </w:r>
      <w:r w:rsidR="002F3718">
        <w:rPr>
          <w:b/>
          <w:iCs/>
          <w:snapToGrid w:val="0"/>
          <w:kern w:val="22"/>
          <w:szCs w:val="22"/>
          <w:lang w:val="ru-RU"/>
        </w:rPr>
        <w:t xml:space="preserve">в отношении </w:t>
      </w:r>
      <w:proofErr w:type="spellStart"/>
      <w:r w:rsidR="002F3718">
        <w:rPr>
          <w:b/>
          <w:iCs/>
          <w:snapToGrid w:val="0"/>
          <w:kern w:val="22"/>
          <w:szCs w:val="22"/>
          <w:lang w:val="ru-RU"/>
        </w:rPr>
        <w:t>ЖИО</w:t>
      </w:r>
      <w:proofErr w:type="spellEnd"/>
      <w:r w:rsidR="002F3718">
        <w:rPr>
          <w:b/>
          <w:iCs/>
          <w:snapToGrid w:val="0"/>
          <w:kern w:val="22"/>
          <w:szCs w:val="22"/>
          <w:lang w:val="ru-RU"/>
        </w:rPr>
        <w:t xml:space="preserve"> </w:t>
      </w:r>
      <w:r w:rsidRPr="00DB5643">
        <w:rPr>
          <w:b/>
          <w:iCs/>
          <w:snapToGrid w:val="0"/>
          <w:kern w:val="22"/>
          <w:szCs w:val="22"/>
          <w:lang w:val="ru-RU"/>
        </w:rPr>
        <w:t xml:space="preserve">(оперативная цель </w:t>
      </w:r>
      <w:r w:rsidR="004569FB" w:rsidRPr="00DB5643">
        <w:rPr>
          <w:b/>
          <w:iCs/>
          <w:snapToGrid w:val="0"/>
          <w:kern w:val="22"/>
          <w:szCs w:val="22"/>
          <w:lang w:val="ru-RU"/>
        </w:rPr>
        <w:t>1.8)</w:t>
      </w:r>
    </w:p>
    <w:bookmarkEnd w:id="22"/>
    <w:p w14:paraId="1A2F33AF" w14:textId="02CF335C" w:rsidR="004569FB" w:rsidRPr="00DB5643" w:rsidRDefault="004B74E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Оперативная цель</w:t>
      </w:r>
      <w:r w:rsidR="004569FB" w:rsidRPr="00DB5643">
        <w:rPr>
          <w:snapToGrid w:val="0"/>
          <w:kern w:val="22"/>
          <w:szCs w:val="22"/>
          <w:lang w:val="ru-RU"/>
        </w:rPr>
        <w:t xml:space="preserve"> 1.8 </w:t>
      </w:r>
      <w:r w:rsidRPr="00DB5643">
        <w:rPr>
          <w:snapToGrid w:val="0"/>
          <w:kern w:val="22"/>
          <w:szCs w:val="22"/>
          <w:lang w:val="ru-RU"/>
        </w:rPr>
        <w:t>предусматривает разработку инструментов и руково</w:t>
      </w:r>
      <w:proofErr w:type="gramStart"/>
      <w:r w:rsidRPr="00DB5643">
        <w:rPr>
          <w:snapToGrid w:val="0"/>
          <w:kern w:val="22"/>
          <w:szCs w:val="22"/>
          <w:lang w:val="ru-RU"/>
        </w:rPr>
        <w:t>дств в п</w:t>
      </w:r>
      <w:proofErr w:type="gramEnd"/>
      <w:r w:rsidRPr="00DB5643">
        <w:rPr>
          <w:snapToGrid w:val="0"/>
          <w:kern w:val="22"/>
          <w:szCs w:val="22"/>
          <w:lang w:val="ru-RU"/>
        </w:rPr>
        <w:t xml:space="preserve">омощь осуществлению положений Протокола о транзите, использовании в замкнутых системах, непреднамеренных трансграничных перемещениях и чрезвычайных мерах в отношении </w:t>
      </w:r>
      <w:proofErr w:type="spellStart"/>
      <w:r w:rsidRPr="00DB5643">
        <w:rPr>
          <w:snapToGrid w:val="0"/>
          <w:kern w:val="22"/>
          <w:szCs w:val="22"/>
          <w:lang w:val="ru-RU"/>
        </w:rPr>
        <w:t>ЖИО</w:t>
      </w:r>
      <w:proofErr w:type="spellEnd"/>
      <w:r w:rsidR="004569FB" w:rsidRPr="00DB5643">
        <w:rPr>
          <w:snapToGrid w:val="0"/>
          <w:kern w:val="22"/>
          <w:szCs w:val="22"/>
          <w:lang w:val="ru-RU"/>
        </w:rPr>
        <w:t xml:space="preserve">. </w:t>
      </w:r>
      <w:r w:rsidRPr="00DB5643">
        <w:rPr>
          <w:snapToGrid w:val="0"/>
          <w:kern w:val="22"/>
          <w:szCs w:val="22"/>
          <w:lang w:val="ru-RU"/>
        </w:rPr>
        <w:t>Имеется три индикатора для оценки результатов выполнения данной оперативной цели</w:t>
      </w:r>
      <w:r w:rsidR="004569FB" w:rsidRPr="00DB5643">
        <w:rPr>
          <w:snapToGrid w:val="0"/>
          <w:kern w:val="22"/>
          <w:szCs w:val="22"/>
          <w:lang w:val="ru-RU"/>
        </w:rPr>
        <w:t xml:space="preserve">. </w:t>
      </w:r>
    </w:p>
    <w:p w14:paraId="1FDE8EE0" w14:textId="0F2B6BDC" w:rsidR="004569FB" w:rsidRPr="00DB5643" w:rsidRDefault="004B74E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en-US"/>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1.8.1</w:t>
      </w:r>
      <w:r w:rsidR="004569FB" w:rsidRPr="00DB5643">
        <w:rPr>
          <w:snapToGrid w:val="0"/>
          <w:kern w:val="22"/>
          <w:szCs w:val="22"/>
          <w:lang w:val="ru-RU"/>
        </w:rPr>
        <w:t xml:space="preserve"> (</w:t>
      </w:r>
      <w:r w:rsidRPr="00DB5643">
        <w:rPr>
          <w:snapToGrid w:val="0"/>
          <w:kern w:val="22"/>
          <w:szCs w:val="22"/>
          <w:lang w:val="ru-RU"/>
        </w:rPr>
        <w:t>процентная доля Сторон, внедривших меры по регулированию транзита</w:t>
      </w:r>
      <w:r w:rsidR="004569FB" w:rsidRPr="00DB5643">
        <w:rPr>
          <w:snapToGrid w:val="0"/>
          <w:kern w:val="22"/>
          <w:szCs w:val="22"/>
          <w:lang w:val="ru-RU"/>
        </w:rPr>
        <w:t xml:space="preserve"> </w:t>
      </w:r>
      <w:proofErr w:type="spellStart"/>
      <w:r w:rsidRPr="00DB5643">
        <w:rPr>
          <w:snapToGrid w:val="0"/>
          <w:kern w:val="22"/>
          <w:szCs w:val="22"/>
          <w:lang w:val="ru-RU"/>
        </w:rPr>
        <w:t>ЖИО</w:t>
      </w:r>
      <w:proofErr w:type="spellEnd"/>
      <w:r w:rsidR="004569FB" w:rsidRPr="00DB5643">
        <w:rPr>
          <w:snapToGrid w:val="0"/>
          <w:kern w:val="22"/>
          <w:szCs w:val="22"/>
          <w:lang w:val="ru-RU"/>
        </w:rPr>
        <w:t>) 70</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(64 </w:t>
      </w:r>
      <w:r w:rsidRPr="00DB5643">
        <w:rPr>
          <w:snapToGrid w:val="0"/>
          <w:kern w:val="22"/>
          <w:szCs w:val="22"/>
          <w:lang w:val="ru-RU"/>
        </w:rPr>
        <w:t>Стороны</w:t>
      </w:r>
      <w:r w:rsidR="004569FB" w:rsidRPr="00DB5643">
        <w:rPr>
          <w:snapToGrid w:val="0"/>
          <w:kern w:val="22"/>
          <w:szCs w:val="22"/>
          <w:lang w:val="ru-RU"/>
        </w:rPr>
        <w:t xml:space="preserve">) </w:t>
      </w:r>
      <w:r w:rsidRPr="00DB5643">
        <w:rPr>
          <w:snapToGrid w:val="0"/>
          <w:kern w:val="22"/>
          <w:szCs w:val="22"/>
          <w:lang w:val="ru-RU"/>
        </w:rPr>
        <w:t xml:space="preserve">сообщили, что они регулируют транзит </w:t>
      </w:r>
      <w:proofErr w:type="spellStart"/>
      <w:r w:rsidRPr="00DB5643">
        <w:rPr>
          <w:snapToGrid w:val="0"/>
          <w:kern w:val="22"/>
          <w:szCs w:val="22"/>
          <w:lang w:val="ru-RU"/>
        </w:rPr>
        <w:t>ЖИО</w:t>
      </w:r>
      <w:proofErr w:type="spellEnd"/>
      <w:r w:rsidR="004569FB" w:rsidRPr="00DB5643">
        <w:rPr>
          <w:snapToGrid w:val="0"/>
          <w:kern w:val="22"/>
          <w:szCs w:val="22"/>
          <w:lang w:val="ru-RU"/>
        </w:rPr>
        <w:t>,</w:t>
      </w:r>
      <w:r w:rsidRPr="00DB5643">
        <w:rPr>
          <w:snapToGrid w:val="0"/>
          <w:kern w:val="22"/>
          <w:szCs w:val="22"/>
          <w:lang w:val="ru-RU"/>
        </w:rPr>
        <w:t xml:space="preserve"> что соответствует увеличению на</w:t>
      </w:r>
      <w:r w:rsidR="004569FB" w:rsidRPr="00DB5643">
        <w:rPr>
          <w:snapToGrid w:val="0"/>
          <w:kern w:val="22"/>
          <w:szCs w:val="22"/>
          <w:lang w:val="ru-RU"/>
        </w:rPr>
        <w:t xml:space="preserve"> 7</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560551" w:rsidRPr="00DB5643">
        <w:rPr>
          <w:snapToGrid w:val="0"/>
          <w:kern w:val="22"/>
          <w:szCs w:val="22"/>
          <w:lang w:val="ru-RU"/>
        </w:rPr>
        <w:t>Кроме того</w:t>
      </w:r>
      <w:r w:rsidR="004569FB" w:rsidRPr="00DB5643">
        <w:rPr>
          <w:snapToGrid w:val="0"/>
          <w:kern w:val="22"/>
          <w:szCs w:val="22"/>
          <w:lang w:val="ru-RU"/>
        </w:rPr>
        <w:t>, 7</w:t>
      </w:r>
      <w:r w:rsidR="00560551" w:rsidRPr="00DB5643">
        <w:rPr>
          <w:snapToGrid w:val="0"/>
          <w:kern w:val="22"/>
          <w:szCs w:val="22"/>
          <w:lang w:val="en-US"/>
        </w:rPr>
        <w:t> </w:t>
      </w:r>
      <w:r w:rsidR="004569FB" w:rsidRPr="00DB5643">
        <w:rPr>
          <w:snapToGrid w:val="0"/>
          <w:kern w:val="22"/>
          <w:szCs w:val="22"/>
          <w:lang w:val="ru-RU"/>
        </w:rPr>
        <w:t>%</w:t>
      </w:r>
      <w:r w:rsidR="00560551" w:rsidRPr="00DB5643">
        <w:rPr>
          <w:snapToGrid w:val="0"/>
          <w:kern w:val="22"/>
          <w:szCs w:val="22"/>
          <w:lang w:val="ru-RU"/>
        </w:rPr>
        <w:t xml:space="preserve"> </w:t>
      </w:r>
      <w:r w:rsidR="00560551" w:rsidRPr="00DB5643">
        <w:rPr>
          <w:snapToGrid w:val="0"/>
          <w:kern w:val="22"/>
          <w:szCs w:val="22"/>
          <w:lang w:val="ru-RU"/>
        </w:rPr>
        <w:lastRenderedPageBreak/>
        <w:t>Сторон</w:t>
      </w:r>
      <w:r w:rsidR="004569FB" w:rsidRPr="00DB5643">
        <w:rPr>
          <w:snapToGrid w:val="0"/>
          <w:kern w:val="22"/>
          <w:szCs w:val="22"/>
          <w:lang w:val="ru-RU"/>
        </w:rPr>
        <w:t xml:space="preserve"> (6 </w:t>
      </w:r>
      <w:r w:rsidR="00560551" w:rsidRPr="00DB5643">
        <w:rPr>
          <w:snapToGrid w:val="0"/>
          <w:kern w:val="22"/>
          <w:szCs w:val="22"/>
          <w:lang w:val="ru-RU"/>
        </w:rPr>
        <w:t>Сторон</w:t>
      </w:r>
      <w:r w:rsidR="004569FB" w:rsidRPr="00DB5643">
        <w:rPr>
          <w:snapToGrid w:val="0"/>
          <w:kern w:val="22"/>
          <w:szCs w:val="22"/>
          <w:lang w:val="ru-RU"/>
        </w:rPr>
        <w:t xml:space="preserve">) </w:t>
      </w:r>
      <w:r w:rsidR="00560551" w:rsidRPr="00DB5643">
        <w:rPr>
          <w:snapToGrid w:val="0"/>
          <w:kern w:val="22"/>
          <w:szCs w:val="22"/>
          <w:lang w:val="ru-RU"/>
        </w:rPr>
        <w:t xml:space="preserve">сообщили о регулировании транзита </w:t>
      </w:r>
      <w:proofErr w:type="spellStart"/>
      <w:r w:rsidR="00560551" w:rsidRPr="00DB5643">
        <w:rPr>
          <w:snapToGrid w:val="0"/>
          <w:kern w:val="22"/>
          <w:szCs w:val="22"/>
          <w:lang w:val="ru-RU"/>
        </w:rPr>
        <w:t>ЖИО</w:t>
      </w:r>
      <w:proofErr w:type="spellEnd"/>
      <w:r w:rsidR="00560551" w:rsidRPr="00DB5643">
        <w:rPr>
          <w:snapToGrid w:val="0"/>
          <w:kern w:val="22"/>
          <w:szCs w:val="22"/>
          <w:lang w:val="ru-RU"/>
        </w:rPr>
        <w:t xml:space="preserve"> в некоторой степени</w:t>
      </w:r>
      <w:r w:rsidR="004569FB" w:rsidRPr="00DB5643">
        <w:rPr>
          <w:snapToGrid w:val="0"/>
          <w:kern w:val="22"/>
          <w:szCs w:val="22"/>
          <w:lang w:val="ru-RU"/>
        </w:rPr>
        <w:t>.</w:t>
      </w:r>
      <w:r w:rsidR="00560551" w:rsidRPr="00DB5643">
        <w:rPr>
          <w:snapToGrid w:val="0"/>
          <w:kern w:val="22"/>
          <w:szCs w:val="22"/>
          <w:lang w:val="ru-RU"/>
        </w:rPr>
        <w:t xml:space="preserve"> Взятые вместе</w:t>
      </w:r>
      <w:r w:rsidR="004569FB" w:rsidRPr="00DB5643">
        <w:rPr>
          <w:snapToGrid w:val="0"/>
          <w:kern w:val="22"/>
          <w:szCs w:val="22"/>
          <w:lang w:val="ru-RU"/>
        </w:rPr>
        <w:t>, 77</w:t>
      </w:r>
      <w:r w:rsidR="00560551" w:rsidRPr="00DB5643">
        <w:rPr>
          <w:snapToGrid w:val="0"/>
          <w:kern w:val="22"/>
          <w:szCs w:val="22"/>
          <w:lang w:val="en-US"/>
        </w:rPr>
        <w:t> </w:t>
      </w:r>
      <w:r w:rsidR="004569FB" w:rsidRPr="00DB5643">
        <w:rPr>
          <w:snapToGrid w:val="0"/>
          <w:kern w:val="22"/>
          <w:szCs w:val="22"/>
          <w:lang w:val="ru-RU"/>
        </w:rPr>
        <w:t xml:space="preserve">% </w:t>
      </w:r>
      <w:r w:rsidR="00560551" w:rsidRPr="00DB5643">
        <w:rPr>
          <w:snapToGrid w:val="0"/>
          <w:kern w:val="22"/>
          <w:szCs w:val="22"/>
          <w:lang w:val="ru-RU"/>
        </w:rPr>
        <w:t xml:space="preserve">Сторон сообщили о регулировании транзита </w:t>
      </w:r>
      <w:proofErr w:type="spellStart"/>
      <w:proofErr w:type="gramStart"/>
      <w:r w:rsidR="00560551" w:rsidRPr="00DB5643">
        <w:rPr>
          <w:snapToGrid w:val="0"/>
          <w:kern w:val="22"/>
          <w:szCs w:val="22"/>
          <w:lang w:val="ru-RU"/>
        </w:rPr>
        <w:t>ЖИО</w:t>
      </w:r>
      <w:proofErr w:type="spellEnd"/>
      <w:proofErr w:type="gramEnd"/>
      <w:r w:rsidR="00560551" w:rsidRPr="00DB5643">
        <w:rPr>
          <w:snapToGrid w:val="0"/>
          <w:kern w:val="22"/>
          <w:szCs w:val="22"/>
          <w:lang w:val="ru-RU"/>
        </w:rPr>
        <w:t xml:space="preserve"> по крайней мере в некоторой степени</w:t>
      </w:r>
      <w:r w:rsidR="004569FB" w:rsidRPr="00DB5643">
        <w:rPr>
          <w:snapToGrid w:val="0"/>
          <w:kern w:val="22"/>
          <w:szCs w:val="22"/>
          <w:lang w:val="ru-RU"/>
        </w:rPr>
        <w:t xml:space="preserve">, </w:t>
      </w:r>
      <w:r w:rsidR="00560551" w:rsidRPr="00DB5643">
        <w:rPr>
          <w:snapToGrid w:val="0"/>
          <w:kern w:val="22"/>
          <w:szCs w:val="22"/>
          <w:lang w:val="ru-RU"/>
        </w:rPr>
        <w:t xml:space="preserve">что соответствует увеличению </w:t>
      </w:r>
      <w:r w:rsidR="004569FB" w:rsidRPr="003926D8">
        <w:rPr>
          <w:snapToGrid w:val="0"/>
          <w:kern w:val="22"/>
          <w:szCs w:val="22"/>
          <w:lang w:val="ru-RU"/>
        </w:rPr>
        <w:t>14</w:t>
      </w:r>
      <w:r w:rsidR="00560551" w:rsidRPr="00DB5643">
        <w:rPr>
          <w:snapToGrid w:val="0"/>
          <w:kern w:val="22"/>
          <w:szCs w:val="22"/>
          <w:lang w:val="en-US"/>
        </w:rPr>
        <w:t> </w:t>
      </w:r>
      <w:r w:rsidR="004569FB" w:rsidRPr="003926D8">
        <w:rPr>
          <w:snapToGrid w:val="0"/>
          <w:kern w:val="22"/>
          <w:szCs w:val="22"/>
          <w:lang w:val="ru-RU"/>
        </w:rPr>
        <w:t xml:space="preserve">% </w:t>
      </w:r>
      <w:r w:rsidR="00560551" w:rsidRPr="00DB5643">
        <w:rPr>
          <w:snapToGrid w:val="0"/>
          <w:kern w:val="22"/>
          <w:szCs w:val="22"/>
          <w:lang w:val="ru-RU"/>
        </w:rPr>
        <w:t>по</w:t>
      </w:r>
      <w:r w:rsidR="00560551" w:rsidRPr="003926D8">
        <w:rPr>
          <w:snapToGrid w:val="0"/>
          <w:kern w:val="22"/>
          <w:szCs w:val="22"/>
          <w:lang w:val="ru-RU"/>
        </w:rPr>
        <w:t xml:space="preserve"> </w:t>
      </w:r>
      <w:r w:rsidR="00560551" w:rsidRPr="00DB5643">
        <w:rPr>
          <w:snapToGrid w:val="0"/>
          <w:kern w:val="22"/>
          <w:szCs w:val="22"/>
          <w:lang w:val="ru-RU"/>
        </w:rPr>
        <w:t>сравнению</w:t>
      </w:r>
      <w:r w:rsidR="00560551" w:rsidRPr="003926D8">
        <w:rPr>
          <w:snapToGrid w:val="0"/>
          <w:kern w:val="22"/>
          <w:szCs w:val="22"/>
          <w:lang w:val="ru-RU"/>
        </w:rPr>
        <w:t xml:space="preserve"> </w:t>
      </w:r>
      <w:r w:rsidR="00560551" w:rsidRPr="00DB5643">
        <w:rPr>
          <w:snapToGrid w:val="0"/>
          <w:kern w:val="22"/>
          <w:szCs w:val="22"/>
          <w:lang w:val="ru-RU"/>
        </w:rPr>
        <w:t>с</w:t>
      </w:r>
      <w:r w:rsidR="00560551" w:rsidRPr="003926D8">
        <w:rPr>
          <w:snapToGrid w:val="0"/>
          <w:kern w:val="22"/>
          <w:szCs w:val="22"/>
          <w:lang w:val="ru-RU"/>
        </w:rPr>
        <w:t xml:space="preserve"> </w:t>
      </w:r>
      <w:r w:rsidR="00560551" w:rsidRPr="00DB5643">
        <w:rPr>
          <w:snapToGrid w:val="0"/>
          <w:kern w:val="22"/>
          <w:szCs w:val="22"/>
          <w:lang w:val="ru-RU"/>
        </w:rPr>
        <w:t>исходным</w:t>
      </w:r>
      <w:r w:rsidR="00560551" w:rsidRPr="003926D8">
        <w:rPr>
          <w:snapToGrid w:val="0"/>
          <w:kern w:val="22"/>
          <w:szCs w:val="22"/>
          <w:lang w:val="ru-RU"/>
        </w:rPr>
        <w:t xml:space="preserve"> </w:t>
      </w:r>
      <w:r w:rsidR="00560551" w:rsidRPr="00DB5643">
        <w:rPr>
          <w:snapToGrid w:val="0"/>
          <w:kern w:val="22"/>
          <w:szCs w:val="22"/>
          <w:lang w:val="ru-RU"/>
        </w:rPr>
        <w:t>уровнем</w:t>
      </w:r>
      <w:r w:rsidR="004569FB" w:rsidRPr="003926D8">
        <w:rPr>
          <w:snapToGrid w:val="0"/>
          <w:kern w:val="22"/>
          <w:szCs w:val="22"/>
          <w:lang w:val="ru-RU"/>
        </w:rPr>
        <w:t xml:space="preserve">. </w:t>
      </w:r>
      <w:r w:rsidR="00560551" w:rsidRPr="00DB5643">
        <w:rPr>
          <w:snapToGrid w:val="0"/>
          <w:kern w:val="22"/>
          <w:szCs w:val="22"/>
          <w:lang w:val="ru-RU"/>
        </w:rPr>
        <w:t>На региональном уровне сообщенные сводные данные следующие</w:t>
      </w:r>
      <w:r w:rsidR="004569FB" w:rsidRPr="00DB5643">
        <w:rPr>
          <w:snapToGrid w:val="0"/>
          <w:kern w:val="22"/>
          <w:szCs w:val="22"/>
          <w:lang w:val="ru-RU"/>
        </w:rPr>
        <w:t xml:space="preserve">: </w:t>
      </w:r>
      <w:r w:rsidR="00560551" w:rsidRPr="00DB5643">
        <w:rPr>
          <w:snapToGrid w:val="0"/>
          <w:kern w:val="22"/>
          <w:szCs w:val="22"/>
          <w:lang w:val="ru-RU"/>
        </w:rPr>
        <w:t>Африка</w:t>
      </w:r>
      <w:r w:rsidR="004569FB" w:rsidRPr="00DB5643">
        <w:rPr>
          <w:snapToGrid w:val="0"/>
          <w:kern w:val="22"/>
          <w:szCs w:val="22"/>
          <w:lang w:val="ru-RU"/>
        </w:rPr>
        <w:t>: 57</w:t>
      </w:r>
      <w:r w:rsidR="00560551" w:rsidRPr="00DB5643">
        <w:rPr>
          <w:snapToGrid w:val="0"/>
          <w:kern w:val="22"/>
          <w:szCs w:val="22"/>
          <w:lang w:val="en-US"/>
        </w:rPr>
        <w:t> </w:t>
      </w:r>
      <w:r w:rsidR="00560551" w:rsidRPr="00DB5643">
        <w:rPr>
          <w:snapToGrid w:val="0"/>
          <w:kern w:val="22"/>
          <w:szCs w:val="22"/>
          <w:lang w:val="ru-RU"/>
        </w:rPr>
        <w:t>%</w:t>
      </w:r>
      <w:r w:rsidR="004569FB" w:rsidRPr="00DB5643">
        <w:rPr>
          <w:snapToGrid w:val="0"/>
          <w:kern w:val="22"/>
          <w:szCs w:val="22"/>
          <w:lang w:val="ru-RU"/>
        </w:rPr>
        <w:t xml:space="preserve"> (+7</w:t>
      </w:r>
      <w:r w:rsidR="00560551" w:rsidRPr="00DB5643">
        <w:rPr>
          <w:snapToGrid w:val="0"/>
          <w:kern w:val="22"/>
          <w:szCs w:val="22"/>
          <w:lang w:val="en-US"/>
        </w:rPr>
        <w:t> </w:t>
      </w:r>
      <w:r w:rsidR="004569FB" w:rsidRPr="00DB5643">
        <w:rPr>
          <w:snapToGrid w:val="0"/>
          <w:kern w:val="22"/>
          <w:szCs w:val="22"/>
          <w:lang w:val="ru-RU"/>
        </w:rPr>
        <w:t xml:space="preserve">%); </w:t>
      </w:r>
      <w:r w:rsidR="00560551" w:rsidRPr="00DB5643">
        <w:rPr>
          <w:snapToGrid w:val="0"/>
          <w:kern w:val="22"/>
          <w:szCs w:val="22"/>
          <w:lang w:val="ru-RU"/>
        </w:rPr>
        <w:t>Ази</w:t>
      </w:r>
      <w:r w:rsidR="002F3718">
        <w:rPr>
          <w:snapToGrid w:val="0"/>
          <w:kern w:val="22"/>
          <w:szCs w:val="22"/>
          <w:lang w:val="ru-RU"/>
        </w:rPr>
        <w:t>атско-Тихоокеанский регион</w:t>
      </w:r>
      <w:r w:rsidR="004569FB" w:rsidRPr="00DB5643">
        <w:rPr>
          <w:snapToGrid w:val="0"/>
          <w:kern w:val="22"/>
          <w:szCs w:val="22"/>
          <w:lang w:val="ru-RU"/>
        </w:rPr>
        <w:t>: 73</w:t>
      </w:r>
      <w:r w:rsidR="00560551" w:rsidRPr="00DB5643">
        <w:rPr>
          <w:snapToGrid w:val="0"/>
          <w:kern w:val="22"/>
          <w:szCs w:val="22"/>
          <w:lang w:val="ru-RU"/>
        </w:rPr>
        <w:t> </w:t>
      </w:r>
      <w:r w:rsidR="004569FB" w:rsidRPr="00DB5643">
        <w:rPr>
          <w:snapToGrid w:val="0"/>
          <w:kern w:val="22"/>
          <w:szCs w:val="22"/>
          <w:lang w:val="ru-RU"/>
        </w:rPr>
        <w:t>% (+</w:t>
      </w:r>
      <w:r w:rsidR="00C0279A" w:rsidRPr="00DB5643">
        <w:rPr>
          <w:snapToGrid w:val="0"/>
          <w:kern w:val="22"/>
          <w:szCs w:val="22"/>
          <w:lang w:val="ru-RU"/>
        </w:rPr>
        <w:t>40</w:t>
      </w:r>
      <w:r w:rsidR="00560551"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94</w:t>
      </w:r>
      <w:r w:rsidR="00560551" w:rsidRPr="00DB5643">
        <w:rPr>
          <w:snapToGrid w:val="0"/>
          <w:kern w:val="22"/>
          <w:szCs w:val="22"/>
          <w:lang w:val="ru-RU"/>
        </w:rPr>
        <w:t> </w:t>
      </w:r>
      <w:r w:rsidR="004569FB" w:rsidRPr="00DB5643">
        <w:rPr>
          <w:snapToGrid w:val="0"/>
          <w:kern w:val="22"/>
          <w:szCs w:val="22"/>
          <w:lang w:val="ru-RU"/>
        </w:rPr>
        <w:t>% (+</w:t>
      </w:r>
      <w:r w:rsidR="008C616A" w:rsidRPr="00DB5643">
        <w:rPr>
          <w:snapToGrid w:val="0"/>
          <w:kern w:val="22"/>
          <w:szCs w:val="22"/>
          <w:lang w:val="ru-RU"/>
        </w:rPr>
        <w:t>6</w:t>
      </w:r>
      <w:r w:rsidR="00560551" w:rsidRPr="00DB5643">
        <w:rPr>
          <w:snapToGrid w:val="0"/>
          <w:kern w:val="22"/>
          <w:szCs w:val="22"/>
          <w:lang w:val="ru-RU"/>
        </w:rPr>
        <w:t> </w:t>
      </w:r>
      <w:r w:rsidR="004569FB" w:rsidRPr="00DB5643">
        <w:rPr>
          <w:snapToGrid w:val="0"/>
          <w:kern w:val="22"/>
          <w:szCs w:val="22"/>
          <w:lang w:val="ru-RU"/>
        </w:rPr>
        <w:t xml:space="preserve">%); </w:t>
      </w:r>
      <w:proofErr w:type="spellStart"/>
      <w:r w:rsidR="00560551" w:rsidRPr="00DB5643">
        <w:rPr>
          <w:snapToGrid w:val="0"/>
          <w:kern w:val="22"/>
          <w:szCs w:val="22"/>
          <w:lang w:val="ru-RU"/>
        </w:rPr>
        <w:t>ГРУЛАК</w:t>
      </w:r>
      <w:proofErr w:type="spellEnd"/>
      <w:r w:rsidR="004569FB" w:rsidRPr="00DB5643">
        <w:rPr>
          <w:snapToGrid w:val="0"/>
          <w:kern w:val="22"/>
          <w:szCs w:val="22"/>
          <w:lang w:val="ru-RU"/>
        </w:rPr>
        <w:t>: 69</w:t>
      </w:r>
      <w:r w:rsidR="00560551" w:rsidRPr="00DB5643">
        <w:rPr>
          <w:snapToGrid w:val="0"/>
          <w:kern w:val="22"/>
          <w:szCs w:val="22"/>
          <w:lang w:val="ru-RU"/>
        </w:rPr>
        <w:t> </w:t>
      </w:r>
      <w:r w:rsidR="004569FB" w:rsidRPr="00DB5643">
        <w:rPr>
          <w:snapToGrid w:val="0"/>
          <w:kern w:val="22"/>
          <w:szCs w:val="22"/>
          <w:lang w:val="ru-RU"/>
        </w:rPr>
        <w:t>% (+23</w:t>
      </w:r>
      <w:r w:rsidR="00560551"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100</w:t>
      </w:r>
      <w:r w:rsidR="00560551" w:rsidRPr="00DB5643">
        <w:rPr>
          <w:snapToGrid w:val="0"/>
          <w:kern w:val="22"/>
          <w:szCs w:val="22"/>
          <w:lang w:val="ru-RU"/>
        </w:rPr>
        <w:t> </w:t>
      </w:r>
      <w:r w:rsidR="004569FB" w:rsidRPr="00DB5643">
        <w:rPr>
          <w:snapToGrid w:val="0"/>
          <w:kern w:val="22"/>
          <w:szCs w:val="22"/>
          <w:lang w:val="ru-RU"/>
        </w:rPr>
        <w:t>% (</w:t>
      </w:r>
      <w:r w:rsidR="00560551"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r w:rsidR="004569FB" w:rsidRPr="00DB5643">
        <w:rPr>
          <w:snapToGrid w:val="0"/>
          <w:kern w:val="22"/>
          <w:szCs w:val="22"/>
          <w:lang w:val="en-US"/>
        </w:rPr>
        <w:t>(</w:t>
      </w:r>
      <w:r w:rsidR="00560551" w:rsidRPr="00DB5643">
        <w:rPr>
          <w:snapToGrid w:val="0"/>
          <w:kern w:val="22"/>
          <w:szCs w:val="22"/>
          <w:lang w:val="ru-RU"/>
        </w:rPr>
        <w:t>см</w:t>
      </w:r>
      <w:r w:rsidR="00560551" w:rsidRPr="00DB5643">
        <w:rPr>
          <w:snapToGrid w:val="0"/>
          <w:kern w:val="22"/>
          <w:szCs w:val="22"/>
          <w:lang w:val="en-US"/>
        </w:rPr>
        <w:t xml:space="preserve">. </w:t>
      </w:r>
      <w:r w:rsidR="00560551" w:rsidRPr="00DB5643">
        <w:rPr>
          <w:snapToGrid w:val="0"/>
          <w:kern w:val="22"/>
          <w:szCs w:val="22"/>
          <w:lang w:val="ru-RU"/>
        </w:rPr>
        <w:t>рис</w:t>
      </w:r>
      <w:r w:rsidR="00560551" w:rsidRPr="00DB5643">
        <w:rPr>
          <w:snapToGrid w:val="0"/>
          <w:kern w:val="22"/>
          <w:szCs w:val="22"/>
          <w:lang w:val="en-US"/>
        </w:rPr>
        <w:t>.</w:t>
      </w:r>
      <w:r w:rsidR="004569FB" w:rsidRPr="00DB5643">
        <w:rPr>
          <w:snapToGrid w:val="0"/>
          <w:kern w:val="22"/>
          <w:szCs w:val="22"/>
          <w:lang w:val="en-US"/>
        </w:rPr>
        <w:t xml:space="preserve"> 6)</w:t>
      </w:r>
      <w:r w:rsidR="005A204D" w:rsidRPr="00DB5643">
        <w:rPr>
          <w:snapToGrid w:val="0"/>
          <w:kern w:val="22"/>
          <w:szCs w:val="22"/>
          <w:lang w:val="en-US"/>
        </w:rPr>
        <w:t>.</w:t>
      </w:r>
    </w:p>
    <w:p w14:paraId="381BFA19" w14:textId="3B071ABA" w:rsidR="004569FB" w:rsidRPr="00DB5643" w:rsidRDefault="00560551"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1.8.2</w:t>
      </w:r>
      <w:r w:rsidR="004569FB" w:rsidRPr="00DB5643">
        <w:rPr>
          <w:snapToGrid w:val="0"/>
          <w:kern w:val="22"/>
          <w:szCs w:val="22"/>
          <w:lang w:val="ru-RU"/>
        </w:rPr>
        <w:t xml:space="preserve"> (</w:t>
      </w:r>
      <w:r w:rsidRPr="00DB5643">
        <w:rPr>
          <w:snapToGrid w:val="0"/>
          <w:kern w:val="22"/>
          <w:szCs w:val="22"/>
          <w:lang w:val="ru-RU"/>
        </w:rPr>
        <w:t>процентная доля Сторон, внедривших меры по использованию в замкнутых системах</w:t>
      </w:r>
      <w:r w:rsidR="004569FB" w:rsidRPr="00DB5643">
        <w:rPr>
          <w:snapToGrid w:val="0"/>
          <w:kern w:val="22"/>
          <w:szCs w:val="22"/>
          <w:lang w:val="ru-RU"/>
        </w:rPr>
        <w:t>) 80</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(74 </w:t>
      </w:r>
      <w:r w:rsidRPr="00DB5643">
        <w:rPr>
          <w:snapToGrid w:val="0"/>
          <w:kern w:val="22"/>
          <w:szCs w:val="22"/>
          <w:lang w:val="ru-RU"/>
        </w:rPr>
        <w:t>Стороны</w:t>
      </w:r>
      <w:r w:rsidR="004569FB" w:rsidRPr="00DB5643">
        <w:rPr>
          <w:snapToGrid w:val="0"/>
          <w:kern w:val="22"/>
          <w:szCs w:val="22"/>
          <w:lang w:val="ru-RU"/>
        </w:rPr>
        <w:t xml:space="preserve">) </w:t>
      </w:r>
      <w:r w:rsidRPr="00DB5643">
        <w:rPr>
          <w:snapToGrid w:val="0"/>
          <w:kern w:val="22"/>
          <w:szCs w:val="22"/>
          <w:lang w:val="ru-RU"/>
        </w:rPr>
        <w:t xml:space="preserve">сообщили о внедрении мер по регулированию использования </w:t>
      </w:r>
      <w:proofErr w:type="spellStart"/>
      <w:r w:rsidRPr="00DB5643">
        <w:rPr>
          <w:snapToGrid w:val="0"/>
          <w:kern w:val="22"/>
          <w:szCs w:val="22"/>
          <w:lang w:val="ru-RU"/>
        </w:rPr>
        <w:t>ЖИО</w:t>
      </w:r>
      <w:proofErr w:type="spellEnd"/>
      <w:r w:rsidRPr="00DB5643">
        <w:rPr>
          <w:snapToGrid w:val="0"/>
          <w:kern w:val="22"/>
          <w:szCs w:val="22"/>
          <w:lang w:val="ru-RU"/>
        </w:rPr>
        <w:t xml:space="preserve"> в замкнутых системах</w:t>
      </w:r>
      <w:r w:rsidR="004569FB" w:rsidRPr="00DB5643">
        <w:rPr>
          <w:snapToGrid w:val="0"/>
          <w:kern w:val="22"/>
          <w:szCs w:val="22"/>
          <w:lang w:val="ru-RU"/>
        </w:rPr>
        <w:t xml:space="preserve">, </w:t>
      </w:r>
      <w:r w:rsidRPr="00DB5643">
        <w:rPr>
          <w:snapToGrid w:val="0"/>
          <w:kern w:val="22"/>
          <w:szCs w:val="22"/>
          <w:lang w:val="ru-RU"/>
        </w:rPr>
        <w:t>что соответствует увеличению на</w:t>
      </w:r>
      <w:r w:rsidR="004569FB" w:rsidRPr="00DB5643">
        <w:rPr>
          <w:snapToGrid w:val="0"/>
          <w:kern w:val="22"/>
          <w:szCs w:val="22"/>
          <w:lang w:val="ru-RU"/>
        </w:rPr>
        <w:t xml:space="preserve"> 7</w:t>
      </w:r>
      <w:r w:rsidRPr="00DB5643">
        <w:rPr>
          <w:snapToGrid w:val="0"/>
          <w:kern w:val="22"/>
          <w:szCs w:val="22"/>
          <w:lang w:val="ru-RU"/>
        </w:rPr>
        <w:t> </w:t>
      </w:r>
      <w:r w:rsidR="004569FB" w:rsidRPr="00DB5643">
        <w:rPr>
          <w:snapToGrid w:val="0"/>
          <w:kern w:val="22"/>
          <w:szCs w:val="22"/>
          <w:lang w:val="ru-RU"/>
        </w:rPr>
        <w:t xml:space="preserve">%. </w:t>
      </w:r>
      <w:r w:rsidR="00B32294" w:rsidRPr="00DB5643">
        <w:rPr>
          <w:snapToGrid w:val="0"/>
          <w:kern w:val="22"/>
          <w:szCs w:val="22"/>
          <w:lang w:val="ru-RU"/>
        </w:rPr>
        <w:t>На региональном уровне данные следующие</w:t>
      </w:r>
      <w:r w:rsidR="004569FB" w:rsidRPr="00DB5643">
        <w:rPr>
          <w:snapToGrid w:val="0"/>
          <w:kern w:val="22"/>
          <w:szCs w:val="22"/>
          <w:lang w:val="ru-RU"/>
        </w:rPr>
        <w:t xml:space="preserve">: </w:t>
      </w:r>
      <w:r w:rsidR="00B32294" w:rsidRPr="00DB5643">
        <w:rPr>
          <w:snapToGrid w:val="0"/>
          <w:kern w:val="22"/>
          <w:szCs w:val="22"/>
          <w:lang w:val="ru-RU"/>
        </w:rPr>
        <w:t>Африка</w:t>
      </w:r>
      <w:r w:rsidR="004569FB" w:rsidRPr="00DB5643">
        <w:rPr>
          <w:snapToGrid w:val="0"/>
          <w:kern w:val="22"/>
          <w:szCs w:val="22"/>
          <w:lang w:val="ru-RU"/>
        </w:rPr>
        <w:t>: 53</w:t>
      </w:r>
      <w:r w:rsidR="00B32294" w:rsidRPr="00DB5643">
        <w:rPr>
          <w:snapToGrid w:val="0"/>
          <w:kern w:val="22"/>
          <w:szCs w:val="22"/>
          <w:lang w:val="en-US"/>
        </w:rPr>
        <w:t> </w:t>
      </w:r>
      <w:r w:rsidR="004569FB" w:rsidRPr="00DB5643">
        <w:rPr>
          <w:snapToGrid w:val="0"/>
          <w:kern w:val="22"/>
          <w:szCs w:val="22"/>
          <w:lang w:val="ru-RU"/>
        </w:rPr>
        <w:t>% (</w:t>
      </w:r>
      <w:r w:rsidR="00B32294"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r w:rsidR="00B32294" w:rsidRPr="00DB5643">
        <w:rPr>
          <w:snapToGrid w:val="0"/>
          <w:kern w:val="22"/>
          <w:szCs w:val="22"/>
          <w:lang w:val="ru-RU"/>
        </w:rPr>
        <w:t>Азиатско-Тихоокеанский регион</w:t>
      </w:r>
      <w:r w:rsidR="004569FB" w:rsidRPr="00DB5643">
        <w:rPr>
          <w:snapToGrid w:val="0"/>
          <w:kern w:val="22"/>
          <w:szCs w:val="22"/>
          <w:lang w:val="ru-RU"/>
        </w:rPr>
        <w:t>: 94</w:t>
      </w:r>
      <w:r w:rsidR="00B32294" w:rsidRPr="00DB5643">
        <w:rPr>
          <w:snapToGrid w:val="0"/>
          <w:kern w:val="22"/>
          <w:szCs w:val="22"/>
          <w:lang w:val="ru-RU"/>
        </w:rPr>
        <w:t> </w:t>
      </w:r>
      <w:r w:rsidR="004569FB" w:rsidRPr="00DB5643">
        <w:rPr>
          <w:snapToGrid w:val="0"/>
          <w:kern w:val="22"/>
          <w:szCs w:val="22"/>
          <w:lang w:val="ru-RU"/>
        </w:rPr>
        <w:t>% (+19</w:t>
      </w:r>
      <w:r w:rsidR="00B32294"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100</w:t>
      </w:r>
      <w:r w:rsidR="00B32294" w:rsidRPr="00DB5643">
        <w:rPr>
          <w:snapToGrid w:val="0"/>
          <w:kern w:val="22"/>
          <w:szCs w:val="22"/>
          <w:lang w:val="ru-RU"/>
        </w:rPr>
        <w:t> </w:t>
      </w:r>
      <w:r w:rsidR="004569FB" w:rsidRPr="00DB5643">
        <w:rPr>
          <w:snapToGrid w:val="0"/>
          <w:kern w:val="22"/>
          <w:szCs w:val="22"/>
          <w:lang w:val="ru-RU"/>
        </w:rPr>
        <w:t>% (+1</w:t>
      </w:r>
      <w:r w:rsidR="0065202F" w:rsidRPr="00DB5643">
        <w:rPr>
          <w:snapToGrid w:val="0"/>
          <w:kern w:val="22"/>
          <w:szCs w:val="22"/>
          <w:lang w:val="ru-RU"/>
        </w:rPr>
        <w:t>3</w:t>
      </w:r>
      <w:r w:rsidR="00B32294" w:rsidRPr="00DB5643">
        <w:rPr>
          <w:snapToGrid w:val="0"/>
          <w:kern w:val="22"/>
          <w:szCs w:val="22"/>
          <w:lang w:val="ru-RU"/>
        </w:rPr>
        <w:t> </w:t>
      </w:r>
      <w:r w:rsidR="004569FB" w:rsidRPr="00DB5643">
        <w:rPr>
          <w:snapToGrid w:val="0"/>
          <w:kern w:val="22"/>
          <w:szCs w:val="22"/>
          <w:lang w:val="ru-RU"/>
        </w:rPr>
        <w:t xml:space="preserve">%); </w:t>
      </w:r>
      <w:proofErr w:type="spellStart"/>
      <w:r w:rsidR="00B32294" w:rsidRPr="00DB5643">
        <w:rPr>
          <w:snapToGrid w:val="0"/>
          <w:kern w:val="22"/>
          <w:szCs w:val="22"/>
          <w:lang w:val="ru-RU"/>
        </w:rPr>
        <w:t>ГРУЛАК</w:t>
      </w:r>
      <w:proofErr w:type="spellEnd"/>
      <w:r w:rsidR="004569FB" w:rsidRPr="00DB5643">
        <w:rPr>
          <w:snapToGrid w:val="0"/>
          <w:kern w:val="22"/>
          <w:szCs w:val="22"/>
          <w:lang w:val="ru-RU"/>
        </w:rPr>
        <w:t>: 69</w:t>
      </w:r>
      <w:r w:rsidR="00B32294" w:rsidRPr="00DB5643">
        <w:rPr>
          <w:snapToGrid w:val="0"/>
          <w:kern w:val="22"/>
          <w:szCs w:val="22"/>
          <w:lang w:val="ru-RU"/>
        </w:rPr>
        <w:t> </w:t>
      </w:r>
      <w:r w:rsidR="004569FB" w:rsidRPr="00DB5643">
        <w:rPr>
          <w:snapToGrid w:val="0"/>
          <w:kern w:val="22"/>
          <w:szCs w:val="22"/>
          <w:lang w:val="ru-RU"/>
        </w:rPr>
        <w:t>% (+</w:t>
      </w:r>
      <w:r w:rsidR="0065202F" w:rsidRPr="00DB5643">
        <w:rPr>
          <w:snapToGrid w:val="0"/>
          <w:kern w:val="22"/>
          <w:szCs w:val="22"/>
          <w:lang w:val="ru-RU"/>
        </w:rPr>
        <w:t>8</w:t>
      </w:r>
      <w:r w:rsidR="00B32294"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100</w:t>
      </w:r>
      <w:r w:rsidR="00B32294" w:rsidRPr="00DB5643">
        <w:rPr>
          <w:snapToGrid w:val="0"/>
          <w:kern w:val="22"/>
          <w:szCs w:val="22"/>
          <w:lang w:val="ru-RU"/>
        </w:rPr>
        <w:t> </w:t>
      </w:r>
      <w:r w:rsidR="004569FB" w:rsidRPr="00DB5643">
        <w:rPr>
          <w:snapToGrid w:val="0"/>
          <w:kern w:val="22"/>
          <w:szCs w:val="22"/>
          <w:lang w:val="ru-RU"/>
        </w:rPr>
        <w:t>% (</w:t>
      </w:r>
      <w:r w:rsidR="00B32294"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p>
    <w:p w14:paraId="245658F1" w14:textId="042A5B28" w:rsidR="004569FB" w:rsidRPr="00DB5643" w:rsidRDefault="00B32294"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Наконец</w:t>
      </w:r>
      <w:r w:rsidR="004569FB" w:rsidRPr="00DB5643">
        <w:rPr>
          <w:snapToGrid w:val="0"/>
          <w:kern w:val="22"/>
          <w:szCs w:val="22"/>
          <w:lang w:val="ru-RU"/>
        </w:rPr>
        <w:t xml:space="preserve">, </w:t>
      </w:r>
      <w:r w:rsidRPr="00DB5643">
        <w:rPr>
          <w:snapToGrid w:val="0"/>
          <w:kern w:val="22"/>
          <w:szCs w:val="22"/>
          <w:lang w:val="ru-RU"/>
        </w:rPr>
        <w:t>в отношении</w:t>
      </w:r>
      <w:r w:rsidR="004569FB" w:rsidRPr="00DB5643">
        <w:rPr>
          <w:snapToGrid w:val="0"/>
          <w:kern w:val="22"/>
          <w:szCs w:val="22"/>
          <w:lang w:val="ru-RU"/>
        </w:rPr>
        <w:t xml:space="preserve"> </w:t>
      </w:r>
      <w:r w:rsidRPr="00DB5643">
        <w:rPr>
          <w:b/>
          <w:bCs/>
          <w:snapToGrid w:val="0"/>
          <w:kern w:val="22"/>
          <w:szCs w:val="22"/>
          <w:lang w:val="ru-RU"/>
        </w:rPr>
        <w:t>индикатора</w:t>
      </w:r>
      <w:r w:rsidR="004569FB" w:rsidRPr="00DB5643">
        <w:rPr>
          <w:b/>
          <w:bCs/>
          <w:snapToGrid w:val="0"/>
          <w:kern w:val="22"/>
          <w:szCs w:val="22"/>
          <w:lang w:val="ru-RU"/>
        </w:rPr>
        <w:t xml:space="preserve"> 1.8.3</w:t>
      </w:r>
      <w:r w:rsidR="004569FB" w:rsidRPr="00DB5643">
        <w:rPr>
          <w:snapToGrid w:val="0"/>
          <w:kern w:val="22"/>
          <w:szCs w:val="22"/>
          <w:lang w:val="ru-RU"/>
        </w:rPr>
        <w:t xml:space="preserve"> (</w:t>
      </w:r>
      <w:r w:rsidRPr="00DB5643">
        <w:rPr>
          <w:snapToGrid w:val="0"/>
          <w:kern w:val="22"/>
          <w:szCs w:val="22"/>
          <w:lang w:val="ru-RU"/>
        </w:rPr>
        <w:t>процентная доля Сторон, использующих руководство по выявлению случаев непреднамеренного высвобождения живых измененных организмов и способных принимать соответствующие меры реагирования) отсутствует информация об использовании Сторонами</w:t>
      </w:r>
      <w:r w:rsidR="004569FB" w:rsidRPr="00DB5643">
        <w:rPr>
          <w:snapToGrid w:val="0"/>
          <w:kern w:val="22"/>
          <w:szCs w:val="22"/>
          <w:lang w:val="ru-RU"/>
        </w:rPr>
        <w:t xml:space="preserve"> </w:t>
      </w:r>
      <w:r w:rsidRPr="00DB5643">
        <w:rPr>
          <w:snapToGrid w:val="0"/>
          <w:kern w:val="22"/>
          <w:szCs w:val="22"/>
          <w:lang w:val="ru-RU"/>
        </w:rPr>
        <w:t>руководства по выявлению случаев непреднамеренного высвобождения живых измененных организмов</w:t>
      </w:r>
      <w:r w:rsidR="004569FB" w:rsidRPr="00DB5643">
        <w:rPr>
          <w:snapToGrid w:val="0"/>
          <w:kern w:val="22"/>
          <w:szCs w:val="22"/>
          <w:lang w:val="ru-RU"/>
        </w:rPr>
        <w:t xml:space="preserve">. </w:t>
      </w:r>
      <w:r w:rsidRPr="00DB5643">
        <w:rPr>
          <w:snapToGrid w:val="0"/>
          <w:kern w:val="22"/>
          <w:szCs w:val="22"/>
          <w:lang w:val="ru-RU"/>
        </w:rPr>
        <w:t>Эксперты из Сети лабораторий по обнаружению и идентификации живых измененных организмов подготовили проект учебного пособия по обнаружению и идентификации живых измененных организмов</w:t>
      </w:r>
      <w:r w:rsidR="004569FB" w:rsidRPr="00DB5643">
        <w:rPr>
          <w:snapToGrid w:val="0"/>
          <w:kern w:val="22"/>
          <w:szCs w:val="22"/>
          <w:lang w:val="ru-RU"/>
        </w:rPr>
        <w:t>,</w:t>
      </w:r>
      <w:r w:rsidRPr="00DB5643">
        <w:rPr>
          <w:snapToGrid w:val="0"/>
          <w:kern w:val="22"/>
          <w:szCs w:val="22"/>
          <w:lang w:val="ru-RU"/>
        </w:rPr>
        <w:t xml:space="preserve"> подготовка окончательного </w:t>
      </w:r>
      <w:proofErr w:type="gramStart"/>
      <w:r w:rsidRPr="00DB5643">
        <w:rPr>
          <w:snapToGrid w:val="0"/>
          <w:kern w:val="22"/>
          <w:szCs w:val="22"/>
          <w:lang w:val="ru-RU"/>
        </w:rPr>
        <w:t>варианта</w:t>
      </w:r>
      <w:proofErr w:type="gramEnd"/>
      <w:r w:rsidRPr="00DB5643">
        <w:rPr>
          <w:snapToGrid w:val="0"/>
          <w:kern w:val="22"/>
          <w:szCs w:val="22"/>
          <w:lang w:val="ru-RU"/>
        </w:rPr>
        <w:t xml:space="preserve"> и публикация </w:t>
      </w:r>
      <w:proofErr w:type="gramStart"/>
      <w:r w:rsidRPr="00DB5643">
        <w:rPr>
          <w:snapToGrid w:val="0"/>
          <w:kern w:val="22"/>
          <w:szCs w:val="22"/>
          <w:lang w:val="ru-RU"/>
        </w:rPr>
        <w:t>которого</w:t>
      </w:r>
      <w:proofErr w:type="gramEnd"/>
      <w:r w:rsidRPr="00DB5643">
        <w:rPr>
          <w:snapToGrid w:val="0"/>
          <w:kern w:val="22"/>
          <w:szCs w:val="22"/>
          <w:lang w:val="ru-RU"/>
        </w:rPr>
        <w:t xml:space="preserve"> в </w:t>
      </w:r>
      <w:proofErr w:type="spellStart"/>
      <w:r w:rsidRPr="00DB5643">
        <w:rPr>
          <w:snapToGrid w:val="0"/>
          <w:kern w:val="22"/>
          <w:szCs w:val="22"/>
          <w:lang w:val="ru-RU"/>
        </w:rPr>
        <w:t>МПБ</w:t>
      </w:r>
      <w:proofErr w:type="spellEnd"/>
      <w:r w:rsidRPr="00DB5643">
        <w:rPr>
          <w:snapToGrid w:val="0"/>
          <w:kern w:val="22"/>
          <w:szCs w:val="22"/>
          <w:lang w:val="ru-RU"/>
        </w:rPr>
        <w:t xml:space="preserve"> планируется в течение </w:t>
      </w:r>
      <w:r w:rsidR="004569FB" w:rsidRPr="00DB5643">
        <w:rPr>
          <w:snapToGrid w:val="0"/>
          <w:kern w:val="22"/>
          <w:szCs w:val="22"/>
          <w:lang w:val="ru-RU"/>
        </w:rPr>
        <w:t>2020</w:t>
      </w:r>
      <w:r w:rsidRPr="00DB5643">
        <w:rPr>
          <w:snapToGrid w:val="0"/>
          <w:kern w:val="22"/>
          <w:szCs w:val="22"/>
          <w:lang w:val="ru-RU"/>
        </w:rPr>
        <w:t xml:space="preserve"> года</w:t>
      </w:r>
      <w:r w:rsidR="004569FB" w:rsidRPr="00DB5643">
        <w:rPr>
          <w:snapToGrid w:val="0"/>
          <w:kern w:val="22"/>
          <w:szCs w:val="22"/>
          <w:lang w:val="ru-RU"/>
        </w:rPr>
        <w:t xml:space="preserve">. </w:t>
      </w:r>
      <w:r w:rsidRPr="00DB5643">
        <w:rPr>
          <w:snapToGrid w:val="0"/>
          <w:kern w:val="22"/>
          <w:szCs w:val="22"/>
          <w:lang w:val="ru-RU"/>
        </w:rPr>
        <w:t xml:space="preserve">Однако в </w:t>
      </w:r>
      <w:r w:rsidR="009042CB" w:rsidRPr="00DB5643">
        <w:rPr>
          <w:snapToGrid w:val="0"/>
          <w:kern w:val="22"/>
          <w:szCs w:val="22"/>
          <w:lang w:val="ru-RU"/>
        </w:rPr>
        <w:t>четверт</w:t>
      </w:r>
      <w:r w:rsidRPr="00DB5643">
        <w:rPr>
          <w:snapToGrid w:val="0"/>
          <w:kern w:val="22"/>
          <w:szCs w:val="22"/>
          <w:lang w:val="ru-RU"/>
        </w:rPr>
        <w:t>ых национальных докладах содержится информация о потенциале в отношении принятия мер реагирования в случае непреднамеренных трансграничных перемещений</w:t>
      </w:r>
      <w:r w:rsidR="004569FB" w:rsidRPr="00DB5643">
        <w:rPr>
          <w:snapToGrid w:val="0"/>
          <w:kern w:val="22"/>
          <w:szCs w:val="22"/>
          <w:lang w:val="ru-RU"/>
        </w:rPr>
        <w:t xml:space="preserve">. </w:t>
      </w:r>
      <w:r w:rsidR="009042CB" w:rsidRPr="00DB5643">
        <w:rPr>
          <w:snapToGrid w:val="0"/>
          <w:kern w:val="22"/>
          <w:szCs w:val="22"/>
          <w:lang w:val="ru-RU"/>
        </w:rPr>
        <w:t>В общей сложности</w:t>
      </w:r>
      <w:r w:rsidR="004569FB" w:rsidRPr="00DB5643">
        <w:rPr>
          <w:snapToGrid w:val="0"/>
          <w:kern w:val="22"/>
          <w:szCs w:val="22"/>
          <w:lang w:val="ru-RU"/>
        </w:rPr>
        <w:t xml:space="preserve"> 70</w:t>
      </w:r>
      <w:r w:rsidR="009042CB" w:rsidRPr="00DB5643">
        <w:rPr>
          <w:snapToGrid w:val="0"/>
          <w:kern w:val="22"/>
          <w:szCs w:val="22"/>
          <w:lang w:val="en-US"/>
        </w:rPr>
        <w:t> </w:t>
      </w:r>
      <w:r w:rsidR="004569FB" w:rsidRPr="00DB5643">
        <w:rPr>
          <w:snapToGrid w:val="0"/>
          <w:kern w:val="22"/>
          <w:szCs w:val="22"/>
          <w:lang w:val="ru-RU"/>
        </w:rPr>
        <w:t xml:space="preserve">% </w:t>
      </w:r>
      <w:r w:rsidR="009042CB" w:rsidRPr="00DB5643">
        <w:rPr>
          <w:snapToGrid w:val="0"/>
          <w:kern w:val="22"/>
          <w:szCs w:val="22"/>
          <w:lang w:val="ru-RU"/>
        </w:rPr>
        <w:t>Сторон сообщили о наличии потенциала для принятия надлежащих мер реагирования в случае непреднамеренных трансграничных перемещений</w:t>
      </w:r>
      <w:r w:rsidR="004569FB" w:rsidRPr="00DB5643">
        <w:rPr>
          <w:snapToGrid w:val="0"/>
          <w:kern w:val="22"/>
          <w:szCs w:val="22"/>
          <w:lang w:val="ru-RU"/>
        </w:rPr>
        <w:t xml:space="preserve">, </w:t>
      </w:r>
      <w:r w:rsidR="009042CB" w:rsidRPr="00DB5643">
        <w:rPr>
          <w:snapToGrid w:val="0"/>
          <w:kern w:val="22"/>
          <w:szCs w:val="22"/>
          <w:lang w:val="ru-RU"/>
        </w:rPr>
        <w:t xml:space="preserve">что соответствует увеличению на </w:t>
      </w:r>
      <w:r w:rsidR="004569FB" w:rsidRPr="00DB5643">
        <w:rPr>
          <w:snapToGrid w:val="0"/>
          <w:kern w:val="22"/>
          <w:szCs w:val="22"/>
          <w:lang w:val="ru-RU"/>
        </w:rPr>
        <w:t>4</w:t>
      </w:r>
      <w:r w:rsidR="009042CB" w:rsidRPr="00DB5643">
        <w:rPr>
          <w:snapToGrid w:val="0"/>
          <w:kern w:val="22"/>
          <w:szCs w:val="22"/>
          <w:lang w:val="ru-RU"/>
        </w:rPr>
        <w:t> </w:t>
      </w:r>
      <w:r w:rsidR="004569FB" w:rsidRPr="00DB5643">
        <w:rPr>
          <w:snapToGrid w:val="0"/>
          <w:kern w:val="22"/>
          <w:szCs w:val="22"/>
          <w:lang w:val="ru-RU"/>
        </w:rPr>
        <w:t xml:space="preserve">% </w:t>
      </w:r>
      <w:r w:rsidR="009042CB" w:rsidRPr="00DB5643">
        <w:rPr>
          <w:snapToGrid w:val="0"/>
          <w:kern w:val="22"/>
          <w:szCs w:val="22"/>
          <w:lang w:val="ru-RU"/>
        </w:rPr>
        <w:t>по сравнению с исходным уровнем</w:t>
      </w:r>
      <w:r w:rsidR="004569FB" w:rsidRPr="00DB5643">
        <w:rPr>
          <w:snapToGrid w:val="0"/>
          <w:kern w:val="22"/>
          <w:szCs w:val="22"/>
          <w:lang w:val="ru-RU"/>
        </w:rPr>
        <w:t>.</w:t>
      </w:r>
      <w:r w:rsidR="009042CB" w:rsidRPr="00DB5643">
        <w:rPr>
          <w:snapToGrid w:val="0"/>
          <w:kern w:val="22"/>
          <w:szCs w:val="22"/>
          <w:lang w:val="ru-RU"/>
        </w:rPr>
        <w:t xml:space="preserve"> На региональном уровне данные следующие</w:t>
      </w:r>
      <w:r w:rsidR="004569FB" w:rsidRPr="00DB5643">
        <w:rPr>
          <w:snapToGrid w:val="0"/>
          <w:kern w:val="22"/>
          <w:szCs w:val="22"/>
          <w:lang w:val="ru-RU"/>
        </w:rPr>
        <w:t xml:space="preserve">: </w:t>
      </w:r>
      <w:r w:rsidR="009042CB" w:rsidRPr="00DB5643">
        <w:rPr>
          <w:snapToGrid w:val="0"/>
          <w:kern w:val="22"/>
          <w:szCs w:val="22"/>
          <w:lang w:val="ru-RU"/>
        </w:rPr>
        <w:t>Африка</w:t>
      </w:r>
      <w:r w:rsidR="004569FB" w:rsidRPr="00DB5643">
        <w:rPr>
          <w:snapToGrid w:val="0"/>
          <w:kern w:val="22"/>
          <w:szCs w:val="22"/>
          <w:lang w:val="ru-RU"/>
        </w:rPr>
        <w:t>: 53</w:t>
      </w:r>
      <w:r w:rsidR="009042CB" w:rsidRPr="00DB5643">
        <w:rPr>
          <w:snapToGrid w:val="0"/>
          <w:kern w:val="22"/>
          <w:szCs w:val="22"/>
          <w:lang w:val="en-US"/>
        </w:rPr>
        <w:t> </w:t>
      </w:r>
      <w:r w:rsidR="004569FB" w:rsidRPr="00DB5643">
        <w:rPr>
          <w:snapToGrid w:val="0"/>
          <w:kern w:val="22"/>
          <w:szCs w:val="22"/>
          <w:lang w:val="ru-RU"/>
        </w:rPr>
        <w:t>% (+16</w:t>
      </w:r>
      <w:r w:rsidR="009042CB" w:rsidRPr="00DB5643">
        <w:rPr>
          <w:snapToGrid w:val="0"/>
          <w:kern w:val="22"/>
          <w:szCs w:val="22"/>
          <w:lang w:val="en-US"/>
        </w:rPr>
        <w:t> </w:t>
      </w:r>
      <w:r w:rsidR="004569FB" w:rsidRPr="00DB5643">
        <w:rPr>
          <w:snapToGrid w:val="0"/>
          <w:kern w:val="22"/>
          <w:szCs w:val="22"/>
          <w:lang w:val="ru-RU"/>
        </w:rPr>
        <w:t xml:space="preserve">%); </w:t>
      </w:r>
      <w:r w:rsidR="009042CB" w:rsidRPr="00DB5643">
        <w:rPr>
          <w:snapToGrid w:val="0"/>
          <w:kern w:val="22"/>
          <w:szCs w:val="22"/>
          <w:lang w:val="ru-RU"/>
        </w:rPr>
        <w:t>Азиатско-Тихоокеанский регион</w:t>
      </w:r>
      <w:r w:rsidR="004569FB" w:rsidRPr="00DB5643">
        <w:rPr>
          <w:snapToGrid w:val="0"/>
          <w:kern w:val="22"/>
          <w:szCs w:val="22"/>
          <w:lang w:val="ru-RU"/>
        </w:rPr>
        <w:t>: 67</w:t>
      </w:r>
      <w:r w:rsidR="009042CB" w:rsidRPr="00DB5643">
        <w:rPr>
          <w:snapToGrid w:val="0"/>
          <w:kern w:val="22"/>
          <w:szCs w:val="22"/>
          <w:lang w:val="ru-RU"/>
        </w:rPr>
        <w:t> </w:t>
      </w:r>
      <w:r w:rsidR="004569FB" w:rsidRPr="00DB5643">
        <w:rPr>
          <w:snapToGrid w:val="0"/>
          <w:kern w:val="22"/>
          <w:szCs w:val="22"/>
          <w:lang w:val="ru-RU"/>
        </w:rPr>
        <w:t>% (</w:t>
      </w:r>
      <w:r w:rsidR="009042CB"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93</w:t>
      </w:r>
      <w:r w:rsidR="009042CB" w:rsidRPr="00DB5643">
        <w:rPr>
          <w:snapToGrid w:val="0"/>
          <w:kern w:val="22"/>
          <w:szCs w:val="22"/>
          <w:lang w:val="ru-RU"/>
        </w:rPr>
        <w:t> </w:t>
      </w:r>
      <w:r w:rsidR="004569FB" w:rsidRPr="00DB5643">
        <w:rPr>
          <w:snapToGrid w:val="0"/>
          <w:kern w:val="22"/>
          <w:szCs w:val="22"/>
          <w:lang w:val="ru-RU"/>
        </w:rPr>
        <w:t>% (+7</w:t>
      </w:r>
      <w:r w:rsidR="009042CB" w:rsidRPr="00DB5643">
        <w:rPr>
          <w:snapToGrid w:val="0"/>
          <w:kern w:val="22"/>
          <w:szCs w:val="22"/>
          <w:lang w:val="ru-RU"/>
        </w:rPr>
        <w:t> </w:t>
      </w:r>
      <w:r w:rsidR="004569FB" w:rsidRPr="00DB5643">
        <w:rPr>
          <w:snapToGrid w:val="0"/>
          <w:kern w:val="22"/>
          <w:szCs w:val="22"/>
          <w:lang w:val="ru-RU"/>
        </w:rPr>
        <w:t xml:space="preserve">%); </w:t>
      </w:r>
      <w:proofErr w:type="spellStart"/>
      <w:r w:rsidR="009042CB" w:rsidRPr="00DB5643">
        <w:rPr>
          <w:snapToGrid w:val="0"/>
          <w:kern w:val="22"/>
          <w:szCs w:val="22"/>
          <w:lang w:val="ru-RU"/>
        </w:rPr>
        <w:t>ГРУЛАК</w:t>
      </w:r>
      <w:proofErr w:type="spellEnd"/>
      <w:r w:rsidR="004569FB" w:rsidRPr="00DB5643">
        <w:rPr>
          <w:snapToGrid w:val="0"/>
          <w:kern w:val="22"/>
          <w:szCs w:val="22"/>
          <w:lang w:val="ru-RU"/>
        </w:rPr>
        <w:t>: 38</w:t>
      </w:r>
      <w:r w:rsidR="009042CB" w:rsidRPr="00DB5643">
        <w:rPr>
          <w:snapToGrid w:val="0"/>
          <w:kern w:val="22"/>
          <w:szCs w:val="22"/>
          <w:lang w:val="ru-RU"/>
        </w:rPr>
        <w:t> </w:t>
      </w:r>
      <w:r w:rsidR="004569FB" w:rsidRPr="00DB5643">
        <w:rPr>
          <w:snapToGrid w:val="0"/>
          <w:kern w:val="22"/>
          <w:szCs w:val="22"/>
          <w:lang w:val="ru-RU"/>
        </w:rPr>
        <w:t>% (-8</w:t>
      </w:r>
      <w:r w:rsidR="009042CB"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 100</w:t>
      </w:r>
      <w:r w:rsidR="009042CB" w:rsidRPr="00DB5643">
        <w:rPr>
          <w:snapToGrid w:val="0"/>
          <w:kern w:val="22"/>
          <w:szCs w:val="22"/>
          <w:lang w:val="ru-RU"/>
        </w:rPr>
        <w:t> </w:t>
      </w:r>
      <w:r w:rsidR="004569FB" w:rsidRPr="00DB5643">
        <w:rPr>
          <w:snapToGrid w:val="0"/>
          <w:kern w:val="22"/>
          <w:szCs w:val="22"/>
          <w:lang w:val="ru-RU"/>
        </w:rPr>
        <w:t>% (</w:t>
      </w:r>
      <w:r w:rsidR="009042CB" w:rsidRPr="00DB5643">
        <w:rPr>
          <w:snapToGrid w:val="0"/>
          <w:kern w:val="22"/>
          <w:szCs w:val="22"/>
          <w:lang w:val="ru-RU"/>
        </w:rPr>
        <w:t>без изменений по отношению к исходному уровню</w:t>
      </w:r>
      <w:r w:rsidR="004569FB" w:rsidRPr="00DB5643">
        <w:rPr>
          <w:snapToGrid w:val="0"/>
          <w:kern w:val="22"/>
          <w:szCs w:val="22"/>
          <w:lang w:val="ru-RU"/>
        </w:rPr>
        <w:t>).</w:t>
      </w:r>
    </w:p>
    <w:p w14:paraId="285E818C" w14:textId="589F6DD3" w:rsidR="004569FB" w:rsidRPr="00DB5643" w:rsidRDefault="00E925AF" w:rsidP="00F923B1">
      <w:pPr>
        <w:suppressLineNumbers/>
        <w:suppressAutoHyphens/>
        <w:spacing w:before="120" w:after="120"/>
        <w:jc w:val="left"/>
        <w:rPr>
          <w:snapToGrid w:val="0"/>
          <w:kern w:val="22"/>
          <w:szCs w:val="22"/>
        </w:rPr>
      </w:pPr>
      <w:r>
        <w:rPr>
          <w:noProof/>
          <w:kern w:val="22"/>
          <w:szCs w:val="22"/>
          <w:lang w:val="ru-RU" w:eastAsia="ru-RU"/>
        </w:rPr>
        <w:drawing>
          <wp:inline distT="0" distB="0" distL="0" distR="0" wp14:anchorId="2C622E46" wp14:editId="37F04848">
            <wp:extent cx="5948003" cy="34950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9318" cy="3495813"/>
                    </a:xfrm>
                    <a:prstGeom prst="rect">
                      <a:avLst/>
                    </a:prstGeom>
                    <a:noFill/>
                  </pic:spPr>
                </pic:pic>
              </a:graphicData>
            </a:graphic>
          </wp:inline>
        </w:drawing>
      </w:r>
    </w:p>
    <w:p w14:paraId="4C9CA4CF" w14:textId="2484585F" w:rsidR="004569FB" w:rsidRPr="00DB5643" w:rsidRDefault="009042CB" w:rsidP="00E925AF">
      <w:pPr>
        <w:keepNext/>
        <w:numPr>
          <w:ilvl w:val="0"/>
          <w:numId w:val="17"/>
        </w:numPr>
        <w:suppressLineNumbers/>
        <w:tabs>
          <w:tab w:val="clear" w:pos="2070"/>
          <w:tab w:val="left" w:pos="284"/>
        </w:tabs>
        <w:suppressAutoHyphens/>
        <w:spacing w:before="120" w:after="120"/>
        <w:ind w:left="709" w:hanging="709"/>
        <w:jc w:val="center"/>
        <w:outlineLvl w:val="1"/>
        <w:rPr>
          <w:b/>
          <w:iCs/>
          <w:snapToGrid w:val="0"/>
          <w:kern w:val="22"/>
          <w:szCs w:val="22"/>
          <w:lang w:val="ru-RU"/>
        </w:rPr>
      </w:pPr>
      <w:r w:rsidRPr="00DB5643">
        <w:rPr>
          <w:b/>
          <w:iCs/>
          <w:snapToGrid w:val="0"/>
          <w:kern w:val="22"/>
          <w:szCs w:val="22"/>
          <w:lang w:val="ru-RU"/>
        </w:rPr>
        <w:lastRenderedPageBreak/>
        <w:t xml:space="preserve">Обмен информацией (оперативные цели </w:t>
      </w:r>
      <w:r w:rsidR="004569FB" w:rsidRPr="00DB5643">
        <w:rPr>
          <w:b/>
          <w:iCs/>
          <w:snapToGrid w:val="0"/>
          <w:kern w:val="22"/>
          <w:szCs w:val="22"/>
          <w:lang w:val="ru-RU"/>
        </w:rPr>
        <w:t xml:space="preserve">2.6, 4.1 </w:t>
      </w:r>
      <w:r w:rsidRPr="00DB5643">
        <w:rPr>
          <w:b/>
          <w:iCs/>
          <w:snapToGrid w:val="0"/>
          <w:kern w:val="22"/>
          <w:szCs w:val="22"/>
          <w:lang w:val="ru-RU"/>
        </w:rPr>
        <w:t>и</w:t>
      </w:r>
      <w:r w:rsidR="004569FB" w:rsidRPr="00DB5643">
        <w:rPr>
          <w:b/>
          <w:iCs/>
          <w:snapToGrid w:val="0"/>
          <w:kern w:val="22"/>
          <w:szCs w:val="22"/>
          <w:lang w:val="ru-RU"/>
        </w:rPr>
        <w:t xml:space="preserve"> 4.2)</w:t>
      </w:r>
    </w:p>
    <w:p w14:paraId="306B87F2" w14:textId="52373AC2" w:rsidR="004569FB" w:rsidRPr="00DB5643" w:rsidRDefault="009042CB" w:rsidP="000A5388">
      <w:pPr>
        <w:keepNext/>
        <w:suppressLineNumbers/>
        <w:tabs>
          <w:tab w:val="left" w:pos="720"/>
        </w:tabs>
        <w:suppressAutoHyphens/>
        <w:spacing w:before="120" w:after="120"/>
        <w:textAlignment w:val="baseline"/>
        <w:outlineLvl w:val="2"/>
        <w:rPr>
          <w:b/>
          <w:iCs/>
          <w:snapToGrid w:val="0"/>
          <w:kern w:val="22"/>
          <w:szCs w:val="22"/>
        </w:rPr>
      </w:pPr>
      <w:r w:rsidRPr="00DB5643">
        <w:rPr>
          <w:b/>
          <w:iCs/>
          <w:snapToGrid w:val="0"/>
          <w:kern w:val="22"/>
          <w:szCs w:val="22"/>
          <w:lang w:val="ru-RU"/>
        </w:rPr>
        <w:t>Оперативная</w:t>
      </w:r>
      <w:r w:rsidRPr="00DB5643">
        <w:rPr>
          <w:b/>
          <w:iCs/>
          <w:snapToGrid w:val="0"/>
          <w:kern w:val="22"/>
          <w:szCs w:val="22"/>
          <w:lang w:val="en-US"/>
        </w:rPr>
        <w:t xml:space="preserve"> </w:t>
      </w:r>
      <w:r w:rsidRPr="00DB5643">
        <w:rPr>
          <w:b/>
          <w:iCs/>
          <w:snapToGrid w:val="0"/>
          <w:kern w:val="22"/>
          <w:szCs w:val="22"/>
          <w:lang w:val="ru-RU"/>
        </w:rPr>
        <w:t>цель</w:t>
      </w:r>
      <w:r w:rsidRPr="00DB5643">
        <w:rPr>
          <w:b/>
          <w:iCs/>
          <w:snapToGrid w:val="0"/>
          <w:kern w:val="22"/>
          <w:szCs w:val="22"/>
          <w:lang w:val="en-US"/>
        </w:rPr>
        <w:t xml:space="preserve"> </w:t>
      </w:r>
      <w:r w:rsidR="004569FB" w:rsidRPr="00DB5643">
        <w:rPr>
          <w:b/>
          <w:iCs/>
          <w:snapToGrid w:val="0"/>
          <w:kern w:val="22"/>
          <w:szCs w:val="22"/>
        </w:rPr>
        <w:t>2.6</w:t>
      </w:r>
      <w:r w:rsidRPr="00DB5643">
        <w:rPr>
          <w:b/>
          <w:iCs/>
          <w:snapToGrid w:val="0"/>
          <w:kern w:val="22"/>
          <w:szCs w:val="22"/>
          <w:lang w:val="en-US"/>
        </w:rPr>
        <w:t>.</w:t>
      </w:r>
      <w:r w:rsidR="004569FB" w:rsidRPr="00DB5643">
        <w:rPr>
          <w:b/>
          <w:iCs/>
          <w:snapToGrid w:val="0"/>
          <w:kern w:val="22"/>
          <w:szCs w:val="22"/>
        </w:rPr>
        <w:t xml:space="preserve"> </w:t>
      </w:r>
      <w:r w:rsidRPr="00DB5643">
        <w:rPr>
          <w:b/>
          <w:kern w:val="22"/>
          <w:lang w:val="ru-RU"/>
        </w:rPr>
        <w:t>Обмен информацией</w:t>
      </w:r>
    </w:p>
    <w:p w14:paraId="5EBECC48" w14:textId="17366928" w:rsidR="00E74131" w:rsidRPr="00DB5643" w:rsidRDefault="008F5B62"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Оперативная цель</w:t>
      </w:r>
      <w:r w:rsidR="00E13D8A" w:rsidRPr="00DB5643">
        <w:rPr>
          <w:snapToGrid w:val="0"/>
          <w:kern w:val="22"/>
          <w:szCs w:val="22"/>
          <w:lang w:val="ru-RU"/>
        </w:rPr>
        <w:t xml:space="preserve"> 2.6 </w:t>
      </w:r>
      <w:r w:rsidRPr="00DB5643">
        <w:rPr>
          <w:snapToGrid w:val="0"/>
          <w:kern w:val="22"/>
          <w:szCs w:val="22"/>
          <w:lang w:val="ru-RU"/>
        </w:rPr>
        <w:t>предусматривает обеспечение легкого доступа к Механизму посредничества по биобезопасности (</w:t>
      </w:r>
      <w:proofErr w:type="spellStart"/>
      <w:r w:rsidRPr="00DB5643">
        <w:rPr>
          <w:snapToGrid w:val="0"/>
          <w:kern w:val="22"/>
          <w:szCs w:val="22"/>
          <w:lang w:val="ru-RU"/>
        </w:rPr>
        <w:t>МПБ</w:t>
      </w:r>
      <w:proofErr w:type="spellEnd"/>
      <w:r w:rsidRPr="00DB5643">
        <w:rPr>
          <w:snapToGrid w:val="0"/>
          <w:kern w:val="22"/>
          <w:szCs w:val="22"/>
          <w:lang w:val="ru-RU"/>
        </w:rPr>
        <w:t>) для всех установленных субъектов деятельности, в частности, в развивающихся странах и в странах с переходной экономикой</w:t>
      </w:r>
      <w:r w:rsidR="00E13D8A" w:rsidRPr="00DB5643">
        <w:rPr>
          <w:snapToGrid w:val="0"/>
          <w:kern w:val="22"/>
          <w:szCs w:val="22"/>
          <w:lang w:val="ru-RU"/>
        </w:rPr>
        <w:t xml:space="preserve">. </w:t>
      </w:r>
      <w:r w:rsidRPr="00DB5643">
        <w:rPr>
          <w:snapToGrid w:val="0"/>
          <w:kern w:val="22"/>
          <w:szCs w:val="22"/>
          <w:lang w:val="ru-RU"/>
        </w:rPr>
        <w:t>Было установлено два индикатора для оценки результатов выполнения данной оперативной цели</w:t>
      </w:r>
      <w:r w:rsidR="00E13D8A" w:rsidRPr="00DB5643">
        <w:rPr>
          <w:snapToGrid w:val="0"/>
          <w:kern w:val="22"/>
          <w:szCs w:val="22"/>
          <w:lang w:val="ru-RU"/>
        </w:rPr>
        <w:t xml:space="preserve">. </w:t>
      </w:r>
      <w:r w:rsidRPr="00DB5643">
        <w:rPr>
          <w:snapToGrid w:val="0"/>
          <w:kern w:val="22"/>
          <w:szCs w:val="22"/>
          <w:lang w:val="ru-RU"/>
        </w:rPr>
        <w:t xml:space="preserve">Результаты, полученные через </w:t>
      </w:r>
      <w:proofErr w:type="spellStart"/>
      <w:r w:rsidRPr="00DB5643">
        <w:rPr>
          <w:snapToGrid w:val="0"/>
          <w:kern w:val="22"/>
          <w:szCs w:val="22"/>
          <w:lang w:val="ru-RU"/>
        </w:rPr>
        <w:t>МПБ</w:t>
      </w:r>
      <w:proofErr w:type="spellEnd"/>
      <w:r w:rsidRPr="00DB5643">
        <w:rPr>
          <w:snapToGrid w:val="0"/>
          <w:kern w:val="22"/>
          <w:szCs w:val="22"/>
          <w:lang w:val="ru-RU"/>
        </w:rPr>
        <w:t xml:space="preserve"> на конец четвертого отчетного цикла, при сопоставлении с исходным уровнем показывают следующее</w:t>
      </w:r>
      <w:r w:rsidR="00E13D8A" w:rsidRPr="00DB5643">
        <w:rPr>
          <w:snapToGrid w:val="0"/>
          <w:kern w:val="22"/>
          <w:szCs w:val="22"/>
          <w:lang w:val="ru-RU"/>
        </w:rPr>
        <w:t xml:space="preserve">. </w:t>
      </w:r>
    </w:p>
    <w:p w14:paraId="6DC678DE" w14:textId="5FFA1617" w:rsidR="00E74131" w:rsidRPr="00DB5643" w:rsidRDefault="008F5B62"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Что касается</w:t>
      </w:r>
      <w:r w:rsidR="00E13D8A" w:rsidRPr="00DB5643">
        <w:rPr>
          <w:snapToGrid w:val="0"/>
          <w:kern w:val="22"/>
          <w:szCs w:val="22"/>
          <w:lang w:val="ru-RU"/>
        </w:rPr>
        <w:t xml:space="preserve"> </w:t>
      </w:r>
      <w:r w:rsidRPr="00DB5643">
        <w:rPr>
          <w:b/>
          <w:bCs/>
          <w:snapToGrid w:val="0"/>
          <w:kern w:val="22"/>
          <w:szCs w:val="22"/>
          <w:lang w:val="ru-RU"/>
        </w:rPr>
        <w:t>индикатора</w:t>
      </w:r>
      <w:r w:rsidR="00E13D8A" w:rsidRPr="00DB5643">
        <w:rPr>
          <w:b/>
          <w:bCs/>
          <w:snapToGrid w:val="0"/>
          <w:kern w:val="22"/>
          <w:szCs w:val="22"/>
          <w:lang w:val="ru-RU"/>
        </w:rPr>
        <w:t xml:space="preserve"> 2.6.1</w:t>
      </w:r>
      <w:r w:rsidR="00E13D8A" w:rsidRPr="00DB5643">
        <w:rPr>
          <w:snapToGrid w:val="0"/>
          <w:kern w:val="22"/>
          <w:szCs w:val="22"/>
          <w:lang w:val="ru-RU"/>
        </w:rPr>
        <w:t xml:space="preserve"> (</w:t>
      </w:r>
      <w:r w:rsidR="00E347CC" w:rsidRPr="00DB5643">
        <w:rPr>
          <w:snapToGrid w:val="0"/>
          <w:kern w:val="22"/>
          <w:szCs w:val="22"/>
          <w:lang w:val="ru-RU"/>
        </w:rPr>
        <w:t xml:space="preserve">число материалов, представленных в </w:t>
      </w:r>
      <w:proofErr w:type="spellStart"/>
      <w:r w:rsidR="00E347CC" w:rsidRPr="00DB5643">
        <w:rPr>
          <w:snapToGrid w:val="0"/>
          <w:kern w:val="22"/>
          <w:szCs w:val="22"/>
          <w:lang w:val="ru-RU"/>
        </w:rPr>
        <w:t>МПБ</w:t>
      </w:r>
      <w:proofErr w:type="spellEnd"/>
      <w:r w:rsidR="00E347CC" w:rsidRPr="00DB5643">
        <w:rPr>
          <w:snapToGrid w:val="0"/>
          <w:kern w:val="22"/>
          <w:szCs w:val="22"/>
          <w:lang w:val="ru-RU"/>
        </w:rPr>
        <w:t xml:space="preserve"> развивающимися странами и странами с переходной экономикой</w:t>
      </w:r>
      <w:r w:rsidR="00E13D8A" w:rsidRPr="00DB5643">
        <w:rPr>
          <w:snapToGrid w:val="0"/>
          <w:kern w:val="22"/>
          <w:szCs w:val="22"/>
          <w:lang w:val="ru-RU"/>
        </w:rPr>
        <w:t xml:space="preserve">), </w:t>
      </w:r>
      <w:r w:rsidR="00E347CC" w:rsidRPr="00DB5643">
        <w:rPr>
          <w:snapToGrid w:val="0"/>
          <w:kern w:val="22"/>
          <w:szCs w:val="22"/>
          <w:lang w:val="ru-RU"/>
        </w:rPr>
        <w:t xml:space="preserve">число представленных национальных записей в </w:t>
      </w:r>
      <w:proofErr w:type="spellStart"/>
      <w:r w:rsidR="00E347CC" w:rsidRPr="00DB5643">
        <w:rPr>
          <w:snapToGrid w:val="0"/>
          <w:kern w:val="22"/>
          <w:szCs w:val="22"/>
          <w:lang w:val="ru-RU"/>
        </w:rPr>
        <w:t>МПБ</w:t>
      </w:r>
      <w:proofErr w:type="spellEnd"/>
      <w:r w:rsidR="00E13D8A" w:rsidRPr="00DB5643">
        <w:rPr>
          <w:snapToGrid w:val="0"/>
          <w:kern w:val="22"/>
          <w:szCs w:val="22"/>
          <w:lang w:val="ru-RU"/>
        </w:rPr>
        <w:t xml:space="preserve"> </w:t>
      </w:r>
      <w:r w:rsidR="00E347CC" w:rsidRPr="00DB5643">
        <w:rPr>
          <w:snapToGrid w:val="0"/>
          <w:kern w:val="22"/>
          <w:szCs w:val="22"/>
          <w:lang w:val="ru-RU"/>
        </w:rPr>
        <w:t xml:space="preserve">развивающимися странами и странами с переходной экономикой увеличилось с </w:t>
      </w:r>
      <w:r w:rsidR="00E13D8A" w:rsidRPr="00DB5643">
        <w:rPr>
          <w:snapToGrid w:val="0"/>
          <w:kern w:val="22"/>
          <w:szCs w:val="22"/>
          <w:lang w:val="ru-RU"/>
        </w:rPr>
        <w:t>1445</w:t>
      </w:r>
      <w:r w:rsidR="00E347CC" w:rsidRPr="00DB5643">
        <w:rPr>
          <w:snapToGrid w:val="0"/>
          <w:kern w:val="22"/>
          <w:szCs w:val="22"/>
          <w:lang w:val="ru-RU"/>
        </w:rPr>
        <w:t xml:space="preserve"> по состоянию на </w:t>
      </w:r>
      <w:r w:rsidR="00E13D8A" w:rsidRPr="00DB5643">
        <w:rPr>
          <w:snapToGrid w:val="0"/>
          <w:kern w:val="22"/>
          <w:szCs w:val="22"/>
          <w:lang w:val="ru-RU"/>
        </w:rPr>
        <w:t xml:space="preserve">1 </w:t>
      </w:r>
      <w:r w:rsidR="00E347CC" w:rsidRPr="00DB5643">
        <w:rPr>
          <w:snapToGrid w:val="0"/>
          <w:kern w:val="22"/>
          <w:szCs w:val="22"/>
          <w:lang w:val="ru-RU"/>
        </w:rPr>
        <w:t>января</w:t>
      </w:r>
      <w:r w:rsidR="00E13D8A" w:rsidRPr="00DB5643">
        <w:rPr>
          <w:snapToGrid w:val="0"/>
          <w:kern w:val="22"/>
          <w:szCs w:val="22"/>
          <w:lang w:val="ru-RU"/>
        </w:rPr>
        <w:t xml:space="preserve"> 2012</w:t>
      </w:r>
      <w:r w:rsidR="00E347CC" w:rsidRPr="00DB5643">
        <w:rPr>
          <w:snapToGrid w:val="0"/>
          <w:kern w:val="22"/>
          <w:szCs w:val="22"/>
          <w:lang w:val="ru-RU"/>
        </w:rPr>
        <w:t xml:space="preserve"> года до</w:t>
      </w:r>
      <w:r w:rsidR="00E13D8A" w:rsidRPr="00DB5643">
        <w:rPr>
          <w:snapToGrid w:val="0"/>
          <w:kern w:val="22"/>
          <w:szCs w:val="22"/>
          <w:lang w:val="ru-RU"/>
        </w:rPr>
        <w:t xml:space="preserve"> 4438 </w:t>
      </w:r>
      <w:r w:rsidR="00E347CC" w:rsidRPr="00DB5643">
        <w:rPr>
          <w:snapToGrid w:val="0"/>
          <w:kern w:val="22"/>
          <w:szCs w:val="22"/>
          <w:lang w:val="ru-RU"/>
        </w:rPr>
        <w:t xml:space="preserve">по состоянию на 1 января </w:t>
      </w:r>
      <w:r w:rsidR="00E13D8A" w:rsidRPr="00DB5643">
        <w:rPr>
          <w:snapToGrid w:val="0"/>
          <w:kern w:val="22"/>
          <w:szCs w:val="22"/>
          <w:lang w:val="ru-RU"/>
        </w:rPr>
        <w:t>2020</w:t>
      </w:r>
      <w:r w:rsidR="00E347CC" w:rsidRPr="00DB5643">
        <w:rPr>
          <w:snapToGrid w:val="0"/>
          <w:kern w:val="22"/>
          <w:szCs w:val="22"/>
          <w:lang w:val="ru-RU"/>
        </w:rPr>
        <w:t xml:space="preserve"> года</w:t>
      </w:r>
      <w:r w:rsidR="00E13D8A" w:rsidRPr="00DB5643">
        <w:rPr>
          <w:snapToGrid w:val="0"/>
          <w:kern w:val="22"/>
          <w:szCs w:val="22"/>
          <w:lang w:val="ru-RU"/>
        </w:rPr>
        <w:t xml:space="preserve">. </w:t>
      </w:r>
      <w:r w:rsidR="00E347CC" w:rsidRPr="00DB5643">
        <w:rPr>
          <w:snapToGrid w:val="0"/>
          <w:kern w:val="22"/>
          <w:szCs w:val="22"/>
          <w:lang w:val="ru-RU"/>
        </w:rPr>
        <w:t>На исходном уровне числе материалов, представленных развивающимися странами и странами с переходной экономикой,</w:t>
      </w:r>
      <w:r w:rsidR="00E13D8A" w:rsidRPr="00DB5643">
        <w:rPr>
          <w:snapToGrid w:val="0"/>
          <w:kern w:val="22"/>
          <w:szCs w:val="22"/>
          <w:lang w:val="ru-RU"/>
        </w:rPr>
        <w:t xml:space="preserve"> </w:t>
      </w:r>
      <w:r w:rsidR="00E347CC" w:rsidRPr="00DB5643">
        <w:rPr>
          <w:snapToGrid w:val="0"/>
          <w:kern w:val="22"/>
          <w:szCs w:val="22"/>
          <w:lang w:val="ru-RU"/>
        </w:rPr>
        <w:t>составляло</w:t>
      </w:r>
      <w:r w:rsidR="00E13D8A" w:rsidRPr="00DB5643">
        <w:rPr>
          <w:snapToGrid w:val="0"/>
          <w:kern w:val="22"/>
          <w:szCs w:val="22"/>
          <w:lang w:val="ru-RU"/>
        </w:rPr>
        <w:t xml:space="preserve"> 51</w:t>
      </w:r>
      <w:r w:rsidR="00E347CC" w:rsidRPr="00DB5643">
        <w:rPr>
          <w:snapToGrid w:val="0"/>
          <w:kern w:val="22"/>
          <w:szCs w:val="22"/>
          <w:lang w:val="ru-RU"/>
        </w:rPr>
        <w:t> </w:t>
      </w:r>
      <w:r w:rsidR="00E13D8A" w:rsidRPr="00DB5643">
        <w:rPr>
          <w:snapToGrid w:val="0"/>
          <w:kern w:val="22"/>
          <w:szCs w:val="22"/>
          <w:lang w:val="ru-RU"/>
        </w:rPr>
        <w:t xml:space="preserve">% </w:t>
      </w:r>
      <w:r w:rsidR="00E347CC" w:rsidRPr="00DB5643">
        <w:rPr>
          <w:snapToGrid w:val="0"/>
          <w:kern w:val="22"/>
          <w:szCs w:val="22"/>
          <w:lang w:val="ru-RU"/>
        </w:rPr>
        <w:t>всех представленных материалов</w:t>
      </w:r>
      <w:r w:rsidR="00E13D8A" w:rsidRPr="00DB5643">
        <w:rPr>
          <w:snapToGrid w:val="0"/>
          <w:kern w:val="22"/>
          <w:szCs w:val="22"/>
          <w:lang w:val="ru-RU"/>
        </w:rPr>
        <w:t xml:space="preserve">. </w:t>
      </w:r>
      <w:r w:rsidR="00E347CC" w:rsidRPr="00DB5643">
        <w:rPr>
          <w:snapToGrid w:val="0"/>
          <w:kern w:val="22"/>
          <w:szCs w:val="22"/>
          <w:lang w:val="ru-RU"/>
        </w:rPr>
        <w:t>Этот показатель увеличился до</w:t>
      </w:r>
      <w:r w:rsidR="00E13D8A" w:rsidRPr="00DB5643">
        <w:rPr>
          <w:snapToGrid w:val="0"/>
          <w:kern w:val="22"/>
          <w:szCs w:val="22"/>
          <w:lang w:val="ru-RU"/>
        </w:rPr>
        <w:t xml:space="preserve"> 66</w:t>
      </w:r>
      <w:r w:rsidR="00E347CC" w:rsidRPr="00DB5643">
        <w:rPr>
          <w:snapToGrid w:val="0"/>
          <w:kern w:val="22"/>
          <w:szCs w:val="22"/>
          <w:lang w:val="en-US"/>
        </w:rPr>
        <w:t> </w:t>
      </w:r>
      <w:r w:rsidR="00E13D8A" w:rsidRPr="00DB5643">
        <w:rPr>
          <w:snapToGrid w:val="0"/>
          <w:kern w:val="22"/>
          <w:szCs w:val="22"/>
          <w:lang w:val="ru-RU"/>
        </w:rPr>
        <w:t xml:space="preserve">% </w:t>
      </w:r>
      <w:r w:rsidR="00E347CC" w:rsidRPr="00DB5643">
        <w:rPr>
          <w:snapToGrid w:val="0"/>
          <w:kern w:val="22"/>
          <w:szCs w:val="22"/>
          <w:lang w:val="ru-RU"/>
        </w:rPr>
        <w:t>к</w:t>
      </w:r>
      <w:r w:rsidR="00E13D8A" w:rsidRPr="00DB5643">
        <w:rPr>
          <w:snapToGrid w:val="0"/>
          <w:kern w:val="22"/>
          <w:szCs w:val="22"/>
          <w:lang w:val="ru-RU"/>
        </w:rPr>
        <w:t xml:space="preserve"> 1 </w:t>
      </w:r>
      <w:r w:rsidR="00E347CC" w:rsidRPr="00DB5643">
        <w:rPr>
          <w:snapToGrid w:val="0"/>
          <w:kern w:val="22"/>
          <w:szCs w:val="22"/>
          <w:lang w:val="ru-RU"/>
        </w:rPr>
        <w:t>января</w:t>
      </w:r>
      <w:r w:rsidR="00E13D8A" w:rsidRPr="00DB5643">
        <w:rPr>
          <w:snapToGrid w:val="0"/>
          <w:kern w:val="22"/>
          <w:szCs w:val="22"/>
          <w:lang w:val="ru-RU"/>
        </w:rPr>
        <w:t xml:space="preserve"> 2020</w:t>
      </w:r>
      <w:r w:rsidR="00E347CC" w:rsidRPr="00DB5643">
        <w:rPr>
          <w:snapToGrid w:val="0"/>
          <w:kern w:val="22"/>
          <w:szCs w:val="22"/>
          <w:lang w:val="ru-RU"/>
        </w:rPr>
        <w:t xml:space="preserve"> года</w:t>
      </w:r>
      <w:r w:rsidR="00E13D8A" w:rsidRPr="00DB5643">
        <w:rPr>
          <w:snapToGrid w:val="0"/>
          <w:kern w:val="22"/>
          <w:szCs w:val="22"/>
          <w:lang w:val="ru-RU"/>
        </w:rPr>
        <w:t xml:space="preserve">, </w:t>
      </w:r>
      <w:r w:rsidR="00E347CC" w:rsidRPr="00DB5643">
        <w:rPr>
          <w:snapToGrid w:val="0"/>
          <w:kern w:val="22"/>
          <w:szCs w:val="22"/>
          <w:lang w:val="ru-RU"/>
        </w:rPr>
        <w:t>что соответствует росту доли</w:t>
      </w:r>
      <w:r w:rsidR="008B2874" w:rsidRPr="00DB5643">
        <w:rPr>
          <w:snapToGrid w:val="0"/>
          <w:kern w:val="22"/>
          <w:szCs w:val="22"/>
          <w:lang w:val="ru-RU"/>
        </w:rPr>
        <w:t xml:space="preserve"> представленных национальных записей развивающимися странами и странами с переходной экономикой</w:t>
      </w:r>
      <w:r w:rsidR="00E347CC" w:rsidRPr="00DB5643">
        <w:rPr>
          <w:snapToGrid w:val="0"/>
          <w:kern w:val="22"/>
          <w:szCs w:val="22"/>
          <w:lang w:val="ru-RU"/>
        </w:rPr>
        <w:t xml:space="preserve"> </w:t>
      </w:r>
      <w:r w:rsidR="008B2874" w:rsidRPr="00DB5643">
        <w:rPr>
          <w:snapToGrid w:val="0"/>
          <w:kern w:val="22"/>
          <w:szCs w:val="22"/>
          <w:lang w:val="ru-RU"/>
        </w:rPr>
        <w:t xml:space="preserve">на </w:t>
      </w:r>
      <w:r w:rsidR="00E13D8A" w:rsidRPr="00DB5643">
        <w:rPr>
          <w:snapToGrid w:val="0"/>
          <w:kern w:val="22"/>
          <w:szCs w:val="22"/>
          <w:lang w:val="ru-RU"/>
        </w:rPr>
        <w:t>15</w:t>
      </w:r>
      <w:r w:rsidR="008B2874" w:rsidRPr="00DB5643">
        <w:rPr>
          <w:snapToGrid w:val="0"/>
          <w:kern w:val="22"/>
          <w:szCs w:val="22"/>
          <w:lang w:val="ru-RU"/>
        </w:rPr>
        <w:t> </w:t>
      </w:r>
      <w:r w:rsidR="00E13D8A" w:rsidRPr="00DB5643">
        <w:rPr>
          <w:snapToGrid w:val="0"/>
          <w:kern w:val="22"/>
          <w:szCs w:val="22"/>
          <w:lang w:val="ru-RU"/>
        </w:rPr>
        <w:t>%.</w:t>
      </w:r>
    </w:p>
    <w:p w14:paraId="1B8FB35F" w14:textId="0B394A58" w:rsidR="004569FB" w:rsidRPr="00DB5643" w:rsidRDefault="008B2874" w:rsidP="00B44100">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lang w:val="ru-RU"/>
        </w:rPr>
      </w:pPr>
      <w:r w:rsidRPr="00DB5643">
        <w:rPr>
          <w:snapToGrid w:val="0"/>
          <w:kern w:val="22"/>
          <w:szCs w:val="22"/>
          <w:lang w:val="ru-RU"/>
        </w:rPr>
        <w:t>Что касается</w:t>
      </w:r>
      <w:r w:rsidR="00E13D8A" w:rsidRPr="00DB5643">
        <w:rPr>
          <w:snapToGrid w:val="0"/>
          <w:kern w:val="22"/>
          <w:szCs w:val="22"/>
          <w:lang w:val="ru-RU"/>
        </w:rPr>
        <w:t xml:space="preserve"> </w:t>
      </w:r>
      <w:r w:rsidRPr="00DB5643">
        <w:rPr>
          <w:b/>
          <w:bCs/>
          <w:snapToGrid w:val="0"/>
          <w:kern w:val="22"/>
          <w:szCs w:val="22"/>
          <w:lang w:val="ru-RU"/>
        </w:rPr>
        <w:t>индикатора</w:t>
      </w:r>
      <w:r w:rsidR="00E13D8A" w:rsidRPr="00DB5643">
        <w:rPr>
          <w:b/>
          <w:bCs/>
          <w:snapToGrid w:val="0"/>
          <w:kern w:val="22"/>
          <w:szCs w:val="22"/>
          <w:lang w:val="ru-RU"/>
        </w:rPr>
        <w:t xml:space="preserve"> 2.6.2</w:t>
      </w:r>
      <w:r w:rsidR="00E13D8A" w:rsidRPr="00DB5643">
        <w:rPr>
          <w:snapToGrid w:val="0"/>
          <w:kern w:val="22"/>
          <w:szCs w:val="22"/>
          <w:lang w:val="ru-RU"/>
        </w:rPr>
        <w:t xml:space="preserve"> (</w:t>
      </w:r>
      <w:r w:rsidRPr="00DB5643">
        <w:rPr>
          <w:snapToGrid w:val="0"/>
          <w:kern w:val="22"/>
          <w:szCs w:val="22"/>
          <w:lang w:val="ru-RU"/>
        </w:rPr>
        <w:t xml:space="preserve">объем трафика (среднегодовая величина по всем отчетным периодам) </w:t>
      </w:r>
      <w:r w:rsidR="00532796" w:rsidRPr="00DB5643">
        <w:rPr>
          <w:snapToGrid w:val="0"/>
          <w:kern w:val="22"/>
          <w:szCs w:val="22"/>
          <w:lang w:val="ru-RU"/>
        </w:rPr>
        <w:t xml:space="preserve">пользователей </w:t>
      </w:r>
      <w:proofErr w:type="spellStart"/>
      <w:r w:rsidRPr="00DB5643">
        <w:rPr>
          <w:snapToGrid w:val="0"/>
          <w:kern w:val="22"/>
          <w:szCs w:val="22"/>
          <w:lang w:val="ru-RU"/>
        </w:rPr>
        <w:t>МПБ</w:t>
      </w:r>
      <w:proofErr w:type="spellEnd"/>
      <w:r w:rsidRPr="00DB5643">
        <w:rPr>
          <w:snapToGrid w:val="0"/>
          <w:kern w:val="22"/>
          <w:szCs w:val="22"/>
          <w:lang w:val="ru-RU"/>
        </w:rPr>
        <w:t xml:space="preserve"> из развивающихся стран и стран с переходной экономикой</w:t>
      </w:r>
      <w:r w:rsidR="00E13D8A" w:rsidRPr="00DB5643">
        <w:rPr>
          <w:snapToGrid w:val="0"/>
          <w:kern w:val="22"/>
          <w:szCs w:val="22"/>
          <w:lang w:val="ru-RU"/>
        </w:rPr>
        <w:t xml:space="preserve">), </w:t>
      </w:r>
      <w:r w:rsidR="00532796" w:rsidRPr="00DB5643">
        <w:rPr>
          <w:snapToGrid w:val="0"/>
          <w:kern w:val="22"/>
          <w:szCs w:val="22"/>
          <w:lang w:val="ru-RU"/>
        </w:rPr>
        <w:t>объем трафика</w:t>
      </w:r>
      <w:r w:rsidR="00E13D8A" w:rsidRPr="00DB5643">
        <w:rPr>
          <w:snapToGrid w:val="0"/>
          <w:kern w:val="22"/>
          <w:szCs w:val="22"/>
          <w:lang w:val="ru-RU"/>
        </w:rPr>
        <w:t xml:space="preserve"> (</w:t>
      </w:r>
      <w:r w:rsidR="00532796" w:rsidRPr="00DB5643">
        <w:rPr>
          <w:snapToGrid w:val="0"/>
          <w:kern w:val="22"/>
          <w:szCs w:val="22"/>
          <w:lang w:val="ru-RU"/>
        </w:rPr>
        <w:t>среднегодовая величина по всем отчетным периодам</w:t>
      </w:r>
      <w:r w:rsidR="00E13D8A" w:rsidRPr="00DB5643">
        <w:rPr>
          <w:snapToGrid w:val="0"/>
          <w:kern w:val="22"/>
          <w:szCs w:val="22"/>
          <w:lang w:val="ru-RU"/>
        </w:rPr>
        <w:t xml:space="preserve">) </w:t>
      </w:r>
      <w:r w:rsidR="00532796" w:rsidRPr="00DB5643">
        <w:rPr>
          <w:snapToGrid w:val="0"/>
          <w:kern w:val="22"/>
          <w:szCs w:val="22"/>
          <w:lang w:val="ru-RU"/>
        </w:rPr>
        <w:t xml:space="preserve">пользователей </w:t>
      </w:r>
      <w:proofErr w:type="spellStart"/>
      <w:r w:rsidR="00532796" w:rsidRPr="00DB5643">
        <w:rPr>
          <w:snapToGrid w:val="0"/>
          <w:kern w:val="22"/>
          <w:szCs w:val="22"/>
          <w:lang w:val="ru-RU"/>
        </w:rPr>
        <w:t>МПБ</w:t>
      </w:r>
      <w:proofErr w:type="spellEnd"/>
      <w:r w:rsidR="00532796" w:rsidRPr="00DB5643">
        <w:rPr>
          <w:snapToGrid w:val="0"/>
          <w:kern w:val="22"/>
          <w:szCs w:val="22"/>
          <w:lang w:val="ru-RU"/>
        </w:rPr>
        <w:t xml:space="preserve"> из развивающихся стран и стран с переходной экономикой увеличился с </w:t>
      </w:r>
      <w:r w:rsidR="00E13D8A" w:rsidRPr="00DB5643">
        <w:rPr>
          <w:snapToGrid w:val="0"/>
          <w:kern w:val="22"/>
          <w:szCs w:val="22"/>
          <w:lang w:val="ru-RU"/>
        </w:rPr>
        <w:t>65</w:t>
      </w:r>
      <w:r w:rsidR="00532796" w:rsidRPr="00DB5643">
        <w:rPr>
          <w:snapToGrid w:val="0"/>
          <w:kern w:val="22"/>
          <w:szCs w:val="22"/>
          <w:lang w:val="ru-RU"/>
        </w:rPr>
        <w:t> </w:t>
      </w:r>
      <w:r w:rsidR="00E13D8A" w:rsidRPr="00DB5643">
        <w:rPr>
          <w:snapToGrid w:val="0"/>
          <w:kern w:val="22"/>
          <w:szCs w:val="22"/>
          <w:lang w:val="ru-RU"/>
        </w:rPr>
        <w:t xml:space="preserve">327 </w:t>
      </w:r>
      <w:r w:rsidR="00532796" w:rsidRPr="00DB5643">
        <w:rPr>
          <w:snapToGrid w:val="0"/>
          <w:kern w:val="22"/>
          <w:szCs w:val="22"/>
          <w:lang w:val="ru-RU"/>
        </w:rPr>
        <w:t>посещений</w:t>
      </w:r>
      <w:r w:rsidR="00E13D8A" w:rsidRPr="00DB5643">
        <w:rPr>
          <w:snapToGrid w:val="0"/>
          <w:kern w:val="22"/>
          <w:szCs w:val="22"/>
          <w:lang w:val="ru-RU"/>
        </w:rPr>
        <w:t xml:space="preserve"> </w:t>
      </w:r>
      <w:r w:rsidR="00532796" w:rsidRPr="00DB5643">
        <w:rPr>
          <w:snapToGrid w:val="0"/>
          <w:kern w:val="22"/>
          <w:szCs w:val="22"/>
          <w:lang w:val="ru-RU"/>
        </w:rPr>
        <w:t>и</w:t>
      </w:r>
      <w:r w:rsidR="00E13D8A" w:rsidRPr="00DB5643">
        <w:rPr>
          <w:snapToGrid w:val="0"/>
          <w:kern w:val="22"/>
          <w:szCs w:val="22"/>
          <w:lang w:val="ru-RU"/>
        </w:rPr>
        <w:t xml:space="preserve"> 39</w:t>
      </w:r>
      <w:r w:rsidR="00532796" w:rsidRPr="00DB5643">
        <w:rPr>
          <w:snapToGrid w:val="0"/>
          <w:kern w:val="22"/>
          <w:szCs w:val="22"/>
          <w:lang w:val="ru-RU"/>
        </w:rPr>
        <w:t> </w:t>
      </w:r>
      <w:r w:rsidR="00E13D8A" w:rsidRPr="00DB5643">
        <w:rPr>
          <w:snapToGrid w:val="0"/>
          <w:kern w:val="22"/>
          <w:szCs w:val="22"/>
          <w:lang w:val="ru-RU"/>
        </w:rPr>
        <w:t xml:space="preserve">275 </w:t>
      </w:r>
      <w:r w:rsidR="00532796" w:rsidRPr="00DB5643">
        <w:rPr>
          <w:snapToGrid w:val="0"/>
          <w:kern w:val="22"/>
          <w:szCs w:val="22"/>
          <w:lang w:val="ru-RU"/>
        </w:rPr>
        <w:t>уникальных посетителей</w:t>
      </w:r>
      <w:r w:rsidR="00E13D8A" w:rsidRPr="00DB5643">
        <w:rPr>
          <w:snapToGrid w:val="0"/>
          <w:kern w:val="22"/>
          <w:szCs w:val="22"/>
          <w:lang w:val="ru-RU"/>
        </w:rPr>
        <w:t xml:space="preserve"> </w:t>
      </w:r>
      <w:r w:rsidR="00532796" w:rsidRPr="00DB5643">
        <w:rPr>
          <w:snapToGrid w:val="0"/>
          <w:kern w:val="22"/>
          <w:szCs w:val="22"/>
          <w:lang w:val="ru-RU"/>
        </w:rPr>
        <w:t>в год до</w:t>
      </w:r>
      <w:r w:rsidR="00E13D8A" w:rsidRPr="00DB5643">
        <w:rPr>
          <w:snapToGrid w:val="0"/>
          <w:kern w:val="22"/>
          <w:szCs w:val="22"/>
          <w:lang w:val="ru-RU"/>
        </w:rPr>
        <w:t xml:space="preserve"> 106</w:t>
      </w:r>
      <w:r w:rsidR="00532796" w:rsidRPr="00DB5643">
        <w:rPr>
          <w:snapToGrid w:val="0"/>
          <w:kern w:val="22"/>
          <w:szCs w:val="22"/>
          <w:lang w:val="ru-RU"/>
        </w:rPr>
        <w:t> </w:t>
      </w:r>
      <w:r w:rsidR="00E13D8A" w:rsidRPr="00DB5643">
        <w:rPr>
          <w:snapToGrid w:val="0"/>
          <w:kern w:val="22"/>
          <w:szCs w:val="22"/>
          <w:lang w:val="ru-RU"/>
        </w:rPr>
        <w:t xml:space="preserve">996 </w:t>
      </w:r>
      <w:r w:rsidR="00532796" w:rsidRPr="00DB5643">
        <w:rPr>
          <w:snapToGrid w:val="0"/>
          <w:kern w:val="22"/>
          <w:szCs w:val="22"/>
          <w:lang w:val="ru-RU"/>
        </w:rPr>
        <w:t xml:space="preserve">посещений и </w:t>
      </w:r>
      <w:r w:rsidR="00E13D8A" w:rsidRPr="00DB5643">
        <w:rPr>
          <w:snapToGrid w:val="0"/>
          <w:kern w:val="22"/>
          <w:szCs w:val="22"/>
          <w:lang w:val="ru-RU"/>
        </w:rPr>
        <w:t>68</w:t>
      </w:r>
      <w:r w:rsidR="00532796" w:rsidRPr="00DB5643">
        <w:rPr>
          <w:snapToGrid w:val="0"/>
          <w:kern w:val="22"/>
          <w:szCs w:val="22"/>
          <w:lang w:val="ru-RU"/>
        </w:rPr>
        <w:t> </w:t>
      </w:r>
      <w:r w:rsidR="00E13D8A" w:rsidRPr="00DB5643">
        <w:rPr>
          <w:snapToGrid w:val="0"/>
          <w:kern w:val="22"/>
          <w:szCs w:val="22"/>
          <w:lang w:val="ru-RU"/>
        </w:rPr>
        <w:t xml:space="preserve">832 </w:t>
      </w:r>
      <w:r w:rsidR="00532796" w:rsidRPr="00DB5643">
        <w:rPr>
          <w:snapToGrid w:val="0"/>
          <w:kern w:val="22"/>
          <w:szCs w:val="22"/>
          <w:lang w:val="ru-RU"/>
        </w:rPr>
        <w:t>уникальных посетителей в год</w:t>
      </w:r>
      <w:r w:rsidR="00E13D8A" w:rsidRPr="00DB5643">
        <w:rPr>
          <w:snapToGrid w:val="0"/>
          <w:kern w:val="22"/>
          <w:szCs w:val="22"/>
          <w:lang w:val="ru-RU"/>
        </w:rPr>
        <w:t>,</w:t>
      </w:r>
      <w:r w:rsidR="00532796" w:rsidRPr="00DB5643">
        <w:rPr>
          <w:snapToGrid w:val="0"/>
          <w:kern w:val="22"/>
          <w:szCs w:val="22"/>
          <w:lang w:val="ru-RU"/>
        </w:rPr>
        <w:t xml:space="preserve"> что составляет значительное увеличение на </w:t>
      </w:r>
      <w:r w:rsidR="00E13D8A" w:rsidRPr="00DB5643">
        <w:rPr>
          <w:snapToGrid w:val="0"/>
          <w:kern w:val="22"/>
          <w:szCs w:val="22"/>
          <w:lang w:val="ru-RU"/>
        </w:rPr>
        <w:t>64</w:t>
      </w:r>
      <w:r w:rsidR="00532796" w:rsidRPr="00DB5643">
        <w:rPr>
          <w:snapToGrid w:val="0"/>
          <w:kern w:val="22"/>
          <w:szCs w:val="22"/>
          <w:lang w:val="ru-RU"/>
        </w:rPr>
        <w:t> </w:t>
      </w:r>
      <w:r w:rsidR="00E13D8A" w:rsidRPr="00DB5643">
        <w:rPr>
          <w:snapToGrid w:val="0"/>
          <w:kern w:val="22"/>
          <w:szCs w:val="22"/>
          <w:lang w:val="ru-RU"/>
        </w:rPr>
        <w:t xml:space="preserve">% </w:t>
      </w:r>
      <w:r w:rsidR="00532796" w:rsidRPr="00DB5643">
        <w:rPr>
          <w:snapToGrid w:val="0"/>
          <w:kern w:val="22"/>
          <w:szCs w:val="22"/>
          <w:lang w:val="ru-RU"/>
        </w:rPr>
        <w:t>числа посещений и на</w:t>
      </w:r>
      <w:r w:rsidR="00E13D8A" w:rsidRPr="00DB5643">
        <w:rPr>
          <w:snapToGrid w:val="0"/>
          <w:kern w:val="22"/>
          <w:szCs w:val="22"/>
          <w:lang w:val="ru-RU"/>
        </w:rPr>
        <w:t xml:space="preserve"> 75</w:t>
      </w:r>
      <w:r w:rsidR="00532796" w:rsidRPr="00DB5643">
        <w:rPr>
          <w:snapToGrid w:val="0"/>
          <w:kern w:val="22"/>
          <w:szCs w:val="22"/>
          <w:lang w:val="ru-RU"/>
        </w:rPr>
        <w:t> </w:t>
      </w:r>
      <w:r w:rsidR="00E13D8A" w:rsidRPr="00DB5643">
        <w:rPr>
          <w:snapToGrid w:val="0"/>
          <w:kern w:val="22"/>
          <w:szCs w:val="22"/>
          <w:lang w:val="ru-RU"/>
        </w:rPr>
        <w:t xml:space="preserve">% </w:t>
      </w:r>
      <w:r w:rsidR="00532796" w:rsidRPr="00DB5643">
        <w:rPr>
          <w:snapToGrid w:val="0"/>
          <w:kern w:val="22"/>
          <w:szCs w:val="22"/>
          <w:lang w:val="ru-RU"/>
        </w:rPr>
        <w:t>числа уникальных посетителей из развивающихся стран и стран с переходной экономикой</w:t>
      </w:r>
      <w:r w:rsidR="00A44925" w:rsidRPr="00DB5643">
        <w:rPr>
          <w:rStyle w:val="ac"/>
          <w:snapToGrid w:val="0"/>
          <w:kern w:val="22"/>
          <w:szCs w:val="22"/>
        </w:rPr>
        <w:footnoteReference w:id="35"/>
      </w:r>
      <w:r w:rsidR="00532796" w:rsidRPr="00DB5643">
        <w:rPr>
          <w:snapToGrid w:val="0"/>
          <w:kern w:val="22"/>
          <w:szCs w:val="22"/>
          <w:lang w:val="ru-RU"/>
        </w:rPr>
        <w:t>.</w:t>
      </w:r>
    </w:p>
    <w:p w14:paraId="72E0F7CF" w14:textId="0377793C" w:rsidR="004569FB" w:rsidRPr="00DB5643" w:rsidRDefault="001A3AC3" w:rsidP="00CB3D4F">
      <w:pPr>
        <w:pStyle w:val="a3"/>
        <w:suppressLineNumbers/>
        <w:suppressAutoHyphens/>
        <w:snapToGrid w:val="0"/>
        <w:spacing w:before="120" w:after="120"/>
        <w:ind w:left="0"/>
        <w:contextualSpacing w:val="0"/>
        <w:jc w:val="left"/>
        <w:rPr>
          <w:iCs/>
          <w:snapToGrid w:val="0"/>
          <w:kern w:val="22"/>
          <w:szCs w:val="22"/>
          <w:lang w:val="ru-RU"/>
        </w:rPr>
      </w:pPr>
      <w:r>
        <w:rPr>
          <w:iCs/>
          <w:noProof/>
          <w:kern w:val="22"/>
          <w:szCs w:val="22"/>
          <w:lang w:val="ru-RU" w:eastAsia="ru-RU"/>
        </w:rPr>
        <w:drawing>
          <wp:inline distT="0" distB="0" distL="0" distR="0" wp14:anchorId="0B6A84A9" wp14:editId="2414F409">
            <wp:extent cx="5944103" cy="3748857"/>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8522" cy="3751644"/>
                    </a:xfrm>
                    <a:prstGeom prst="rect">
                      <a:avLst/>
                    </a:prstGeom>
                    <a:noFill/>
                  </pic:spPr>
                </pic:pic>
              </a:graphicData>
            </a:graphic>
          </wp:inline>
        </w:drawing>
      </w:r>
    </w:p>
    <w:p w14:paraId="3B8FB829" w14:textId="7C0755CD" w:rsidR="004569FB" w:rsidRPr="00DB5643" w:rsidRDefault="00DE5A96" w:rsidP="000A5388">
      <w:pPr>
        <w:suppressLineNumbers/>
        <w:tabs>
          <w:tab w:val="num" w:pos="0"/>
          <w:tab w:val="left" w:pos="720"/>
        </w:tabs>
        <w:suppressAutoHyphens/>
        <w:spacing w:before="120" w:after="120"/>
        <w:textAlignment w:val="baseline"/>
        <w:outlineLvl w:val="2"/>
        <w:rPr>
          <w:b/>
          <w:iCs/>
          <w:snapToGrid w:val="0"/>
          <w:kern w:val="22"/>
          <w:szCs w:val="22"/>
          <w:lang w:val="ru-RU"/>
        </w:rPr>
      </w:pPr>
      <w:r w:rsidRPr="00DB5643">
        <w:rPr>
          <w:b/>
          <w:iCs/>
          <w:snapToGrid w:val="0"/>
          <w:kern w:val="22"/>
          <w:szCs w:val="22"/>
          <w:lang w:val="ru-RU"/>
        </w:rPr>
        <w:lastRenderedPageBreak/>
        <w:t>Оперативная</w:t>
      </w:r>
      <w:r w:rsidRPr="00DB5643">
        <w:rPr>
          <w:b/>
          <w:iCs/>
          <w:snapToGrid w:val="0"/>
          <w:kern w:val="22"/>
          <w:szCs w:val="22"/>
          <w:lang w:val="en-US"/>
        </w:rPr>
        <w:t xml:space="preserve"> </w:t>
      </w:r>
      <w:r w:rsidRPr="00DB5643">
        <w:rPr>
          <w:b/>
          <w:iCs/>
          <w:snapToGrid w:val="0"/>
          <w:kern w:val="22"/>
          <w:szCs w:val="22"/>
          <w:lang w:val="ru-RU"/>
        </w:rPr>
        <w:t>цель</w:t>
      </w:r>
      <w:r w:rsidR="004569FB" w:rsidRPr="00DB5643">
        <w:rPr>
          <w:b/>
          <w:iCs/>
          <w:snapToGrid w:val="0"/>
          <w:kern w:val="22"/>
          <w:szCs w:val="22"/>
        </w:rPr>
        <w:t xml:space="preserve"> 4.1</w:t>
      </w:r>
      <w:r w:rsidRPr="00DB5643">
        <w:rPr>
          <w:b/>
          <w:iCs/>
          <w:snapToGrid w:val="0"/>
          <w:kern w:val="22"/>
          <w:szCs w:val="22"/>
          <w:lang w:val="en-US"/>
        </w:rPr>
        <w:t>.</w:t>
      </w:r>
      <w:r w:rsidR="004569FB" w:rsidRPr="00DB5643">
        <w:rPr>
          <w:b/>
          <w:iCs/>
          <w:snapToGrid w:val="0"/>
          <w:kern w:val="22"/>
          <w:szCs w:val="22"/>
        </w:rPr>
        <w:t xml:space="preserve"> </w:t>
      </w:r>
      <w:r w:rsidRPr="00DB5643">
        <w:rPr>
          <w:b/>
          <w:iCs/>
          <w:snapToGrid w:val="0"/>
          <w:kern w:val="22"/>
          <w:szCs w:val="22"/>
          <w:lang w:val="ru-RU"/>
        </w:rPr>
        <w:t xml:space="preserve">Эффективность </w:t>
      </w:r>
      <w:proofErr w:type="spellStart"/>
      <w:r w:rsidRPr="00DB5643">
        <w:rPr>
          <w:b/>
          <w:iCs/>
          <w:snapToGrid w:val="0"/>
          <w:kern w:val="22"/>
          <w:szCs w:val="22"/>
          <w:lang w:val="ru-RU"/>
        </w:rPr>
        <w:t>МПБ</w:t>
      </w:r>
      <w:proofErr w:type="spellEnd"/>
    </w:p>
    <w:p w14:paraId="12AA3AED" w14:textId="5187637A" w:rsidR="00E13D8A" w:rsidRPr="00DB5643" w:rsidRDefault="00DE5A96" w:rsidP="00E13D8A">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lang w:val="ru-RU"/>
        </w:rPr>
      </w:pPr>
      <w:r w:rsidRPr="00DB5643">
        <w:rPr>
          <w:snapToGrid w:val="0"/>
          <w:kern w:val="22"/>
          <w:szCs w:val="22"/>
          <w:lang w:val="ru-RU"/>
        </w:rPr>
        <w:t>Оперативная цель</w:t>
      </w:r>
      <w:r w:rsidR="00E13D8A" w:rsidRPr="00DB5643">
        <w:rPr>
          <w:snapToGrid w:val="0"/>
          <w:kern w:val="22"/>
          <w:szCs w:val="22"/>
          <w:lang w:val="ru-RU"/>
        </w:rPr>
        <w:t xml:space="preserve"> 4.1</w:t>
      </w:r>
      <w:r w:rsidR="006842E6" w:rsidRPr="00DB5643">
        <w:rPr>
          <w:snapToGrid w:val="0"/>
          <w:kern w:val="22"/>
          <w:szCs w:val="22"/>
          <w:lang w:val="ru-RU"/>
        </w:rPr>
        <w:t>,</w:t>
      </w:r>
      <w:r w:rsidR="00E13D8A" w:rsidRPr="00DB5643">
        <w:rPr>
          <w:snapToGrid w:val="0"/>
          <w:kern w:val="22"/>
          <w:szCs w:val="22"/>
          <w:lang w:val="ru-RU"/>
        </w:rPr>
        <w:t xml:space="preserve"> </w:t>
      </w:r>
      <w:r w:rsidR="006842E6" w:rsidRPr="00DB5643">
        <w:rPr>
          <w:snapToGrid w:val="0"/>
          <w:kern w:val="22"/>
          <w:szCs w:val="22"/>
          <w:lang w:val="ru-RU"/>
        </w:rPr>
        <w:t xml:space="preserve">касающаяся эффективности </w:t>
      </w:r>
      <w:proofErr w:type="spellStart"/>
      <w:r w:rsidR="006842E6" w:rsidRPr="00DB5643">
        <w:rPr>
          <w:snapToGrid w:val="0"/>
          <w:kern w:val="22"/>
          <w:szCs w:val="22"/>
          <w:lang w:val="ru-RU"/>
        </w:rPr>
        <w:t>МПБ</w:t>
      </w:r>
      <w:proofErr w:type="spellEnd"/>
      <w:r w:rsidR="006842E6" w:rsidRPr="00DB5643">
        <w:rPr>
          <w:snapToGrid w:val="0"/>
          <w:kern w:val="22"/>
          <w:szCs w:val="22"/>
          <w:lang w:val="ru-RU"/>
        </w:rPr>
        <w:t>,</w:t>
      </w:r>
      <w:r w:rsidR="00E13D8A" w:rsidRPr="00DB5643">
        <w:rPr>
          <w:snapToGrid w:val="0"/>
          <w:kern w:val="22"/>
          <w:szCs w:val="22"/>
          <w:lang w:val="ru-RU"/>
        </w:rPr>
        <w:t xml:space="preserve"> </w:t>
      </w:r>
      <w:r w:rsidRPr="00DB5643">
        <w:rPr>
          <w:snapToGrid w:val="0"/>
          <w:kern w:val="22"/>
          <w:szCs w:val="22"/>
          <w:lang w:val="ru-RU"/>
        </w:rPr>
        <w:t xml:space="preserve">предусматривает </w:t>
      </w:r>
      <w:r w:rsidR="006842E6" w:rsidRPr="00DB5643">
        <w:rPr>
          <w:snapToGrid w:val="0"/>
          <w:kern w:val="22"/>
          <w:szCs w:val="22"/>
          <w:lang w:val="ru-RU"/>
        </w:rPr>
        <w:t xml:space="preserve">увеличение объема и качества информации, представляемой в </w:t>
      </w:r>
      <w:proofErr w:type="spellStart"/>
      <w:r w:rsidR="001A3AC3" w:rsidRPr="001A3AC3">
        <w:rPr>
          <w:snapToGrid w:val="0"/>
          <w:kern w:val="22"/>
          <w:szCs w:val="22"/>
          <w:lang w:val="ru-RU"/>
        </w:rPr>
        <w:t>МПБ</w:t>
      </w:r>
      <w:proofErr w:type="spellEnd"/>
      <w:r w:rsidR="001A3AC3" w:rsidRPr="001A3AC3">
        <w:rPr>
          <w:snapToGrid w:val="0"/>
          <w:kern w:val="22"/>
          <w:szCs w:val="22"/>
          <w:lang w:val="ru-RU"/>
        </w:rPr>
        <w:t xml:space="preserve"> </w:t>
      </w:r>
      <w:r w:rsidR="006842E6" w:rsidRPr="00DB5643">
        <w:rPr>
          <w:snapToGrid w:val="0"/>
          <w:kern w:val="22"/>
          <w:szCs w:val="22"/>
          <w:lang w:val="ru-RU"/>
        </w:rPr>
        <w:t>и получаемой из него</w:t>
      </w:r>
      <w:r w:rsidR="00E13D8A" w:rsidRPr="00DB5643">
        <w:rPr>
          <w:snapToGrid w:val="0"/>
          <w:kern w:val="22"/>
          <w:szCs w:val="22"/>
          <w:lang w:val="ru-RU"/>
        </w:rPr>
        <w:t xml:space="preserve">. </w:t>
      </w:r>
      <w:r w:rsidR="006842E6" w:rsidRPr="00DB5643">
        <w:rPr>
          <w:snapToGrid w:val="0"/>
          <w:kern w:val="22"/>
          <w:szCs w:val="22"/>
          <w:lang w:val="ru-RU"/>
        </w:rPr>
        <w:t>В Стратегическом плане предусмотрен</w:t>
      </w:r>
      <w:r w:rsidR="009B1BF2">
        <w:rPr>
          <w:snapToGrid w:val="0"/>
          <w:kern w:val="22"/>
          <w:szCs w:val="22"/>
          <w:lang w:val="ru-RU"/>
        </w:rPr>
        <w:t>о</w:t>
      </w:r>
      <w:r w:rsidR="006842E6" w:rsidRPr="00DB5643">
        <w:rPr>
          <w:snapToGrid w:val="0"/>
          <w:kern w:val="22"/>
          <w:szCs w:val="22"/>
          <w:lang w:val="ru-RU"/>
        </w:rPr>
        <w:t xml:space="preserve"> восемь индикаторов для оценки результатов выполнения этой оперативной цели</w:t>
      </w:r>
      <w:r w:rsidR="00E13D8A" w:rsidRPr="00DB5643">
        <w:rPr>
          <w:snapToGrid w:val="0"/>
          <w:kern w:val="22"/>
          <w:szCs w:val="22"/>
          <w:lang w:val="ru-RU"/>
        </w:rPr>
        <w:t xml:space="preserve">. </w:t>
      </w:r>
      <w:r w:rsidR="006842E6" w:rsidRPr="00DB5643">
        <w:rPr>
          <w:snapToGrid w:val="0"/>
          <w:kern w:val="22"/>
          <w:szCs w:val="22"/>
          <w:lang w:val="ru-RU"/>
        </w:rPr>
        <w:t>Данные, полученные в течение четвертого отчетного цикла, при сопоставлении с исходным уровнем показывают следующее</w:t>
      </w:r>
      <w:r w:rsidR="00E13D8A" w:rsidRPr="00DB5643">
        <w:rPr>
          <w:snapToGrid w:val="0"/>
          <w:kern w:val="22"/>
          <w:szCs w:val="22"/>
          <w:lang w:val="ru-RU"/>
        </w:rPr>
        <w:t>.</w:t>
      </w:r>
    </w:p>
    <w:p w14:paraId="27A3448E" w14:textId="55737081" w:rsidR="00E13D8A" w:rsidRPr="00DB5643" w:rsidRDefault="006842E6" w:rsidP="00E13D8A">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sidRPr="00DB5643">
        <w:rPr>
          <w:snapToGrid w:val="0"/>
          <w:kern w:val="22"/>
          <w:szCs w:val="22"/>
          <w:lang w:val="ru-RU"/>
        </w:rPr>
        <w:t>Что касается</w:t>
      </w:r>
      <w:r w:rsidR="00E13D8A" w:rsidRPr="00DB5643">
        <w:rPr>
          <w:snapToGrid w:val="0"/>
          <w:kern w:val="22"/>
          <w:szCs w:val="22"/>
          <w:lang w:val="ru-RU"/>
        </w:rPr>
        <w:t xml:space="preserve"> </w:t>
      </w:r>
      <w:r w:rsidRPr="00DB5643">
        <w:rPr>
          <w:b/>
          <w:snapToGrid w:val="0"/>
          <w:kern w:val="22"/>
          <w:szCs w:val="22"/>
          <w:lang w:val="ru-RU"/>
        </w:rPr>
        <w:t>индикатора</w:t>
      </w:r>
      <w:r w:rsidR="00E13D8A" w:rsidRPr="00DB5643">
        <w:rPr>
          <w:b/>
          <w:snapToGrid w:val="0"/>
          <w:kern w:val="22"/>
          <w:szCs w:val="22"/>
          <w:lang w:val="ru-RU"/>
        </w:rPr>
        <w:t xml:space="preserve"> 4.1.1</w:t>
      </w:r>
      <w:r w:rsidR="00E13D8A" w:rsidRPr="00DB5643">
        <w:rPr>
          <w:snapToGrid w:val="0"/>
          <w:kern w:val="22"/>
          <w:szCs w:val="22"/>
          <w:lang w:val="ru-RU"/>
        </w:rPr>
        <w:t xml:space="preserve"> (</w:t>
      </w:r>
      <w:r w:rsidRPr="00DB5643">
        <w:rPr>
          <w:snapToGrid w:val="0"/>
          <w:kern w:val="22"/>
          <w:szCs w:val="22"/>
          <w:lang w:val="ru-RU"/>
        </w:rPr>
        <w:t xml:space="preserve">соотношение числа итоговых докладов об оценке рисков и числа принятых решений о </w:t>
      </w:r>
      <w:proofErr w:type="spellStart"/>
      <w:r w:rsidRPr="00DB5643">
        <w:rPr>
          <w:snapToGrid w:val="0"/>
          <w:kern w:val="22"/>
          <w:szCs w:val="22"/>
          <w:lang w:val="ru-RU"/>
        </w:rPr>
        <w:t>ЖИО</w:t>
      </w:r>
      <w:proofErr w:type="spellEnd"/>
      <w:r w:rsidR="00E13D8A" w:rsidRPr="00DB5643">
        <w:rPr>
          <w:iCs/>
          <w:snapToGrid w:val="0"/>
          <w:kern w:val="22"/>
          <w:szCs w:val="22"/>
          <w:lang w:val="ru-RU"/>
        </w:rPr>
        <w:t xml:space="preserve">), </w:t>
      </w:r>
      <w:r w:rsidRPr="00DB5643">
        <w:rPr>
          <w:snapToGrid w:val="0"/>
          <w:kern w:val="22"/>
          <w:szCs w:val="22"/>
          <w:lang w:val="ru-RU"/>
        </w:rPr>
        <w:t xml:space="preserve">соотношение числа докладов об оценке рисков и числа принятых решений о </w:t>
      </w:r>
      <w:proofErr w:type="spellStart"/>
      <w:r w:rsidRPr="00DB5643">
        <w:rPr>
          <w:snapToGrid w:val="0"/>
          <w:kern w:val="22"/>
          <w:szCs w:val="22"/>
          <w:lang w:val="ru-RU"/>
        </w:rPr>
        <w:t>ЖИО</w:t>
      </w:r>
      <w:proofErr w:type="spellEnd"/>
      <w:r w:rsidR="00E13D8A" w:rsidRPr="00DB5643">
        <w:rPr>
          <w:rStyle w:val="ac"/>
          <w:snapToGrid w:val="0"/>
          <w:kern w:val="22"/>
          <w:szCs w:val="22"/>
        </w:rPr>
        <w:footnoteReference w:id="36"/>
      </w:r>
      <w:r w:rsidR="00E13D8A" w:rsidRPr="00DB5643">
        <w:rPr>
          <w:snapToGrid w:val="0"/>
          <w:kern w:val="22"/>
          <w:szCs w:val="22"/>
          <w:lang w:val="ru-RU"/>
        </w:rPr>
        <w:t xml:space="preserve"> </w:t>
      </w:r>
      <w:r w:rsidR="00F146A6" w:rsidRPr="00DB5643">
        <w:rPr>
          <w:snapToGrid w:val="0"/>
          <w:kern w:val="22"/>
          <w:szCs w:val="22"/>
          <w:lang w:val="ru-RU"/>
        </w:rPr>
        <w:t xml:space="preserve">в </w:t>
      </w:r>
      <w:proofErr w:type="spellStart"/>
      <w:r w:rsidR="00F146A6" w:rsidRPr="00DB5643">
        <w:rPr>
          <w:snapToGrid w:val="0"/>
          <w:kern w:val="22"/>
          <w:szCs w:val="22"/>
          <w:lang w:val="ru-RU"/>
        </w:rPr>
        <w:t>МПБ</w:t>
      </w:r>
      <w:proofErr w:type="spellEnd"/>
      <w:r w:rsidR="00F146A6" w:rsidRPr="00DB5643">
        <w:rPr>
          <w:snapToGrid w:val="0"/>
          <w:kern w:val="22"/>
          <w:szCs w:val="22"/>
          <w:lang w:val="ru-RU"/>
        </w:rPr>
        <w:t xml:space="preserve"> увеличилось с </w:t>
      </w:r>
      <w:r w:rsidR="00800A0B" w:rsidRPr="00DB5643">
        <w:rPr>
          <w:snapToGrid w:val="0"/>
          <w:kern w:val="22"/>
          <w:szCs w:val="22"/>
          <w:lang w:val="ru-RU"/>
        </w:rPr>
        <w:t>79</w:t>
      </w:r>
      <w:r w:rsidR="00F146A6" w:rsidRPr="00DB5643">
        <w:rPr>
          <w:snapToGrid w:val="0"/>
          <w:kern w:val="22"/>
          <w:szCs w:val="22"/>
          <w:lang w:val="ru-RU"/>
        </w:rPr>
        <w:t> </w:t>
      </w:r>
      <w:r w:rsidR="00E13D8A" w:rsidRPr="00DB5643">
        <w:rPr>
          <w:snapToGrid w:val="0"/>
          <w:kern w:val="22"/>
          <w:szCs w:val="22"/>
          <w:lang w:val="ru-RU"/>
        </w:rPr>
        <w:t>% (</w:t>
      </w:r>
      <w:r w:rsidR="004F5545" w:rsidRPr="00DB5643">
        <w:rPr>
          <w:snapToGrid w:val="0"/>
          <w:kern w:val="22"/>
          <w:szCs w:val="22"/>
          <w:lang w:val="ru-RU"/>
        </w:rPr>
        <w:t xml:space="preserve">514 </w:t>
      </w:r>
      <w:r w:rsidR="00F146A6" w:rsidRPr="00DB5643">
        <w:rPr>
          <w:snapToGrid w:val="0"/>
          <w:kern w:val="22"/>
          <w:szCs w:val="22"/>
          <w:lang w:val="ru-RU"/>
        </w:rPr>
        <w:t>оценок рисков и</w:t>
      </w:r>
      <w:r w:rsidR="00E13D8A" w:rsidRPr="00DB5643">
        <w:rPr>
          <w:snapToGrid w:val="0"/>
          <w:kern w:val="22"/>
          <w:szCs w:val="22"/>
          <w:lang w:val="ru-RU"/>
        </w:rPr>
        <w:t xml:space="preserve"> </w:t>
      </w:r>
      <w:r w:rsidR="004F5545" w:rsidRPr="00DB5643">
        <w:rPr>
          <w:snapToGrid w:val="0"/>
          <w:kern w:val="22"/>
          <w:szCs w:val="22"/>
          <w:lang w:val="ru-RU"/>
        </w:rPr>
        <w:t>650</w:t>
      </w:r>
      <w:r w:rsidR="001E0EC5" w:rsidRPr="00DB5643">
        <w:rPr>
          <w:snapToGrid w:val="0"/>
          <w:kern w:val="22"/>
          <w:szCs w:val="22"/>
          <w:lang w:val="ru-RU"/>
        </w:rPr>
        <w:t xml:space="preserve"> </w:t>
      </w:r>
      <w:r w:rsidR="00F146A6" w:rsidRPr="00DB5643">
        <w:rPr>
          <w:snapToGrid w:val="0"/>
          <w:kern w:val="22"/>
          <w:szCs w:val="22"/>
          <w:lang w:val="ru-RU"/>
        </w:rPr>
        <w:t>решений</w:t>
      </w:r>
      <w:r w:rsidR="00E13D8A" w:rsidRPr="00DB5643">
        <w:rPr>
          <w:snapToGrid w:val="0"/>
          <w:kern w:val="22"/>
          <w:szCs w:val="22"/>
          <w:lang w:val="ru-RU"/>
        </w:rPr>
        <w:t xml:space="preserve">) </w:t>
      </w:r>
      <w:r w:rsidR="00F146A6" w:rsidRPr="00DB5643">
        <w:rPr>
          <w:snapToGrid w:val="0"/>
          <w:kern w:val="22"/>
          <w:szCs w:val="22"/>
          <w:lang w:val="ru-RU"/>
        </w:rPr>
        <w:t>в январе</w:t>
      </w:r>
      <w:r w:rsidR="00E13D8A" w:rsidRPr="00DB5643">
        <w:rPr>
          <w:snapToGrid w:val="0"/>
          <w:kern w:val="22"/>
          <w:szCs w:val="22"/>
          <w:lang w:val="ru-RU"/>
        </w:rPr>
        <w:t xml:space="preserve"> 2012</w:t>
      </w:r>
      <w:r w:rsidR="00F146A6" w:rsidRPr="00DB5643">
        <w:rPr>
          <w:snapToGrid w:val="0"/>
          <w:kern w:val="22"/>
          <w:szCs w:val="22"/>
          <w:lang w:val="ru-RU"/>
        </w:rPr>
        <w:t xml:space="preserve"> года до</w:t>
      </w:r>
      <w:r w:rsidR="00E13D8A" w:rsidRPr="00DB5643">
        <w:rPr>
          <w:snapToGrid w:val="0"/>
          <w:kern w:val="22"/>
          <w:szCs w:val="22"/>
          <w:lang w:val="ru-RU"/>
        </w:rPr>
        <w:t xml:space="preserve"> </w:t>
      </w:r>
      <w:r w:rsidR="00800A0B" w:rsidRPr="00DB5643">
        <w:rPr>
          <w:snapToGrid w:val="0"/>
          <w:kern w:val="22"/>
          <w:szCs w:val="22"/>
          <w:lang w:val="ru-RU"/>
        </w:rPr>
        <w:t>92</w:t>
      </w:r>
      <w:r w:rsidR="00F146A6" w:rsidRPr="00DB5643">
        <w:rPr>
          <w:snapToGrid w:val="0"/>
          <w:kern w:val="22"/>
          <w:szCs w:val="22"/>
          <w:lang w:val="ru-RU"/>
        </w:rPr>
        <w:t> </w:t>
      </w:r>
      <w:r w:rsidR="00E13D8A" w:rsidRPr="00DB5643">
        <w:rPr>
          <w:snapToGrid w:val="0"/>
          <w:kern w:val="22"/>
          <w:szCs w:val="22"/>
          <w:lang w:val="ru-RU"/>
        </w:rPr>
        <w:t>% (1</w:t>
      </w:r>
      <w:r w:rsidR="00800A0B" w:rsidRPr="00DB5643">
        <w:rPr>
          <w:snapToGrid w:val="0"/>
          <w:kern w:val="22"/>
          <w:szCs w:val="22"/>
          <w:lang w:val="ru-RU"/>
        </w:rPr>
        <w:t xml:space="preserve">198 </w:t>
      </w:r>
      <w:r w:rsidR="00F146A6" w:rsidRPr="00DB5643">
        <w:rPr>
          <w:snapToGrid w:val="0"/>
          <w:kern w:val="22"/>
          <w:szCs w:val="22"/>
          <w:lang w:val="ru-RU"/>
        </w:rPr>
        <w:t xml:space="preserve">оценок рисков и </w:t>
      </w:r>
      <w:r w:rsidR="00E13D8A" w:rsidRPr="00DB5643">
        <w:rPr>
          <w:snapToGrid w:val="0"/>
          <w:kern w:val="22"/>
          <w:szCs w:val="22"/>
          <w:lang w:val="ru-RU"/>
        </w:rPr>
        <w:t>1</w:t>
      </w:r>
      <w:r w:rsidR="00800A0B" w:rsidRPr="00DB5643">
        <w:rPr>
          <w:snapToGrid w:val="0"/>
          <w:kern w:val="22"/>
          <w:szCs w:val="22"/>
          <w:lang w:val="ru-RU"/>
        </w:rPr>
        <w:t>299</w:t>
      </w:r>
      <w:r w:rsidR="00B5734B" w:rsidRPr="00DB5643">
        <w:rPr>
          <w:snapToGrid w:val="0"/>
          <w:kern w:val="22"/>
          <w:szCs w:val="22"/>
          <w:lang w:val="ru-RU"/>
        </w:rPr>
        <w:t xml:space="preserve"> </w:t>
      </w:r>
      <w:r w:rsidR="00F146A6" w:rsidRPr="00DB5643">
        <w:rPr>
          <w:snapToGrid w:val="0"/>
          <w:kern w:val="22"/>
          <w:szCs w:val="22"/>
          <w:lang w:val="ru-RU"/>
        </w:rPr>
        <w:t>решений</w:t>
      </w:r>
      <w:r w:rsidR="00E13D8A" w:rsidRPr="00DB5643">
        <w:rPr>
          <w:snapToGrid w:val="0"/>
          <w:kern w:val="22"/>
          <w:szCs w:val="22"/>
          <w:lang w:val="ru-RU"/>
        </w:rPr>
        <w:t xml:space="preserve">) </w:t>
      </w:r>
      <w:r w:rsidR="00F146A6" w:rsidRPr="00DB5643">
        <w:rPr>
          <w:snapToGrid w:val="0"/>
          <w:kern w:val="22"/>
          <w:szCs w:val="22"/>
          <w:lang w:val="ru-RU"/>
        </w:rPr>
        <w:t>в январе</w:t>
      </w:r>
      <w:r w:rsidR="00893D86" w:rsidRPr="00DB5643">
        <w:rPr>
          <w:snapToGrid w:val="0"/>
          <w:kern w:val="22"/>
          <w:szCs w:val="22"/>
          <w:lang w:val="ru-RU"/>
        </w:rPr>
        <w:t xml:space="preserve"> 2016</w:t>
      </w:r>
      <w:r w:rsidR="00F146A6" w:rsidRPr="00DB5643">
        <w:rPr>
          <w:snapToGrid w:val="0"/>
          <w:kern w:val="22"/>
          <w:szCs w:val="22"/>
          <w:lang w:val="ru-RU"/>
        </w:rPr>
        <w:t xml:space="preserve"> года и до </w:t>
      </w:r>
      <w:r w:rsidR="00E13D8A" w:rsidRPr="00DB5643">
        <w:rPr>
          <w:snapToGrid w:val="0"/>
          <w:kern w:val="22"/>
          <w:szCs w:val="22"/>
          <w:lang w:val="ru-RU"/>
        </w:rPr>
        <w:t>96</w:t>
      </w:r>
      <w:r w:rsidR="00F146A6" w:rsidRPr="00DB5643">
        <w:rPr>
          <w:snapToGrid w:val="0"/>
          <w:kern w:val="22"/>
          <w:szCs w:val="22"/>
          <w:lang w:val="ru-RU"/>
        </w:rPr>
        <w:t> </w:t>
      </w:r>
      <w:r w:rsidR="00E13D8A" w:rsidRPr="00DB5643">
        <w:rPr>
          <w:snapToGrid w:val="0"/>
          <w:kern w:val="22"/>
          <w:szCs w:val="22"/>
          <w:lang w:val="ru-RU"/>
        </w:rPr>
        <w:t>% (2</w:t>
      </w:r>
      <w:r w:rsidR="0095718F" w:rsidRPr="00DB5643">
        <w:rPr>
          <w:snapToGrid w:val="0"/>
          <w:kern w:val="22"/>
          <w:szCs w:val="22"/>
          <w:lang w:val="ru-RU"/>
        </w:rPr>
        <w:t>055</w:t>
      </w:r>
      <w:r w:rsidR="006D39EB" w:rsidRPr="00DB5643">
        <w:rPr>
          <w:snapToGrid w:val="0"/>
          <w:kern w:val="22"/>
          <w:szCs w:val="22"/>
          <w:lang w:val="ru-RU"/>
        </w:rPr>
        <w:t xml:space="preserve"> </w:t>
      </w:r>
      <w:r w:rsidR="00F146A6" w:rsidRPr="00DB5643">
        <w:rPr>
          <w:snapToGrid w:val="0"/>
          <w:kern w:val="22"/>
          <w:szCs w:val="22"/>
          <w:lang w:val="ru-RU"/>
        </w:rPr>
        <w:t>оценок рисков и</w:t>
      </w:r>
      <w:r w:rsidR="00E13D8A" w:rsidRPr="00DB5643">
        <w:rPr>
          <w:snapToGrid w:val="0"/>
          <w:kern w:val="22"/>
          <w:szCs w:val="22"/>
          <w:lang w:val="ru-RU"/>
        </w:rPr>
        <w:t xml:space="preserve"> 2</w:t>
      </w:r>
      <w:r w:rsidR="0095718F" w:rsidRPr="00DB5643">
        <w:rPr>
          <w:snapToGrid w:val="0"/>
          <w:kern w:val="22"/>
          <w:szCs w:val="22"/>
          <w:lang w:val="ru-RU"/>
        </w:rPr>
        <w:t>134</w:t>
      </w:r>
      <w:r w:rsidR="000805EF" w:rsidRPr="00DB5643">
        <w:rPr>
          <w:snapToGrid w:val="0"/>
          <w:kern w:val="22"/>
          <w:szCs w:val="22"/>
          <w:lang w:val="ru-RU"/>
        </w:rPr>
        <w:t xml:space="preserve"> </w:t>
      </w:r>
      <w:r w:rsidR="00F146A6" w:rsidRPr="00DB5643">
        <w:rPr>
          <w:snapToGrid w:val="0"/>
          <w:kern w:val="22"/>
          <w:szCs w:val="22"/>
          <w:lang w:val="ru-RU"/>
        </w:rPr>
        <w:t>решений</w:t>
      </w:r>
      <w:r w:rsidR="00E13D8A" w:rsidRPr="00DB5643">
        <w:rPr>
          <w:snapToGrid w:val="0"/>
          <w:kern w:val="22"/>
          <w:szCs w:val="22"/>
          <w:lang w:val="ru-RU"/>
        </w:rPr>
        <w:t xml:space="preserve">) </w:t>
      </w:r>
      <w:r w:rsidR="00F146A6" w:rsidRPr="00DB5643">
        <w:rPr>
          <w:snapToGrid w:val="0"/>
          <w:kern w:val="22"/>
          <w:szCs w:val="22"/>
          <w:lang w:val="ru-RU"/>
        </w:rPr>
        <w:t>по состоянию на январь</w:t>
      </w:r>
      <w:r w:rsidR="00E13D8A" w:rsidRPr="00DB5643">
        <w:rPr>
          <w:snapToGrid w:val="0"/>
          <w:kern w:val="22"/>
          <w:szCs w:val="22"/>
          <w:lang w:val="ru-RU"/>
        </w:rPr>
        <w:t xml:space="preserve"> 2020</w:t>
      </w:r>
      <w:r w:rsidR="00F146A6" w:rsidRPr="00DB5643">
        <w:rPr>
          <w:snapToGrid w:val="0"/>
          <w:kern w:val="22"/>
          <w:szCs w:val="22"/>
          <w:lang w:val="ru-RU"/>
        </w:rPr>
        <w:t xml:space="preserve"> года</w:t>
      </w:r>
      <w:r w:rsidR="00E13D8A" w:rsidRPr="00DB5643">
        <w:rPr>
          <w:snapToGrid w:val="0"/>
          <w:kern w:val="22"/>
          <w:szCs w:val="22"/>
          <w:lang w:val="ru-RU"/>
        </w:rPr>
        <w:t xml:space="preserve">. </w:t>
      </w:r>
      <w:r w:rsidR="00F146A6" w:rsidRPr="00DB5643">
        <w:rPr>
          <w:snapToGrid w:val="0"/>
          <w:kern w:val="22"/>
          <w:szCs w:val="22"/>
          <w:lang w:val="ru-RU"/>
        </w:rPr>
        <w:t xml:space="preserve">По сравнению с исходным уровнем это соответствует увеличению на </w:t>
      </w:r>
      <w:r w:rsidR="000C1E9E" w:rsidRPr="00DB5643">
        <w:rPr>
          <w:snapToGrid w:val="0"/>
          <w:kern w:val="22"/>
          <w:szCs w:val="22"/>
          <w:lang w:val="ru-RU"/>
        </w:rPr>
        <w:t>1</w:t>
      </w:r>
      <w:r w:rsidR="00AE57E4" w:rsidRPr="00DB5643">
        <w:rPr>
          <w:snapToGrid w:val="0"/>
          <w:kern w:val="22"/>
          <w:szCs w:val="22"/>
          <w:lang w:val="ru-RU"/>
        </w:rPr>
        <w:t>7</w:t>
      </w:r>
      <w:r w:rsidR="00F146A6" w:rsidRPr="00DB5643">
        <w:rPr>
          <w:snapToGrid w:val="0"/>
          <w:kern w:val="22"/>
          <w:szCs w:val="22"/>
          <w:lang w:val="ru-RU"/>
        </w:rPr>
        <w:t> </w:t>
      </w:r>
      <w:r w:rsidR="00E13D8A" w:rsidRPr="00DB5643">
        <w:rPr>
          <w:snapToGrid w:val="0"/>
          <w:kern w:val="22"/>
          <w:szCs w:val="22"/>
          <w:lang w:val="ru-RU"/>
        </w:rPr>
        <w:t>%.</w:t>
      </w:r>
    </w:p>
    <w:p w14:paraId="3D89C6BD" w14:textId="0423BCD9" w:rsidR="00E13D8A" w:rsidRPr="00DB5643" w:rsidRDefault="00F146A6" w:rsidP="00E13D8A">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Что касается </w:t>
      </w:r>
      <w:r w:rsidRPr="00DB5643">
        <w:rPr>
          <w:b/>
          <w:snapToGrid w:val="0"/>
          <w:kern w:val="22"/>
          <w:szCs w:val="22"/>
          <w:lang w:val="ru-RU"/>
        </w:rPr>
        <w:t xml:space="preserve">индикатора </w:t>
      </w:r>
      <w:r w:rsidR="00E13D8A" w:rsidRPr="00DB5643">
        <w:rPr>
          <w:b/>
          <w:bCs/>
          <w:iCs/>
          <w:snapToGrid w:val="0"/>
          <w:kern w:val="22"/>
          <w:szCs w:val="22"/>
          <w:lang w:val="ru-RU"/>
        </w:rPr>
        <w:t>4.1.2</w:t>
      </w:r>
      <w:r w:rsidR="00E13D8A" w:rsidRPr="00DB5643">
        <w:rPr>
          <w:iCs/>
          <w:snapToGrid w:val="0"/>
          <w:kern w:val="22"/>
          <w:szCs w:val="22"/>
          <w:lang w:val="ru-RU"/>
        </w:rPr>
        <w:t xml:space="preserve"> (</w:t>
      </w:r>
      <w:bookmarkStart w:id="23" w:name="_Hlk30511038"/>
      <w:r w:rsidR="001E08A5" w:rsidRPr="00DB5643">
        <w:rPr>
          <w:snapToGrid w:val="0"/>
          <w:kern w:val="22"/>
          <w:szCs w:val="22"/>
          <w:lang w:val="ru-RU"/>
        </w:rPr>
        <w:t>число публикаций, содержащихся в Центре информационных ресурсов по биобезопасности (</w:t>
      </w:r>
      <w:proofErr w:type="spellStart"/>
      <w:r w:rsidR="001E08A5" w:rsidRPr="00DB5643">
        <w:rPr>
          <w:snapToGrid w:val="0"/>
          <w:kern w:val="22"/>
          <w:szCs w:val="22"/>
          <w:lang w:val="ru-RU"/>
        </w:rPr>
        <w:t>ЦИРБ</w:t>
      </w:r>
      <w:proofErr w:type="spellEnd"/>
      <w:r w:rsidR="00E13D8A" w:rsidRPr="00DB5643">
        <w:rPr>
          <w:iCs/>
          <w:snapToGrid w:val="0"/>
          <w:kern w:val="22"/>
          <w:szCs w:val="22"/>
          <w:lang w:val="ru-RU"/>
        </w:rPr>
        <w:t xml:space="preserve">)), </w:t>
      </w:r>
      <w:bookmarkEnd w:id="23"/>
      <w:r w:rsidR="001E08A5" w:rsidRPr="00DB5643">
        <w:rPr>
          <w:snapToGrid w:val="0"/>
          <w:kern w:val="22"/>
          <w:szCs w:val="22"/>
          <w:lang w:val="ru-RU"/>
        </w:rPr>
        <w:t xml:space="preserve">число публикаций, содержащихся </w:t>
      </w:r>
      <w:r w:rsidR="001E08A5" w:rsidRPr="00DB5643">
        <w:rPr>
          <w:iCs/>
          <w:snapToGrid w:val="0"/>
          <w:kern w:val="22"/>
          <w:szCs w:val="22"/>
          <w:lang w:val="ru-RU"/>
        </w:rPr>
        <w:t xml:space="preserve">в </w:t>
      </w:r>
      <w:proofErr w:type="spellStart"/>
      <w:r w:rsidR="001E08A5" w:rsidRPr="00DB5643">
        <w:rPr>
          <w:iCs/>
          <w:snapToGrid w:val="0"/>
          <w:kern w:val="22"/>
          <w:szCs w:val="22"/>
          <w:lang w:val="ru-RU"/>
        </w:rPr>
        <w:t>ЦИРБ</w:t>
      </w:r>
      <w:proofErr w:type="spellEnd"/>
      <w:r w:rsidR="001E08A5" w:rsidRPr="00DB5643">
        <w:rPr>
          <w:iCs/>
          <w:snapToGrid w:val="0"/>
          <w:kern w:val="22"/>
          <w:szCs w:val="22"/>
          <w:lang w:val="ru-RU"/>
        </w:rPr>
        <w:t>, увеличилось с</w:t>
      </w:r>
      <w:r w:rsidR="00E13D8A" w:rsidRPr="00DB5643">
        <w:rPr>
          <w:iCs/>
          <w:snapToGrid w:val="0"/>
          <w:kern w:val="22"/>
          <w:szCs w:val="22"/>
          <w:lang w:val="ru-RU"/>
        </w:rPr>
        <w:t xml:space="preserve"> 1223 </w:t>
      </w:r>
      <w:r w:rsidR="001E08A5" w:rsidRPr="00DB5643">
        <w:rPr>
          <w:iCs/>
          <w:snapToGrid w:val="0"/>
          <w:kern w:val="22"/>
          <w:szCs w:val="22"/>
          <w:lang w:val="ru-RU"/>
        </w:rPr>
        <w:t>в декабре</w:t>
      </w:r>
      <w:r w:rsidR="00E13D8A" w:rsidRPr="00DB5643">
        <w:rPr>
          <w:iCs/>
          <w:snapToGrid w:val="0"/>
          <w:kern w:val="22"/>
          <w:szCs w:val="22"/>
          <w:lang w:val="ru-RU"/>
        </w:rPr>
        <w:t xml:space="preserve"> 2012 </w:t>
      </w:r>
      <w:r w:rsidR="001E08A5" w:rsidRPr="00DB5643">
        <w:rPr>
          <w:iCs/>
          <w:snapToGrid w:val="0"/>
          <w:kern w:val="22"/>
          <w:szCs w:val="22"/>
          <w:lang w:val="ru-RU"/>
        </w:rPr>
        <w:t>года до 1</w:t>
      </w:r>
      <w:r w:rsidR="00E13D8A" w:rsidRPr="00DB5643">
        <w:rPr>
          <w:iCs/>
          <w:snapToGrid w:val="0"/>
          <w:kern w:val="22"/>
          <w:szCs w:val="22"/>
          <w:lang w:val="ru-RU"/>
        </w:rPr>
        <w:t xml:space="preserve">527 </w:t>
      </w:r>
      <w:r w:rsidR="001E08A5" w:rsidRPr="00DB5643">
        <w:rPr>
          <w:iCs/>
          <w:snapToGrid w:val="0"/>
          <w:kern w:val="22"/>
          <w:szCs w:val="22"/>
          <w:lang w:val="ru-RU"/>
        </w:rPr>
        <w:t>в январе</w:t>
      </w:r>
      <w:r w:rsidR="00E13D8A" w:rsidRPr="00DB5643">
        <w:rPr>
          <w:iCs/>
          <w:snapToGrid w:val="0"/>
          <w:kern w:val="22"/>
          <w:szCs w:val="22"/>
          <w:lang w:val="ru-RU"/>
        </w:rPr>
        <w:t xml:space="preserve"> 2020</w:t>
      </w:r>
      <w:r w:rsidR="001E08A5" w:rsidRPr="00DB5643">
        <w:rPr>
          <w:iCs/>
          <w:snapToGrid w:val="0"/>
          <w:kern w:val="22"/>
          <w:szCs w:val="22"/>
          <w:lang w:val="ru-RU"/>
        </w:rPr>
        <w:t xml:space="preserve"> года</w:t>
      </w:r>
      <w:r w:rsidR="00E13D8A" w:rsidRPr="00DB5643">
        <w:rPr>
          <w:iCs/>
          <w:snapToGrid w:val="0"/>
          <w:kern w:val="22"/>
          <w:szCs w:val="22"/>
          <w:lang w:val="ru-RU"/>
        </w:rPr>
        <w:t xml:space="preserve">, </w:t>
      </w:r>
      <w:r w:rsidR="001E08A5" w:rsidRPr="00DB5643">
        <w:rPr>
          <w:iCs/>
          <w:snapToGrid w:val="0"/>
          <w:kern w:val="22"/>
          <w:szCs w:val="22"/>
          <w:lang w:val="ru-RU"/>
        </w:rPr>
        <w:t>что соответствует увеличению на</w:t>
      </w:r>
      <w:r w:rsidR="00E13D8A" w:rsidRPr="00DB5643">
        <w:rPr>
          <w:iCs/>
          <w:snapToGrid w:val="0"/>
          <w:kern w:val="22"/>
          <w:szCs w:val="22"/>
          <w:lang w:val="ru-RU"/>
        </w:rPr>
        <w:t xml:space="preserve"> 25</w:t>
      </w:r>
      <w:r w:rsidR="001E08A5" w:rsidRPr="00DB5643">
        <w:rPr>
          <w:iCs/>
          <w:snapToGrid w:val="0"/>
          <w:kern w:val="22"/>
          <w:szCs w:val="22"/>
          <w:lang w:val="ru-RU"/>
        </w:rPr>
        <w:t> </w:t>
      </w:r>
      <w:r w:rsidR="00E13D8A" w:rsidRPr="00DB5643">
        <w:rPr>
          <w:iCs/>
          <w:snapToGrid w:val="0"/>
          <w:kern w:val="22"/>
          <w:szCs w:val="22"/>
          <w:lang w:val="ru-RU"/>
        </w:rPr>
        <w:t xml:space="preserve">% </w:t>
      </w:r>
      <w:r w:rsidR="001E08A5" w:rsidRPr="00DB5643">
        <w:rPr>
          <w:iCs/>
          <w:snapToGrid w:val="0"/>
          <w:kern w:val="22"/>
          <w:szCs w:val="22"/>
          <w:lang w:val="ru-RU"/>
        </w:rPr>
        <w:t>по сравнению с исходным уровнем.</w:t>
      </w:r>
    </w:p>
    <w:p w14:paraId="699A219D" w14:textId="5AEF032A" w:rsidR="00E13D8A" w:rsidRPr="00DB5643" w:rsidRDefault="00F146A6" w:rsidP="00E13D8A">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Что касается </w:t>
      </w:r>
      <w:r w:rsidRPr="00DB5643">
        <w:rPr>
          <w:b/>
          <w:snapToGrid w:val="0"/>
          <w:kern w:val="22"/>
          <w:szCs w:val="22"/>
          <w:lang w:val="ru-RU"/>
        </w:rPr>
        <w:t xml:space="preserve">индикатора </w:t>
      </w:r>
      <w:r w:rsidR="00E13D8A" w:rsidRPr="00DB5643">
        <w:rPr>
          <w:b/>
          <w:bCs/>
          <w:iCs/>
          <w:snapToGrid w:val="0"/>
          <w:kern w:val="22"/>
          <w:szCs w:val="22"/>
          <w:lang w:val="ru-RU"/>
        </w:rPr>
        <w:t>4.1.3</w:t>
      </w:r>
      <w:r w:rsidR="00E13D8A" w:rsidRPr="00DB5643">
        <w:rPr>
          <w:iCs/>
          <w:snapToGrid w:val="0"/>
          <w:kern w:val="22"/>
          <w:szCs w:val="22"/>
          <w:lang w:val="ru-RU"/>
        </w:rPr>
        <w:t xml:space="preserve"> </w:t>
      </w:r>
      <w:r w:rsidR="00E13D8A" w:rsidRPr="00DB5643">
        <w:rPr>
          <w:snapToGrid w:val="0"/>
          <w:kern w:val="22"/>
          <w:szCs w:val="22"/>
          <w:lang w:val="ru-RU"/>
        </w:rPr>
        <w:t>(</w:t>
      </w:r>
      <w:r w:rsidR="001E08A5" w:rsidRPr="00DB5643">
        <w:rPr>
          <w:snapToGrid w:val="0"/>
          <w:kern w:val="22"/>
          <w:szCs w:val="22"/>
          <w:lang w:val="ru-RU"/>
        </w:rPr>
        <w:t xml:space="preserve">объем трафика (среднегодовая величина по всем отчетным периодам) пользователей </w:t>
      </w:r>
      <w:proofErr w:type="spellStart"/>
      <w:r w:rsidR="001E08A5" w:rsidRPr="00DB5643">
        <w:rPr>
          <w:snapToGrid w:val="0"/>
          <w:kern w:val="22"/>
          <w:szCs w:val="22"/>
          <w:lang w:val="ru-RU"/>
        </w:rPr>
        <w:t>МПБ</w:t>
      </w:r>
      <w:proofErr w:type="spellEnd"/>
      <w:r w:rsidR="001E08A5" w:rsidRPr="00DB5643">
        <w:rPr>
          <w:snapToGrid w:val="0"/>
          <w:kern w:val="22"/>
          <w:szCs w:val="22"/>
          <w:lang w:val="ru-RU"/>
        </w:rPr>
        <w:t xml:space="preserve"> (по результатам глобальной оценки</w:t>
      </w:r>
      <w:r w:rsidR="00E13D8A" w:rsidRPr="00DB5643">
        <w:rPr>
          <w:iCs/>
          <w:snapToGrid w:val="0"/>
          <w:kern w:val="22"/>
          <w:szCs w:val="22"/>
          <w:lang w:val="ru-RU"/>
        </w:rPr>
        <w:t xml:space="preserve">)), </w:t>
      </w:r>
      <w:r w:rsidR="001E08A5" w:rsidRPr="00DB5643">
        <w:rPr>
          <w:iCs/>
          <w:snapToGrid w:val="0"/>
          <w:kern w:val="22"/>
          <w:szCs w:val="22"/>
          <w:lang w:val="ru-RU"/>
        </w:rPr>
        <w:t>во втором отчетном цикле среднегодовое число посещений составило</w:t>
      </w:r>
      <w:r w:rsidR="00E13D8A" w:rsidRPr="00DB5643">
        <w:rPr>
          <w:iCs/>
          <w:snapToGrid w:val="0"/>
          <w:kern w:val="22"/>
          <w:szCs w:val="22"/>
          <w:lang w:val="ru-RU"/>
        </w:rPr>
        <w:t xml:space="preserve"> 136</w:t>
      </w:r>
      <w:r w:rsidR="001E08A5" w:rsidRPr="00DB5643">
        <w:rPr>
          <w:iCs/>
          <w:snapToGrid w:val="0"/>
          <w:kern w:val="22"/>
          <w:szCs w:val="22"/>
          <w:lang w:val="ru-RU"/>
        </w:rPr>
        <w:t> </w:t>
      </w:r>
      <w:r w:rsidR="00E13D8A" w:rsidRPr="00DB5643">
        <w:rPr>
          <w:iCs/>
          <w:snapToGrid w:val="0"/>
          <w:kern w:val="22"/>
          <w:szCs w:val="22"/>
          <w:lang w:val="ru-RU"/>
        </w:rPr>
        <w:t>450</w:t>
      </w:r>
      <w:r w:rsidR="001E08A5" w:rsidRPr="00DB5643">
        <w:rPr>
          <w:iCs/>
          <w:snapToGrid w:val="0"/>
          <w:kern w:val="22"/>
          <w:szCs w:val="22"/>
          <w:lang w:val="ru-RU"/>
        </w:rPr>
        <w:t>, а среднегодовое число уникальных посетителей –</w:t>
      </w:r>
      <w:r w:rsidR="00E13D8A" w:rsidRPr="00DB5643">
        <w:rPr>
          <w:iCs/>
          <w:snapToGrid w:val="0"/>
          <w:kern w:val="22"/>
          <w:szCs w:val="22"/>
          <w:lang w:val="ru-RU"/>
        </w:rPr>
        <w:t xml:space="preserve"> 83</w:t>
      </w:r>
      <w:r w:rsidR="001E08A5" w:rsidRPr="00DB5643">
        <w:rPr>
          <w:iCs/>
          <w:snapToGrid w:val="0"/>
          <w:kern w:val="22"/>
          <w:szCs w:val="22"/>
          <w:lang w:val="ru-RU"/>
        </w:rPr>
        <w:t> </w:t>
      </w:r>
      <w:r w:rsidR="00E13D8A" w:rsidRPr="00DB5643">
        <w:rPr>
          <w:iCs/>
          <w:snapToGrid w:val="0"/>
          <w:kern w:val="22"/>
          <w:szCs w:val="22"/>
          <w:lang w:val="ru-RU"/>
        </w:rPr>
        <w:t xml:space="preserve">159. </w:t>
      </w:r>
      <w:r w:rsidR="001E08A5" w:rsidRPr="00DB5643">
        <w:rPr>
          <w:iCs/>
          <w:snapToGrid w:val="0"/>
          <w:kern w:val="22"/>
          <w:szCs w:val="22"/>
          <w:lang w:val="ru-RU"/>
        </w:rPr>
        <w:t>В четвертом отчетном цикле эти среднегодовые величины увеличились до</w:t>
      </w:r>
      <w:r w:rsidR="00E13D8A" w:rsidRPr="00DB5643">
        <w:rPr>
          <w:iCs/>
          <w:snapToGrid w:val="0"/>
          <w:kern w:val="22"/>
          <w:szCs w:val="22"/>
          <w:lang w:val="ru-RU"/>
        </w:rPr>
        <w:t xml:space="preserve"> 169</w:t>
      </w:r>
      <w:r w:rsidR="001E08A5" w:rsidRPr="00DB5643">
        <w:rPr>
          <w:iCs/>
          <w:snapToGrid w:val="0"/>
          <w:kern w:val="22"/>
          <w:szCs w:val="22"/>
          <w:lang w:val="ru-RU"/>
        </w:rPr>
        <w:t> </w:t>
      </w:r>
      <w:r w:rsidR="00E13D8A" w:rsidRPr="00DB5643">
        <w:rPr>
          <w:iCs/>
          <w:snapToGrid w:val="0"/>
          <w:kern w:val="22"/>
          <w:szCs w:val="22"/>
          <w:lang w:val="ru-RU"/>
        </w:rPr>
        <w:t xml:space="preserve">864 </w:t>
      </w:r>
      <w:r w:rsidR="001E08A5" w:rsidRPr="00DB5643">
        <w:rPr>
          <w:iCs/>
          <w:snapToGrid w:val="0"/>
          <w:kern w:val="22"/>
          <w:szCs w:val="22"/>
          <w:lang w:val="ru-RU"/>
        </w:rPr>
        <w:t xml:space="preserve">посещений и </w:t>
      </w:r>
      <w:r w:rsidR="00E13D8A" w:rsidRPr="00DB5643">
        <w:rPr>
          <w:iCs/>
          <w:snapToGrid w:val="0"/>
          <w:kern w:val="22"/>
          <w:szCs w:val="22"/>
          <w:lang w:val="ru-RU"/>
        </w:rPr>
        <w:t>106</w:t>
      </w:r>
      <w:r w:rsidR="001E08A5" w:rsidRPr="00DB5643">
        <w:rPr>
          <w:iCs/>
          <w:snapToGrid w:val="0"/>
          <w:kern w:val="22"/>
          <w:szCs w:val="22"/>
          <w:lang w:val="ru-RU"/>
        </w:rPr>
        <w:t> </w:t>
      </w:r>
      <w:r w:rsidR="00E13D8A" w:rsidRPr="00DB5643">
        <w:rPr>
          <w:iCs/>
          <w:snapToGrid w:val="0"/>
          <w:kern w:val="22"/>
          <w:szCs w:val="22"/>
          <w:lang w:val="ru-RU"/>
        </w:rPr>
        <w:t xml:space="preserve">184 </w:t>
      </w:r>
      <w:r w:rsidR="001E08A5" w:rsidRPr="00DB5643">
        <w:rPr>
          <w:iCs/>
          <w:snapToGrid w:val="0"/>
          <w:kern w:val="22"/>
          <w:szCs w:val="22"/>
          <w:lang w:val="ru-RU"/>
        </w:rPr>
        <w:t>уникальных посетителей</w:t>
      </w:r>
      <w:r w:rsidR="00E13D8A" w:rsidRPr="00DB5643">
        <w:rPr>
          <w:iCs/>
          <w:snapToGrid w:val="0"/>
          <w:kern w:val="22"/>
          <w:szCs w:val="22"/>
          <w:lang w:val="ru-RU"/>
        </w:rPr>
        <w:t>.</w:t>
      </w:r>
      <w:r w:rsidR="001E08A5" w:rsidRPr="00DB5643">
        <w:rPr>
          <w:iCs/>
          <w:snapToGrid w:val="0"/>
          <w:kern w:val="22"/>
          <w:szCs w:val="22"/>
          <w:lang w:val="ru-RU"/>
        </w:rPr>
        <w:t xml:space="preserve"> Это соответствует увеличению</w:t>
      </w:r>
      <w:r w:rsidR="00F861F0" w:rsidRPr="00DB5643">
        <w:rPr>
          <w:iCs/>
          <w:snapToGrid w:val="0"/>
          <w:kern w:val="22"/>
          <w:szCs w:val="22"/>
          <w:lang w:val="ru-RU"/>
        </w:rPr>
        <w:t xml:space="preserve"> посещений и уникальных посетителей на </w:t>
      </w:r>
      <w:r w:rsidR="00E13D8A" w:rsidRPr="00DB5643">
        <w:rPr>
          <w:iCs/>
          <w:snapToGrid w:val="0"/>
          <w:kern w:val="22"/>
          <w:szCs w:val="22"/>
          <w:lang w:val="ru-RU"/>
        </w:rPr>
        <w:t>24</w:t>
      </w:r>
      <w:r w:rsidR="00F861F0" w:rsidRPr="00DB5643">
        <w:rPr>
          <w:iCs/>
          <w:snapToGrid w:val="0"/>
          <w:kern w:val="22"/>
          <w:szCs w:val="22"/>
          <w:lang w:val="ru-RU"/>
        </w:rPr>
        <w:t> </w:t>
      </w:r>
      <w:r w:rsidR="00E13D8A" w:rsidRPr="00DB5643">
        <w:rPr>
          <w:iCs/>
          <w:snapToGrid w:val="0"/>
          <w:kern w:val="22"/>
          <w:szCs w:val="22"/>
          <w:lang w:val="ru-RU"/>
        </w:rPr>
        <w:t xml:space="preserve">% </w:t>
      </w:r>
      <w:r w:rsidR="00F861F0" w:rsidRPr="00DB5643">
        <w:rPr>
          <w:iCs/>
          <w:snapToGrid w:val="0"/>
          <w:kern w:val="22"/>
          <w:szCs w:val="22"/>
          <w:lang w:val="ru-RU"/>
        </w:rPr>
        <w:t>и</w:t>
      </w:r>
      <w:r w:rsidR="00E13D8A" w:rsidRPr="00DB5643">
        <w:rPr>
          <w:iCs/>
          <w:snapToGrid w:val="0"/>
          <w:kern w:val="22"/>
          <w:szCs w:val="22"/>
          <w:lang w:val="ru-RU"/>
        </w:rPr>
        <w:t xml:space="preserve"> 28</w:t>
      </w:r>
      <w:r w:rsidR="00F861F0" w:rsidRPr="00DB5643">
        <w:rPr>
          <w:iCs/>
          <w:snapToGrid w:val="0"/>
          <w:kern w:val="22"/>
          <w:szCs w:val="22"/>
          <w:lang w:val="ru-RU"/>
        </w:rPr>
        <w:t> </w:t>
      </w:r>
      <w:r w:rsidR="00E13D8A" w:rsidRPr="00DB5643">
        <w:rPr>
          <w:iCs/>
          <w:snapToGrid w:val="0"/>
          <w:kern w:val="22"/>
          <w:szCs w:val="22"/>
          <w:lang w:val="ru-RU"/>
        </w:rPr>
        <w:t xml:space="preserve">% </w:t>
      </w:r>
      <w:r w:rsidR="00F861F0" w:rsidRPr="00DB5643">
        <w:rPr>
          <w:iCs/>
          <w:snapToGrid w:val="0"/>
          <w:kern w:val="22"/>
          <w:szCs w:val="22"/>
          <w:lang w:val="ru-RU"/>
        </w:rPr>
        <w:t>по сравнению с исходным уровнем</w:t>
      </w:r>
      <w:r w:rsidR="00E13D8A" w:rsidRPr="00DB5643">
        <w:rPr>
          <w:iCs/>
          <w:snapToGrid w:val="0"/>
          <w:kern w:val="22"/>
          <w:szCs w:val="22"/>
          <w:lang w:val="ru-RU"/>
        </w:rPr>
        <w:t xml:space="preserve">, </w:t>
      </w:r>
      <w:r w:rsidR="00F861F0" w:rsidRPr="00DB5643">
        <w:rPr>
          <w:iCs/>
          <w:snapToGrid w:val="0"/>
          <w:kern w:val="22"/>
          <w:szCs w:val="22"/>
          <w:lang w:val="ru-RU"/>
        </w:rPr>
        <w:t>соответственно</w:t>
      </w:r>
      <w:r w:rsidR="00E13D8A" w:rsidRPr="00DB5643">
        <w:rPr>
          <w:iCs/>
          <w:snapToGrid w:val="0"/>
          <w:kern w:val="22"/>
          <w:szCs w:val="22"/>
          <w:lang w:val="ru-RU"/>
        </w:rPr>
        <w:t xml:space="preserve"> </w:t>
      </w:r>
      <w:r w:rsidR="009B1BF2">
        <w:rPr>
          <w:iCs/>
          <w:snapToGrid w:val="0"/>
          <w:kern w:val="22"/>
          <w:szCs w:val="22"/>
          <w:lang w:val="ru-RU"/>
        </w:rPr>
        <w:br/>
      </w:r>
      <w:r w:rsidR="00E13D8A" w:rsidRPr="00DB5643">
        <w:rPr>
          <w:iCs/>
          <w:snapToGrid w:val="0"/>
          <w:kern w:val="22"/>
          <w:szCs w:val="22"/>
          <w:lang w:val="ru-RU"/>
        </w:rPr>
        <w:t>(</w:t>
      </w:r>
      <w:r w:rsidR="00F861F0" w:rsidRPr="00DB5643">
        <w:rPr>
          <w:iCs/>
          <w:snapToGrid w:val="0"/>
          <w:kern w:val="22"/>
          <w:szCs w:val="22"/>
          <w:lang w:val="ru-RU"/>
        </w:rPr>
        <w:t xml:space="preserve">см. рис. </w:t>
      </w:r>
      <w:r w:rsidR="00E13D8A" w:rsidRPr="00DB5643">
        <w:rPr>
          <w:iCs/>
          <w:snapToGrid w:val="0"/>
          <w:kern w:val="22"/>
          <w:szCs w:val="22"/>
          <w:lang w:val="ru-RU"/>
        </w:rPr>
        <w:t xml:space="preserve">7 </w:t>
      </w:r>
      <w:r w:rsidR="00F861F0" w:rsidRPr="00DB5643">
        <w:rPr>
          <w:iCs/>
          <w:snapToGrid w:val="0"/>
          <w:kern w:val="22"/>
          <w:szCs w:val="22"/>
          <w:lang w:val="ru-RU"/>
        </w:rPr>
        <w:t>выше</w:t>
      </w:r>
      <w:r w:rsidR="00E13D8A" w:rsidRPr="00DB5643">
        <w:rPr>
          <w:iCs/>
          <w:snapToGrid w:val="0"/>
          <w:kern w:val="22"/>
          <w:szCs w:val="22"/>
          <w:lang w:val="ru-RU"/>
        </w:rPr>
        <w:t>).</w:t>
      </w:r>
    </w:p>
    <w:p w14:paraId="590885E2" w14:textId="1E59501B" w:rsidR="00E13D8A" w:rsidRPr="00DB5643" w:rsidRDefault="0000409A" w:rsidP="00E13D8A">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sidRPr="00DB5643">
        <w:rPr>
          <w:iCs/>
          <w:snapToGrid w:val="0"/>
          <w:kern w:val="22"/>
          <w:szCs w:val="22"/>
          <w:lang w:val="ru-RU"/>
        </w:rPr>
        <w:t>В отношении</w:t>
      </w:r>
      <w:r w:rsidR="00E13D8A" w:rsidRPr="00DB5643">
        <w:rPr>
          <w:iCs/>
          <w:snapToGrid w:val="0"/>
          <w:kern w:val="22"/>
          <w:szCs w:val="22"/>
          <w:lang w:val="ru-RU"/>
        </w:rPr>
        <w:t xml:space="preserve"> </w:t>
      </w:r>
      <w:r w:rsidR="00F861F0" w:rsidRPr="00DB5643">
        <w:rPr>
          <w:b/>
          <w:bCs/>
          <w:iCs/>
          <w:snapToGrid w:val="0"/>
          <w:kern w:val="22"/>
          <w:szCs w:val="22"/>
          <w:lang w:val="ru-RU"/>
        </w:rPr>
        <w:t>индикатора</w:t>
      </w:r>
      <w:r w:rsidR="00E13D8A" w:rsidRPr="00DB5643">
        <w:rPr>
          <w:b/>
          <w:bCs/>
          <w:iCs/>
          <w:snapToGrid w:val="0"/>
          <w:kern w:val="22"/>
          <w:szCs w:val="22"/>
          <w:lang w:val="ru-RU"/>
        </w:rPr>
        <w:t xml:space="preserve"> 4.1.4</w:t>
      </w:r>
      <w:r w:rsidR="00E13D8A" w:rsidRPr="00DB5643">
        <w:rPr>
          <w:iCs/>
          <w:snapToGrid w:val="0"/>
          <w:kern w:val="22"/>
          <w:szCs w:val="22"/>
          <w:lang w:val="ru-RU"/>
        </w:rPr>
        <w:t xml:space="preserve"> (</w:t>
      </w:r>
      <w:r w:rsidR="00F861F0" w:rsidRPr="00DB5643">
        <w:rPr>
          <w:iCs/>
          <w:snapToGrid w:val="0"/>
          <w:kern w:val="22"/>
          <w:szCs w:val="22"/>
          <w:lang w:val="ru-RU"/>
        </w:rPr>
        <w:t xml:space="preserve">число ссылок на </w:t>
      </w:r>
      <w:proofErr w:type="spellStart"/>
      <w:r w:rsidR="00F861F0" w:rsidRPr="00DB5643">
        <w:rPr>
          <w:iCs/>
          <w:snapToGrid w:val="0"/>
          <w:kern w:val="22"/>
          <w:szCs w:val="22"/>
          <w:lang w:val="ru-RU"/>
        </w:rPr>
        <w:t>МПБ</w:t>
      </w:r>
      <w:proofErr w:type="spellEnd"/>
      <w:r w:rsidR="00E13D8A" w:rsidRPr="00DB5643">
        <w:rPr>
          <w:iCs/>
          <w:snapToGrid w:val="0"/>
          <w:kern w:val="22"/>
          <w:szCs w:val="22"/>
          <w:lang w:val="ru-RU"/>
        </w:rPr>
        <w:t xml:space="preserve">), </w:t>
      </w:r>
      <w:r w:rsidR="00C629A7" w:rsidRPr="00DB5643">
        <w:rPr>
          <w:iCs/>
          <w:snapToGrid w:val="0"/>
          <w:kern w:val="22"/>
          <w:szCs w:val="22"/>
          <w:lang w:val="ru-RU"/>
        </w:rPr>
        <w:t>была проанализирована информация,</w:t>
      </w:r>
      <w:r w:rsidR="0023422D" w:rsidRPr="00DB5643">
        <w:rPr>
          <w:iCs/>
          <w:snapToGrid w:val="0"/>
          <w:kern w:val="22"/>
          <w:szCs w:val="22"/>
          <w:lang w:val="ru-RU"/>
        </w:rPr>
        <w:t xml:space="preserve"> связанная с направлениями через социальные сети</w:t>
      </w:r>
      <w:r w:rsidR="00E13D8A" w:rsidRPr="00DB5643">
        <w:rPr>
          <w:iCs/>
          <w:snapToGrid w:val="0"/>
          <w:kern w:val="22"/>
          <w:szCs w:val="22"/>
          <w:lang w:val="ru-RU"/>
        </w:rPr>
        <w:t xml:space="preserve">. </w:t>
      </w:r>
      <w:r w:rsidR="0023422D" w:rsidRPr="00DB5643">
        <w:rPr>
          <w:iCs/>
          <w:snapToGrid w:val="0"/>
          <w:kern w:val="22"/>
          <w:szCs w:val="22"/>
          <w:lang w:val="ru-RU"/>
        </w:rPr>
        <w:t xml:space="preserve">Число посетителей, попавших в </w:t>
      </w:r>
      <w:proofErr w:type="spellStart"/>
      <w:r w:rsidR="0023422D" w:rsidRPr="00DB5643">
        <w:rPr>
          <w:iCs/>
          <w:snapToGrid w:val="0"/>
          <w:kern w:val="22"/>
          <w:szCs w:val="22"/>
          <w:lang w:val="ru-RU"/>
        </w:rPr>
        <w:t>МПБ</w:t>
      </w:r>
      <w:proofErr w:type="spellEnd"/>
      <w:r w:rsidR="0023422D" w:rsidRPr="00DB5643">
        <w:rPr>
          <w:iCs/>
          <w:snapToGrid w:val="0"/>
          <w:kern w:val="22"/>
          <w:szCs w:val="22"/>
          <w:lang w:val="ru-RU"/>
        </w:rPr>
        <w:t xml:space="preserve"> путем перехода по ссылкам в социальных сетях</w:t>
      </w:r>
      <w:r w:rsidRPr="00DB5643">
        <w:rPr>
          <w:iCs/>
          <w:snapToGrid w:val="0"/>
          <w:kern w:val="22"/>
          <w:szCs w:val="22"/>
          <w:lang w:val="ru-RU"/>
        </w:rPr>
        <w:t xml:space="preserve">, увеличилось с </w:t>
      </w:r>
      <w:r w:rsidR="00E13D8A" w:rsidRPr="00DB5643">
        <w:rPr>
          <w:snapToGrid w:val="0"/>
          <w:kern w:val="22"/>
          <w:szCs w:val="22"/>
          <w:lang w:val="ru-RU"/>
        </w:rPr>
        <w:t xml:space="preserve">1458 </w:t>
      </w:r>
      <w:r w:rsidRPr="00DB5643">
        <w:rPr>
          <w:snapToGrid w:val="0"/>
          <w:kern w:val="22"/>
          <w:szCs w:val="22"/>
          <w:lang w:val="ru-RU"/>
        </w:rPr>
        <w:t>во втором отчетном цикле до 3</w:t>
      </w:r>
      <w:r w:rsidR="00E13D8A" w:rsidRPr="00DB5643">
        <w:rPr>
          <w:snapToGrid w:val="0"/>
          <w:kern w:val="22"/>
          <w:szCs w:val="22"/>
          <w:lang w:val="ru-RU"/>
        </w:rPr>
        <w:t xml:space="preserve">791 </w:t>
      </w:r>
      <w:r w:rsidRPr="00DB5643">
        <w:rPr>
          <w:snapToGrid w:val="0"/>
          <w:kern w:val="22"/>
          <w:szCs w:val="22"/>
          <w:lang w:val="ru-RU"/>
        </w:rPr>
        <w:t>в четвертом отчетном цикле</w:t>
      </w:r>
      <w:r w:rsidR="00E13D8A" w:rsidRPr="00DB5643">
        <w:rPr>
          <w:snapToGrid w:val="0"/>
          <w:kern w:val="22"/>
          <w:szCs w:val="22"/>
          <w:lang w:val="ru-RU"/>
        </w:rPr>
        <w:t xml:space="preserve">. </w:t>
      </w:r>
      <w:r w:rsidRPr="00DB5643">
        <w:rPr>
          <w:snapToGrid w:val="0"/>
          <w:kern w:val="22"/>
          <w:szCs w:val="22"/>
          <w:lang w:val="ru-RU"/>
        </w:rPr>
        <w:t xml:space="preserve">Это соответствует общему увеличению на </w:t>
      </w:r>
      <w:r w:rsidR="00E13D8A" w:rsidRPr="00DB5643">
        <w:rPr>
          <w:snapToGrid w:val="0"/>
          <w:kern w:val="22"/>
          <w:szCs w:val="22"/>
          <w:lang w:val="ru-RU"/>
        </w:rPr>
        <w:t>160</w:t>
      </w:r>
      <w:r w:rsidRPr="00DB5643">
        <w:rPr>
          <w:snapToGrid w:val="0"/>
          <w:kern w:val="22"/>
          <w:szCs w:val="22"/>
          <w:lang w:val="ru-RU"/>
        </w:rPr>
        <w:t> </w:t>
      </w:r>
      <w:r w:rsidR="00E13D8A" w:rsidRPr="00DB5643">
        <w:rPr>
          <w:snapToGrid w:val="0"/>
          <w:kern w:val="22"/>
          <w:szCs w:val="22"/>
          <w:lang w:val="ru-RU"/>
        </w:rPr>
        <w:t xml:space="preserve">% </w:t>
      </w:r>
      <w:r w:rsidRPr="00DB5643">
        <w:rPr>
          <w:iCs/>
          <w:snapToGrid w:val="0"/>
          <w:kern w:val="22"/>
          <w:szCs w:val="22"/>
          <w:lang w:val="ru-RU"/>
        </w:rPr>
        <w:t>по сравнению с исходным уровнем</w:t>
      </w:r>
      <w:r w:rsidR="00E13D8A" w:rsidRPr="00DB5643">
        <w:rPr>
          <w:snapToGrid w:val="0"/>
          <w:kern w:val="22"/>
          <w:szCs w:val="22"/>
          <w:lang w:val="ru-RU"/>
        </w:rPr>
        <w:t xml:space="preserve">. </w:t>
      </w:r>
      <w:r w:rsidRPr="00DB5643">
        <w:rPr>
          <w:snapToGrid w:val="0"/>
          <w:kern w:val="22"/>
          <w:szCs w:val="22"/>
          <w:lang w:val="ru-RU"/>
        </w:rPr>
        <w:t>Большинство этих направлений было сделано через</w:t>
      </w:r>
      <w:r w:rsidR="00E13D8A" w:rsidRPr="00DB5643">
        <w:rPr>
          <w:snapToGrid w:val="0"/>
          <w:kern w:val="22"/>
          <w:szCs w:val="22"/>
          <w:lang w:val="ru-RU"/>
        </w:rPr>
        <w:t xml:space="preserve"> </w:t>
      </w:r>
      <w:r w:rsidR="00E13D8A" w:rsidRPr="00DB5643">
        <w:rPr>
          <w:snapToGrid w:val="0"/>
          <w:kern w:val="22"/>
          <w:szCs w:val="22"/>
        </w:rPr>
        <w:t>Facebook</w:t>
      </w:r>
      <w:r w:rsidR="00E13D8A" w:rsidRPr="00DB5643">
        <w:rPr>
          <w:snapToGrid w:val="0"/>
          <w:kern w:val="22"/>
          <w:szCs w:val="22"/>
          <w:lang w:val="ru-RU"/>
        </w:rPr>
        <w:t xml:space="preserve"> (69</w:t>
      </w:r>
      <w:r w:rsidRPr="00DB5643">
        <w:rPr>
          <w:snapToGrid w:val="0"/>
          <w:kern w:val="22"/>
          <w:szCs w:val="22"/>
          <w:lang w:val="ru-RU"/>
        </w:rPr>
        <w:t> </w:t>
      </w:r>
      <w:r w:rsidR="00E13D8A" w:rsidRPr="00DB5643">
        <w:rPr>
          <w:snapToGrid w:val="0"/>
          <w:kern w:val="22"/>
          <w:szCs w:val="22"/>
          <w:lang w:val="ru-RU"/>
        </w:rPr>
        <w:t xml:space="preserve">%), </w:t>
      </w:r>
      <w:r w:rsidRPr="00DB5643">
        <w:rPr>
          <w:snapToGrid w:val="0"/>
          <w:kern w:val="22"/>
          <w:szCs w:val="22"/>
          <w:lang w:val="ru-RU"/>
        </w:rPr>
        <w:t xml:space="preserve">за которым следует </w:t>
      </w:r>
      <w:r w:rsidR="00E13D8A" w:rsidRPr="00DB5643">
        <w:rPr>
          <w:snapToGrid w:val="0"/>
          <w:kern w:val="22"/>
          <w:szCs w:val="22"/>
        </w:rPr>
        <w:t>Twitter</w:t>
      </w:r>
      <w:r w:rsidR="00E13D8A" w:rsidRPr="00DB5643">
        <w:rPr>
          <w:snapToGrid w:val="0"/>
          <w:kern w:val="22"/>
          <w:szCs w:val="22"/>
          <w:lang w:val="ru-RU"/>
        </w:rPr>
        <w:t xml:space="preserve"> (22</w:t>
      </w:r>
      <w:r w:rsidRPr="00DB5643">
        <w:rPr>
          <w:snapToGrid w:val="0"/>
          <w:kern w:val="22"/>
          <w:szCs w:val="22"/>
          <w:lang w:val="ru-RU"/>
        </w:rPr>
        <w:t> </w:t>
      </w:r>
      <w:r w:rsidR="00E13D8A" w:rsidRPr="00DB5643">
        <w:rPr>
          <w:snapToGrid w:val="0"/>
          <w:kern w:val="22"/>
          <w:szCs w:val="22"/>
          <w:lang w:val="ru-RU"/>
        </w:rPr>
        <w:t>%).</w:t>
      </w:r>
    </w:p>
    <w:p w14:paraId="370526FD" w14:textId="77B4FA73" w:rsidR="00E13D8A" w:rsidRPr="00DB5643" w:rsidRDefault="00832DE6" w:rsidP="00E13D8A">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iCs/>
          <w:snapToGrid w:val="0"/>
          <w:kern w:val="22"/>
          <w:szCs w:val="22"/>
          <w:lang w:val="ru-RU"/>
        </w:rPr>
        <w:t>В отношении</w:t>
      </w:r>
      <w:r w:rsidR="00E13D8A" w:rsidRPr="00DB5643">
        <w:rPr>
          <w:iCs/>
          <w:snapToGrid w:val="0"/>
          <w:kern w:val="22"/>
          <w:szCs w:val="22"/>
          <w:lang w:val="ru-RU"/>
        </w:rPr>
        <w:t xml:space="preserve"> </w:t>
      </w:r>
      <w:r w:rsidRPr="00DB5643">
        <w:rPr>
          <w:b/>
          <w:iCs/>
          <w:snapToGrid w:val="0"/>
          <w:kern w:val="22"/>
          <w:szCs w:val="22"/>
          <w:lang w:val="ru-RU"/>
        </w:rPr>
        <w:t>индикатора</w:t>
      </w:r>
      <w:r w:rsidR="00E13D8A" w:rsidRPr="00DB5643">
        <w:rPr>
          <w:b/>
          <w:iCs/>
          <w:snapToGrid w:val="0"/>
          <w:kern w:val="22"/>
          <w:szCs w:val="22"/>
          <w:lang w:val="ru-RU"/>
        </w:rPr>
        <w:t xml:space="preserve"> 4.1.5 (</w:t>
      </w:r>
      <w:r w:rsidRPr="00DB5643">
        <w:rPr>
          <w:iCs/>
          <w:snapToGrid w:val="0"/>
          <w:kern w:val="22"/>
          <w:szCs w:val="22"/>
          <w:lang w:val="ru-RU"/>
        </w:rPr>
        <w:t xml:space="preserve">число стран, чьи координационные центры зарегистрированы в </w:t>
      </w:r>
      <w:proofErr w:type="spellStart"/>
      <w:r w:rsidRPr="00DB5643">
        <w:rPr>
          <w:iCs/>
          <w:snapToGrid w:val="0"/>
          <w:kern w:val="22"/>
          <w:szCs w:val="22"/>
          <w:lang w:val="ru-RU"/>
        </w:rPr>
        <w:t>МПБ</w:t>
      </w:r>
      <w:proofErr w:type="spellEnd"/>
      <w:r w:rsidR="00E13D8A" w:rsidRPr="00DB5643">
        <w:rPr>
          <w:snapToGrid w:val="0"/>
          <w:kern w:val="22"/>
          <w:szCs w:val="22"/>
          <w:lang w:val="ru-RU"/>
        </w:rPr>
        <w:t>)</w:t>
      </w:r>
      <w:r w:rsidRPr="00DB5643">
        <w:rPr>
          <w:snapToGrid w:val="0"/>
          <w:kern w:val="22"/>
          <w:szCs w:val="22"/>
          <w:lang w:val="ru-RU"/>
        </w:rPr>
        <w:t xml:space="preserve"> представлена следующая информация</w:t>
      </w:r>
      <w:r w:rsidR="00E13D8A" w:rsidRPr="00DB5643">
        <w:rPr>
          <w:rStyle w:val="ac"/>
          <w:snapToGrid w:val="0"/>
          <w:kern w:val="22"/>
          <w:szCs w:val="22"/>
        </w:rPr>
        <w:footnoteReference w:id="37"/>
      </w:r>
      <w:r w:rsidRPr="00DB5643">
        <w:rPr>
          <w:snapToGrid w:val="0"/>
          <w:kern w:val="22"/>
          <w:szCs w:val="22"/>
          <w:lang w:val="ru-RU"/>
        </w:rPr>
        <w:t>:</w:t>
      </w:r>
    </w:p>
    <w:p w14:paraId="5BB5835D" w14:textId="58895D3C" w:rsidR="00E13D8A" w:rsidRPr="009D11D8" w:rsidRDefault="00B67589" w:rsidP="00B44100">
      <w:pPr>
        <w:pStyle w:val="a3"/>
        <w:numPr>
          <w:ilvl w:val="0"/>
          <w:numId w:val="35"/>
        </w:numPr>
        <w:suppressLineNumbers/>
        <w:suppressAutoHyphens/>
        <w:snapToGrid w:val="0"/>
        <w:spacing w:before="120" w:after="120"/>
        <w:ind w:left="0" w:firstLine="828"/>
        <w:contextualSpacing w:val="0"/>
        <w:rPr>
          <w:iCs/>
          <w:snapToGrid w:val="0"/>
          <w:kern w:val="22"/>
          <w:szCs w:val="22"/>
          <w:lang w:val="ru-RU"/>
        </w:rPr>
      </w:pPr>
      <w:r w:rsidRPr="00DB5643">
        <w:rPr>
          <w:iCs/>
          <w:snapToGrid w:val="0"/>
          <w:kern w:val="22"/>
          <w:szCs w:val="22"/>
          <w:lang w:val="ru-RU"/>
        </w:rPr>
        <w:t xml:space="preserve">координационный центр по </w:t>
      </w:r>
      <w:proofErr w:type="spellStart"/>
      <w:r w:rsidRPr="00DB5643">
        <w:rPr>
          <w:iCs/>
          <w:snapToGrid w:val="0"/>
          <w:kern w:val="22"/>
          <w:szCs w:val="22"/>
          <w:lang w:val="ru-RU"/>
        </w:rPr>
        <w:t>Картахенскому</w:t>
      </w:r>
      <w:proofErr w:type="spellEnd"/>
      <w:r w:rsidRPr="00DB5643">
        <w:rPr>
          <w:iCs/>
          <w:snapToGrid w:val="0"/>
          <w:kern w:val="22"/>
          <w:szCs w:val="22"/>
          <w:lang w:val="ru-RU"/>
        </w:rPr>
        <w:t xml:space="preserve"> протоколу</w:t>
      </w:r>
      <w:r w:rsidR="00E13D8A" w:rsidRPr="00DB5643">
        <w:rPr>
          <w:iCs/>
          <w:snapToGrid w:val="0"/>
          <w:kern w:val="22"/>
          <w:szCs w:val="22"/>
          <w:lang w:val="ru-RU"/>
        </w:rPr>
        <w:t xml:space="preserve">: </w:t>
      </w:r>
      <w:r w:rsidRPr="00DB5643">
        <w:rPr>
          <w:iCs/>
          <w:snapToGrid w:val="0"/>
          <w:kern w:val="22"/>
          <w:szCs w:val="22"/>
          <w:lang w:val="ru-RU"/>
        </w:rPr>
        <w:t>по состоянию на</w:t>
      </w:r>
      <w:r w:rsidR="00E13D8A" w:rsidRPr="00DB5643">
        <w:rPr>
          <w:iCs/>
          <w:snapToGrid w:val="0"/>
          <w:kern w:val="22"/>
          <w:szCs w:val="22"/>
          <w:lang w:val="ru-RU"/>
        </w:rPr>
        <w:t xml:space="preserve"> 1 </w:t>
      </w:r>
      <w:r w:rsidRPr="00DB5643">
        <w:rPr>
          <w:iCs/>
          <w:snapToGrid w:val="0"/>
          <w:kern w:val="22"/>
          <w:szCs w:val="22"/>
          <w:lang w:val="ru-RU"/>
        </w:rPr>
        <w:t>января</w:t>
      </w:r>
      <w:r w:rsidR="00E13D8A" w:rsidRPr="00DB5643">
        <w:rPr>
          <w:iCs/>
          <w:snapToGrid w:val="0"/>
          <w:kern w:val="22"/>
          <w:szCs w:val="22"/>
          <w:lang w:val="ru-RU"/>
        </w:rPr>
        <w:t xml:space="preserve"> 2020</w:t>
      </w:r>
      <w:r w:rsidRPr="00DB5643">
        <w:rPr>
          <w:iCs/>
          <w:snapToGrid w:val="0"/>
          <w:kern w:val="22"/>
          <w:szCs w:val="22"/>
          <w:lang w:val="ru-RU"/>
        </w:rPr>
        <w:t xml:space="preserve"> года</w:t>
      </w:r>
      <w:r w:rsidR="00E13D8A" w:rsidRPr="00DB5643">
        <w:rPr>
          <w:iCs/>
          <w:snapToGrid w:val="0"/>
          <w:kern w:val="22"/>
          <w:szCs w:val="22"/>
          <w:lang w:val="ru-RU"/>
        </w:rPr>
        <w:t xml:space="preserve"> 181 </w:t>
      </w:r>
      <w:r w:rsidRPr="00DB5643">
        <w:rPr>
          <w:iCs/>
          <w:snapToGrid w:val="0"/>
          <w:kern w:val="22"/>
          <w:szCs w:val="22"/>
          <w:lang w:val="ru-RU"/>
        </w:rPr>
        <w:t>страна</w:t>
      </w:r>
      <w:r w:rsidR="00E13D8A" w:rsidRPr="00DB5643">
        <w:rPr>
          <w:iCs/>
          <w:snapToGrid w:val="0"/>
          <w:kern w:val="22"/>
          <w:szCs w:val="22"/>
          <w:lang w:val="ru-RU"/>
        </w:rPr>
        <w:t xml:space="preserve"> (92</w:t>
      </w:r>
      <w:r w:rsidRPr="00DB5643">
        <w:rPr>
          <w:iCs/>
          <w:snapToGrid w:val="0"/>
          <w:kern w:val="22"/>
          <w:szCs w:val="22"/>
          <w:lang w:val="ru-RU"/>
        </w:rPr>
        <w:t> </w:t>
      </w:r>
      <w:r w:rsidR="00E13D8A" w:rsidRPr="00DB5643">
        <w:rPr>
          <w:iCs/>
          <w:snapToGrid w:val="0"/>
          <w:kern w:val="22"/>
          <w:szCs w:val="22"/>
          <w:lang w:val="ru-RU"/>
        </w:rPr>
        <w:t xml:space="preserve">% </w:t>
      </w:r>
      <w:r w:rsidRPr="00DB5643">
        <w:rPr>
          <w:iCs/>
          <w:snapToGrid w:val="0"/>
          <w:kern w:val="22"/>
          <w:szCs w:val="22"/>
          <w:lang w:val="ru-RU"/>
        </w:rPr>
        <w:t>стран</w:t>
      </w:r>
      <w:r w:rsidR="00E13D8A" w:rsidRPr="00DB5643">
        <w:rPr>
          <w:iCs/>
          <w:snapToGrid w:val="0"/>
          <w:kern w:val="22"/>
          <w:szCs w:val="22"/>
          <w:lang w:val="ru-RU"/>
        </w:rPr>
        <w:t xml:space="preserve">) </w:t>
      </w:r>
      <w:r w:rsidRPr="00DB5643">
        <w:rPr>
          <w:iCs/>
          <w:snapToGrid w:val="0"/>
          <w:kern w:val="22"/>
          <w:szCs w:val="22"/>
          <w:lang w:val="ru-RU"/>
        </w:rPr>
        <w:t>назначила свои координационные центры по Протоколу</w:t>
      </w:r>
      <w:r w:rsidR="00E13D8A" w:rsidRPr="00DB5643">
        <w:rPr>
          <w:iCs/>
          <w:snapToGrid w:val="0"/>
          <w:kern w:val="22"/>
          <w:szCs w:val="22"/>
          <w:lang w:val="ru-RU"/>
        </w:rPr>
        <w:t xml:space="preserve">. </w:t>
      </w:r>
      <w:r w:rsidR="009D11D8">
        <w:rPr>
          <w:iCs/>
          <w:snapToGrid w:val="0"/>
          <w:kern w:val="22"/>
          <w:szCs w:val="22"/>
          <w:lang w:val="ru-RU"/>
        </w:rPr>
        <w:t>По состоянию на</w:t>
      </w:r>
      <w:r w:rsidRPr="00DB5643">
        <w:rPr>
          <w:iCs/>
          <w:snapToGrid w:val="0"/>
          <w:kern w:val="22"/>
          <w:szCs w:val="22"/>
          <w:lang w:val="ru-RU"/>
        </w:rPr>
        <w:t xml:space="preserve"> январ</w:t>
      </w:r>
      <w:r w:rsidR="009D11D8">
        <w:rPr>
          <w:iCs/>
          <w:snapToGrid w:val="0"/>
          <w:kern w:val="22"/>
          <w:szCs w:val="22"/>
          <w:lang w:val="ru-RU"/>
        </w:rPr>
        <w:t>ь</w:t>
      </w:r>
      <w:r w:rsidR="00E13D8A" w:rsidRPr="00DB5643">
        <w:rPr>
          <w:iCs/>
          <w:snapToGrid w:val="0"/>
          <w:kern w:val="22"/>
          <w:szCs w:val="22"/>
          <w:lang w:val="ru-RU"/>
        </w:rPr>
        <w:t xml:space="preserve"> 2012</w:t>
      </w:r>
      <w:r w:rsidRPr="00DB5643">
        <w:rPr>
          <w:iCs/>
          <w:snapToGrid w:val="0"/>
          <w:kern w:val="22"/>
          <w:szCs w:val="22"/>
          <w:lang w:val="ru-RU"/>
        </w:rPr>
        <w:t xml:space="preserve"> года</w:t>
      </w:r>
      <w:r w:rsidR="00E13D8A" w:rsidRPr="00DB5643">
        <w:rPr>
          <w:iCs/>
          <w:snapToGrid w:val="0"/>
          <w:kern w:val="22"/>
          <w:szCs w:val="22"/>
          <w:lang w:val="ru-RU"/>
        </w:rPr>
        <w:t xml:space="preserve"> 176 </w:t>
      </w:r>
      <w:r w:rsidRPr="00DB5643">
        <w:rPr>
          <w:iCs/>
          <w:snapToGrid w:val="0"/>
          <w:kern w:val="22"/>
          <w:szCs w:val="22"/>
          <w:lang w:val="ru-RU"/>
        </w:rPr>
        <w:t>стран</w:t>
      </w:r>
      <w:r w:rsidR="00E13D8A" w:rsidRPr="00DB5643">
        <w:rPr>
          <w:iCs/>
          <w:snapToGrid w:val="0"/>
          <w:kern w:val="22"/>
          <w:szCs w:val="22"/>
          <w:lang w:val="ru-RU"/>
        </w:rPr>
        <w:t xml:space="preserve"> (91</w:t>
      </w:r>
      <w:r w:rsidRPr="00DB5643">
        <w:rPr>
          <w:iCs/>
          <w:snapToGrid w:val="0"/>
          <w:kern w:val="22"/>
          <w:szCs w:val="22"/>
          <w:lang w:val="en-US"/>
        </w:rPr>
        <w:t> </w:t>
      </w:r>
      <w:r w:rsidR="00E13D8A" w:rsidRPr="00DB5643">
        <w:rPr>
          <w:iCs/>
          <w:snapToGrid w:val="0"/>
          <w:kern w:val="22"/>
          <w:szCs w:val="22"/>
          <w:lang w:val="ru-RU"/>
        </w:rPr>
        <w:t xml:space="preserve">% </w:t>
      </w:r>
      <w:r w:rsidRPr="00DB5643">
        <w:rPr>
          <w:iCs/>
          <w:snapToGrid w:val="0"/>
          <w:kern w:val="22"/>
          <w:szCs w:val="22"/>
          <w:lang w:val="ru-RU"/>
        </w:rPr>
        <w:t>стран</w:t>
      </w:r>
      <w:r w:rsidR="00E13D8A" w:rsidRPr="00DB5643">
        <w:rPr>
          <w:iCs/>
          <w:snapToGrid w:val="0"/>
          <w:kern w:val="22"/>
          <w:szCs w:val="22"/>
          <w:lang w:val="ru-RU"/>
        </w:rPr>
        <w:t xml:space="preserve">) </w:t>
      </w:r>
      <w:r w:rsidRPr="00DB5643">
        <w:rPr>
          <w:iCs/>
          <w:snapToGrid w:val="0"/>
          <w:kern w:val="22"/>
          <w:szCs w:val="22"/>
          <w:lang w:val="ru-RU"/>
        </w:rPr>
        <w:t>назначили свои координационные центры по Протоколу</w:t>
      </w:r>
      <w:r w:rsidR="00E13D8A" w:rsidRPr="00DB5643">
        <w:rPr>
          <w:iCs/>
          <w:snapToGrid w:val="0"/>
          <w:kern w:val="22"/>
          <w:szCs w:val="22"/>
          <w:lang w:val="ru-RU"/>
        </w:rPr>
        <w:t xml:space="preserve">. </w:t>
      </w:r>
      <w:r w:rsidRPr="00DB5643">
        <w:rPr>
          <w:iCs/>
          <w:snapToGrid w:val="0"/>
          <w:kern w:val="22"/>
          <w:szCs w:val="22"/>
          <w:lang w:val="ru-RU"/>
        </w:rPr>
        <w:t xml:space="preserve">Это соответствует увеличению на </w:t>
      </w:r>
      <w:r w:rsidR="00E13D8A" w:rsidRPr="009D11D8">
        <w:rPr>
          <w:iCs/>
          <w:snapToGrid w:val="0"/>
          <w:kern w:val="22"/>
          <w:szCs w:val="22"/>
          <w:lang w:val="ru-RU"/>
        </w:rPr>
        <w:t>1</w:t>
      </w:r>
      <w:r w:rsidRPr="00DB5643">
        <w:rPr>
          <w:iCs/>
          <w:snapToGrid w:val="0"/>
          <w:kern w:val="22"/>
          <w:szCs w:val="22"/>
          <w:lang w:val="ru-RU"/>
        </w:rPr>
        <w:t> </w:t>
      </w:r>
      <w:r w:rsidR="00E13D8A" w:rsidRPr="009D11D8">
        <w:rPr>
          <w:iCs/>
          <w:snapToGrid w:val="0"/>
          <w:kern w:val="22"/>
          <w:szCs w:val="22"/>
          <w:lang w:val="ru-RU"/>
        </w:rPr>
        <w:t xml:space="preserve">% </w:t>
      </w:r>
      <w:r w:rsidRPr="00DB5643">
        <w:rPr>
          <w:iCs/>
          <w:snapToGrid w:val="0"/>
          <w:kern w:val="22"/>
          <w:szCs w:val="22"/>
          <w:lang w:val="ru-RU"/>
        </w:rPr>
        <w:t>по сравнению с исходным уровнем</w:t>
      </w:r>
      <w:r w:rsidR="001C1AEF" w:rsidRPr="009D11D8">
        <w:rPr>
          <w:iCs/>
          <w:snapToGrid w:val="0"/>
          <w:kern w:val="22"/>
          <w:szCs w:val="22"/>
          <w:lang w:val="ru-RU"/>
        </w:rPr>
        <w:t>;</w:t>
      </w:r>
    </w:p>
    <w:p w14:paraId="5D7D5D40" w14:textId="125E51BF" w:rsidR="00E13D8A" w:rsidRPr="00DB5643" w:rsidRDefault="00B67589" w:rsidP="00B44100">
      <w:pPr>
        <w:pStyle w:val="a3"/>
        <w:numPr>
          <w:ilvl w:val="0"/>
          <w:numId w:val="35"/>
        </w:numPr>
        <w:suppressLineNumbers/>
        <w:suppressAutoHyphens/>
        <w:snapToGrid w:val="0"/>
        <w:spacing w:before="120" w:after="120"/>
        <w:ind w:left="0" w:firstLine="828"/>
        <w:contextualSpacing w:val="0"/>
        <w:rPr>
          <w:iCs/>
          <w:snapToGrid w:val="0"/>
          <w:kern w:val="22"/>
          <w:szCs w:val="22"/>
          <w:lang w:val="ru-RU"/>
        </w:rPr>
      </w:pPr>
      <w:r w:rsidRPr="00DB5643">
        <w:rPr>
          <w:iCs/>
          <w:snapToGrid w:val="0"/>
          <w:kern w:val="22"/>
          <w:szCs w:val="22"/>
          <w:lang w:val="ru-RU"/>
        </w:rPr>
        <w:t xml:space="preserve">координационный центр по </w:t>
      </w:r>
      <w:proofErr w:type="spellStart"/>
      <w:r w:rsidRPr="00DB5643">
        <w:rPr>
          <w:iCs/>
          <w:snapToGrid w:val="0"/>
          <w:kern w:val="22"/>
          <w:szCs w:val="22"/>
          <w:lang w:val="ru-RU"/>
        </w:rPr>
        <w:t>М</w:t>
      </w:r>
      <w:r w:rsidR="009D11D8">
        <w:rPr>
          <w:iCs/>
          <w:snapToGrid w:val="0"/>
          <w:kern w:val="22"/>
          <w:szCs w:val="22"/>
          <w:lang w:val="ru-RU"/>
        </w:rPr>
        <w:t>ПБ</w:t>
      </w:r>
      <w:proofErr w:type="spellEnd"/>
      <w:r w:rsidR="00E13D8A" w:rsidRPr="00DB5643">
        <w:rPr>
          <w:iCs/>
          <w:snapToGrid w:val="0"/>
          <w:kern w:val="22"/>
          <w:szCs w:val="22"/>
          <w:lang w:val="ru-RU"/>
        </w:rPr>
        <w:t xml:space="preserve">: </w:t>
      </w:r>
      <w:r w:rsidRPr="00DB5643">
        <w:rPr>
          <w:iCs/>
          <w:snapToGrid w:val="0"/>
          <w:kern w:val="22"/>
          <w:szCs w:val="22"/>
          <w:lang w:val="ru-RU"/>
        </w:rPr>
        <w:t>по состоянию на январь</w:t>
      </w:r>
      <w:r w:rsidR="00E13D8A" w:rsidRPr="00DB5643">
        <w:rPr>
          <w:iCs/>
          <w:snapToGrid w:val="0"/>
          <w:kern w:val="22"/>
          <w:szCs w:val="22"/>
          <w:lang w:val="ru-RU"/>
        </w:rPr>
        <w:t xml:space="preserve"> 2020</w:t>
      </w:r>
      <w:r w:rsidRPr="00DB5643">
        <w:rPr>
          <w:iCs/>
          <w:snapToGrid w:val="0"/>
          <w:kern w:val="22"/>
          <w:szCs w:val="22"/>
          <w:lang w:val="ru-RU"/>
        </w:rPr>
        <w:t xml:space="preserve"> года</w:t>
      </w:r>
      <w:r w:rsidR="00E13D8A" w:rsidRPr="00DB5643">
        <w:rPr>
          <w:iCs/>
          <w:snapToGrid w:val="0"/>
          <w:kern w:val="22"/>
          <w:szCs w:val="22"/>
          <w:lang w:val="ru-RU"/>
        </w:rPr>
        <w:t xml:space="preserve"> 191 </w:t>
      </w:r>
      <w:r w:rsidRPr="00DB5643">
        <w:rPr>
          <w:iCs/>
          <w:snapToGrid w:val="0"/>
          <w:kern w:val="22"/>
          <w:szCs w:val="22"/>
          <w:lang w:val="ru-RU"/>
        </w:rPr>
        <w:t>страна</w:t>
      </w:r>
      <w:r w:rsidR="00E13D8A" w:rsidRPr="00DB5643">
        <w:rPr>
          <w:iCs/>
          <w:snapToGrid w:val="0"/>
          <w:kern w:val="22"/>
          <w:szCs w:val="22"/>
          <w:lang w:val="ru-RU"/>
        </w:rPr>
        <w:t xml:space="preserve"> (97</w:t>
      </w:r>
      <w:r w:rsidRPr="00DB5643">
        <w:rPr>
          <w:iCs/>
          <w:snapToGrid w:val="0"/>
          <w:kern w:val="22"/>
          <w:szCs w:val="22"/>
          <w:lang w:val="ru-RU"/>
        </w:rPr>
        <w:t> </w:t>
      </w:r>
      <w:r w:rsidR="00E13D8A" w:rsidRPr="00DB5643">
        <w:rPr>
          <w:iCs/>
          <w:snapToGrid w:val="0"/>
          <w:kern w:val="22"/>
          <w:szCs w:val="22"/>
          <w:lang w:val="ru-RU"/>
        </w:rPr>
        <w:t xml:space="preserve">% </w:t>
      </w:r>
      <w:r w:rsidRPr="00DB5643">
        <w:rPr>
          <w:iCs/>
          <w:snapToGrid w:val="0"/>
          <w:kern w:val="22"/>
          <w:szCs w:val="22"/>
          <w:lang w:val="ru-RU"/>
        </w:rPr>
        <w:t>стран</w:t>
      </w:r>
      <w:r w:rsidR="00E13D8A" w:rsidRPr="00DB5643">
        <w:rPr>
          <w:iCs/>
          <w:snapToGrid w:val="0"/>
          <w:kern w:val="22"/>
          <w:szCs w:val="22"/>
          <w:lang w:val="ru-RU"/>
        </w:rPr>
        <w:t xml:space="preserve">) </w:t>
      </w:r>
      <w:r w:rsidRPr="00DB5643">
        <w:rPr>
          <w:iCs/>
          <w:snapToGrid w:val="0"/>
          <w:kern w:val="22"/>
          <w:szCs w:val="22"/>
          <w:lang w:val="ru-RU"/>
        </w:rPr>
        <w:t xml:space="preserve">назначила свои координационные центры по </w:t>
      </w:r>
      <w:proofErr w:type="spellStart"/>
      <w:r w:rsidRPr="00DB5643">
        <w:rPr>
          <w:iCs/>
          <w:snapToGrid w:val="0"/>
          <w:kern w:val="22"/>
          <w:szCs w:val="22"/>
          <w:lang w:val="ru-RU"/>
        </w:rPr>
        <w:t>МПБ</w:t>
      </w:r>
      <w:proofErr w:type="spellEnd"/>
      <w:r w:rsidR="00E13D8A" w:rsidRPr="00DB5643">
        <w:rPr>
          <w:iCs/>
          <w:snapToGrid w:val="0"/>
          <w:kern w:val="22"/>
          <w:szCs w:val="22"/>
          <w:lang w:val="ru-RU"/>
        </w:rPr>
        <w:t xml:space="preserve">. </w:t>
      </w:r>
      <w:r w:rsidR="009D11D8">
        <w:rPr>
          <w:iCs/>
          <w:snapToGrid w:val="0"/>
          <w:kern w:val="22"/>
          <w:szCs w:val="22"/>
          <w:lang w:val="ru-RU"/>
        </w:rPr>
        <w:t>По состоянию на</w:t>
      </w:r>
      <w:r w:rsidR="009D11D8" w:rsidRPr="00DB5643">
        <w:rPr>
          <w:iCs/>
          <w:snapToGrid w:val="0"/>
          <w:kern w:val="22"/>
          <w:szCs w:val="22"/>
          <w:lang w:val="ru-RU"/>
        </w:rPr>
        <w:t xml:space="preserve"> январ</w:t>
      </w:r>
      <w:r w:rsidR="009D11D8">
        <w:rPr>
          <w:iCs/>
          <w:snapToGrid w:val="0"/>
          <w:kern w:val="22"/>
          <w:szCs w:val="22"/>
          <w:lang w:val="ru-RU"/>
        </w:rPr>
        <w:t>ь</w:t>
      </w:r>
      <w:r w:rsidR="009D11D8" w:rsidRPr="00DB5643">
        <w:rPr>
          <w:iCs/>
          <w:snapToGrid w:val="0"/>
          <w:kern w:val="22"/>
          <w:szCs w:val="22"/>
          <w:lang w:val="ru-RU"/>
        </w:rPr>
        <w:t xml:space="preserve"> </w:t>
      </w:r>
      <w:r w:rsidR="00E13D8A" w:rsidRPr="00DB5643">
        <w:rPr>
          <w:iCs/>
          <w:snapToGrid w:val="0"/>
          <w:kern w:val="22"/>
          <w:szCs w:val="22"/>
          <w:lang w:val="ru-RU"/>
        </w:rPr>
        <w:t>2012</w:t>
      </w:r>
      <w:r w:rsidRPr="00DB5643">
        <w:rPr>
          <w:iCs/>
          <w:snapToGrid w:val="0"/>
          <w:kern w:val="22"/>
          <w:szCs w:val="22"/>
          <w:lang w:val="ru-RU"/>
        </w:rPr>
        <w:t xml:space="preserve"> года</w:t>
      </w:r>
      <w:r w:rsidR="00E13D8A" w:rsidRPr="00DB5643">
        <w:rPr>
          <w:iCs/>
          <w:snapToGrid w:val="0"/>
          <w:kern w:val="22"/>
          <w:szCs w:val="22"/>
          <w:lang w:val="ru-RU"/>
        </w:rPr>
        <w:t xml:space="preserve"> </w:t>
      </w:r>
      <w:r w:rsidRPr="00DB5643">
        <w:rPr>
          <w:iCs/>
          <w:snapToGrid w:val="0"/>
          <w:kern w:val="22"/>
          <w:szCs w:val="22"/>
          <w:lang w:val="ru-RU"/>
        </w:rPr>
        <w:t xml:space="preserve">это сделали </w:t>
      </w:r>
      <w:r w:rsidR="00E13D8A" w:rsidRPr="00DB5643">
        <w:rPr>
          <w:iCs/>
          <w:snapToGrid w:val="0"/>
          <w:kern w:val="22"/>
          <w:szCs w:val="22"/>
          <w:lang w:val="ru-RU"/>
        </w:rPr>
        <w:t xml:space="preserve">192 </w:t>
      </w:r>
      <w:r w:rsidRPr="00DB5643">
        <w:rPr>
          <w:iCs/>
          <w:snapToGrid w:val="0"/>
          <w:kern w:val="22"/>
          <w:szCs w:val="22"/>
          <w:lang w:val="ru-RU"/>
        </w:rPr>
        <w:t>страны</w:t>
      </w:r>
      <w:r w:rsidR="00E13D8A" w:rsidRPr="00DB5643">
        <w:rPr>
          <w:iCs/>
          <w:snapToGrid w:val="0"/>
          <w:kern w:val="22"/>
          <w:szCs w:val="22"/>
          <w:lang w:val="ru-RU"/>
        </w:rPr>
        <w:t xml:space="preserve"> (98</w:t>
      </w:r>
      <w:r w:rsidRPr="00DB5643">
        <w:rPr>
          <w:iCs/>
          <w:snapToGrid w:val="0"/>
          <w:kern w:val="22"/>
          <w:szCs w:val="22"/>
          <w:lang w:val="ru-RU"/>
        </w:rPr>
        <w:t> </w:t>
      </w:r>
      <w:r w:rsidR="00E13D8A" w:rsidRPr="00DB5643">
        <w:rPr>
          <w:iCs/>
          <w:snapToGrid w:val="0"/>
          <w:kern w:val="22"/>
          <w:szCs w:val="22"/>
          <w:lang w:val="ru-RU"/>
        </w:rPr>
        <w:t xml:space="preserve">% </w:t>
      </w:r>
      <w:r w:rsidRPr="00DB5643">
        <w:rPr>
          <w:iCs/>
          <w:snapToGrid w:val="0"/>
          <w:kern w:val="22"/>
          <w:szCs w:val="22"/>
          <w:lang w:val="ru-RU"/>
        </w:rPr>
        <w:t>стран</w:t>
      </w:r>
      <w:r w:rsidR="00E13D8A" w:rsidRPr="00DB5643">
        <w:rPr>
          <w:iCs/>
          <w:snapToGrid w:val="0"/>
          <w:kern w:val="22"/>
          <w:szCs w:val="22"/>
          <w:lang w:val="ru-RU"/>
        </w:rPr>
        <w:t xml:space="preserve">). </w:t>
      </w:r>
      <w:r w:rsidRPr="00DB5643">
        <w:rPr>
          <w:iCs/>
          <w:snapToGrid w:val="0"/>
          <w:kern w:val="22"/>
          <w:szCs w:val="22"/>
          <w:lang w:val="ru-RU"/>
        </w:rPr>
        <w:t>Это соответствует уменьшению на</w:t>
      </w:r>
      <w:r w:rsidR="00E13D8A" w:rsidRPr="00DB5643">
        <w:rPr>
          <w:iCs/>
          <w:snapToGrid w:val="0"/>
          <w:kern w:val="22"/>
          <w:szCs w:val="22"/>
          <w:lang w:val="ru-RU"/>
        </w:rPr>
        <w:t xml:space="preserve"> 1</w:t>
      </w:r>
      <w:r w:rsidRPr="00DB5643">
        <w:rPr>
          <w:iCs/>
          <w:snapToGrid w:val="0"/>
          <w:kern w:val="22"/>
          <w:szCs w:val="22"/>
          <w:lang w:val="ru-RU"/>
        </w:rPr>
        <w:t> </w:t>
      </w:r>
      <w:r w:rsidR="00E13D8A" w:rsidRPr="00DB5643">
        <w:rPr>
          <w:iCs/>
          <w:snapToGrid w:val="0"/>
          <w:kern w:val="22"/>
          <w:szCs w:val="22"/>
          <w:lang w:val="ru-RU"/>
        </w:rPr>
        <w:t xml:space="preserve">% </w:t>
      </w:r>
      <w:r w:rsidRPr="00DB5643">
        <w:rPr>
          <w:iCs/>
          <w:snapToGrid w:val="0"/>
          <w:kern w:val="22"/>
          <w:szCs w:val="22"/>
          <w:lang w:val="ru-RU"/>
        </w:rPr>
        <w:t>по сравнению с исходным уровнем</w:t>
      </w:r>
      <w:r w:rsidR="001C1AEF" w:rsidRPr="00DB5643">
        <w:rPr>
          <w:iCs/>
          <w:snapToGrid w:val="0"/>
          <w:kern w:val="22"/>
          <w:szCs w:val="22"/>
          <w:lang w:val="ru-RU"/>
        </w:rPr>
        <w:t>;</w:t>
      </w:r>
      <w:r w:rsidR="00E13D8A" w:rsidRPr="00DB5643">
        <w:rPr>
          <w:iCs/>
          <w:snapToGrid w:val="0"/>
          <w:kern w:val="22"/>
          <w:szCs w:val="22"/>
          <w:lang w:val="ru-RU"/>
        </w:rPr>
        <w:t xml:space="preserve"> </w:t>
      </w:r>
    </w:p>
    <w:p w14:paraId="2D6F519E" w14:textId="00AD8500" w:rsidR="00E13D8A" w:rsidRPr="00DB5643" w:rsidRDefault="00B67589" w:rsidP="00B44100">
      <w:pPr>
        <w:pStyle w:val="a3"/>
        <w:numPr>
          <w:ilvl w:val="0"/>
          <w:numId w:val="35"/>
        </w:numPr>
        <w:suppressLineNumbers/>
        <w:suppressAutoHyphens/>
        <w:snapToGrid w:val="0"/>
        <w:spacing w:before="120" w:after="120"/>
        <w:ind w:left="0" w:firstLine="828"/>
        <w:contextualSpacing w:val="0"/>
        <w:rPr>
          <w:iCs/>
          <w:snapToGrid w:val="0"/>
          <w:kern w:val="22"/>
          <w:szCs w:val="22"/>
          <w:lang w:val="ru-RU"/>
        </w:rPr>
      </w:pPr>
      <w:r w:rsidRPr="00DB5643">
        <w:rPr>
          <w:iCs/>
          <w:snapToGrid w:val="0"/>
          <w:kern w:val="22"/>
          <w:szCs w:val="22"/>
          <w:lang w:val="ru-RU"/>
        </w:rPr>
        <w:lastRenderedPageBreak/>
        <w:t>контактный пункт по чрезвычайным мерам (статья 17)</w:t>
      </w:r>
      <w:r w:rsidR="00E13D8A" w:rsidRPr="00DB5643">
        <w:rPr>
          <w:iCs/>
          <w:snapToGrid w:val="0"/>
          <w:kern w:val="22"/>
          <w:szCs w:val="22"/>
          <w:lang w:val="ru-RU"/>
        </w:rPr>
        <w:t xml:space="preserve">: </w:t>
      </w:r>
      <w:r w:rsidRPr="00DB5643">
        <w:rPr>
          <w:iCs/>
          <w:snapToGrid w:val="0"/>
          <w:kern w:val="22"/>
          <w:szCs w:val="22"/>
          <w:lang w:val="ru-RU"/>
        </w:rPr>
        <w:t>в общей сложности</w:t>
      </w:r>
      <w:r w:rsidR="00E13D8A" w:rsidRPr="00DB5643">
        <w:rPr>
          <w:iCs/>
          <w:snapToGrid w:val="0"/>
          <w:kern w:val="22"/>
          <w:szCs w:val="22"/>
          <w:lang w:val="ru-RU"/>
        </w:rPr>
        <w:t xml:space="preserve"> 133</w:t>
      </w:r>
      <w:r w:rsidRPr="00DB5643">
        <w:rPr>
          <w:iCs/>
          <w:snapToGrid w:val="0"/>
          <w:kern w:val="22"/>
          <w:szCs w:val="22"/>
          <w:lang w:val="ru-RU"/>
        </w:rPr>
        <w:t xml:space="preserve"> страны</w:t>
      </w:r>
      <w:r w:rsidR="00E13D8A" w:rsidRPr="00DB5643">
        <w:rPr>
          <w:iCs/>
          <w:snapToGrid w:val="0"/>
          <w:kern w:val="22"/>
          <w:szCs w:val="22"/>
          <w:lang w:val="ru-RU"/>
        </w:rPr>
        <w:t xml:space="preserve"> (68</w:t>
      </w:r>
      <w:r w:rsidRPr="00DB5643">
        <w:rPr>
          <w:iCs/>
          <w:snapToGrid w:val="0"/>
          <w:kern w:val="22"/>
          <w:szCs w:val="22"/>
          <w:lang w:val="en-US"/>
        </w:rPr>
        <w:t> </w:t>
      </w:r>
      <w:r w:rsidR="00E13D8A" w:rsidRPr="00DB5643">
        <w:rPr>
          <w:iCs/>
          <w:snapToGrid w:val="0"/>
          <w:kern w:val="22"/>
          <w:szCs w:val="22"/>
          <w:lang w:val="ru-RU"/>
        </w:rPr>
        <w:t xml:space="preserve">% </w:t>
      </w:r>
      <w:r w:rsidRPr="00DB5643">
        <w:rPr>
          <w:iCs/>
          <w:snapToGrid w:val="0"/>
          <w:kern w:val="22"/>
          <w:szCs w:val="22"/>
          <w:lang w:val="ru-RU"/>
        </w:rPr>
        <w:t>стран</w:t>
      </w:r>
      <w:r w:rsidR="00E13D8A" w:rsidRPr="00DB5643">
        <w:rPr>
          <w:iCs/>
          <w:snapToGrid w:val="0"/>
          <w:kern w:val="22"/>
          <w:szCs w:val="22"/>
          <w:lang w:val="ru-RU"/>
        </w:rPr>
        <w:t xml:space="preserve">) </w:t>
      </w:r>
      <w:r w:rsidRPr="00DB5643">
        <w:rPr>
          <w:iCs/>
          <w:snapToGrid w:val="0"/>
          <w:kern w:val="22"/>
          <w:szCs w:val="22"/>
          <w:lang w:val="ru-RU"/>
        </w:rPr>
        <w:t>назначили контактный пункт для получения уведомлений согласно статье</w:t>
      </w:r>
      <w:r w:rsidR="00E13D8A" w:rsidRPr="00DB5643">
        <w:rPr>
          <w:iCs/>
          <w:snapToGrid w:val="0"/>
          <w:kern w:val="22"/>
          <w:szCs w:val="22"/>
          <w:lang w:val="ru-RU"/>
        </w:rPr>
        <w:t xml:space="preserve"> 17. </w:t>
      </w:r>
      <w:r w:rsidRPr="00DB5643">
        <w:rPr>
          <w:iCs/>
          <w:snapToGrid w:val="0"/>
          <w:kern w:val="22"/>
          <w:szCs w:val="22"/>
          <w:lang w:val="ru-RU"/>
        </w:rPr>
        <w:t>На исходном уровне</w:t>
      </w:r>
      <w:r w:rsidR="00E13D8A" w:rsidRPr="00DB5643">
        <w:rPr>
          <w:iCs/>
          <w:snapToGrid w:val="0"/>
          <w:kern w:val="22"/>
          <w:szCs w:val="22"/>
          <w:lang w:val="ru-RU"/>
        </w:rPr>
        <w:t xml:space="preserve"> 72 </w:t>
      </w:r>
      <w:r w:rsidRPr="00DB5643">
        <w:rPr>
          <w:iCs/>
          <w:snapToGrid w:val="0"/>
          <w:kern w:val="22"/>
          <w:szCs w:val="22"/>
          <w:lang w:val="ru-RU"/>
        </w:rPr>
        <w:t>страны зарегистрировали контактный пункт для получения уведомлений согласно статье 17</w:t>
      </w:r>
      <w:r w:rsidR="00E13D8A" w:rsidRPr="00DB5643">
        <w:rPr>
          <w:iCs/>
          <w:snapToGrid w:val="0"/>
          <w:kern w:val="22"/>
          <w:szCs w:val="22"/>
          <w:lang w:val="ru-RU"/>
        </w:rPr>
        <w:t xml:space="preserve">. </w:t>
      </w:r>
      <w:r w:rsidRPr="00DB5643">
        <w:rPr>
          <w:iCs/>
          <w:snapToGrid w:val="0"/>
          <w:kern w:val="22"/>
          <w:szCs w:val="22"/>
          <w:lang w:val="ru-RU"/>
        </w:rPr>
        <w:t>Это соответствует существенному увеличению на</w:t>
      </w:r>
      <w:r w:rsidR="00E13D8A" w:rsidRPr="00DB5643">
        <w:rPr>
          <w:iCs/>
          <w:snapToGrid w:val="0"/>
          <w:kern w:val="22"/>
          <w:szCs w:val="22"/>
          <w:lang w:val="ru-RU"/>
        </w:rPr>
        <w:t xml:space="preserve"> 31</w:t>
      </w:r>
      <w:r w:rsidRPr="00DB5643">
        <w:rPr>
          <w:iCs/>
          <w:snapToGrid w:val="0"/>
          <w:kern w:val="22"/>
          <w:szCs w:val="22"/>
          <w:lang w:val="ru-RU"/>
        </w:rPr>
        <w:t> </w:t>
      </w:r>
      <w:r w:rsidR="00E13D8A" w:rsidRPr="00DB5643">
        <w:rPr>
          <w:iCs/>
          <w:snapToGrid w:val="0"/>
          <w:kern w:val="22"/>
          <w:szCs w:val="22"/>
          <w:lang w:val="ru-RU"/>
        </w:rPr>
        <w:t xml:space="preserve">% </w:t>
      </w:r>
      <w:r w:rsidRPr="00DB5643">
        <w:rPr>
          <w:iCs/>
          <w:snapToGrid w:val="0"/>
          <w:kern w:val="22"/>
          <w:szCs w:val="22"/>
          <w:lang w:val="ru-RU"/>
        </w:rPr>
        <w:t>по сравнению с исходным уровнем</w:t>
      </w:r>
      <w:r w:rsidR="00E13D8A" w:rsidRPr="00DB5643">
        <w:rPr>
          <w:iCs/>
          <w:snapToGrid w:val="0"/>
          <w:kern w:val="22"/>
          <w:szCs w:val="22"/>
          <w:lang w:val="ru-RU"/>
        </w:rPr>
        <w:t xml:space="preserve">. </w:t>
      </w:r>
    </w:p>
    <w:p w14:paraId="229AED6C" w14:textId="268621AA" w:rsidR="00E13D8A" w:rsidRPr="00DB5643" w:rsidRDefault="00FD01A9" w:rsidP="00E13D8A">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DB5643">
        <w:rPr>
          <w:iCs/>
          <w:snapToGrid w:val="0"/>
          <w:kern w:val="22"/>
          <w:szCs w:val="22"/>
          <w:lang w:val="ru-RU"/>
        </w:rPr>
        <w:t>В отношении</w:t>
      </w:r>
      <w:r w:rsidR="00E13D8A" w:rsidRPr="00DB5643">
        <w:rPr>
          <w:iCs/>
          <w:snapToGrid w:val="0"/>
          <w:kern w:val="22"/>
          <w:szCs w:val="22"/>
          <w:lang w:val="ru-RU"/>
        </w:rPr>
        <w:t xml:space="preserve"> </w:t>
      </w:r>
      <w:r w:rsidRPr="00DB5643">
        <w:rPr>
          <w:b/>
          <w:bCs/>
          <w:iCs/>
          <w:snapToGrid w:val="0"/>
          <w:kern w:val="22"/>
          <w:szCs w:val="22"/>
          <w:lang w:val="ru-RU"/>
        </w:rPr>
        <w:t>индикатора</w:t>
      </w:r>
      <w:r w:rsidR="00E13D8A" w:rsidRPr="00DB5643">
        <w:rPr>
          <w:b/>
          <w:bCs/>
          <w:iCs/>
          <w:snapToGrid w:val="0"/>
          <w:kern w:val="22"/>
          <w:szCs w:val="22"/>
          <w:lang w:val="ru-RU"/>
        </w:rPr>
        <w:t xml:space="preserve"> 4.1.6</w:t>
      </w:r>
      <w:r w:rsidR="00E13D8A" w:rsidRPr="00DB5643">
        <w:rPr>
          <w:b/>
          <w:iCs/>
          <w:snapToGrid w:val="0"/>
          <w:kern w:val="22"/>
          <w:szCs w:val="22"/>
          <w:lang w:val="ru-RU"/>
        </w:rPr>
        <w:t xml:space="preserve"> </w:t>
      </w:r>
      <w:r w:rsidR="00E13D8A" w:rsidRPr="00DB5643">
        <w:rPr>
          <w:iCs/>
          <w:snapToGrid w:val="0"/>
          <w:kern w:val="22"/>
          <w:szCs w:val="22"/>
          <w:lang w:val="ru-RU"/>
        </w:rPr>
        <w:t>(</w:t>
      </w:r>
      <w:r w:rsidRPr="00DB5643">
        <w:rPr>
          <w:iCs/>
          <w:snapToGrid w:val="0"/>
          <w:kern w:val="22"/>
          <w:szCs w:val="22"/>
          <w:lang w:val="ru-RU"/>
        </w:rPr>
        <w:t xml:space="preserve">число стран, опубликовавших законы и/или нормативные положения о биобезопасности в </w:t>
      </w:r>
      <w:proofErr w:type="spellStart"/>
      <w:r w:rsidRPr="00DB5643">
        <w:rPr>
          <w:iCs/>
          <w:snapToGrid w:val="0"/>
          <w:kern w:val="22"/>
          <w:szCs w:val="22"/>
          <w:lang w:val="ru-RU"/>
        </w:rPr>
        <w:t>МПБ</w:t>
      </w:r>
      <w:proofErr w:type="spellEnd"/>
      <w:r w:rsidR="00E13D8A" w:rsidRPr="00DB5643">
        <w:rPr>
          <w:iCs/>
          <w:snapToGrid w:val="0"/>
          <w:kern w:val="22"/>
          <w:szCs w:val="22"/>
          <w:lang w:val="ru-RU"/>
        </w:rPr>
        <w:t>)</w:t>
      </w:r>
      <w:r w:rsidRPr="00DB5643">
        <w:rPr>
          <w:iCs/>
          <w:snapToGrid w:val="0"/>
          <w:kern w:val="22"/>
          <w:szCs w:val="22"/>
          <w:lang w:val="ru-RU"/>
        </w:rPr>
        <w:t xml:space="preserve"> по состоянию на январь</w:t>
      </w:r>
      <w:r w:rsidR="00E13D8A" w:rsidRPr="00DB5643">
        <w:rPr>
          <w:iCs/>
          <w:snapToGrid w:val="0"/>
          <w:kern w:val="22"/>
          <w:szCs w:val="22"/>
          <w:lang w:val="ru-RU"/>
        </w:rPr>
        <w:t xml:space="preserve"> 2020</w:t>
      </w:r>
      <w:r w:rsidRPr="00DB5643">
        <w:rPr>
          <w:iCs/>
          <w:snapToGrid w:val="0"/>
          <w:kern w:val="22"/>
          <w:szCs w:val="22"/>
          <w:lang w:val="ru-RU"/>
        </w:rPr>
        <w:t xml:space="preserve"> года</w:t>
      </w:r>
      <w:r w:rsidR="00E13D8A" w:rsidRPr="00DB5643">
        <w:rPr>
          <w:iCs/>
          <w:snapToGrid w:val="0"/>
          <w:kern w:val="22"/>
          <w:szCs w:val="22"/>
          <w:lang w:val="ru-RU"/>
        </w:rPr>
        <w:t xml:space="preserve"> 161 </w:t>
      </w:r>
      <w:r w:rsidRPr="00DB5643">
        <w:rPr>
          <w:iCs/>
          <w:snapToGrid w:val="0"/>
          <w:kern w:val="22"/>
          <w:szCs w:val="22"/>
          <w:lang w:val="ru-RU"/>
        </w:rPr>
        <w:t xml:space="preserve">страна опубликовала законы и/или нормативные положения о биобезопасности в </w:t>
      </w:r>
      <w:proofErr w:type="spellStart"/>
      <w:r w:rsidRPr="00DB5643">
        <w:rPr>
          <w:iCs/>
          <w:snapToGrid w:val="0"/>
          <w:kern w:val="22"/>
          <w:szCs w:val="22"/>
          <w:lang w:val="ru-RU"/>
        </w:rPr>
        <w:t>МПБ</w:t>
      </w:r>
      <w:proofErr w:type="spellEnd"/>
      <w:r w:rsidR="00E13D8A" w:rsidRPr="00DB5643">
        <w:rPr>
          <w:iCs/>
          <w:snapToGrid w:val="0"/>
          <w:kern w:val="22"/>
          <w:szCs w:val="22"/>
          <w:lang w:val="ru-RU"/>
        </w:rPr>
        <w:t xml:space="preserve">. </w:t>
      </w:r>
      <w:r w:rsidRPr="00DB5643">
        <w:rPr>
          <w:iCs/>
          <w:snapToGrid w:val="0"/>
          <w:kern w:val="22"/>
          <w:szCs w:val="22"/>
          <w:lang w:val="ru-RU"/>
        </w:rPr>
        <w:t>В январе</w:t>
      </w:r>
      <w:r w:rsidR="00E13D8A" w:rsidRPr="00DB5643">
        <w:rPr>
          <w:iCs/>
          <w:snapToGrid w:val="0"/>
          <w:kern w:val="22"/>
          <w:szCs w:val="22"/>
        </w:rPr>
        <w:t xml:space="preserve"> 2012</w:t>
      </w:r>
      <w:r w:rsidRPr="00DB5643">
        <w:rPr>
          <w:iCs/>
          <w:snapToGrid w:val="0"/>
          <w:kern w:val="22"/>
          <w:szCs w:val="22"/>
          <w:lang w:val="ru-RU"/>
        </w:rPr>
        <w:t xml:space="preserve"> года</w:t>
      </w:r>
      <w:r w:rsidR="00E13D8A" w:rsidRPr="00DB5643">
        <w:rPr>
          <w:iCs/>
          <w:snapToGrid w:val="0"/>
          <w:kern w:val="22"/>
          <w:szCs w:val="22"/>
        </w:rPr>
        <w:t xml:space="preserve"> </w:t>
      </w:r>
      <w:r w:rsidRPr="00DB5643">
        <w:rPr>
          <w:iCs/>
          <w:snapToGrid w:val="0"/>
          <w:kern w:val="22"/>
          <w:szCs w:val="22"/>
          <w:lang w:val="ru-RU"/>
        </w:rPr>
        <w:t xml:space="preserve">это сделали </w:t>
      </w:r>
      <w:r w:rsidR="00E13D8A" w:rsidRPr="00DB5643">
        <w:rPr>
          <w:iCs/>
          <w:snapToGrid w:val="0"/>
          <w:kern w:val="22"/>
          <w:szCs w:val="22"/>
        </w:rPr>
        <w:t xml:space="preserve">155 </w:t>
      </w:r>
      <w:r w:rsidRPr="00DB5643">
        <w:rPr>
          <w:iCs/>
          <w:snapToGrid w:val="0"/>
          <w:kern w:val="22"/>
          <w:szCs w:val="22"/>
          <w:lang w:val="ru-RU"/>
        </w:rPr>
        <w:t>стран</w:t>
      </w:r>
      <w:r w:rsidR="00E13D8A" w:rsidRPr="00DB5643">
        <w:rPr>
          <w:iCs/>
          <w:snapToGrid w:val="0"/>
          <w:kern w:val="22"/>
          <w:szCs w:val="22"/>
        </w:rPr>
        <w:t xml:space="preserve">. </w:t>
      </w:r>
      <w:r w:rsidRPr="00DB5643">
        <w:rPr>
          <w:iCs/>
          <w:snapToGrid w:val="0"/>
          <w:kern w:val="22"/>
          <w:szCs w:val="22"/>
          <w:lang w:val="ru-RU"/>
        </w:rPr>
        <w:t xml:space="preserve">Это соответствует увеличению </w:t>
      </w:r>
      <w:r w:rsidR="00E13D8A" w:rsidRPr="00DB5643">
        <w:rPr>
          <w:iCs/>
          <w:snapToGrid w:val="0"/>
          <w:kern w:val="22"/>
          <w:szCs w:val="22"/>
        </w:rPr>
        <w:t>4</w:t>
      </w:r>
      <w:r w:rsidRPr="00DB5643">
        <w:rPr>
          <w:iCs/>
          <w:snapToGrid w:val="0"/>
          <w:kern w:val="22"/>
          <w:szCs w:val="22"/>
          <w:lang w:val="ru-RU"/>
        </w:rPr>
        <w:t> </w:t>
      </w:r>
      <w:r w:rsidR="00E13D8A" w:rsidRPr="00DB5643">
        <w:rPr>
          <w:iCs/>
          <w:snapToGrid w:val="0"/>
          <w:kern w:val="22"/>
          <w:szCs w:val="22"/>
        </w:rPr>
        <w:t>%</w:t>
      </w:r>
      <w:r w:rsidR="00E13D8A" w:rsidRPr="00DB5643">
        <w:rPr>
          <w:rStyle w:val="ac"/>
          <w:iCs/>
          <w:snapToGrid w:val="0"/>
          <w:kern w:val="22"/>
          <w:szCs w:val="22"/>
        </w:rPr>
        <w:footnoteReference w:id="38"/>
      </w:r>
      <w:r w:rsidRPr="00DB5643">
        <w:rPr>
          <w:iCs/>
          <w:snapToGrid w:val="0"/>
          <w:kern w:val="22"/>
          <w:szCs w:val="22"/>
          <w:lang w:val="ru-RU"/>
        </w:rPr>
        <w:t>.</w:t>
      </w:r>
    </w:p>
    <w:p w14:paraId="2C93059A" w14:textId="382E5477" w:rsidR="00E13D8A" w:rsidRPr="00DB5643" w:rsidRDefault="00614691" w:rsidP="00E13D8A">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Pr>
          <w:iCs/>
          <w:snapToGrid w:val="0"/>
          <w:kern w:val="22"/>
          <w:szCs w:val="22"/>
          <w:lang w:val="ru-RU"/>
        </w:rPr>
        <w:t>Что касается</w:t>
      </w:r>
      <w:r w:rsidR="00E13D8A" w:rsidRPr="00DB5643">
        <w:rPr>
          <w:iCs/>
          <w:snapToGrid w:val="0"/>
          <w:kern w:val="22"/>
          <w:szCs w:val="22"/>
          <w:lang w:val="ru-RU"/>
        </w:rPr>
        <w:t xml:space="preserve"> </w:t>
      </w:r>
      <w:r w:rsidR="00A84B2F" w:rsidRPr="00DB5643">
        <w:rPr>
          <w:b/>
          <w:bCs/>
          <w:iCs/>
          <w:snapToGrid w:val="0"/>
          <w:kern w:val="22"/>
          <w:szCs w:val="22"/>
          <w:lang w:val="ru-RU"/>
        </w:rPr>
        <w:t>индикатора</w:t>
      </w:r>
      <w:r w:rsidR="00E13D8A" w:rsidRPr="00DB5643">
        <w:rPr>
          <w:b/>
          <w:bCs/>
          <w:iCs/>
          <w:snapToGrid w:val="0"/>
          <w:kern w:val="22"/>
          <w:szCs w:val="22"/>
          <w:lang w:val="ru-RU"/>
        </w:rPr>
        <w:t xml:space="preserve"> 4.1.7</w:t>
      </w:r>
      <w:r w:rsidR="00E13D8A" w:rsidRPr="00DB5643">
        <w:rPr>
          <w:iCs/>
          <w:snapToGrid w:val="0"/>
          <w:kern w:val="22"/>
          <w:szCs w:val="22"/>
          <w:lang w:val="ru-RU"/>
        </w:rPr>
        <w:t xml:space="preserve"> (</w:t>
      </w:r>
      <w:bookmarkStart w:id="24" w:name="_Hlk30511329"/>
      <w:r w:rsidR="00A84B2F" w:rsidRPr="00DB5643">
        <w:rPr>
          <w:iCs/>
          <w:snapToGrid w:val="0"/>
          <w:kern w:val="22"/>
          <w:szCs w:val="22"/>
          <w:lang w:val="ru-RU"/>
        </w:rPr>
        <w:t xml:space="preserve">число решений о заблаговременном обоснованном согласии/национальных решений, доступных через </w:t>
      </w:r>
      <w:proofErr w:type="spellStart"/>
      <w:r w:rsidR="00A84B2F" w:rsidRPr="00DB5643">
        <w:rPr>
          <w:iCs/>
          <w:snapToGrid w:val="0"/>
          <w:kern w:val="22"/>
          <w:szCs w:val="22"/>
          <w:lang w:val="ru-RU"/>
        </w:rPr>
        <w:t>МПБ</w:t>
      </w:r>
      <w:bookmarkEnd w:id="24"/>
      <w:proofErr w:type="spellEnd"/>
      <w:r w:rsidR="00E13D8A" w:rsidRPr="00DB5643">
        <w:rPr>
          <w:iCs/>
          <w:snapToGrid w:val="0"/>
          <w:kern w:val="22"/>
          <w:szCs w:val="22"/>
          <w:lang w:val="ru-RU"/>
        </w:rPr>
        <w:t>)</w:t>
      </w:r>
      <w:r>
        <w:rPr>
          <w:iCs/>
          <w:snapToGrid w:val="0"/>
          <w:kern w:val="22"/>
          <w:szCs w:val="22"/>
          <w:lang w:val="ru-RU"/>
        </w:rPr>
        <w:t>,</w:t>
      </w:r>
      <w:r w:rsidR="008C5A7D" w:rsidRPr="00DB5643">
        <w:rPr>
          <w:iCs/>
          <w:snapToGrid w:val="0"/>
          <w:kern w:val="22"/>
          <w:szCs w:val="22"/>
          <w:lang w:val="ru-RU"/>
        </w:rPr>
        <w:t xml:space="preserve"> по состоянию на январь</w:t>
      </w:r>
      <w:r w:rsidR="00E13D8A" w:rsidRPr="00DB5643">
        <w:rPr>
          <w:iCs/>
          <w:snapToGrid w:val="0"/>
          <w:kern w:val="22"/>
          <w:szCs w:val="22"/>
          <w:lang w:val="ru-RU"/>
        </w:rPr>
        <w:t xml:space="preserve"> 2020</w:t>
      </w:r>
      <w:r w:rsidR="008C5A7D" w:rsidRPr="00DB5643">
        <w:rPr>
          <w:iCs/>
          <w:snapToGrid w:val="0"/>
          <w:kern w:val="22"/>
          <w:szCs w:val="22"/>
          <w:lang w:val="ru-RU"/>
        </w:rPr>
        <w:t xml:space="preserve"> года в общей сложности</w:t>
      </w:r>
      <w:r w:rsidR="00E13D8A" w:rsidRPr="00DB5643">
        <w:rPr>
          <w:iCs/>
          <w:snapToGrid w:val="0"/>
          <w:kern w:val="22"/>
          <w:szCs w:val="22"/>
          <w:lang w:val="ru-RU"/>
        </w:rPr>
        <w:t xml:space="preserve"> 2</w:t>
      </w:r>
      <w:r w:rsidR="00EA64A4" w:rsidRPr="00DB5643">
        <w:rPr>
          <w:iCs/>
          <w:snapToGrid w:val="0"/>
          <w:kern w:val="22"/>
          <w:szCs w:val="22"/>
          <w:lang w:val="ru-RU"/>
        </w:rPr>
        <w:t>428</w:t>
      </w:r>
      <w:r w:rsidR="003C2D4F" w:rsidRPr="00DB5643">
        <w:rPr>
          <w:iCs/>
          <w:snapToGrid w:val="0"/>
          <w:kern w:val="22"/>
          <w:szCs w:val="22"/>
          <w:lang w:val="ru-RU"/>
        </w:rPr>
        <w:t xml:space="preserve"> </w:t>
      </w:r>
      <w:r w:rsidR="008C5A7D" w:rsidRPr="00DB5643">
        <w:rPr>
          <w:iCs/>
          <w:snapToGrid w:val="0"/>
          <w:kern w:val="22"/>
          <w:szCs w:val="22"/>
          <w:lang w:val="ru-RU"/>
        </w:rPr>
        <w:t xml:space="preserve">решений было доступно через </w:t>
      </w:r>
      <w:proofErr w:type="spellStart"/>
      <w:r w:rsidR="008C5A7D" w:rsidRPr="00DB5643">
        <w:rPr>
          <w:iCs/>
          <w:snapToGrid w:val="0"/>
          <w:kern w:val="22"/>
          <w:szCs w:val="22"/>
          <w:lang w:val="ru-RU"/>
        </w:rPr>
        <w:t>МПБ</w:t>
      </w:r>
      <w:proofErr w:type="spellEnd"/>
      <w:r w:rsidR="00437570" w:rsidRPr="00DB5643">
        <w:rPr>
          <w:iCs/>
          <w:snapToGrid w:val="0"/>
          <w:kern w:val="22"/>
          <w:szCs w:val="22"/>
          <w:lang w:val="ru-RU"/>
        </w:rPr>
        <w:t xml:space="preserve">, </w:t>
      </w:r>
      <w:r w:rsidR="008C5A7D" w:rsidRPr="00DB5643">
        <w:rPr>
          <w:iCs/>
          <w:snapToGrid w:val="0"/>
          <w:kern w:val="22"/>
          <w:szCs w:val="22"/>
          <w:lang w:val="ru-RU"/>
        </w:rPr>
        <w:t xml:space="preserve">включая </w:t>
      </w:r>
      <w:proofErr w:type="gramStart"/>
      <w:r w:rsidR="008C5A7D" w:rsidRPr="00DB5643">
        <w:rPr>
          <w:iCs/>
          <w:snapToGrid w:val="0"/>
          <w:kern w:val="22"/>
          <w:szCs w:val="22"/>
          <w:lang w:val="ru-RU"/>
        </w:rPr>
        <w:t>решения</w:t>
      </w:r>
      <w:proofErr w:type="gramEnd"/>
      <w:r w:rsidR="008C5A7D" w:rsidRPr="00DB5643">
        <w:rPr>
          <w:iCs/>
          <w:snapToGrid w:val="0"/>
          <w:kern w:val="22"/>
          <w:szCs w:val="22"/>
          <w:lang w:val="ru-RU"/>
        </w:rPr>
        <w:t xml:space="preserve"> как Сторон, так и других правительств</w:t>
      </w:r>
      <w:r w:rsidR="00E13D8A" w:rsidRPr="00DB5643">
        <w:rPr>
          <w:iCs/>
          <w:snapToGrid w:val="0"/>
          <w:kern w:val="22"/>
          <w:szCs w:val="22"/>
          <w:lang w:val="ru-RU"/>
        </w:rPr>
        <w:t xml:space="preserve">. </w:t>
      </w:r>
      <w:r w:rsidR="008C5A7D" w:rsidRPr="00DB5643">
        <w:rPr>
          <w:iCs/>
          <w:snapToGrid w:val="0"/>
          <w:kern w:val="22"/>
          <w:szCs w:val="22"/>
          <w:lang w:val="ru-RU"/>
        </w:rPr>
        <w:t>В январе</w:t>
      </w:r>
      <w:r w:rsidR="00E13D8A" w:rsidRPr="00DB5643">
        <w:rPr>
          <w:iCs/>
          <w:snapToGrid w:val="0"/>
          <w:kern w:val="22"/>
          <w:szCs w:val="22"/>
          <w:lang w:val="ru-RU"/>
        </w:rPr>
        <w:t xml:space="preserve"> 2012</w:t>
      </w:r>
      <w:r w:rsidR="008C5A7D" w:rsidRPr="00DB5643">
        <w:rPr>
          <w:iCs/>
          <w:snapToGrid w:val="0"/>
          <w:kern w:val="22"/>
          <w:szCs w:val="22"/>
          <w:lang w:val="ru-RU"/>
        </w:rPr>
        <w:t xml:space="preserve"> года</w:t>
      </w:r>
      <w:r w:rsidR="00E13D8A" w:rsidRPr="00DB5643">
        <w:rPr>
          <w:iCs/>
          <w:snapToGrid w:val="0"/>
          <w:kern w:val="22"/>
          <w:szCs w:val="22"/>
          <w:lang w:val="ru-RU"/>
        </w:rPr>
        <w:t xml:space="preserve"> </w:t>
      </w:r>
      <w:r w:rsidR="007C2B0F" w:rsidRPr="00DB5643">
        <w:rPr>
          <w:iCs/>
          <w:snapToGrid w:val="0"/>
          <w:kern w:val="22"/>
          <w:szCs w:val="22"/>
          <w:lang w:val="ru-RU"/>
        </w:rPr>
        <w:t>876</w:t>
      </w:r>
      <w:r w:rsidR="000927EF" w:rsidRPr="00DB5643">
        <w:rPr>
          <w:iCs/>
          <w:snapToGrid w:val="0"/>
          <w:kern w:val="22"/>
          <w:szCs w:val="22"/>
          <w:lang w:val="ru-RU"/>
        </w:rPr>
        <w:t xml:space="preserve"> </w:t>
      </w:r>
      <w:r w:rsidR="008C5A7D" w:rsidRPr="00DB5643">
        <w:rPr>
          <w:iCs/>
          <w:snapToGrid w:val="0"/>
          <w:kern w:val="22"/>
          <w:szCs w:val="22"/>
          <w:lang w:val="ru-RU"/>
        </w:rPr>
        <w:t xml:space="preserve">решений о заблаговременном обоснованном согласии/национальных решений было доступно через </w:t>
      </w:r>
      <w:proofErr w:type="spellStart"/>
      <w:r w:rsidR="008C5A7D" w:rsidRPr="00DB5643">
        <w:rPr>
          <w:iCs/>
          <w:snapToGrid w:val="0"/>
          <w:kern w:val="22"/>
          <w:szCs w:val="22"/>
          <w:lang w:val="ru-RU"/>
        </w:rPr>
        <w:t>МПБ</w:t>
      </w:r>
      <w:proofErr w:type="spellEnd"/>
      <w:r w:rsidR="00E13D8A" w:rsidRPr="00DB5643">
        <w:rPr>
          <w:rStyle w:val="ac"/>
          <w:iCs/>
          <w:snapToGrid w:val="0"/>
          <w:kern w:val="22"/>
          <w:szCs w:val="22"/>
        </w:rPr>
        <w:footnoteReference w:id="39"/>
      </w:r>
      <w:r w:rsidR="008C5A7D" w:rsidRPr="00DB5643">
        <w:rPr>
          <w:iCs/>
          <w:snapToGrid w:val="0"/>
          <w:kern w:val="22"/>
          <w:szCs w:val="22"/>
          <w:lang w:val="ru-RU"/>
        </w:rPr>
        <w:t>. Изменение между январем</w:t>
      </w:r>
      <w:r w:rsidR="008458E6" w:rsidRPr="00DB5643">
        <w:rPr>
          <w:iCs/>
          <w:snapToGrid w:val="0"/>
          <w:kern w:val="22"/>
          <w:szCs w:val="22"/>
          <w:lang w:val="ru-RU"/>
        </w:rPr>
        <w:t xml:space="preserve"> 2012 </w:t>
      </w:r>
      <w:r w:rsidR="008C5A7D" w:rsidRPr="00DB5643">
        <w:rPr>
          <w:iCs/>
          <w:snapToGrid w:val="0"/>
          <w:kern w:val="22"/>
          <w:szCs w:val="22"/>
          <w:lang w:val="ru-RU"/>
        </w:rPr>
        <w:t>года и январем</w:t>
      </w:r>
      <w:r w:rsidR="008458E6" w:rsidRPr="00DB5643">
        <w:rPr>
          <w:iCs/>
          <w:snapToGrid w:val="0"/>
          <w:kern w:val="22"/>
          <w:szCs w:val="22"/>
          <w:lang w:val="ru-RU"/>
        </w:rPr>
        <w:t xml:space="preserve"> 2020</w:t>
      </w:r>
      <w:r w:rsidR="008C5A7D" w:rsidRPr="00DB5643">
        <w:rPr>
          <w:iCs/>
          <w:snapToGrid w:val="0"/>
          <w:kern w:val="22"/>
          <w:szCs w:val="22"/>
          <w:lang w:val="ru-RU"/>
        </w:rPr>
        <w:t xml:space="preserve"> года отражает увеличение на</w:t>
      </w:r>
      <w:r w:rsidR="00E13D8A" w:rsidRPr="00DB5643">
        <w:rPr>
          <w:iCs/>
          <w:snapToGrid w:val="0"/>
          <w:kern w:val="22"/>
          <w:szCs w:val="22"/>
          <w:lang w:val="ru-RU"/>
        </w:rPr>
        <w:t xml:space="preserve"> </w:t>
      </w:r>
      <w:r w:rsidR="008F5279" w:rsidRPr="00DB5643">
        <w:rPr>
          <w:iCs/>
          <w:snapToGrid w:val="0"/>
          <w:kern w:val="22"/>
          <w:szCs w:val="22"/>
          <w:lang w:val="ru-RU"/>
        </w:rPr>
        <w:t>1</w:t>
      </w:r>
      <w:r w:rsidR="00AC62CD" w:rsidRPr="00DB5643">
        <w:rPr>
          <w:iCs/>
          <w:snapToGrid w:val="0"/>
          <w:kern w:val="22"/>
          <w:szCs w:val="22"/>
          <w:lang w:val="ru-RU"/>
        </w:rPr>
        <w:t>77</w:t>
      </w:r>
      <w:r w:rsidR="008C5A7D" w:rsidRPr="00DB5643">
        <w:rPr>
          <w:iCs/>
          <w:snapToGrid w:val="0"/>
          <w:kern w:val="22"/>
          <w:szCs w:val="22"/>
          <w:lang w:val="ru-RU"/>
        </w:rPr>
        <w:t> </w:t>
      </w:r>
      <w:r w:rsidR="00E13D8A" w:rsidRPr="00DB5643">
        <w:rPr>
          <w:iCs/>
          <w:snapToGrid w:val="0"/>
          <w:kern w:val="22"/>
          <w:szCs w:val="22"/>
          <w:lang w:val="ru-RU"/>
        </w:rPr>
        <w:t>%.</w:t>
      </w:r>
      <w:r w:rsidR="00074904" w:rsidRPr="00DB5643">
        <w:rPr>
          <w:iCs/>
          <w:snapToGrid w:val="0"/>
          <w:kern w:val="22"/>
          <w:szCs w:val="22"/>
          <w:lang w:val="ru-RU"/>
        </w:rPr>
        <w:t xml:space="preserve"> </w:t>
      </w:r>
      <w:r w:rsidR="008C5A7D" w:rsidRPr="00DB5643">
        <w:rPr>
          <w:iCs/>
          <w:snapToGrid w:val="0"/>
          <w:kern w:val="22"/>
          <w:szCs w:val="22"/>
          <w:lang w:val="ru-RU"/>
        </w:rPr>
        <w:t>Если рассматривать только решения Сторон</w:t>
      </w:r>
      <w:r w:rsidR="00301F34" w:rsidRPr="00DB5643">
        <w:rPr>
          <w:iCs/>
          <w:snapToGrid w:val="0"/>
          <w:kern w:val="22"/>
          <w:szCs w:val="22"/>
          <w:lang w:val="ru-RU"/>
        </w:rPr>
        <w:t xml:space="preserve">, </w:t>
      </w:r>
      <w:r w:rsidR="008C5A7D" w:rsidRPr="00DB5643">
        <w:rPr>
          <w:iCs/>
          <w:snapToGrid w:val="0"/>
          <w:kern w:val="22"/>
          <w:szCs w:val="22"/>
          <w:lang w:val="ru-RU"/>
        </w:rPr>
        <w:t xml:space="preserve">увеличение составит </w:t>
      </w:r>
      <w:r w:rsidR="00302D55" w:rsidRPr="00DB5643">
        <w:rPr>
          <w:iCs/>
          <w:snapToGrid w:val="0"/>
          <w:kern w:val="22"/>
          <w:szCs w:val="22"/>
          <w:lang w:val="ru-RU"/>
        </w:rPr>
        <w:t>2</w:t>
      </w:r>
      <w:r w:rsidR="00F13813" w:rsidRPr="00DB5643">
        <w:rPr>
          <w:iCs/>
          <w:snapToGrid w:val="0"/>
          <w:kern w:val="22"/>
          <w:szCs w:val="22"/>
          <w:lang w:val="ru-RU"/>
        </w:rPr>
        <w:t>28</w:t>
      </w:r>
      <w:r w:rsidR="008C5A7D" w:rsidRPr="00DB5643">
        <w:rPr>
          <w:iCs/>
          <w:snapToGrid w:val="0"/>
          <w:kern w:val="22"/>
          <w:szCs w:val="22"/>
          <w:lang w:val="ru-RU"/>
        </w:rPr>
        <w:t> </w:t>
      </w:r>
      <w:r w:rsidR="00302D55" w:rsidRPr="00DB5643">
        <w:rPr>
          <w:iCs/>
          <w:snapToGrid w:val="0"/>
          <w:kern w:val="22"/>
          <w:szCs w:val="22"/>
          <w:lang w:val="ru-RU"/>
        </w:rPr>
        <w:t>% (</w:t>
      </w:r>
      <w:r w:rsidR="008C5A7D" w:rsidRPr="00DB5643">
        <w:rPr>
          <w:iCs/>
          <w:snapToGrid w:val="0"/>
          <w:kern w:val="22"/>
          <w:szCs w:val="22"/>
          <w:lang w:val="ru-RU"/>
        </w:rPr>
        <w:t>от</w:t>
      </w:r>
      <w:r w:rsidR="00302D55" w:rsidRPr="00DB5643">
        <w:rPr>
          <w:iCs/>
          <w:snapToGrid w:val="0"/>
          <w:kern w:val="22"/>
          <w:szCs w:val="22"/>
          <w:lang w:val="ru-RU"/>
        </w:rPr>
        <w:t xml:space="preserve"> </w:t>
      </w:r>
      <w:r w:rsidR="00F13813" w:rsidRPr="00DB5643">
        <w:rPr>
          <w:iCs/>
          <w:snapToGrid w:val="0"/>
          <w:kern w:val="22"/>
          <w:szCs w:val="22"/>
          <w:lang w:val="ru-RU"/>
        </w:rPr>
        <w:t>650</w:t>
      </w:r>
      <w:r w:rsidR="00146C02" w:rsidRPr="00DB5643">
        <w:rPr>
          <w:iCs/>
          <w:snapToGrid w:val="0"/>
          <w:kern w:val="22"/>
          <w:szCs w:val="22"/>
          <w:lang w:val="ru-RU"/>
        </w:rPr>
        <w:t xml:space="preserve"> </w:t>
      </w:r>
      <w:r w:rsidR="008C5A7D" w:rsidRPr="00DB5643">
        <w:rPr>
          <w:iCs/>
          <w:snapToGrid w:val="0"/>
          <w:kern w:val="22"/>
          <w:szCs w:val="22"/>
          <w:lang w:val="ru-RU"/>
        </w:rPr>
        <w:t>решений в январе</w:t>
      </w:r>
      <w:r w:rsidR="00146C02" w:rsidRPr="00DB5643">
        <w:rPr>
          <w:iCs/>
          <w:snapToGrid w:val="0"/>
          <w:kern w:val="22"/>
          <w:szCs w:val="22"/>
          <w:lang w:val="ru-RU"/>
        </w:rPr>
        <w:t xml:space="preserve"> 2012 </w:t>
      </w:r>
      <w:r w:rsidR="008C5A7D" w:rsidRPr="00DB5643">
        <w:rPr>
          <w:iCs/>
          <w:snapToGrid w:val="0"/>
          <w:kern w:val="22"/>
          <w:szCs w:val="22"/>
          <w:lang w:val="ru-RU"/>
        </w:rPr>
        <w:t xml:space="preserve">года до </w:t>
      </w:r>
      <w:r w:rsidR="007C74ED" w:rsidRPr="00DB5643">
        <w:rPr>
          <w:iCs/>
          <w:snapToGrid w:val="0"/>
          <w:kern w:val="22"/>
          <w:szCs w:val="22"/>
          <w:lang w:val="ru-RU"/>
        </w:rPr>
        <w:t>2134</w:t>
      </w:r>
      <w:r w:rsidR="00146C02" w:rsidRPr="00DB5643">
        <w:rPr>
          <w:iCs/>
          <w:snapToGrid w:val="0"/>
          <w:kern w:val="22"/>
          <w:szCs w:val="22"/>
          <w:lang w:val="ru-RU"/>
        </w:rPr>
        <w:t xml:space="preserve"> </w:t>
      </w:r>
      <w:r w:rsidR="008C5A7D" w:rsidRPr="00DB5643">
        <w:rPr>
          <w:iCs/>
          <w:snapToGrid w:val="0"/>
          <w:kern w:val="22"/>
          <w:szCs w:val="22"/>
          <w:lang w:val="ru-RU"/>
        </w:rPr>
        <w:t>решений в январе</w:t>
      </w:r>
      <w:r w:rsidR="00146C02" w:rsidRPr="00DB5643">
        <w:rPr>
          <w:iCs/>
          <w:snapToGrid w:val="0"/>
          <w:kern w:val="22"/>
          <w:szCs w:val="22"/>
          <w:lang w:val="ru-RU"/>
        </w:rPr>
        <w:t xml:space="preserve"> 2020</w:t>
      </w:r>
      <w:r w:rsidR="008C5A7D" w:rsidRPr="00DB5643">
        <w:rPr>
          <w:iCs/>
          <w:snapToGrid w:val="0"/>
          <w:kern w:val="22"/>
          <w:szCs w:val="22"/>
          <w:lang w:val="ru-RU"/>
        </w:rPr>
        <w:t xml:space="preserve"> года</w:t>
      </w:r>
      <w:r w:rsidR="00146C02" w:rsidRPr="00DB5643">
        <w:rPr>
          <w:iCs/>
          <w:snapToGrid w:val="0"/>
          <w:kern w:val="22"/>
          <w:szCs w:val="22"/>
          <w:lang w:val="ru-RU"/>
        </w:rPr>
        <w:t>).</w:t>
      </w:r>
    </w:p>
    <w:p w14:paraId="1F4AB5B8" w14:textId="00E9FE00" w:rsidR="00E13D8A" w:rsidRPr="00DB5643" w:rsidRDefault="008C5A7D" w:rsidP="00E13D8A">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sidRPr="00DB5643">
        <w:rPr>
          <w:iCs/>
          <w:snapToGrid w:val="0"/>
          <w:kern w:val="22"/>
          <w:szCs w:val="22"/>
          <w:lang w:val="ru-RU"/>
        </w:rPr>
        <w:t>В отношении</w:t>
      </w:r>
      <w:r w:rsidR="00E13D8A" w:rsidRPr="00DB5643">
        <w:rPr>
          <w:iCs/>
          <w:snapToGrid w:val="0"/>
          <w:kern w:val="22"/>
          <w:szCs w:val="22"/>
          <w:lang w:val="ru-RU"/>
        </w:rPr>
        <w:t xml:space="preserve"> </w:t>
      </w:r>
      <w:r w:rsidRPr="00DB5643">
        <w:rPr>
          <w:b/>
          <w:bCs/>
          <w:iCs/>
          <w:snapToGrid w:val="0"/>
          <w:kern w:val="22"/>
          <w:szCs w:val="22"/>
          <w:lang w:val="ru-RU"/>
        </w:rPr>
        <w:t>индикатора</w:t>
      </w:r>
      <w:r w:rsidR="00E13D8A" w:rsidRPr="00DB5643">
        <w:rPr>
          <w:iCs/>
          <w:snapToGrid w:val="0"/>
          <w:kern w:val="22"/>
          <w:szCs w:val="22"/>
          <w:lang w:val="ru-RU"/>
        </w:rPr>
        <w:t xml:space="preserve"> </w:t>
      </w:r>
      <w:r w:rsidR="00E13D8A" w:rsidRPr="00DB5643">
        <w:rPr>
          <w:b/>
          <w:bCs/>
          <w:iCs/>
          <w:snapToGrid w:val="0"/>
          <w:kern w:val="22"/>
          <w:szCs w:val="22"/>
          <w:lang w:val="ru-RU"/>
        </w:rPr>
        <w:t>4.1.8</w:t>
      </w:r>
      <w:r w:rsidR="00E13D8A" w:rsidRPr="00DB5643">
        <w:rPr>
          <w:iCs/>
          <w:snapToGrid w:val="0"/>
          <w:kern w:val="22"/>
          <w:szCs w:val="22"/>
          <w:lang w:val="ru-RU"/>
        </w:rPr>
        <w:t xml:space="preserve"> (</w:t>
      </w:r>
      <w:r w:rsidRPr="00DB5643">
        <w:rPr>
          <w:iCs/>
          <w:snapToGrid w:val="0"/>
          <w:kern w:val="22"/>
          <w:szCs w:val="22"/>
          <w:lang w:val="ru-RU"/>
        </w:rPr>
        <w:t xml:space="preserve">число пользователей </w:t>
      </w:r>
      <w:proofErr w:type="spellStart"/>
      <w:r w:rsidRPr="00DB5643">
        <w:rPr>
          <w:iCs/>
          <w:snapToGrid w:val="0"/>
          <w:kern w:val="22"/>
          <w:szCs w:val="22"/>
          <w:lang w:val="ru-RU"/>
        </w:rPr>
        <w:t>МПБ</w:t>
      </w:r>
      <w:proofErr w:type="spellEnd"/>
      <w:r w:rsidRPr="00DB5643">
        <w:rPr>
          <w:iCs/>
          <w:snapToGrid w:val="0"/>
          <w:kern w:val="22"/>
          <w:szCs w:val="22"/>
          <w:lang w:val="ru-RU"/>
        </w:rPr>
        <w:t>, обращающихся с просьбами о повышении точности, полноты или своевременности информации</w:t>
      </w:r>
      <w:r w:rsidR="00A22D4C" w:rsidRPr="00DB5643">
        <w:rPr>
          <w:iCs/>
          <w:snapToGrid w:val="0"/>
          <w:kern w:val="22"/>
          <w:szCs w:val="22"/>
          <w:lang w:val="ru-RU"/>
        </w:rPr>
        <w:t>) информация для сравнения отсутствует</w:t>
      </w:r>
      <w:r w:rsidR="00E13D8A" w:rsidRPr="00DB5643">
        <w:rPr>
          <w:iCs/>
          <w:snapToGrid w:val="0"/>
          <w:kern w:val="22"/>
          <w:szCs w:val="22"/>
          <w:lang w:val="ru-RU"/>
        </w:rPr>
        <w:t xml:space="preserve">. </w:t>
      </w:r>
    </w:p>
    <w:p w14:paraId="102A2658" w14:textId="1A4A6CB8" w:rsidR="00E13D8A" w:rsidRPr="003926D8" w:rsidRDefault="00FD01A9" w:rsidP="000A5388">
      <w:pPr>
        <w:keepNext/>
        <w:suppressLineNumbers/>
        <w:tabs>
          <w:tab w:val="num" w:pos="0"/>
          <w:tab w:val="left" w:pos="720"/>
        </w:tabs>
        <w:suppressAutoHyphens/>
        <w:spacing w:before="120" w:after="120"/>
        <w:textAlignment w:val="baseline"/>
        <w:outlineLvl w:val="2"/>
        <w:rPr>
          <w:b/>
          <w:iCs/>
          <w:snapToGrid w:val="0"/>
          <w:kern w:val="22"/>
          <w:lang w:val="ru-RU"/>
        </w:rPr>
      </w:pPr>
      <w:bookmarkStart w:id="25" w:name="_Hlk30513106"/>
      <w:r w:rsidRPr="00DB5643">
        <w:rPr>
          <w:b/>
          <w:iCs/>
          <w:snapToGrid w:val="0"/>
          <w:kern w:val="22"/>
          <w:lang w:val="ru-RU"/>
        </w:rPr>
        <w:t>Оперативная</w:t>
      </w:r>
      <w:r w:rsidRPr="003926D8">
        <w:rPr>
          <w:b/>
          <w:iCs/>
          <w:snapToGrid w:val="0"/>
          <w:kern w:val="22"/>
          <w:lang w:val="ru-RU"/>
        </w:rPr>
        <w:t xml:space="preserve"> </w:t>
      </w:r>
      <w:r w:rsidRPr="00DB5643">
        <w:rPr>
          <w:b/>
          <w:iCs/>
          <w:snapToGrid w:val="0"/>
          <w:kern w:val="22"/>
          <w:lang w:val="ru-RU"/>
        </w:rPr>
        <w:t>цель</w:t>
      </w:r>
      <w:r w:rsidRPr="003926D8">
        <w:rPr>
          <w:b/>
          <w:iCs/>
          <w:snapToGrid w:val="0"/>
          <w:kern w:val="22"/>
          <w:lang w:val="ru-RU"/>
        </w:rPr>
        <w:t xml:space="preserve"> </w:t>
      </w:r>
      <w:r w:rsidR="00E13D8A" w:rsidRPr="003926D8">
        <w:rPr>
          <w:b/>
          <w:iCs/>
          <w:snapToGrid w:val="0"/>
          <w:kern w:val="22"/>
          <w:lang w:val="ru-RU"/>
        </w:rPr>
        <w:t>4.2</w:t>
      </w:r>
      <w:bookmarkEnd w:id="25"/>
      <w:r w:rsidRPr="003926D8">
        <w:rPr>
          <w:b/>
          <w:iCs/>
          <w:snapToGrid w:val="0"/>
          <w:kern w:val="22"/>
          <w:lang w:val="ru-RU"/>
        </w:rPr>
        <w:t>.</w:t>
      </w:r>
      <w:r w:rsidR="00E13D8A" w:rsidRPr="003926D8">
        <w:rPr>
          <w:b/>
          <w:iCs/>
          <w:snapToGrid w:val="0"/>
          <w:kern w:val="22"/>
          <w:lang w:val="ru-RU"/>
        </w:rPr>
        <w:t xml:space="preserve"> </w:t>
      </w:r>
      <w:proofErr w:type="spellStart"/>
      <w:r w:rsidRPr="00DB5643">
        <w:rPr>
          <w:b/>
          <w:iCs/>
          <w:snapToGrid w:val="0"/>
          <w:kern w:val="22"/>
          <w:lang w:val="ru-RU"/>
        </w:rPr>
        <w:t>МПБ</w:t>
      </w:r>
      <w:proofErr w:type="spellEnd"/>
      <w:r w:rsidRPr="003926D8">
        <w:rPr>
          <w:b/>
          <w:iCs/>
          <w:snapToGrid w:val="0"/>
          <w:kern w:val="22"/>
          <w:lang w:val="ru-RU"/>
        </w:rPr>
        <w:t xml:space="preserve"> </w:t>
      </w:r>
      <w:r w:rsidRPr="00DB5643">
        <w:rPr>
          <w:b/>
          <w:iCs/>
          <w:snapToGrid w:val="0"/>
          <w:kern w:val="22"/>
          <w:lang w:val="ru-RU"/>
        </w:rPr>
        <w:t>как</w:t>
      </w:r>
      <w:r w:rsidRPr="003926D8">
        <w:rPr>
          <w:b/>
          <w:iCs/>
          <w:snapToGrid w:val="0"/>
          <w:kern w:val="22"/>
          <w:lang w:val="ru-RU"/>
        </w:rPr>
        <w:t xml:space="preserve"> </w:t>
      </w:r>
      <w:r w:rsidRPr="00DB5643">
        <w:rPr>
          <w:b/>
          <w:iCs/>
          <w:snapToGrid w:val="0"/>
          <w:kern w:val="22"/>
          <w:lang w:val="ru-RU"/>
        </w:rPr>
        <w:t>инструмент</w:t>
      </w:r>
      <w:r w:rsidRPr="003926D8">
        <w:rPr>
          <w:b/>
          <w:iCs/>
          <w:snapToGrid w:val="0"/>
          <w:kern w:val="22"/>
          <w:lang w:val="ru-RU"/>
        </w:rPr>
        <w:t xml:space="preserve"> </w:t>
      </w:r>
      <w:r w:rsidRPr="00DB5643">
        <w:rPr>
          <w:b/>
          <w:iCs/>
          <w:snapToGrid w:val="0"/>
          <w:kern w:val="22"/>
          <w:lang w:val="ru-RU"/>
        </w:rPr>
        <w:t>для</w:t>
      </w:r>
      <w:r w:rsidRPr="003926D8">
        <w:rPr>
          <w:b/>
          <w:iCs/>
          <w:snapToGrid w:val="0"/>
          <w:kern w:val="22"/>
          <w:lang w:val="ru-RU"/>
        </w:rPr>
        <w:t xml:space="preserve"> </w:t>
      </w:r>
      <w:r w:rsidRPr="00DB5643">
        <w:rPr>
          <w:b/>
          <w:iCs/>
          <w:snapToGrid w:val="0"/>
          <w:kern w:val="22"/>
          <w:lang w:val="ru-RU"/>
        </w:rPr>
        <w:t>сетевых</w:t>
      </w:r>
      <w:r w:rsidRPr="003926D8">
        <w:rPr>
          <w:b/>
          <w:iCs/>
          <w:snapToGrid w:val="0"/>
          <w:kern w:val="22"/>
          <w:lang w:val="ru-RU"/>
        </w:rPr>
        <w:t xml:space="preserve"> </w:t>
      </w:r>
      <w:r w:rsidRPr="00DB5643">
        <w:rPr>
          <w:b/>
          <w:iCs/>
          <w:snapToGrid w:val="0"/>
          <w:kern w:val="22"/>
          <w:lang w:val="ru-RU"/>
        </w:rPr>
        <w:t>дискуссий</w:t>
      </w:r>
      <w:r w:rsidRPr="003926D8">
        <w:rPr>
          <w:b/>
          <w:iCs/>
          <w:snapToGrid w:val="0"/>
          <w:kern w:val="22"/>
          <w:lang w:val="ru-RU"/>
        </w:rPr>
        <w:t xml:space="preserve"> </w:t>
      </w:r>
      <w:r w:rsidRPr="00DB5643">
        <w:rPr>
          <w:b/>
          <w:iCs/>
          <w:snapToGrid w:val="0"/>
          <w:kern w:val="22"/>
          <w:lang w:val="ru-RU"/>
        </w:rPr>
        <w:t>и</w:t>
      </w:r>
      <w:r w:rsidRPr="003926D8">
        <w:rPr>
          <w:b/>
          <w:iCs/>
          <w:snapToGrid w:val="0"/>
          <w:kern w:val="22"/>
          <w:lang w:val="ru-RU"/>
        </w:rPr>
        <w:t xml:space="preserve"> </w:t>
      </w:r>
      <w:r w:rsidRPr="00DB5643">
        <w:rPr>
          <w:b/>
          <w:iCs/>
          <w:snapToGrid w:val="0"/>
          <w:kern w:val="22"/>
          <w:lang w:val="ru-RU"/>
        </w:rPr>
        <w:t>конференций</w:t>
      </w:r>
    </w:p>
    <w:p w14:paraId="3C0DB0EC" w14:textId="3CA198A6" w:rsidR="00E13D8A" w:rsidRPr="00DB5643" w:rsidRDefault="005A23D8" w:rsidP="00E13D8A">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Оперативная цель</w:t>
      </w:r>
      <w:r w:rsidR="00E13D8A" w:rsidRPr="00DB5643">
        <w:rPr>
          <w:snapToGrid w:val="0"/>
          <w:kern w:val="22"/>
          <w:szCs w:val="22"/>
          <w:lang w:val="ru-RU"/>
        </w:rPr>
        <w:t xml:space="preserve"> 4.2 </w:t>
      </w:r>
      <w:r w:rsidRPr="00DB5643">
        <w:rPr>
          <w:snapToGrid w:val="0"/>
          <w:kern w:val="22"/>
          <w:szCs w:val="22"/>
          <w:lang w:val="ru-RU"/>
        </w:rPr>
        <w:t xml:space="preserve">предусматривает превращение </w:t>
      </w:r>
      <w:proofErr w:type="spellStart"/>
      <w:r w:rsidRPr="00DB5643">
        <w:rPr>
          <w:snapToGrid w:val="0"/>
          <w:kern w:val="22"/>
          <w:szCs w:val="22"/>
          <w:lang w:val="ru-RU"/>
        </w:rPr>
        <w:t>М</w:t>
      </w:r>
      <w:r w:rsidR="00577D94">
        <w:rPr>
          <w:snapToGrid w:val="0"/>
          <w:kern w:val="22"/>
          <w:szCs w:val="22"/>
          <w:lang w:val="ru-RU"/>
        </w:rPr>
        <w:t>ПБ</w:t>
      </w:r>
      <w:proofErr w:type="spellEnd"/>
      <w:r w:rsidRPr="00DB5643">
        <w:rPr>
          <w:snapToGrid w:val="0"/>
          <w:kern w:val="22"/>
          <w:szCs w:val="22"/>
          <w:lang w:val="ru-RU"/>
        </w:rPr>
        <w:t xml:space="preserve"> в полностью функциональную и эффективную платформу для оказания странам помощи в осуществлении Протокола и увеличение объема и качества информации, представляемой в </w:t>
      </w:r>
      <w:proofErr w:type="spellStart"/>
      <w:r w:rsidRPr="00DB5643">
        <w:rPr>
          <w:snapToGrid w:val="0"/>
          <w:kern w:val="22"/>
          <w:szCs w:val="22"/>
          <w:lang w:val="ru-RU"/>
        </w:rPr>
        <w:t>МПБ</w:t>
      </w:r>
      <w:proofErr w:type="spellEnd"/>
      <w:r w:rsidR="00162698" w:rsidRPr="00DB5643">
        <w:rPr>
          <w:rFonts w:eastAsia="Times New Roman" w:cs="Times New Roman"/>
          <w:color w:val="000000"/>
          <w:kern w:val="22"/>
          <w:szCs w:val="22"/>
          <w:lang w:val="ru-RU" w:eastAsia="ru-RU"/>
        </w:rPr>
        <w:t xml:space="preserve"> </w:t>
      </w:r>
      <w:r w:rsidR="00162698" w:rsidRPr="00DB5643">
        <w:rPr>
          <w:snapToGrid w:val="0"/>
          <w:kern w:val="22"/>
          <w:szCs w:val="22"/>
          <w:lang w:val="ru-RU"/>
        </w:rPr>
        <w:t>и получаемой из него</w:t>
      </w:r>
      <w:r w:rsidR="00E13D8A" w:rsidRPr="00DB5643">
        <w:rPr>
          <w:snapToGrid w:val="0"/>
          <w:kern w:val="22"/>
          <w:szCs w:val="22"/>
          <w:lang w:val="ru-RU"/>
        </w:rPr>
        <w:t>.</w:t>
      </w:r>
    </w:p>
    <w:p w14:paraId="744914FD" w14:textId="501D1CCD" w:rsidR="00E13D8A" w:rsidRPr="00DB5643" w:rsidRDefault="00162698" w:rsidP="00E13D8A">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Стратегическом плане предусмотрены три индикатора для оценки результатов выполнения данной оперативной цели</w:t>
      </w:r>
      <w:r w:rsidR="00E13D8A" w:rsidRPr="00DB5643">
        <w:rPr>
          <w:snapToGrid w:val="0"/>
          <w:kern w:val="22"/>
          <w:szCs w:val="22"/>
          <w:lang w:val="ru-RU"/>
        </w:rPr>
        <w:t xml:space="preserve">. </w:t>
      </w:r>
      <w:r w:rsidRPr="00DB5643">
        <w:rPr>
          <w:snapToGrid w:val="0"/>
          <w:kern w:val="22"/>
          <w:szCs w:val="22"/>
          <w:lang w:val="ru-RU"/>
        </w:rPr>
        <w:t xml:space="preserve">Данные, полученные из </w:t>
      </w:r>
      <w:proofErr w:type="spellStart"/>
      <w:r w:rsidRPr="00DB5643">
        <w:rPr>
          <w:snapToGrid w:val="0"/>
          <w:kern w:val="22"/>
          <w:szCs w:val="22"/>
          <w:lang w:val="ru-RU"/>
        </w:rPr>
        <w:t>М</w:t>
      </w:r>
      <w:r w:rsidR="00577D94">
        <w:rPr>
          <w:snapToGrid w:val="0"/>
          <w:kern w:val="22"/>
          <w:szCs w:val="22"/>
          <w:lang w:val="ru-RU"/>
        </w:rPr>
        <w:t>ПБ</w:t>
      </w:r>
      <w:proofErr w:type="spellEnd"/>
      <w:r w:rsidRPr="00DB5643">
        <w:rPr>
          <w:snapToGrid w:val="0"/>
          <w:kern w:val="22"/>
          <w:szCs w:val="22"/>
          <w:lang w:val="ru-RU"/>
        </w:rPr>
        <w:t xml:space="preserve"> в период </w:t>
      </w:r>
      <w:r w:rsidR="00E13D8A" w:rsidRPr="00DB5643">
        <w:rPr>
          <w:snapToGrid w:val="0"/>
          <w:kern w:val="22"/>
          <w:szCs w:val="22"/>
          <w:lang w:val="ru-RU"/>
        </w:rPr>
        <w:t>2016-2019</w:t>
      </w:r>
      <w:r w:rsidRPr="00DB5643">
        <w:rPr>
          <w:snapToGrid w:val="0"/>
          <w:kern w:val="22"/>
          <w:szCs w:val="22"/>
          <w:lang w:val="ru-RU"/>
        </w:rPr>
        <w:t xml:space="preserve"> годов, по сравнению с данными, полученными в период</w:t>
      </w:r>
      <w:r w:rsidR="00E13D8A" w:rsidRPr="00DB5643">
        <w:rPr>
          <w:snapToGrid w:val="0"/>
          <w:kern w:val="22"/>
          <w:szCs w:val="22"/>
          <w:lang w:val="ru-RU"/>
        </w:rPr>
        <w:t xml:space="preserve"> 2010-2012</w:t>
      </w:r>
      <w:r w:rsidRPr="00DB5643">
        <w:rPr>
          <w:snapToGrid w:val="0"/>
          <w:kern w:val="22"/>
          <w:szCs w:val="22"/>
          <w:lang w:val="ru-RU"/>
        </w:rPr>
        <w:t xml:space="preserve"> годов</w:t>
      </w:r>
      <w:r w:rsidR="00577D94">
        <w:rPr>
          <w:snapToGrid w:val="0"/>
          <w:kern w:val="22"/>
          <w:szCs w:val="22"/>
          <w:lang w:val="ru-RU"/>
        </w:rPr>
        <w:t xml:space="preserve"> и</w:t>
      </w:r>
      <w:r w:rsidR="00E13D8A" w:rsidRPr="00DB5643">
        <w:rPr>
          <w:snapToGrid w:val="0"/>
          <w:kern w:val="22"/>
          <w:szCs w:val="22"/>
          <w:lang w:val="ru-RU"/>
        </w:rPr>
        <w:t xml:space="preserve"> </w:t>
      </w:r>
      <w:r w:rsidRPr="00DB5643">
        <w:rPr>
          <w:snapToGrid w:val="0"/>
          <w:kern w:val="22"/>
          <w:szCs w:val="22"/>
          <w:lang w:val="ru-RU"/>
        </w:rPr>
        <w:t>служащими в качестве исходного уровня</w:t>
      </w:r>
      <w:r w:rsidR="00E13D8A" w:rsidRPr="00DB5643">
        <w:rPr>
          <w:rStyle w:val="ac"/>
          <w:snapToGrid w:val="0"/>
          <w:kern w:val="22"/>
          <w:szCs w:val="22"/>
        </w:rPr>
        <w:footnoteReference w:id="40"/>
      </w:r>
      <w:r w:rsidR="00E13D8A" w:rsidRPr="00DB5643">
        <w:rPr>
          <w:snapToGrid w:val="0"/>
          <w:kern w:val="22"/>
          <w:szCs w:val="22"/>
          <w:lang w:val="ru-RU"/>
        </w:rPr>
        <w:t xml:space="preserve"> </w:t>
      </w:r>
      <w:r w:rsidRPr="00DB5643">
        <w:rPr>
          <w:snapToGrid w:val="0"/>
          <w:kern w:val="22"/>
          <w:szCs w:val="22"/>
          <w:lang w:val="ru-RU"/>
        </w:rPr>
        <w:t>для</w:t>
      </w:r>
      <w:r w:rsidR="00E13D8A" w:rsidRPr="00DB5643">
        <w:rPr>
          <w:snapToGrid w:val="0"/>
          <w:kern w:val="22"/>
          <w:szCs w:val="22"/>
          <w:lang w:val="ru-RU"/>
        </w:rPr>
        <w:t xml:space="preserve"> </w:t>
      </w:r>
      <w:r w:rsidRPr="00DB5643">
        <w:rPr>
          <w:snapToGrid w:val="0"/>
          <w:kern w:val="22"/>
          <w:szCs w:val="22"/>
          <w:lang w:val="ru-RU"/>
        </w:rPr>
        <w:t>данной оперативной цели</w:t>
      </w:r>
      <w:r w:rsidR="00E13D8A" w:rsidRPr="00DB5643">
        <w:rPr>
          <w:snapToGrid w:val="0"/>
          <w:kern w:val="22"/>
          <w:szCs w:val="22"/>
          <w:lang w:val="ru-RU"/>
        </w:rPr>
        <w:t>,</w:t>
      </w:r>
      <w:r w:rsidRPr="00DB5643">
        <w:rPr>
          <w:snapToGrid w:val="0"/>
          <w:kern w:val="22"/>
          <w:szCs w:val="22"/>
          <w:lang w:val="ru-RU"/>
        </w:rPr>
        <w:t xml:space="preserve"> показывают следующее</w:t>
      </w:r>
      <w:r w:rsidR="00E13D8A" w:rsidRPr="00DB5643">
        <w:rPr>
          <w:snapToGrid w:val="0"/>
          <w:kern w:val="22"/>
          <w:szCs w:val="22"/>
          <w:lang w:val="ru-RU"/>
        </w:rPr>
        <w:t>.</w:t>
      </w:r>
    </w:p>
    <w:p w14:paraId="178DDE9D" w14:textId="5738D010" w:rsidR="004569FB" w:rsidRPr="00DB5643" w:rsidRDefault="005844D8" w:rsidP="000B2381">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Что касается</w:t>
      </w:r>
      <w:r w:rsidR="00E13D8A" w:rsidRPr="00DB5643">
        <w:rPr>
          <w:snapToGrid w:val="0"/>
          <w:kern w:val="22"/>
          <w:szCs w:val="22"/>
          <w:lang w:val="ru-RU"/>
        </w:rPr>
        <w:t xml:space="preserve"> </w:t>
      </w:r>
      <w:r w:rsidRPr="00DB5643">
        <w:rPr>
          <w:b/>
          <w:snapToGrid w:val="0"/>
          <w:kern w:val="22"/>
          <w:szCs w:val="22"/>
          <w:lang w:val="ru-RU"/>
        </w:rPr>
        <w:t>индикатора</w:t>
      </w:r>
      <w:r w:rsidR="00E13D8A" w:rsidRPr="00DB5643">
        <w:rPr>
          <w:b/>
          <w:snapToGrid w:val="0"/>
          <w:kern w:val="22"/>
          <w:szCs w:val="22"/>
          <w:lang w:val="ru-RU"/>
        </w:rPr>
        <w:t xml:space="preserve"> 4.2.1 </w:t>
      </w:r>
      <w:r w:rsidR="00E13D8A" w:rsidRPr="00DB5643">
        <w:rPr>
          <w:snapToGrid w:val="0"/>
          <w:kern w:val="22"/>
          <w:szCs w:val="22"/>
          <w:lang w:val="ru-RU"/>
        </w:rPr>
        <w:t>(</w:t>
      </w:r>
      <w:bookmarkStart w:id="26" w:name="_Hlk30512918"/>
      <w:r w:rsidRPr="00DB5643">
        <w:rPr>
          <w:snapToGrid w:val="0"/>
          <w:kern w:val="22"/>
          <w:szCs w:val="22"/>
          <w:lang w:val="ru-RU"/>
        </w:rPr>
        <w:t xml:space="preserve">процентная доля Сторон, участвующих в сетевых дискуссиях и в конференциях в режиме реального времени, проводимых через </w:t>
      </w:r>
      <w:proofErr w:type="spellStart"/>
      <w:r w:rsidRPr="00DB5643">
        <w:rPr>
          <w:snapToGrid w:val="0"/>
          <w:kern w:val="22"/>
          <w:szCs w:val="22"/>
          <w:lang w:val="ru-RU"/>
        </w:rPr>
        <w:t>МПБ</w:t>
      </w:r>
      <w:bookmarkEnd w:id="26"/>
      <w:proofErr w:type="spellEnd"/>
      <w:r w:rsidR="00E13D8A" w:rsidRPr="00DB5643">
        <w:rPr>
          <w:snapToGrid w:val="0"/>
          <w:kern w:val="22"/>
          <w:szCs w:val="22"/>
          <w:lang w:val="ru-RU"/>
        </w:rPr>
        <w:t xml:space="preserve">), </w:t>
      </w:r>
      <w:r w:rsidRPr="00DB5643">
        <w:rPr>
          <w:snapToGrid w:val="0"/>
          <w:kern w:val="22"/>
          <w:szCs w:val="22"/>
          <w:lang w:val="ru-RU"/>
        </w:rPr>
        <w:t>средняя процентная доля Сторон, назначивших участников форумов открытого состава, проводи</w:t>
      </w:r>
      <w:r w:rsidR="00D70FD7" w:rsidRPr="00DB5643">
        <w:rPr>
          <w:snapToGrid w:val="0"/>
          <w:kern w:val="22"/>
          <w:szCs w:val="22"/>
          <w:lang w:val="ru-RU"/>
        </w:rPr>
        <w:t>вшихся</w:t>
      </w:r>
      <w:r w:rsidRPr="00DB5643">
        <w:rPr>
          <w:snapToGrid w:val="0"/>
          <w:kern w:val="22"/>
          <w:szCs w:val="22"/>
          <w:lang w:val="ru-RU"/>
        </w:rPr>
        <w:t xml:space="preserve"> через </w:t>
      </w:r>
      <w:proofErr w:type="spellStart"/>
      <w:r w:rsidRPr="00DB5643">
        <w:rPr>
          <w:snapToGrid w:val="0"/>
          <w:kern w:val="22"/>
          <w:szCs w:val="22"/>
          <w:lang w:val="ru-RU"/>
        </w:rPr>
        <w:t>МПБ</w:t>
      </w:r>
      <w:proofErr w:type="spellEnd"/>
      <w:r w:rsidRPr="00DB5643">
        <w:rPr>
          <w:snapToGrid w:val="0"/>
          <w:kern w:val="22"/>
          <w:szCs w:val="22"/>
          <w:lang w:val="ru-RU"/>
        </w:rPr>
        <w:t>, увеличилась с</w:t>
      </w:r>
      <w:r w:rsidR="00E13D8A" w:rsidRPr="00DB5643">
        <w:rPr>
          <w:snapToGrid w:val="0"/>
          <w:kern w:val="22"/>
          <w:szCs w:val="22"/>
          <w:lang w:val="ru-RU"/>
        </w:rPr>
        <w:t xml:space="preserve"> 18</w:t>
      </w:r>
      <w:r w:rsidRPr="00DB5643">
        <w:rPr>
          <w:snapToGrid w:val="0"/>
          <w:kern w:val="22"/>
          <w:szCs w:val="22"/>
          <w:lang w:val="ru-RU"/>
        </w:rPr>
        <w:t> </w:t>
      </w:r>
      <w:r w:rsidR="00E13D8A" w:rsidRPr="00DB5643">
        <w:rPr>
          <w:snapToGrid w:val="0"/>
          <w:kern w:val="22"/>
          <w:szCs w:val="22"/>
          <w:lang w:val="ru-RU"/>
        </w:rPr>
        <w:t xml:space="preserve">% (29 </w:t>
      </w:r>
      <w:r w:rsidRPr="00DB5643">
        <w:rPr>
          <w:snapToGrid w:val="0"/>
          <w:kern w:val="22"/>
          <w:szCs w:val="22"/>
          <w:lang w:val="ru-RU"/>
        </w:rPr>
        <w:t>из</w:t>
      </w:r>
      <w:r w:rsidR="00E13D8A" w:rsidRPr="00DB5643">
        <w:rPr>
          <w:snapToGrid w:val="0"/>
          <w:kern w:val="22"/>
          <w:szCs w:val="22"/>
          <w:lang w:val="ru-RU"/>
        </w:rPr>
        <w:t xml:space="preserve"> </w:t>
      </w:r>
      <w:r w:rsidR="00915E08" w:rsidRPr="00DB5643">
        <w:rPr>
          <w:snapToGrid w:val="0"/>
          <w:kern w:val="22"/>
          <w:szCs w:val="22"/>
          <w:lang w:val="ru-RU"/>
        </w:rPr>
        <w:t xml:space="preserve">161 </w:t>
      </w:r>
      <w:r w:rsidRPr="00DB5643">
        <w:rPr>
          <w:snapToGrid w:val="0"/>
          <w:kern w:val="22"/>
          <w:szCs w:val="22"/>
          <w:lang w:val="ru-RU"/>
        </w:rPr>
        <w:t>Стороны</w:t>
      </w:r>
      <w:r w:rsidR="00E13D8A" w:rsidRPr="00DB5643">
        <w:rPr>
          <w:snapToGrid w:val="0"/>
          <w:kern w:val="22"/>
          <w:szCs w:val="22"/>
          <w:lang w:val="ru-RU"/>
        </w:rPr>
        <w:t xml:space="preserve">) </w:t>
      </w:r>
      <w:r w:rsidRPr="00DB5643">
        <w:rPr>
          <w:snapToGrid w:val="0"/>
          <w:kern w:val="22"/>
          <w:szCs w:val="22"/>
          <w:lang w:val="ru-RU"/>
        </w:rPr>
        <w:t xml:space="preserve">на исходном уровне до </w:t>
      </w:r>
      <w:r w:rsidR="00E13D8A" w:rsidRPr="00DB5643">
        <w:rPr>
          <w:snapToGrid w:val="0"/>
          <w:kern w:val="22"/>
          <w:szCs w:val="22"/>
          <w:lang w:val="ru-RU"/>
        </w:rPr>
        <w:t>27</w:t>
      </w:r>
      <w:r w:rsidRPr="00DB5643">
        <w:rPr>
          <w:snapToGrid w:val="0"/>
          <w:kern w:val="22"/>
          <w:szCs w:val="22"/>
          <w:lang w:val="ru-RU"/>
        </w:rPr>
        <w:t> </w:t>
      </w:r>
      <w:r w:rsidR="00E13D8A" w:rsidRPr="00DB5643">
        <w:rPr>
          <w:snapToGrid w:val="0"/>
          <w:kern w:val="22"/>
          <w:szCs w:val="22"/>
          <w:lang w:val="ru-RU"/>
        </w:rPr>
        <w:t xml:space="preserve">% (46 </w:t>
      </w:r>
      <w:r w:rsidRPr="00DB5643">
        <w:rPr>
          <w:snapToGrid w:val="0"/>
          <w:kern w:val="22"/>
          <w:szCs w:val="22"/>
          <w:lang w:val="ru-RU"/>
        </w:rPr>
        <w:t>из</w:t>
      </w:r>
      <w:r w:rsidR="00E13D8A" w:rsidRPr="00DB5643">
        <w:rPr>
          <w:snapToGrid w:val="0"/>
          <w:kern w:val="22"/>
          <w:szCs w:val="22"/>
          <w:lang w:val="ru-RU"/>
        </w:rPr>
        <w:t xml:space="preserve"> 171 </w:t>
      </w:r>
      <w:r w:rsidRPr="00DB5643">
        <w:rPr>
          <w:snapToGrid w:val="0"/>
          <w:kern w:val="22"/>
          <w:szCs w:val="22"/>
          <w:lang w:val="ru-RU"/>
        </w:rPr>
        <w:t>Стороны</w:t>
      </w:r>
      <w:r w:rsidR="00E13D8A" w:rsidRPr="00DB5643">
        <w:rPr>
          <w:snapToGrid w:val="0"/>
          <w:kern w:val="22"/>
          <w:szCs w:val="22"/>
          <w:lang w:val="ru-RU"/>
        </w:rPr>
        <w:t xml:space="preserve">) </w:t>
      </w:r>
      <w:r w:rsidRPr="00DB5643">
        <w:rPr>
          <w:snapToGrid w:val="0"/>
          <w:kern w:val="22"/>
          <w:szCs w:val="22"/>
          <w:lang w:val="ru-RU"/>
        </w:rPr>
        <w:t>в четвертом отчетном цикле</w:t>
      </w:r>
      <w:r w:rsidR="00E13D8A" w:rsidRPr="00DB5643">
        <w:rPr>
          <w:snapToGrid w:val="0"/>
          <w:kern w:val="22"/>
          <w:szCs w:val="22"/>
          <w:lang w:val="ru-RU"/>
        </w:rPr>
        <w:t xml:space="preserve"> (</w:t>
      </w:r>
      <w:r w:rsidRPr="00DB5643">
        <w:rPr>
          <w:snapToGrid w:val="0"/>
          <w:kern w:val="22"/>
          <w:szCs w:val="22"/>
          <w:lang w:val="ru-RU"/>
        </w:rPr>
        <w:t>см. таблицу</w:t>
      </w:r>
      <w:r w:rsidR="00E13D8A" w:rsidRPr="00DB5643">
        <w:rPr>
          <w:snapToGrid w:val="0"/>
          <w:kern w:val="22"/>
          <w:szCs w:val="22"/>
          <w:lang w:val="ru-RU"/>
        </w:rPr>
        <w:t xml:space="preserve"> 1). </w:t>
      </w:r>
      <w:r w:rsidR="00EC15BC" w:rsidRPr="00DB5643">
        <w:rPr>
          <w:snapToGrid w:val="0"/>
          <w:kern w:val="22"/>
          <w:szCs w:val="22"/>
          <w:lang w:val="ru-RU"/>
        </w:rPr>
        <w:t>Отмечается, что</w:t>
      </w:r>
      <w:r w:rsidR="00E13D8A" w:rsidRPr="00DB5643">
        <w:rPr>
          <w:snapToGrid w:val="0"/>
          <w:kern w:val="22"/>
          <w:szCs w:val="22"/>
          <w:lang w:val="ru-RU"/>
        </w:rPr>
        <w:t xml:space="preserve"> </w:t>
      </w:r>
      <w:r w:rsidR="00261784" w:rsidRPr="00DB5643">
        <w:rPr>
          <w:snapToGrid w:val="0"/>
          <w:kern w:val="22"/>
          <w:szCs w:val="22"/>
          <w:lang w:val="ru-RU"/>
        </w:rPr>
        <w:t>учетный период для четвертого отчетного цикла длится на один год дольше, что могло повлиять на результаты анализа по данному индикатору</w:t>
      </w:r>
      <w:r w:rsidR="00E13D8A" w:rsidRPr="00DB5643">
        <w:rPr>
          <w:snapToGrid w:val="0"/>
          <w:kern w:val="22"/>
          <w:szCs w:val="22"/>
          <w:lang w:val="ru-RU"/>
        </w:rPr>
        <w:t xml:space="preserve">. </w:t>
      </w:r>
    </w:p>
    <w:p w14:paraId="001B26A2" w14:textId="77777777" w:rsidR="00996741" w:rsidRDefault="008D3A45" w:rsidP="00996741">
      <w:pPr>
        <w:keepNext/>
        <w:suppressLineNumbers/>
        <w:suppressAutoHyphens/>
        <w:ind w:left="902" w:right="902"/>
        <w:textAlignment w:val="baseline"/>
        <w:rPr>
          <w:snapToGrid w:val="0"/>
          <w:kern w:val="22"/>
          <w:szCs w:val="22"/>
          <w:lang w:val="ru-RU"/>
        </w:rPr>
      </w:pPr>
      <w:r w:rsidRPr="00DB5643">
        <w:rPr>
          <w:snapToGrid w:val="0"/>
          <w:kern w:val="22"/>
          <w:szCs w:val="22"/>
          <w:lang w:val="ru-RU"/>
        </w:rPr>
        <w:lastRenderedPageBreak/>
        <w:t>Таблица</w:t>
      </w:r>
      <w:r w:rsidR="00E13D8A" w:rsidRPr="00DB5643">
        <w:rPr>
          <w:snapToGrid w:val="0"/>
          <w:kern w:val="22"/>
          <w:szCs w:val="22"/>
          <w:lang w:val="ru-RU"/>
        </w:rPr>
        <w:t xml:space="preserve"> 1</w:t>
      </w:r>
    </w:p>
    <w:p w14:paraId="38A1DA5E" w14:textId="1FA8EBD1" w:rsidR="004569FB" w:rsidRPr="00DB5643" w:rsidRDefault="00D70FD7" w:rsidP="00996741">
      <w:pPr>
        <w:keepNext/>
        <w:suppressLineNumbers/>
        <w:suppressAutoHyphens/>
        <w:spacing w:after="120"/>
        <w:ind w:left="902" w:right="902"/>
        <w:textAlignment w:val="baseline"/>
        <w:rPr>
          <w:snapToGrid w:val="0"/>
          <w:kern w:val="22"/>
          <w:szCs w:val="22"/>
          <w:lang w:val="ru-RU"/>
        </w:rPr>
      </w:pPr>
      <w:r w:rsidRPr="00DB5643">
        <w:rPr>
          <w:b/>
          <w:bCs/>
          <w:snapToGrid w:val="0"/>
          <w:kern w:val="22"/>
          <w:szCs w:val="22"/>
          <w:lang w:val="ru-RU"/>
        </w:rPr>
        <w:t>Число Сторон, назначавших участников форумов открытого состава, проводившихся через М</w:t>
      </w:r>
      <w:r w:rsidR="00996741">
        <w:rPr>
          <w:b/>
          <w:bCs/>
          <w:snapToGrid w:val="0"/>
          <w:kern w:val="22"/>
          <w:szCs w:val="22"/>
          <w:lang w:val="ru-RU"/>
        </w:rPr>
        <w:t>еханизм посредничества по биобезопасности</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160"/>
        <w:gridCol w:w="2305"/>
      </w:tblGrid>
      <w:tr w:rsidR="004569FB" w:rsidRPr="00DB5643" w14:paraId="576193F4" w14:textId="77777777" w:rsidTr="00D15BA5">
        <w:trPr>
          <w:cantSplit/>
          <w:tblHeader/>
          <w:jc w:val="center"/>
        </w:trPr>
        <w:tc>
          <w:tcPr>
            <w:tcW w:w="3043" w:type="dxa"/>
            <w:shd w:val="clear" w:color="auto" w:fill="auto"/>
            <w:noWrap/>
            <w:vAlign w:val="center"/>
            <w:hideMark/>
          </w:tcPr>
          <w:p w14:paraId="34431DDE" w14:textId="2E6B776F" w:rsidR="004569FB" w:rsidRPr="00DB5643" w:rsidRDefault="00996741" w:rsidP="00FA1E8C">
            <w:pPr>
              <w:suppressLineNumbers/>
              <w:suppressAutoHyphens/>
              <w:jc w:val="center"/>
              <w:rPr>
                <w:i/>
                <w:iCs/>
                <w:snapToGrid w:val="0"/>
                <w:kern w:val="22"/>
                <w:szCs w:val="22"/>
                <w:lang w:val="ru-RU"/>
              </w:rPr>
            </w:pPr>
            <w:r>
              <w:rPr>
                <w:i/>
                <w:iCs/>
                <w:snapToGrid w:val="0"/>
                <w:kern w:val="22"/>
                <w:szCs w:val="22"/>
                <w:lang w:val="ru-RU"/>
              </w:rPr>
              <w:t>Тема</w:t>
            </w:r>
          </w:p>
        </w:tc>
        <w:tc>
          <w:tcPr>
            <w:tcW w:w="2160" w:type="dxa"/>
            <w:shd w:val="clear" w:color="auto" w:fill="auto"/>
            <w:noWrap/>
            <w:vAlign w:val="center"/>
            <w:hideMark/>
          </w:tcPr>
          <w:p w14:paraId="0DDD9FB3" w14:textId="120B1FE2" w:rsidR="004569FB" w:rsidRPr="00DB5643" w:rsidRDefault="00D15BA5" w:rsidP="00FA1E8C">
            <w:pPr>
              <w:suppressLineNumbers/>
              <w:suppressAutoHyphens/>
              <w:jc w:val="center"/>
              <w:rPr>
                <w:i/>
                <w:iCs/>
                <w:snapToGrid w:val="0"/>
                <w:kern w:val="22"/>
                <w:szCs w:val="22"/>
                <w:lang w:val="ru-RU"/>
              </w:rPr>
            </w:pPr>
            <w:r w:rsidRPr="00DB5643">
              <w:rPr>
                <w:i/>
                <w:iCs/>
                <w:snapToGrid w:val="0"/>
                <w:kern w:val="22"/>
                <w:szCs w:val="22"/>
                <w:lang w:val="ru-RU"/>
              </w:rPr>
              <w:t>Исходный уровень</w:t>
            </w:r>
          </w:p>
          <w:p w14:paraId="0A444589" w14:textId="4FD2CA9C" w:rsidR="004569FB" w:rsidRPr="00DB5643" w:rsidRDefault="004569FB" w:rsidP="00FA1E8C">
            <w:pPr>
              <w:suppressLineNumbers/>
              <w:suppressAutoHyphens/>
              <w:jc w:val="center"/>
              <w:rPr>
                <w:i/>
                <w:iCs/>
                <w:snapToGrid w:val="0"/>
                <w:kern w:val="22"/>
                <w:szCs w:val="22"/>
              </w:rPr>
            </w:pPr>
            <w:r w:rsidRPr="00DB5643">
              <w:rPr>
                <w:i/>
                <w:iCs/>
                <w:snapToGrid w:val="0"/>
                <w:kern w:val="22"/>
                <w:szCs w:val="22"/>
              </w:rPr>
              <w:t>(2010-2012</w:t>
            </w:r>
            <w:r w:rsidR="00D15BA5" w:rsidRPr="00DB5643">
              <w:rPr>
                <w:i/>
                <w:iCs/>
                <w:snapToGrid w:val="0"/>
                <w:kern w:val="22"/>
                <w:szCs w:val="22"/>
                <w:lang w:val="ru-RU"/>
              </w:rPr>
              <w:t xml:space="preserve"> гг.</w:t>
            </w:r>
            <w:r w:rsidRPr="00DB5643">
              <w:rPr>
                <w:i/>
                <w:iCs/>
                <w:snapToGrid w:val="0"/>
                <w:kern w:val="22"/>
                <w:szCs w:val="22"/>
              </w:rPr>
              <w:t>)</w:t>
            </w:r>
          </w:p>
        </w:tc>
        <w:tc>
          <w:tcPr>
            <w:tcW w:w="2305" w:type="dxa"/>
          </w:tcPr>
          <w:p w14:paraId="782C5263" w14:textId="302FF264" w:rsidR="004569FB" w:rsidRPr="00DB5643" w:rsidRDefault="00D15BA5" w:rsidP="00D15BA5">
            <w:pPr>
              <w:suppressLineNumbers/>
              <w:suppressAutoHyphens/>
              <w:jc w:val="center"/>
              <w:rPr>
                <w:i/>
                <w:iCs/>
                <w:snapToGrid w:val="0"/>
                <w:kern w:val="22"/>
                <w:szCs w:val="22"/>
              </w:rPr>
            </w:pPr>
            <w:r w:rsidRPr="00DB5643">
              <w:rPr>
                <w:i/>
                <w:iCs/>
                <w:snapToGrid w:val="0"/>
                <w:kern w:val="22"/>
                <w:szCs w:val="22"/>
                <w:lang w:val="ru-RU"/>
              </w:rPr>
              <w:t>4-й цикл отчетности</w:t>
            </w:r>
            <w:r w:rsidR="004569FB" w:rsidRPr="00DB5643">
              <w:rPr>
                <w:i/>
                <w:iCs/>
                <w:snapToGrid w:val="0"/>
                <w:kern w:val="22"/>
                <w:szCs w:val="22"/>
              </w:rPr>
              <w:t xml:space="preserve"> (2016-2019</w:t>
            </w:r>
            <w:r w:rsidRPr="00DB5643">
              <w:rPr>
                <w:i/>
                <w:iCs/>
                <w:snapToGrid w:val="0"/>
                <w:kern w:val="22"/>
                <w:szCs w:val="22"/>
                <w:lang w:val="ru-RU"/>
              </w:rPr>
              <w:t xml:space="preserve"> гг.</w:t>
            </w:r>
            <w:r w:rsidR="004569FB" w:rsidRPr="00DB5643">
              <w:rPr>
                <w:i/>
                <w:iCs/>
                <w:snapToGrid w:val="0"/>
                <w:kern w:val="22"/>
                <w:szCs w:val="22"/>
              </w:rPr>
              <w:t>)</w:t>
            </w:r>
          </w:p>
        </w:tc>
      </w:tr>
      <w:tr w:rsidR="00D15BA5" w:rsidRPr="00DB5643" w14:paraId="28F03DA9" w14:textId="77777777" w:rsidTr="00D15BA5">
        <w:trPr>
          <w:cantSplit/>
          <w:jc w:val="center"/>
        </w:trPr>
        <w:tc>
          <w:tcPr>
            <w:tcW w:w="3043" w:type="dxa"/>
            <w:shd w:val="clear" w:color="auto" w:fill="auto"/>
            <w:noWrap/>
            <w:vAlign w:val="center"/>
            <w:hideMark/>
          </w:tcPr>
          <w:p w14:paraId="5575D85F" w14:textId="7ACC11AC" w:rsidR="00D15BA5" w:rsidRPr="00DB5643" w:rsidRDefault="00D15BA5" w:rsidP="00FA1E8C">
            <w:pPr>
              <w:suppressLineNumbers/>
              <w:suppressAutoHyphens/>
              <w:jc w:val="center"/>
              <w:rPr>
                <w:snapToGrid w:val="0"/>
                <w:kern w:val="22"/>
                <w:sz w:val="20"/>
                <w:szCs w:val="22"/>
                <w:lang w:val="ru-RU"/>
              </w:rPr>
            </w:pPr>
            <w:r w:rsidRPr="00DB5643">
              <w:rPr>
                <w:kern w:val="22"/>
                <w:sz w:val="20"/>
                <w:szCs w:val="20"/>
                <w:lang w:val="ru-RU"/>
              </w:rPr>
              <w:t>Оценка рисков</w:t>
            </w:r>
          </w:p>
        </w:tc>
        <w:tc>
          <w:tcPr>
            <w:tcW w:w="2160" w:type="dxa"/>
            <w:shd w:val="clear" w:color="auto" w:fill="auto"/>
            <w:noWrap/>
            <w:vAlign w:val="center"/>
            <w:hideMark/>
          </w:tcPr>
          <w:p w14:paraId="24FAA176" w14:textId="77777777" w:rsidR="00D15BA5" w:rsidRPr="00DB5643" w:rsidRDefault="00D15BA5" w:rsidP="00FA1E8C">
            <w:pPr>
              <w:suppressLineNumbers/>
              <w:suppressAutoHyphens/>
              <w:jc w:val="center"/>
              <w:rPr>
                <w:snapToGrid w:val="0"/>
                <w:kern w:val="22"/>
                <w:szCs w:val="22"/>
              </w:rPr>
            </w:pPr>
            <w:r w:rsidRPr="00DB5643">
              <w:rPr>
                <w:snapToGrid w:val="0"/>
                <w:kern w:val="22"/>
                <w:szCs w:val="22"/>
              </w:rPr>
              <w:t>50</w:t>
            </w:r>
          </w:p>
        </w:tc>
        <w:tc>
          <w:tcPr>
            <w:tcW w:w="2305" w:type="dxa"/>
          </w:tcPr>
          <w:p w14:paraId="3E10E364" w14:textId="566B5FF8" w:rsidR="00D15BA5" w:rsidRPr="00DB5643" w:rsidRDefault="00D15BA5" w:rsidP="00FA1E8C">
            <w:pPr>
              <w:suppressLineNumbers/>
              <w:suppressAutoHyphens/>
              <w:jc w:val="center"/>
              <w:rPr>
                <w:snapToGrid w:val="0"/>
                <w:kern w:val="22"/>
                <w:szCs w:val="22"/>
              </w:rPr>
            </w:pPr>
            <w:r w:rsidRPr="00DB5643">
              <w:rPr>
                <w:snapToGrid w:val="0"/>
                <w:kern w:val="22"/>
                <w:szCs w:val="22"/>
              </w:rPr>
              <w:t>60</w:t>
            </w:r>
          </w:p>
        </w:tc>
      </w:tr>
      <w:tr w:rsidR="00D15BA5" w:rsidRPr="00DB5643" w14:paraId="2261766C" w14:textId="77777777" w:rsidTr="00D15BA5">
        <w:trPr>
          <w:cantSplit/>
          <w:jc w:val="center"/>
        </w:trPr>
        <w:tc>
          <w:tcPr>
            <w:tcW w:w="3043" w:type="dxa"/>
            <w:shd w:val="clear" w:color="auto" w:fill="auto"/>
            <w:noWrap/>
            <w:vAlign w:val="center"/>
            <w:hideMark/>
          </w:tcPr>
          <w:p w14:paraId="237A3711" w14:textId="79B56C22" w:rsidR="00D15BA5" w:rsidRPr="00DB5643" w:rsidRDefault="00D15BA5" w:rsidP="00FA1E8C">
            <w:pPr>
              <w:suppressLineNumbers/>
              <w:suppressAutoHyphens/>
              <w:jc w:val="center"/>
              <w:rPr>
                <w:snapToGrid w:val="0"/>
                <w:kern w:val="22"/>
                <w:sz w:val="20"/>
                <w:szCs w:val="22"/>
                <w:lang w:val="ru-RU"/>
              </w:rPr>
            </w:pPr>
            <w:r w:rsidRPr="00DB5643">
              <w:rPr>
                <w:kern w:val="22"/>
                <w:sz w:val="20"/>
                <w:szCs w:val="20"/>
                <w:lang w:val="ru-RU"/>
              </w:rPr>
              <w:t>Обнаружение и идентификация</w:t>
            </w:r>
          </w:p>
        </w:tc>
        <w:tc>
          <w:tcPr>
            <w:tcW w:w="2160" w:type="dxa"/>
            <w:shd w:val="clear" w:color="auto" w:fill="auto"/>
            <w:noWrap/>
            <w:vAlign w:val="center"/>
            <w:hideMark/>
          </w:tcPr>
          <w:p w14:paraId="229F4345" w14:textId="77777777" w:rsidR="00D15BA5" w:rsidRPr="00DB5643" w:rsidRDefault="00D15BA5" w:rsidP="00FA1E8C">
            <w:pPr>
              <w:suppressLineNumbers/>
              <w:suppressAutoHyphens/>
              <w:jc w:val="center"/>
              <w:rPr>
                <w:snapToGrid w:val="0"/>
                <w:kern w:val="22"/>
                <w:szCs w:val="22"/>
              </w:rPr>
            </w:pPr>
            <w:r w:rsidRPr="00DB5643">
              <w:rPr>
                <w:snapToGrid w:val="0"/>
                <w:kern w:val="22"/>
                <w:szCs w:val="22"/>
              </w:rPr>
              <w:t>18</w:t>
            </w:r>
          </w:p>
        </w:tc>
        <w:tc>
          <w:tcPr>
            <w:tcW w:w="2305" w:type="dxa"/>
          </w:tcPr>
          <w:p w14:paraId="52E47B77" w14:textId="39F700B7" w:rsidR="00D15BA5" w:rsidRPr="00DB5643" w:rsidRDefault="00D15BA5" w:rsidP="00FA1E8C">
            <w:pPr>
              <w:suppressLineNumbers/>
              <w:suppressAutoHyphens/>
              <w:jc w:val="center"/>
              <w:rPr>
                <w:snapToGrid w:val="0"/>
                <w:kern w:val="22"/>
                <w:szCs w:val="22"/>
              </w:rPr>
            </w:pPr>
            <w:r w:rsidRPr="00DB5643">
              <w:rPr>
                <w:snapToGrid w:val="0"/>
                <w:kern w:val="22"/>
                <w:szCs w:val="22"/>
              </w:rPr>
              <w:t>46</w:t>
            </w:r>
          </w:p>
        </w:tc>
      </w:tr>
      <w:tr w:rsidR="00D15BA5" w:rsidRPr="00DB5643" w14:paraId="441CC451" w14:textId="77777777" w:rsidTr="00D15BA5">
        <w:trPr>
          <w:cantSplit/>
          <w:jc w:val="center"/>
        </w:trPr>
        <w:tc>
          <w:tcPr>
            <w:tcW w:w="3043" w:type="dxa"/>
            <w:shd w:val="clear" w:color="auto" w:fill="auto"/>
            <w:noWrap/>
            <w:vAlign w:val="center"/>
            <w:hideMark/>
          </w:tcPr>
          <w:p w14:paraId="1008E02F" w14:textId="35A64680" w:rsidR="00D15BA5" w:rsidRPr="00DB5643" w:rsidRDefault="00D15BA5" w:rsidP="00FA1E8C">
            <w:pPr>
              <w:suppressLineNumbers/>
              <w:suppressAutoHyphens/>
              <w:jc w:val="center"/>
              <w:rPr>
                <w:snapToGrid w:val="0"/>
                <w:kern w:val="22"/>
                <w:sz w:val="20"/>
                <w:szCs w:val="22"/>
                <w:lang w:val="ru-RU"/>
              </w:rPr>
            </w:pPr>
            <w:r w:rsidRPr="00DB5643">
              <w:rPr>
                <w:kern w:val="22"/>
                <w:sz w:val="20"/>
                <w:szCs w:val="20"/>
                <w:lang w:val="ru-RU"/>
              </w:rPr>
              <w:t>Сотрудники таможенных служб</w:t>
            </w:r>
          </w:p>
        </w:tc>
        <w:tc>
          <w:tcPr>
            <w:tcW w:w="2160" w:type="dxa"/>
            <w:shd w:val="clear" w:color="auto" w:fill="auto"/>
            <w:noWrap/>
            <w:vAlign w:val="center"/>
            <w:hideMark/>
          </w:tcPr>
          <w:p w14:paraId="3F8D2179" w14:textId="77777777" w:rsidR="00D15BA5" w:rsidRPr="00DB5643" w:rsidRDefault="00D15BA5" w:rsidP="00FA1E8C">
            <w:pPr>
              <w:suppressLineNumbers/>
              <w:suppressAutoHyphens/>
              <w:jc w:val="center"/>
              <w:rPr>
                <w:snapToGrid w:val="0"/>
                <w:kern w:val="22"/>
                <w:szCs w:val="22"/>
              </w:rPr>
            </w:pPr>
            <w:r w:rsidRPr="00DB5643">
              <w:rPr>
                <w:snapToGrid w:val="0"/>
                <w:kern w:val="22"/>
                <w:szCs w:val="22"/>
              </w:rPr>
              <w:t>15</w:t>
            </w:r>
          </w:p>
        </w:tc>
        <w:tc>
          <w:tcPr>
            <w:tcW w:w="2305" w:type="dxa"/>
          </w:tcPr>
          <w:p w14:paraId="2449F3DA" w14:textId="0C215787" w:rsidR="00D15BA5" w:rsidRPr="00DB5643" w:rsidRDefault="00D15BA5" w:rsidP="00FA1E8C">
            <w:pPr>
              <w:suppressLineNumbers/>
              <w:suppressAutoHyphens/>
              <w:jc w:val="center"/>
              <w:rPr>
                <w:snapToGrid w:val="0"/>
                <w:kern w:val="22"/>
                <w:szCs w:val="22"/>
              </w:rPr>
            </w:pPr>
            <w:proofErr w:type="spellStart"/>
            <w:r w:rsidRPr="00DB5643">
              <w:rPr>
                <w:snapToGrid w:val="0"/>
                <w:kern w:val="22"/>
                <w:szCs w:val="22"/>
                <w:lang w:val="ru-RU"/>
              </w:rPr>
              <w:t>н.д</w:t>
            </w:r>
            <w:proofErr w:type="spellEnd"/>
            <w:r w:rsidRPr="00DB5643">
              <w:rPr>
                <w:snapToGrid w:val="0"/>
                <w:kern w:val="22"/>
                <w:szCs w:val="22"/>
                <w:lang w:val="ru-RU"/>
              </w:rPr>
              <w:t>.</w:t>
            </w:r>
          </w:p>
        </w:tc>
      </w:tr>
      <w:tr w:rsidR="00D15BA5" w:rsidRPr="00DB5643" w14:paraId="04D7DA0B" w14:textId="77777777" w:rsidTr="00D15BA5">
        <w:trPr>
          <w:cantSplit/>
          <w:jc w:val="center"/>
        </w:trPr>
        <w:tc>
          <w:tcPr>
            <w:tcW w:w="3043" w:type="dxa"/>
            <w:shd w:val="clear" w:color="auto" w:fill="auto"/>
            <w:noWrap/>
            <w:vAlign w:val="center"/>
            <w:hideMark/>
          </w:tcPr>
          <w:p w14:paraId="1EA43444" w14:textId="4EEEBE65" w:rsidR="00D15BA5" w:rsidRPr="00DB5643" w:rsidRDefault="00D15BA5" w:rsidP="00FA1E8C">
            <w:pPr>
              <w:suppressLineNumbers/>
              <w:suppressAutoHyphens/>
              <w:jc w:val="center"/>
              <w:rPr>
                <w:snapToGrid w:val="0"/>
                <w:kern w:val="22"/>
                <w:sz w:val="20"/>
                <w:szCs w:val="22"/>
                <w:lang w:val="ru-RU"/>
              </w:rPr>
            </w:pPr>
            <w:r w:rsidRPr="00DB5643">
              <w:rPr>
                <w:kern w:val="22"/>
                <w:sz w:val="20"/>
                <w:szCs w:val="20"/>
                <w:lang w:val="ru-RU"/>
              </w:rPr>
              <w:t>Социально-экономические аспекты</w:t>
            </w:r>
          </w:p>
        </w:tc>
        <w:tc>
          <w:tcPr>
            <w:tcW w:w="2160" w:type="dxa"/>
            <w:shd w:val="clear" w:color="auto" w:fill="auto"/>
            <w:noWrap/>
            <w:vAlign w:val="center"/>
            <w:hideMark/>
          </w:tcPr>
          <w:p w14:paraId="1C75CA34" w14:textId="77777777" w:rsidR="00D15BA5" w:rsidRPr="00DB5643" w:rsidRDefault="00D15BA5" w:rsidP="00FA1E8C">
            <w:pPr>
              <w:suppressLineNumbers/>
              <w:suppressAutoHyphens/>
              <w:jc w:val="center"/>
              <w:rPr>
                <w:snapToGrid w:val="0"/>
                <w:kern w:val="22"/>
                <w:szCs w:val="22"/>
              </w:rPr>
            </w:pPr>
            <w:r w:rsidRPr="00DB5643">
              <w:rPr>
                <w:snapToGrid w:val="0"/>
                <w:kern w:val="22"/>
                <w:szCs w:val="22"/>
              </w:rPr>
              <w:t>34</w:t>
            </w:r>
          </w:p>
        </w:tc>
        <w:tc>
          <w:tcPr>
            <w:tcW w:w="2305" w:type="dxa"/>
          </w:tcPr>
          <w:p w14:paraId="6DDAFAE3" w14:textId="7E222B92" w:rsidR="00D15BA5" w:rsidRPr="00DB5643" w:rsidRDefault="00D15BA5" w:rsidP="00FA1E8C">
            <w:pPr>
              <w:suppressLineNumbers/>
              <w:suppressAutoHyphens/>
              <w:jc w:val="center"/>
              <w:rPr>
                <w:snapToGrid w:val="0"/>
                <w:kern w:val="22"/>
                <w:szCs w:val="22"/>
              </w:rPr>
            </w:pPr>
            <w:r w:rsidRPr="00DB5643">
              <w:rPr>
                <w:snapToGrid w:val="0"/>
                <w:kern w:val="22"/>
                <w:szCs w:val="22"/>
              </w:rPr>
              <w:t>30</w:t>
            </w:r>
          </w:p>
        </w:tc>
      </w:tr>
      <w:tr w:rsidR="00D15BA5" w:rsidRPr="00DB5643" w14:paraId="490F38E8" w14:textId="77777777" w:rsidTr="00D15BA5">
        <w:trPr>
          <w:cantSplit/>
          <w:jc w:val="center"/>
        </w:trPr>
        <w:tc>
          <w:tcPr>
            <w:tcW w:w="3043" w:type="dxa"/>
            <w:shd w:val="clear" w:color="auto" w:fill="auto"/>
            <w:noWrap/>
            <w:vAlign w:val="center"/>
            <w:hideMark/>
          </w:tcPr>
          <w:p w14:paraId="67D489F9" w14:textId="1861991C" w:rsidR="00D15BA5" w:rsidRPr="00DB5643" w:rsidRDefault="00D15BA5" w:rsidP="00FA1E8C">
            <w:pPr>
              <w:suppressLineNumbers/>
              <w:suppressAutoHyphens/>
              <w:jc w:val="center"/>
              <w:rPr>
                <w:snapToGrid w:val="0"/>
                <w:kern w:val="22"/>
                <w:sz w:val="20"/>
                <w:szCs w:val="22"/>
                <w:lang w:val="ru-RU"/>
              </w:rPr>
            </w:pPr>
            <w:r w:rsidRPr="00DB5643">
              <w:rPr>
                <w:kern w:val="22"/>
                <w:sz w:val="20"/>
                <w:szCs w:val="20"/>
                <w:lang w:val="ru-RU"/>
              </w:rPr>
              <w:t>Синтетическая биология</w:t>
            </w:r>
          </w:p>
        </w:tc>
        <w:tc>
          <w:tcPr>
            <w:tcW w:w="2160" w:type="dxa"/>
            <w:shd w:val="clear" w:color="auto" w:fill="auto"/>
            <w:noWrap/>
            <w:vAlign w:val="center"/>
          </w:tcPr>
          <w:p w14:paraId="5FBDF537" w14:textId="71A8076F" w:rsidR="00D15BA5" w:rsidRPr="00DB5643" w:rsidRDefault="00D15BA5" w:rsidP="00D15BA5">
            <w:pPr>
              <w:suppressLineNumbers/>
              <w:suppressAutoHyphens/>
              <w:jc w:val="center"/>
              <w:rPr>
                <w:snapToGrid w:val="0"/>
                <w:kern w:val="22"/>
                <w:szCs w:val="22"/>
                <w:lang w:val="ru-RU"/>
              </w:rPr>
            </w:pPr>
            <w:proofErr w:type="spellStart"/>
            <w:r w:rsidRPr="00DB5643">
              <w:rPr>
                <w:snapToGrid w:val="0"/>
                <w:kern w:val="22"/>
                <w:szCs w:val="22"/>
                <w:lang w:val="ru-RU"/>
              </w:rPr>
              <w:t>н.д</w:t>
            </w:r>
            <w:proofErr w:type="spellEnd"/>
            <w:r w:rsidRPr="00DB5643">
              <w:rPr>
                <w:snapToGrid w:val="0"/>
                <w:kern w:val="22"/>
                <w:szCs w:val="22"/>
                <w:lang w:val="ru-RU"/>
              </w:rPr>
              <w:t>.</w:t>
            </w:r>
          </w:p>
        </w:tc>
        <w:tc>
          <w:tcPr>
            <w:tcW w:w="2305" w:type="dxa"/>
          </w:tcPr>
          <w:p w14:paraId="15751E11" w14:textId="4CB17619" w:rsidR="00D15BA5" w:rsidRPr="00DB5643" w:rsidRDefault="00D15BA5" w:rsidP="00FA1E8C">
            <w:pPr>
              <w:suppressLineNumbers/>
              <w:suppressAutoHyphens/>
              <w:jc w:val="center"/>
              <w:rPr>
                <w:snapToGrid w:val="0"/>
                <w:kern w:val="22"/>
                <w:szCs w:val="22"/>
              </w:rPr>
            </w:pPr>
            <w:r w:rsidRPr="00DB5643">
              <w:rPr>
                <w:snapToGrid w:val="0"/>
                <w:kern w:val="22"/>
                <w:szCs w:val="22"/>
              </w:rPr>
              <w:t>53</w:t>
            </w:r>
          </w:p>
        </w:tc>
      </w:tr>
      <w:tr w:rsidR="004569FB" w:rsidRPr="00DB5643" w14:paraId="35B072F2" w14:textId="77777777" w:rsidTr="00D15BA5">
        <w:trPr>
          <w:cantSplit/>
          <w:jc w:val="center"/>
        </w:trPr>
        <w:tc>
          <w:tcPr>
            <w:tcW w:w="3043" w:type="dxa"/>
            <w:shd w:val="clear" w:color="auto" w:fill="auto"/>
            <w:noWrap/>
            <w:vAlign w:val="center"/>
          </w:tcPr>
          <w:p w14:paraId="6807081A" w14:textId="42BBD75A" w:rsidR="004569FB" w:rsidRPr="00DB5643" w:rsidRDefault="00D15BA5" w:rsidP="00D15BA5">
            <w:pPr>
              <w:jc w:val="center"/>
              <w:rPr>
                <w:snapToGrid w:val="0"/>
                <w:kern w:val="22"/>
                <w:sz w:val="20"/>
                <w:szCs w:val="22"/>
                <w:lang w:val="ru-RU"/>
              </w:rPr>
            </w:pPr>
            <w:r w:rsidRPr="00DB5643">
              <w:rPr>
                <w:kern w:val="22"/>
                <w:sz w:val="20"/>
                <w:szCs w:val="22"/>
                <w:lang w:val="ru-RU"/>
              </w:rPr>
              <w:t xml:space="preserve">План осуществления на период после </w:t>
            </w:r>
            <w:r w:rsidR="004569FB" w:rsidRPr="00DB5643">
              <w:rPr>
                <w:kern w:val="22"/>
                <w:sz w:val="20"/>
                <w:szCs w:val="22"/>
                <w:lang w:val="ru-RU"/>
              </w:rPr>
              <w:t xml:space="preserve">2020 </w:t>
            </w:r>
            <w:r w:rsidRPr="00DB5643">
              <w:rPr>
                <w:kern w:val="22"/>
                <w:sz w:val="20"/>
                <w:szCs w:val="22"/>
                <w:lang w:val="ru-RU"/>
              </w:rPr>
              <w:t>года</w:t>
            </w:r>
          </w:p>
        </w:tc>
        <w:tc>
          <w:tcPr>
            <w:tcW w:w="2160" w:type="dxa"/>
            <w:shd w:val="clear" w:color="auto" w:fill="auto"/>
            <w:noWrap/>
            <w:vAlign w:val="center"/>
          </w:tcPr>
          <w:p w14:paraId="70CEB5E5" w14:textId="531AE657" w:rsidR="004569FB" w:rsidRPr="00DB5643" w:rsidRDefault="00D15BA5" w:rsidP="00FA1E8C">
            <w:pPr>
              <w:suppressLineNumbers/>
              <w:suppressAutoHyphens/>
              <w:jc w:val="center"/>
              <w:rPr>
                <w:snapToGrid w:val="0"/>
                <w:kern w:val="22"/>
                <w:szCs w:val="22"/>
              </w:rPr>
            </w:pPr>
            <w:proofErr w:type="spellStart"/>
            <w:r w:rsidRPr="00DB5643">
              <w:rPr>
                <w:snapToGrid w:val="0"/>
                <w:kern w:val="22"/>
                <w:szCs w:val="22"/>
                <w:lang w:val="ru-RU"/>
              </w:rPr>
              <w:t>н.д</w:t>
            </w:r>
            <w:proofErr w:type="spellEnd"/>
            <w:r w:rsidRPr="00DB5643">
              <w:rPr>
                <w:snapToGrid w:val="0"/>
                <w:kern w:val="22"/>
                <w:szCs w:val="22"/>
                <w:lang w:val="ru-RU"/>
              </w:rPr>
              <w:t>.</w:t>
            </w:r>
          </w:p>
        </w:tc>
        <w:tc>
          <w:tcPr>
            <w:tcW w:w="2305" w:type="dxa"/>
          </w:tcPr>
          <w:p w14:paraId="4524F3F9" w14:textId="260841D2" w:rsidR="004569FB" w:rsidRPr="00DB5643" w:rsidRDefault="00E13D8A" w:rsidP="00FA1E8C">
            <w:pPr>
              <w:suppressLineNumbers/>
              <w:suppressAutoHyphens/>
              <w:jc w:val="center"/>
              <w:rPr>
                <w:snapToGrid w:val="0"/>
                <w:kern w:val="22"/>
                <w:szCs w:val="22"/>
              </w:rPr>
            </w:pPr>
            <w:r w:rsidRPr="00DB5643">
              <w:rPr>
                <w:snapToGrid w:val="0"/>
                <w:kern w:val="22"/>
                <w:szCs w:val="22"/>
              </w:rPr>
              <w:t>29</w:t>
            </w:r>
          </w:p>
        </w:tc>
      </w:tr>
      <w:tr w:rsidR="004569FB" w:rsidRPr="00DB5643" w14:paraId="7448E3DC" w14:textId="77777777" w:rsidTr="00D15BA5">
        <w:trPr>
          <w:cantSplit/>
          <w:jc w:val="center"/>
        </w:trPr>
        <w:tc>
          <w:tcPr>
            <w:tcW w:w="3043" w:type="dxa"/>
            <w:shd w:val="clear" w:color="auto" w:fill="auto"/>
            <w:noWrap/>
            <w:vAlign w:val="center"/>
          </w:tcPr>
          <w:p w14:paraId="4D367F70" w14:textId="6FA89C41" w:rsidR="004569FB" w:rsidRPr="00DB5643" w:rsidRDefault="00D15BA5" w:rsidP="00FA1E8C">
            <w:pPr>
              <w:jc w:val="center"/>
              <w:rPr>
                <w:kern w:val="22"/>
                <w:sz w:val="20"/>
                <w:szCs w:val="22"/>
                <w:lang w:val="ru-RU"/>
              </w:rPr>
            </w:pPr>
            <w:r w:rsidRPr="00DB5643">
              <w:rPr>
                <w:kern w:val="22"/>
                <w:sz w:val="20"/>
                <w:szCs w:val="22"/>
                <w:lang w:val="ru-RU"/>
              </w:rPr>
              <w:t>Осведомленность общественности</w:t>
            </w:r>
          </w:p>
        </w:tc>
        <w:tc>
          <w:tcPr>
            <w:tcW w:w="2160" w:type="dxa"/>
            <w:shd w:val="clear" w:color="auto" w:fill="auto"/>
            <w:noWrap/>
            <w:vAlign w:val="center"/>
          </w:tcPr>
          <w:p w14:paraId="3EC3B724" w14:textId="4A0388F9" w:rsidR="004569FB" w:rsidRPr="00DB5643" w:rsidRDefault="00D15BA5" w:rsidP="00FA1E8C">
            <w:pPr>
              <w:suppressLineNumbers/>
              <w:suppressAutoHyphens/>
              <w:jc w:val="center"/>
              <w:rPr>
                <w:snapToGrid w:val="0"/>
                <w:kern w:val="22"/>
                <w:szCs w:val="22"/>
              </w:rPr>
            </w:pPr>
            <w:proofErr w:type="spellStart"/>
            <w:r w:rsidRPr="00DB5643">
              <w:rPr>
                <w:snapToGrid w:val="0"/>
                <w:kern w:val="22"/>
                <w:szCs w:val="22"/>
                <w:lang w:val="ru-RU"/>
              </w:rPr>
              <w:t>н.д</w:t>
            </w:r>
            <w:proofErr w:type="spellEnd"/>
            <w:r w:rsidRPr="00DB5643">
              <w:rPr>
                <w:snapToGrid w:val="0"/>
                <w:kern w:val="22"/>
                <w:szCs w:val="22"/>
                <w:lang w:val="ru-RU"/>
              </w:rPr>
              <w:t>.</w:t>
            </w:r>
          </w:p>
        </w:tc>
        <w:tc>
          <w:tcPr>
            <w:tcW w:w="2305" w:type="dxa"/>
          </w:tcPr>
          <w:p w14:paraId="7555B68B" w14:textId="748B9E03" w:rsidR="004569FB" w:rsidRPr="00DB5643" w:rsidRDefault="00E13D8A" w:rsidP="00FA1E8C">
            <w:pPr>
              <w:suppressLineNumbers/>
              <w:suppressAutoHyphens/>
              <w:jc w:val="center"/>
              <w:rPr>
                <w:snapToGrid w:val="0"/>
                <w:kern w:val="22"/>
                <w:szCs w:val="22"/>
              </w:rPr>
            </w:pPr>
            <w:r w:rsidRPr="00DB5643">
              <w:rPr>
                <w:snapToGrid w:val="0"/>
                <w:kern w:val="22"/>
                <w:szCs w:val="22"/>
              </w:rPr>
              <w:t>57</w:t>
            </w:r>
          </w:p>
        </w:tc>
      </w:tr>
      <w:tr w:rsidR="004569FB" w:rsidRPr="00DB5643" w14:paraId="0A9F80D2" w14:textId="77777777" w:rsidTr="00D15BA5">
        <w:trPr>
          <w:cantSplit/>
          <w:trHeight w:val="890"/>
          <w:jc w:val="center"/>
        </w:trPr>
        <w:tc>
          <w:tcPr>
            <w:tcW w:w="3043" w:type="dxa"/>
            <w:shd w:val="clear" w:color="auto" w:fill="auto"/>
            <w:noWrap/>
            <w:vAlign w:val="center"/>
            <w:hideMark/>
          </w:tcPr>
          <w:p w14:paraId="2B5A6862" w14:textId="672213E3" w:rsidR="004569FB" w:rsidRPr="00DB5643" w:rsidRDefault="00D15BA5" w:rsidP="00D15BA5">
            <w:pPr>
              <w:suppressLineNumbers/>
              <w:suppressAutoHyphens/>
              <w:jc w:val="center"/>
              <w:rPr>
                <w:b/>
                <w:bCs/>
                <w:snapToGrid w:val="0"/>
                <w:kern w:val="22"/>
                <w:sz w:val="20"/>
                <w:szCs w:val="22"/>
                <w:lang w:val="ru-RU"/>
              </w:rPr>
            </w:pPr>
            <w:r w:rsidRPr="00DB5643">
              <w:rPr>
                <w:b/>
                <w:bCs/>
                <w:snapToGrid w:val="0"/>
                <w:kern w:val="22"/>
                <w:sz w:val="20"/>
                <w:szCs w:val="22"/>
                <w:lang w:val="ru-RU"/>
              </w:rPr>
              <w:t>Среднее число Сторон, назначавших участников каждого форума</w:t>
            </w:r>
          </w:p>
        </w:tc>
        <w:tc>
          <w:tcPr>
            <w:tcW w:w="2160" w:type="dxa"/>
            <w:shd w:val="clear" w:color="auto" w:fill="auto"/>
            <w:noWrap/>
            <w:vAlign w:val="center"/>
            <w:hideMark/>
          </w:tcPr>
          <w:p w14:paraId="46633C03" w14:textId="77777777" w:rsidR="004569FB" w:rsidRPr="00DB5643" w:rsidRDefault="004569FB" w:rsidP="00FA1E8C">
            <w:pPr>
              <w:suppressLineNumbers/>
              <w:suppressAutoHyphens/>
              <w:jc w:val="center"/>
              <w:rPr>
                <w:b/>
                <w:bCs/>
                <w:snapToGrid w:val="0"/>
                <w:kern w:val="22"/>
                <w:szCs w:val="22"/>
              </w:rPr>
            </w:pPr>
            <w:r w:rsidRPr="00DB5643">
              <w:rPr>
                <w:b/>
                <w:bCs/>
                <w:snapToGrid w:val="0"/>
                <w:kern w:val="22"/>
                <w:szCs w:val="22"/>
              </w:rPr>
              <w:t>29</w:t>
            </w:r>
          </w:p>
        </w:tc>
        <w:tc>
          <w:tcPr>
            <w:tcW w:w="2305" w:type="dxa"/>
          </w:tcPr>
          <w:p w14:paraId="680212B5" w14:textId="77777777" w:rsidR="004569FB" w:rsidRPr="00DB5643" w:rsidRDefault="004569FB" w:rsidP="00FA1E8C">
            <w:pPr>
              <w:suppressLineNumbers/>
              <w:suppressAutoHyphens/>
              <w:jc w:val="center"/>
              <w:rPr>
                <w:b/>
                <w:bCs/>
                <w:snapToGrid w:val="0"/>
                <w:kern w:val="22"/>
                <w:szCs w:val="22"/>
              </w:rPr>
            </w:pPr>
          </w:p>
          <w:p w14:paraId="32949EDE" w14:textId="3F287ED5" w:rsidR="004569FB" w:rsidRPr="00DB5643" w:rsidRDefault="00E13D8A" w:rsidP="00FA1E8C">
            <w:pPr>
              <w:suppressLineNumbers/>
              <w:suppressAutoHyphens/>
              <w:jc w:val="center"/>
              <w:rPr>
                <w:b/>
                <w:bCs/>
                <w:snapToGrid w:val="0"/>
                <w:kern w:val="22"/>
                <w:szCs w:val="22"/>
              </w:rPr>
            </w:pPr>
            <w:r w:rsidRPr="00DB5643">
              <w:rPr>
                <w:b/>
                <w:bCs/>
                <w:snapToGrid w:val="0"/>
                <w:kern w:val="22"/>
                <w:szCs w:val="22"/>
              </w:rPr>
              <w:t>46</w:t>
            </w:r>
          </w:p>
        </w:tc>
      </w:tr>
    </w:tbl>
    <w:p w14:paraId="1A007DF2" w14:textId="1BD89F2E" w:rsidR="00122860" w:rsidRPr="00996741" w:rsidRDefault="00996741" w:rsidP="00F67E77">
      <w:pPr>
        <w:pStyle w:val="a3"/>
        <w:spacing w:before="120" w:after="240"/>
        <w:ind w:left="924" w:right="856"/>
        <w:contextualSpacing w:val="0"/>
        <w:rPr>
          <w:snapToGrid w:val="0"/>
          <w:kern w:val="22"/>
          <w:sz w:val="20"/>
          <w:szCs w:val="22"/>
          <w:lang w:val="ru-RU"/>
        </w:rPr>
      </w:pPr>
      <w:r w:rsidRPr="00996741">
        <w:rPr>
          <w:i/>
          <w:snapToGrid w:val="0"/>
          <w:kern w:val="22"/>
          <w:sz w:val="20"/>
          <w:szCs w:val="22"/>
          <w:lang w:val="ru-RU"/>
        </w:rPr>
        <w:t>Примечание</w:t>
      </w:r>
      <w:r w:rsidRPr="00996741">
        <w:rPr>
          <w:snapToGrid w:val="0"/>
          <w:kern w:val="22"/>
          <w:sz w:val="20"/>
          <w:szCs w:val="22"/>
          <w:lang w:val="ru-RU"/>
        </w:rPr>
        <w:t>: для тем, по которым проводилось более одного процесса назначения, указано среднее число назначавших Сторон</w:t>
      </w:r>
      <w:r w:rsidR="00405E38">
        <w:rPr>
          <w:snapToGrid w:val="0"/>
          <w:kern w:val="22"/>
          <w:sz w:val="20"/>
          <w:szCs w:val="22"/>
          <w:lang w:val="ru-RU"/>
        </w:rPr>
        <w:t>.</w:t>
      </w:r>
    </w:p>
    <w:p w14:paraId="541786FE" w14:textId="01668B39" w:rsidR="00E13D8A" w:rsidRPr="00DB5643" w:rsidRDefault="00D15BA5" w:rsidP="00B44100">
      <w:pPr>
        <w:pStyle w:val="a3"/>
        <w:numPr>
          <w:ilvl w:val="0"/>
          <w:numId w:val="9"/>
        </w:numPr>
        <w:tabs>
          <w:tab w:val="clear" w:pos="3240"/>
        </w:tabs>
        <w:spacing w:before="120" w:after="120"/>
        <w:ind w:left="0" w:firstLine="0"/>
        <w:contextualSpacing w:val="0"/>
        <w:rPr>
          <w:snapToGrid w:val="0"/>
          <w:kern w:val="22"/>
          <w:szCs w:val="22"/>
          <w:lang w:val="ru-RU"/>
        </w:rPr>
      </w:pPr>
      <w:r w:rsidRPr="00DB5643">
        <w:rPr>
          <w:snapToGrid w:val="0"/>
          <w:kern w:val="22"/>
          <w:szCs w:val="22"/>
          <w:lang w:val="ru-RU"/>
        </w:rPr>
        <w:t>Что касается</w:t>
      </w:r>
      <w:r w:rsidR="00E13D8A" w:rsidRPr="00DB5643">
        <w:rPr>
          <w:snapToGrid w:val="0"/>
          <w:kern w:val="22"/>
          <w:szCs w:val="22"/>
          <w:lang w:val="ru-RU"/>
        </w:rPr>
        <w:t xml:space="preserve"> </w:t>
      </w:r>
      <w:r w:rsidRPr="00DB5643">
        <w:rPr>
          <w:b/>
          <w:bCs/>
          <w:snapToGrid w:val="0"/>
          <w:kern w:val="22"/>
          <w:szCs w:val="22"/>
          <w:lang w:val="ru-RU"/>
        </w:rPr>
        <w:t>индикатора</w:t>
      </w:r>
      <w:r w:rsidR="00E13D8A" w:rsidRPr="00DB5643">
        <w:rPr>
          <w:b/>
          <w:bCs/>
          <w:snapToGrid w:val="0"/>
          <w:kern w:val="22"/>
          <w:szCs w:val="22"/>
          <w:lang w:val="ru-RU"/>
        </w:rPr>
        <w:t xml:space="preserve"> 4.2.2</w:t>
      </w:r>
      <w:r w:rsidR="00E13D8A" w:rsidRPr="00DB5643">
        <w:rPr>
          <w:snapToGrid w:val="0"/>
          <w:kern w:val="22"/>
          <w:szCs w:val="22"/>
          <w:lang w:val="ru-RU"/>
        </w:rPr>
        <w:t xml:space="preserve"> (</w:t>
      </w:r>
      <w:r w:rsidRPr="00DB5643">
        <w:rPr>
          <w:snapToGrid w:val="0"/>
          <w:kern w:val="22"/>
          <w:szCs w:val="22"/>
          <w:lang w:val="ru-RU"/>
        </w:rPr>
        <w:t>число участников сетевых дискуссий и конференций, разнообразие их состава и квалификации</w:t>
      </w:r>
      <w:r w:rsidR="00E13D8A" w:rsidRPr="00DB5643">
        <w:rPr>
          <w:snapToGrid w:val="0"/>
          <w:kern w:val="22"/>
          <w:szCs w:val="22"/>
          <w:lang w:val="ru-RU"/>
        </w:rPr>
        <w:t xml:space="preserve">), 428 </w:t>
      </w:r>
      <w:r w:rsidR="00931468" w:rsidRPr="00DB5643">
        <w:rPr>
          <w:snapToGrid w:val="0"/>
          <w:kern w:val="22"/>
          <w:szCs w:val="22"/>
          <w:lang w:val="ru-RU"/>
        </w:rPr>
        <w:t xml:space="preserve">человек приняли участие в сетевых форумах открытого состава, проводившихся через </w:t>
      </w:r>
      <w:proofErr w:type="spellStart"/>
      <w:r w:rsidR="00931468" w:rsidRPr="00DB5643">
        <w:rPr>
          <w:snapToGrid w:val="0"/>
          <w:kern w:val="22"/>
          <w:szCs w:val="22"/>
          <w:lang w:val="ru-RU"/>
        </w:rPr>
        <w:t>МПБ</w:t>
      </w:r>
      <w:proofErr w:type="spellEnd"/>
      <w:r w:rsidR="00931468" w:rsidRPr="00DB5643">
        <w:rPr>
          <w:snapToGrid w:val="0"/>
          <w:kern w:val="22"/>
          <w:szCs w:val="22"/>
          <w:lang w:val="ru-RU"/>
        </w:rPr>
        <w:t>, с</w:t>
      </w:r>
      <w:r w:rsidR="00E13D8A" w:rsidRPr="00DB5643">
        <w:rPr>
          <w:snapToGrid w:val="0"/>
          <w:kern w:val="22"/>
          <w:szCs w:val="22"/>
          <w:lang w:val="ru-RU"/>
        </w:rPr>
        <w:t xml:space="preserve"> 2010 </w:t>
      </w:r>
      <w:r w:rsidR="00931468" w:rsidRPr="00DB5643">
        <w:rPr>
          <w:snapToGrid w:val="0"/>
          <w:kern w:val="22"/>
          <w:szCs w:val="22"/>
          <w:lang w:val="ru-RU"/>
        </w:rPr>
        <w:t xml:space="preserve">по </w:t>
      </w:r>
      <w:r w:rsidR="00E13D8A" w:rsidRPr="00DB5643">
        <w:rPr>
          <w:snapToGrid w:val="0"/>
          <w:kern w:val="22"/>
          <w:szCs w:val="22"/>
          <w:lang w:val="ru-RU"/>
        </w:rPr>
        <w:t>2012</w:t>
      </w:r>
      <w:r w:rsidR="00931468" w:rsidRPr="00DB5643">
        <w:rPr>
          <w:snapToGrid w:val="0"/>
          <w:kern w:val="22"/>
          <w:szCs w:val="22"/>
          <w:lang w:val="ru-RU"/>
        </w:rPr>
        <w:t xml:space="preserve"> год</w:t>
      </w:r>
      <w:r w:rsidR="00E13D8A" w:rsidRPr="00DB5643">
        <w:rPr>
          <w:snapToGrid w:val="0"/>
          <w:kern w:val="22"/>
          <w:szCs w:val="22"/>
          <w:lang w:val="ru-RU"/>
        </w:rPr>
        <w:t xml:space="preserve">, </w:t>
      </w:r>
      <w:r w:rsidR="00931468" w:rsidRPr="00DB5643">
        <w:rPr>
          <w:snapToGrid w:val="0"/>
          <w:kern w:val="22"/>
          <w:szCs w:val="22"/>
          <w:lang w:val="ru-RU"/>
        </w:rPr>
        <w:t xml:space="preserve">тогда как в период четвертого цикла отчетности число участников составило </w:t>
      </w:r>
      <w:r w:rsidR="00E13D8A" w:rsidRPr="00DB5643">
        <w:rPr>
          <w:snapToGrid w:val="0"/>
          <w:kern w:val="22"/>
          <w:szCs w:val="22"/>
          <w:lang w:val="ru-RU"/>
        </w:rPr>
        <w:t xml:space="preserve">875, </w:t>
      </w:r>
      <w:r w:rsidR="00931468" w:rsidRPr="00DB5643">
        <w:rPr>
          <w:snapToGrid w:val="0"/>
          <w:kern w:val="22"/>
          <w:szCs w:val="22"/>
          <w:lang w:val="ru-RU"/>
        </w:rPr>
        <w:t xml:space="preserve">что соответствует увеличению на </w:t>
      </w:r>
      <w:r w:rsidR="00E13D8A" w:rsidRPr="00DB5643">
        <w:rPr>
          <w:snapToGrid w:val="0"/>
          <w:kern w:val="22"/>
          <w:szCs w:val="22"/>
          <w:lang w:val="ru-RU"/>
        </w:rPr>
        <w:t>104</w:t>
      </w:r>
      <w:r w:rsidR="00931468" w:rsidRPr="00DB5643">
        <w:rPr>
          <w:snapToGrid w:val="0"/>
          <w:kern w:val="22"/>
          <w:szCs w:val="22"/>
          <w:lang w:val="ru-RU"/>
        </w:rPr>
        <w:t> </w:t>
      </w:r>
      <w:r w:rsidR="00E13D8A" w:rsidRPr="00DB5643">
        <w:rPr>
          <w:snapToGrid w:val="0"/>
          <w:kern w:val="22"/>
          <w:szCs w:val="22"/>
          <w:lang w:val="ru-RU"/>
        </w:rPr>
        <w:t xml:space="preserve">% </w:t>
      </w:r>
      <w:r w:rsidR="00F67E77">
        <w:rPr>
          <w:snapToGrid w:val="0"/>
          <w:kern w:val="22"/>
          <w:szCs w:val="22"/>
          <w:lang w:val="ru-RU"/>
        </w:rPr>
        <w:br/>
      </w:r>
      <w:r w:rsidR="00E13D8A" w:rsidRPr="00DB5643">
        <w:rPr>
          <w:snapToGrid w:val="0"/>
          <w:kern w:val="22"/>
          <w:szCs w:val="22"/>
          <w:lang w:val="ru-RU"/>
        </w:rPr>
        <w:t>(</w:t>
      </w:r>
      <w:r w:rsidR="00931468" w:rsidRPr="00DB5643">
        <w:rPr>
          <w:snapToGrid w:val="0"/>
          <w:kern w:val="22"/>
          <w:szCs w:val="22"/>
          <w:lang w:val="ru-RU"/>
        </w:rPr>
        <w:t>см. таблицу</w:t>
      </w:r>
      <w:r w:rsidR="00E13D8A" w:rsidRPr="00DB5643">
        <w:rPr>
          <w:snapToGrid w:val="0"/>
          <w:kern w:val="22"/>
          <w:szCs w:val="22"/>
          <w:lang w:val="ru-RU"/>
        </w:rPr>
        <w:t xml:space="preserve"> 2). </w:t>
      </w:r>
      <w:r w:rsidR="00931468" w:rsidRPr="00DB5643">
        <w:rPr>
          <w:snapToGrid w:val="0"/>
          <w:kern w:val="22"/>
          <w:szCs w:val="22"/>
          <w:lang w:val="ru-RU"/>
        </w:rPr>
        <w:t xml:space="preserve">Отмечается, что в период четвертого цикла отчетности было проведено </w:t>
      </w:r>
      <w:r w:rsidR="00FD4804" w:rsidRPr="00DB5643">
        <w:rPr>
          <w:snapToGrid w:val="0"/>
          <w:kern w:val="22"/>
          <w:szCs w:val="22"/>
          <w:lang w:val="ru-RU"/>
        </w:rPr>
        <w:t xml:space="preserve">по </w:t>
      </w:r>
      <w:r w:rsidR="00931468" w:rsidRPr="00DB5643">
        <w:rPr>
          <w:snapToGrid w:val="0"/>
          <w:kern w:val="22"/>
          <w:szCs w:val="22"/>
          <w:lang w:val="ru-RU"/>
        </w:rPr>
        <w:t>два форума по каждой из следующих тем</w:t>
      </w:r>
      <w:r w:rsidR="00E13D8A" w:rsidRPr="00DB5643">
        <w:rPr>
          <w:snapToGrid w:val="0"/>
          <w:kern w:val="22"/>
          <w:szCs w:val="22"/>
          <w:lang w:val="ru-RU"/>
        </w:rPr>
        <w:t xml:space="preserve">: </w:t>
      </w:r>
      <w:r w:rsidR="00931468" w:rsidRPr="00DB5643">
        <w:rPr>
          <w:snapToGrid w:val="0"/>
          <w:kern w:val="22"/>
          <w:szCs w:val="22"/>
          <w:lang w:val="ru-RU"/>
        </w:rPr>
        <w:t>оценка рисков</w:t>
      </w:r>
      <w:r w:rsidR="00E13D8A" w:rsidRPr="00DB5643">
        <w:rPr>
          <w:snapToGrid w:val="0"/>
          <w:kern w:val="22"/>
          <w:szCs w:val="22"/>
          <w:lang w:val="ru-RU"/>
        </w:rPr>
        <w:t xml:space="preserve">; </w:t>
      </w:r>
      <w:r w:rsidR="00931468" w:rsidRPr="00DB5643">
        <w:rPr>
          <w:snapToGrid w:val="0"/>
          <w:kern w:val="22"/>
          <w:szCs w:val="22"/>
          <w:lang w:val="ru-RU"/>
        </w:rPr>
        <w:t>выявление и идентификация;</w:t>
      </w:r>
      <w:r w:rsidR="00E13D8A" w:rsidRPr="00DB5643">
        <w:rPr>
          <w:snapToGrid w:val="0"/>
          <w:kern w:val="22"/>
          <w:szCs w:val="22"/>
          <w:lang w:val="ru-RU"/>
        </w:rPr>
        <w:t xml:space="preserve"> </w:t>
      </w:r>
      <w:r w:rsidR="00931468" w:rsidRPr="00DB5643">
        <w:rPr>
          <w:snapToGrid w:val="0"/>
          <w:kern w:val="22"/>
          <w:szCs w:val="22"/>
          <w:lang w:val="ru-RU"/>
        </w:rPr>
        <w:t>синтетическая биология и осведомленность общественности</w:t>
      </w:r>
      <w:r w:rsidR="00E13D8A" w:rsidRPr="00DB5643">
        <w:rPr>
          <w:snapToGrid w:val="0"/>
          <w:kern w:val="22"/>
          <w:szCs w:val="22"/>
          <w:lang w:val="ru-RU"/>
        </w:rPr>
        <w:t xml:space="preserve">. </w:t>
      </w:r>
    </w:p>
    <w:p w14:paraId="1DE1F193" w14:textId="77777777" w:rsidR="00F67E77" w:rsidRDefault="00FD4804" w:rsidP="00F67E77">
      <w:pPr>
        <w:keepNext/>
        <w:suppressLineNumbers/>
        <w:suppressAutoHyphens/>
        <w:spacing w:before="120"/>
        <w:ind w:left="992" w:right="992"/>
        <w:textAlignment w:val="baseline"/>
        <w:rPr>
          <w:snapToGrid w:val="0"/>
          <w:kern w:val="22"/>
          <w:szCs w:val="22"/>
          <w:lang w:val="ru-RU"/>
        </w:rPr>
      </w:pPr>
      <w:r w:rsidRPr="00DB5643">
        <w:rPr>
          <w:snapToGrid w:val="0"/>
          <w:kern w:val="22"/>
          <w:szCs w:val="22"/>
          <w:lang w:val="ru-RU"/>
        </w:rPr>
        <w:t>Таблица</w:t>
      </w:r>
      <w:r w:rsidR="004569FB" w:rsidRPr="003926D8">
        <w:rPr>
          <w:snapToGrid w:val="0"/>
          <w:kern w:val="22"/>
          <w:szCs w:val="22"/>
          <w:lang w:val="ru-RU"/>
        </w:rPr>
        <w:t xml:space="preserve"> </w:t>
      </w:r>
      <w:r w:rsidR="004569FB" w:rsidRPr="00DB5643">
        <w:rPr>
          <w:snapToGrid w:val="0"/>
          <w:kern w:val="22"/>
          <w:szCs w:val="22"/>
        </w:rPr>
        <w:fldChar w:fldCharType="begin"/>
      </w:r>
      <w:r w:rsidR="004569FB" w:rsidRPr="003926D8">
        <w:rPr>
          <w:snapToGrid w:val="0"/>
          <w:kern w:val="22"/>
          <w:szCs w:val="22"/>
          <w:lang w:val="ru-RU"/>
        </w:rPr>
        <w:instrText xml:space="preserve"> </w:instrText>
      </w:r>
      <w:r w:rsidR="004569FB" w:rsidRPr="00DB5643">
        <w:rPr>
          <w:snapToGrid w:val="0"/>
          <w:kern w:val="22"/>
          <w:szCs w:val="22"/>
        </w:rPr>
        <w:instrText>SEQ</w:instrText>
      </w:r>
      <w:r w:rsidR="004569FB" w:rsidRPr="003926D8">
        <w:rPr>
          <w:snapToGrid w:val="0"/>
          <w:kern w:val="22"/>
          <w:szCs w:val="22"/>
          <w:lang w:val="ru-RU"/>
        </w:rPr>
        <w:instrText xml:space="preserve"> </w:instrText>
      </w:r>
      <w:r w:rsidR="004569FB" w:rsidRPr="00DB5643">
        <w:rPr>
          <w:snapToGrid w:val="0"/>
          <w:kern w:val="22"/>
          <w:szCs w:val="22"/>
        </w:rPr>
        <w:instrText>Table</w:instrText>
      </w:r>
      <w:r w:rsidR="004569FB" w:rsidRPr="003926D8">
        <w:rPr>
          <w:snapToGrid w:val="0"/>
          <w:kern w:val="22"/>
          <w:szCs w:val="22"/>
          <w:lang w:val="ru-RU"/>
        </w:rPr>
        <w:instrText xml:space="preserve"> \* </w:instrText>
      </w:r>
      <w:r w:rsidR="004569FB" w:rsidRPr="00DB5643">
        <w:rPr>
          <w:snapToGrid w:val="0"/>
          <w:kern w:val="22"/>
          <w:szCs w:val="22"/>
        </w:rPr>
        <w:instrText>ARABIC</w:instrText>
      </w:r>
      <w:r w:rsidR="004569FB" w:rsidRPr="003926D8">
        <w:rPr>
          <w:snapToGrid w:val="0"/>
          <w:kern w:val="22"/>
          <w:szCs w:val="22"/>
          <w:lang w:val="ru-RU"/>
        </w:rPr>
        <w:instrText xml:space="preserve"> </w:instrText>
      </w:r>
      <w:r w:rsidR="004569FB" w:rsidRPr="00DB5643">
        <w:rPr>
          <w:snapToGrid w:val="0"/>
          <w:kern w:val="22"/>
          <w:szCs w:val="22"/>
        </w:rPr>
        <w:fldChar w:fldCharType="separate"/>
      </w:r>
      <w:r w:rsidR="004569FB" w:rsidRPr="003926D8">
        <w:rPr>
          <w:noProof/>
          <w:snapToGrid w:val="0"/>
          <w:kern w:val="22"/>
          <w:szCs w:val="22"/>
          <w:lang w:val="ru-RU"/>
        </w:rPr>
        <w:t>2</w:t>
      </w:r>
      <w:r w:rsidR="004569FB" w:rsidRPr="00DB5643">
        <w:rPr>
          <w:snapToGrid w:val="0"/>
          <w:kern w:val="22"/>
          <w:szCs w:val="22"/>
        </w:rPr>
        <w:fldChar w:fldCharType="end"/>
      </w:r>
    </w:p>
    <w:p w14:paraId="20AC9761" w14:textId="509C396A" w:rsidR="004569FB" w:rsidRPr="00DB5643" w:rsidRDefault="00FD4804" w:rsidP="00F67E77">
      <w:pPr>
        <w:keepNext/>
        <w:suppressLineNumbers/>
        <w:suppressAutoHyphens/>
        <w:spacing w:after="120"/>
        <w:ind w:left="992" w:right="992"/>
        <w:textAlignment w:val="baseline"/>
        <w:rPr>
          <w:b/>
          <w:bCs/>
          <w:snapToGrid w:val="0"/>
          <w:kern w:val="22"/>
          <w:szCs w:val="22"/>
          <w:lang w:val="ru-RU"/>
        </w:rPr>
      </w:pPr>
      <w:r w:rsidRPr="00DB5643">
        <w:rPr>
          <w:b/>
          <w:bCs/>
          <w:snapToGrid w:val="0"/>
          <w:kern w:val="22"/>
          <w:lang w:val="ru-RU"/>
        </w:rPr>
        <w:t xml:space="preserve">Число участников, зарегистрированных на сетевых форумах открытого состава, </w:t>
      </w:r>
      <w:r w:rsidRPr="00DB5643">
        <w:rPr>
          <w:b/>
          <w:bCs/>
          <w:snapToGrid w:val="0"/>
          <w:kern w:val="22"/>
          <w:szCs w:val="22"/>
          <w:lang w:val="ru-RU"/>
        </w:rPr>
        <w:t xml:space="preserve">проводившихся через </w:t>
      </w:r>
      <w:r w:rsidR="00F67E77" w:rsidRPr="00F67E77">
        <w:rPr>
          <w:b/>
          <w:bCs/>
          <w:snapToGrid w:val="0"/>
          <w:kern w:val="22"/>
          <w:szCs w:val="22"/>
          <w:lang w:val="ru-RU"/>
        </w:rPr>
        <w:t>Механизм посредничества по биобезопасности</w:t>
      </w:r>
    </w:p>
    <w:tbl>
      <w:tblPr>
        <w:tblW w:w="7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268"/>
        <w:gridCol w:w="2207"/>
      </w:tblGrid>
      <w:tr w:rsidR="004569FB" w:rsidRPr="00DB5643" w14:paraId="3304C0E3" w14:textId="77777777" w:rsidTr="00FD4804">
        <w:trPr>
          <w:cantSplit/>
          <w:tblHeader/>
          <w:jc w:val="center"/>
        </w:trPr>
        <w:tc>
          <w:tcPr>
            <w:tcW w:w="3054" w:type="dxa"/>
            <w:shd w:val="clear" w:color="auto" w:fill="auto"/>
            <w:noWrap/>
            <w:vAlign w:val="center"/>
            <w:hideMark/>
          </w:tcPr>
          <w:p w14:paraId="1838201C" w14:textId="3EB65837" w:rsidR="004569FB" w:rsidRPr="00DB5643" w:rsidRDefault="00F67E77" w:rsidP="00FA1E8C">
            <w:pPr>
              <w:suppressLineNumbers/>
              <w:suppressAutoHyphens/>
              <w:jc w:val="center"/>
              <w:rPr>
                <w:i/>
                <w:iCs/>
                <w:snapToGrid w:val="0"/>
                <w:kern w:val="22"/>
                <w:szCs w:val="22"/>
                <w:lang w:val="ru-RU"/>
              </w:rPr>
            </w:pPr>
            <w:r>
              <w:rPr>
                <w:i/>
                <w:iCs/>
                <w:snapToGrid w:val="0"/>
                <w:kern w:val="22"/>
                <w:szCs w:val="22"/>
                <w:lang w:val="ru-RU"/>
              </w:rPr>
              <w:t>Тема</w:t>
            </w:r>
          </w:p>
        </w:tc>
        <w:tc>
          <w:tcPr>
            <w:tcW w:w="2268" w:type="dxa"/>
            <w:shd w:val="clear" w:color="auto" w:fill="auto"/>
            <w:noWrap/>
            <w:vAlign w:val="center"/>
            <w:hideMark/>
          </w:tcPr>
          <w:p w14:paraId="3C348AAB" w14:textId="5E2156BB" w:rsidR="004569FB" w:rsidRPr="00DB5643" w:rsidRDefault="00FD4804" w:rsidP="00FD4804">
            <w:pPr>
              <w:suppressLineNumbers/>
              <w:suppressAutoHyphens/>
              <w:ind w:left="-58" w:right="-45"/>
              <w:jc w:val="center"/>
              <w:rPr>
                <w:i/>
                <w:iCs/>
                <w:snapToGrid w:val="0"/>
                <w:kern w:val="22"/>
                <w:szCs w:val="22"/>
              </w:rPr>
            </w:pPr>
            <w:r w:rsidRPr="00DB5643">
              <w:rPr>
                <w:i/>
                <w:iCs/>
                <w:snapToGrid w:val="0"/>
                <w:kern w:val="22"/>
                <w:szCs w:val="22"/>
                <w:lang w:val="ru-RU"/>
              </w:rPr>
              <w:t>2-й цикл отчетности</w:t>
            </w:r>
            <w:r w:rsidR="004569FB" w:rsidRPr="00DB5643">
              <w:rPr>
                <w:i/>
                <w:iCs/>
                <w:snapToGrid w:val="0"/>
                <w:kern w:val="22"/>
                <w:szCs w:val="22"/>
              </w:rPr>
              <w:br/>
              <w:t>(2010-2012</w:t>
            </w:r>
            <w:r w:rsidRPr="00DB5643">
              <w:rPr>
                <w:i/>
                <w:iCs/>
                <w:snapToGrid w:val="0"/>
                <w:kern w:val="22"/>
                <w:szCs w:val="22"/>
                <w:lang w:val="ru-RU"/>
              </w:rPr>
              <w:t xml:space="preserve"> гг.</w:t>
            </w:r>
            <w:r w:rsidR="004569FB" w:rsidRPr="00DB5643">
              <w:rPr>
                <w:i/>
                <w:iCs/>
                <w:snapToGrid w:val="0"/>
                <w:kern w:val="22"/>
                <w:szCs w:val="22"/>
              </w:rPr>
              <w:t>)</w:t>
            </w:r>
          </w:p>
        </w:tc>
        <w:tc>
          <w:tcPr>
            <w:tcW w:w="2207" w:type="dxa"/>
          </w:tcPr>
          <w:p w14:paraId="46B89A50" w14:textId="400920D8" w:rsidR="004569FB" w:rsidRPr="00DB5643" w:rsidRDefault="00FD4804" w:rsidP="00FD4804">
            <w:pPr>
              <w:suppressLineNumbers/>
              <w:suppressAutoHyphens/>
              <w:ind w:left="-58" w:right="-45"/>
              <w:jc w:val="center"/>
              <w:rPr>
                <w:i/>
                <w:iCs/>
                <w:snapToGrid w:val="0"/>
                <w:kern w:val="22"/>
                <w:szCs w:val="22"/>
              </w:rPr>
            </w:pPr>
            <w:r w:rsidRPr="00DB5643">
              <w:rPr>
                <w:i/>
                <w:iCs/>
                <w:snapToGrid w:val="0"/>
                <w:kern w:val="22"/>
                <w:szCs w:val="22"/>
                <w:lang w:val="ru-RU"/>
              </w:rPr>
              <w:t>4-й цикл отчетности</w:t>
            </w:r>
            <w:r w:rsidRPr="00DB5643">
              <w:rPr>
                <w:i/>
                <w:iCs/>
                <w:snapToGrid w:val="0"/>
                <w:kern w:val="22"/>
                <w:szCs w:val="22"/>
              </w:rPr>
              <w:t xml:space="preserve"> </w:t>
            </w:r>
            <w:r w:rsidR="004569FB" w:rsidRPr="00DB5643">
              <w:rPr>
                <w:i/>
                <w:iCs/>
                <w:snapToGrid w:val="0"/>
                <w:kern w:val="22"/>
                <w:szCs w:val="22"/>
              </w:rPr>
              <w:t>(2016-2019</w:t>
            </w:r>
            <w:r w:rsidRPr="00DB5643">
              <w:rPr>
                <w:i/>
                <w:iCs/>
                <w:snapToGrid w:val="0"/>
                <w:kern w:val="22"/>
                <w:szCs w:val="22"/>
                <w:lang w:val="ru-RU"/>
              </w:rPr>
              <w:t xml:space="preserve"> гг.</w:t>
            </w:r>
            <w:r w:rsidR="004569FB" w:rsidRPr="00DB5643">
              <w:rPr>
                <w:i/>
                <w:iCs/>
                <w:snapToGrid w:val="0"/>
                <w:kern w:val="22"/>
                <w:szCs w:val="22"/>
              </w:rPr>
              <w:t>)</w:t>
            </w:r>
          </w:p>
        </w:tc>
      </w:tr>
      <w:tr w:rsidR="00FD4804" w:rsidRPr="00DB5643" w14:paraId="27373FCF" w14:textId="77777777" w:rsidTr="00FD4804">
        <w:trPr>
          <w:cantSplit/>
          <w:jc w:val="center"/>
        </w:trPr>
        <w:tc>
          <w:tcPr>
            <w:tcW w:w="3054" w:type="dxa"/>
            <w:shd w:val="clear" w:color="auto" w:fill="auto"/>
            <w:noWrap/>
            <w:vAlign w:val="center"/>
            <w:hideMark/>
          </w:tcPr>
          <w:p w14:paraId="5868856D" w14:textId="03B46BC5" w:rsidR="00FD4804" w:rsidRPr="00DB5643" w:rsidRDefault="00FD4804" w:rsidP="00FA1E8C">
            <w:pPr>
              <w:suppressLineNumbers/>
              <w:suppressAutoHyphens/>
              <w:jc w:val="center"/>
              <w:rPr>
                <w:snapToGrid w:val="0"/>
                <w:kern w:val="22"/>
                <w:sz w:val="20"/>
                <w:szCs w:val="20"/>
                <w:lang w:val="ru-RU"/>
              </w:rPr>
            </w:pPr>
            <w:r w:rsidRPr="00DB5643">
              <w:rPr>
                <w:kern w:val="22"/>
                <w:sz w:val="20"/>
                <w:szCs w:val="20"/>
                <w:lang w:val="ru-RU"/>
              </w:rPr>
              <w:t>Оценка рисков</w:t>
            </w:r>
          </w:p>
        </w:tc>
        <w:tc>
          <w:tcPr>
            <w:tcW w:w="2268" w:type="dxa"/>
            <w:shd w:val="clear" w:color="auto" w:fill="auto"/>
            <w:noWrap/>
            <w:vAlign w:val="center"/>
            <w:hideMark/>
          </w:tcPr>
          <w:p w14:paraId="3CD392F2" w14:textId="77777777"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281</w:t>
            </w:r>
          </w:p>
        </w:tc>
        <w:tc>
          <w:tcPr>
            <w:tcW w:w="2207" w:type="dxa"/>
          </w:tcPr>
          <w:p w14:paraId="1BB91A6B" w14:textId="4D636E8D"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185</w:t>
            </w:r>
          </w:p>
        </w:tc>
      </w:tr>
      <w:tr w:rsidR="00FD4804" w:rsidRPr="00DB5643" w14:paraId="300AF956" w14:textId="77777777" w:rsidTr="00FD4804">
        <w:trPr>
          <w:cantSplit/>
          <w:jc w:val="center"/>
        </w:trPr>
        <w:tc>
          <w:tcPr>
            <w:tcW w:w="3054" w:type="dxa"/>
            <w:shd w:val="clear" w:color="auto" w:fill="auto"/>
            <w:noWrap/>
            <w:vAlign w:val="center"/>
            <w:hideMark/>
          </w:tcPr>
          <w:p w14:paraId="0D979FE0" w14:textId="30879864" w:rsidR="00FD4804" w:rsidRPr="00DB5643" w:rsidRDefault="00FD4804" w:rsidP="00FA1E8C">
            <w:pPr>
              <w:suppressLineNumbers/>
              <w:suppressAutoHyphens/>
              <w:jc w:val="center"/>
              <w:rPr>
                <w:snapToGrid w:val="0"/>
                <w:kern w:val="22"/>
                <w:sz w:val="20"/>
                <w:szCs w:val="20"/>
                <w:lang w:val="ru-RU"/>
              </w:rPr>
            </w:pPr>
            <w:r w:rsidRPr="00DB5643">
              <w:rPr>
                <w:kern w:val="22"/>
                <w:sz w:val="20"/>
                <w:szCs w:val="20"/>
                <w:lang w:val="ru-RU"/>
              </w:rPr>
              <w:t>Обнаружение и идентификация</w:t>
            </w:r>
          </w:p>
        </w:tc>
        <w:tc>
          <w:tcPr>
            <w:tcW w:w="2268" w:type="dxa"/>
            <w:shd w:val="clear" w:color="auto" w:fill="auto"/>
            <w:noWrap/>
            <w:vAlign w:val="center"/>
            <w:hideMark/>
          </w:tcPr>
          <w:p w14:paraId="0CDD0648" w14:textId="77777777"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34</w:t>
            </w:r>
          </w:p>
        </w:tc>
        <w:tc>
          <w:tcPr>
            <w:tcW w:w="2207" w:type="dxa"/>
          </w:tcPr>
          <w:p w14:paraId="1646AA96" w14:textId="2F06FD60"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121</w:t>
            </w:r>
          </w:p>
        </w:tc>
      </w:tr>
      <w:tr w:rsidR="00FD4804" w:rsidRPr="00DB5643" w14:paraId="3758294B" w14:textId="77777777" w:rsidTr="00FD4804">
        <w:trPr>
          <w:cantSplit/>
          <w:jc w:val="center"/>
        </w:trPr>
        <w:tc>
          <w:tcPr>
            <w:tcW w:w="3054" w:type="dxa"/>
            <w:shd w:val="clear" w:color="auto" w:fill="auto"/>
            <w:noWrap/>
            <w:vAlign w:val="center"/>
            <w:hideMark/>
          </w:tcPr>
          <w:p w14:paraId="300C1E9A" w14:textId="31A2B050" w:rsidR="00FD4804" w:rsidRPr="00DB5643" w:rsidRDefault="00FD4804" w:rsidP="00FA1E8C">
            <w:pPr>
              <w:suppressLineNumbers/>
              <w:suppressAutoHyphens/>
              <w:jc w:val="center"/>
              <w:rPr>
                <w:snapToGrid w:val="0"/>
                <w:kern w:val="22"/>
                <w:sz w:val="20"/>
                <w:szCs w:val="20"/>
                <w:lang w:val="ru-RU"/>
              </w:rPr>
            </w:pPr>
            <w:r w:rsidRPr="00DB5643">
              <w:rPr>
                <w:kern w:val="22"/>
                <w:sz w:val="20"/>
                <w:szCs w:val="20"/>
                <w:lang w:val="ru-RU"/>
              </w:rPr>
              <w:t>Сотрудники таможенных служб</w:t>
            </w:r>
          </w:p>
        </w:tc>
        <w:tc>
          <w:tcPr>
            <w:tcW w:w="2268" w:type="dxa"/>
            <w:shd w:val="clear" w:color="auto" w:fill="auto"/>
            <w:noWrap/>
            <w:vAlign w:val="center"/>
            <w:hideMark/>
          </w:tcPr>
          <w:p w14:paraId="5BFEC2ED" w14:textId="77777777"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21</w:t>
            </w:r>
          </w:p>
        </w:tc>
        <w:tc>
          <w:tcPr>
            <w:tcW w:w="2207" w:type="dxa"/>
          </w:tcPr>
          <w:p w14:paraId="5788D4CA" w14:textId="2412C5B7" w:rsidR="00FD4804" w:rsidRPr="00DB5643" w:rsidRDefault="00FD4804" w:rsidP="00FD4804">
            <w:pPr>
              <w:suppressLineNumbers/>
              <w:suppressAutoHyphens/>
              <w:ind w:left="-58" w:right="-45"/>
              <w:jc w:val="center"/>
              <w:rPr>
                <w:snapToGrid w:val="0"/>
                <w:kern w:val="22"/>
                <w:szCs w:val="22"/>
              </w:rPr>
            </w:pPr>
            <w:proofErr w:type="spellStart"/>
            <w:r w:rsidRPr="00DB5643">
              <w:rPr>
                <w:snapToGrid w:val="0"/>
                <w:kern w:val="22"/>
                <w:szCs w:val="22"/>
                <w:lang w:val="ru-RU"/>
              </w:rPr>
              <w:t>н.д</w:t>
            </w:r>
            <w:proofErr w:type="spellEnd"/>
            <w:r w:rsidRPr="00DB5643">
              <w:rPr>
                <w:snapToGrid w:val="0"/>
                <w:kern w:val="22"/>
                <w:szCs w:val="22"/>
                <w:lang w:val="ru-RU"/>
              </w:rPr>
              <w:t>.</w:t>
            </w:r>
          </w:p>
        </w:tc>
      </w:tr>
      <w:tr w:rsidR="00FD4804" w:rsidRPr="00DB5643" w14:paraId="39F9241F" w14:textId="77777777" w:rsidTr="00FD4804">
        <w:trPr>
          <w:cantSplit/>
          <w:jc w:val="center"/>
        </w:trPr>
        <w:tc>
          <w:tcPr>
            <w:tcW w:w="3054" w:type="dxa"/>
            <w:shd w:val="clear" w:color="auto" w:fill="auto"/>
            <w:noWrap/>
            <w:vAlign w:val="center"/>
            <w:hideMark/>
          </w:tcPr>
          <w:p w14:paraId="4C34E8E7" w14:textId="0846565A" w:rsidR="00FD4804" w:rsidRPr="00DB5643" w:rsidRDefault="00FD4804" w:rsidP="00FA1E8C">
            <w:pPr>
              <w:suppressLineNumbers/>
              <w:suppressAutoHyphens/>
              <w:jc w:val="center"/>
              <w:rPr>
                <w:snapToGrid w:val="0"/>
                <w:kern w:val="22"/>
                <w:sz w:val="20"/>
                <w:szCs w:val="20"/>
                <w:lang w:val="ru-RU"/>
              </w:rPr>
            </w:pPr>
            <w:r w:rsidRPr="00DB5643">
              <w:rPr>
                <w:kern w:val="22"/>
                <w:sz w:val="20"/>
                <w:szCs w:val="20"/>
                <w:lang w:val="ru-RU"/>
              </w:rPr>
              <w:t>Социально-экономические аспекты</w:t>
            </w:r>
          </w:p>
        </w:tc>
        <w:tc>
          <w:tcPr>
            <w:tcW w:w="2268" w:type="dxa"/>
            <w:shd w:val="clear" w:color="auto" w:fill="auto"/>
            <w:noWrap/>
            <w:vAlign w:val="center"/>
            <w:hideMark/>
          </w:tcPr>
          <w:p w14:paraId="24D7CAC6" w14:textId="77777777"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92</w:t>
            </w:r>
          </w:p>
        </w:tc>
        <w:tc>
          <w:tcPr>
            <w:tcW w:w="2207" w:type="dxa"/>
          </w:tcPr>
          <w:p w14:paraId="058AD424" w14:textId="77777777"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75</w:t>
            </w:r>
          </w:p>
        </w:tc>
      </w:tr>
      <w:tr w:rsidR="00FD4804" w:rsidRPr="00DB5643" w14:paraId="7566B8E5" w14:textId="77777777" w:rsidTr="00FD4804">
        <w:trPr>
          <w:cantSplit/>
          <w:jc w:val="center"/>
        </w:trPr>
        <w:tc>
          <w:tcPr>
            <w:tcW w:w="3054" w:type="dxa"/>
            <w:shd w:val="clear" w:color="auto" w:fill="auto"/>
            <w:noWrap/>
            <w:vAlign w:val="center"/>
            <w:hideMark/>
          </w:tcPr>
          <w:p w14:paraId="25EB9833" w14:textId="6D462177" w:rsidR="00FD4804" w:rsidRPr="00DB5643" w:rsidRDefault="00FD4804" w:rsidP="00FA1E8C">
            <w:pPr>
              <w:suppressLineNumbers/>
              <w:suppressAutoHyphens/>
              <w:jc w:val="center"/>
              <w:rPr>
                <w:snapToGrid w:val="0"/>
                <w:kern w:val="22"/>
                <w:sz w:val="20"/>
                <w:szCs w:val="20"/>
                <w:lang w:val="ru-RU"/>
              </w:rPr>
            </w:pPr>
            <w:r w:rsidRPr="00DB5643">
              <w:rPr>
                <w:kern w:val="22"/>
                <w:sz w:val="20"/>
                <w:szCs w:val="20"/>
                <w:lang w:val="ru-RU"/>
              </w:rPr>
              <w:t>Синтетическая биология</w:t>
            </w:r>
          </w:p>
        </w:tc>
        <w:tc>
          <w:tcPr>
            <w:tcW w:w="2268" w:type="dxa"/>
            <w:shd w:val="clear" w:color="auto" w:fill="auto"/>
            <w:noWrap/>
            <w:vAlign w:val="center"/>
          </w:tcPr>
          <w:p w14:paraId="5A3A9552" w14:textId="48E2472F" w:rsidR="00FD4804" w:rsidRPr="00DB5643" w:rsidRDefault="00FD4804" w:rsidP="00FD4804">
            <w:pPr>
              <w:suppressLineNumbers/>
              <w:suppressAutoHyphens/>
              <w:ind w:left="-58" w:right="-45"/>
              <w:jc w:val="center"/>
              <w:rPr>
                <w:snapToGrid w:val="0"/>
                <w:kern w:val="22"/>
                <w:szCs w:val="22"/>
              </w:rPr>
            </w:pPr>
            <w:proofErr w:type="spellStart"/>
            <w:r w:rsidRPr="00DB5643">
              <w:rPr>
                <w:snapToGrid w:val="0"/>
                <w:kern w:val="22"/>
                <w:szCs w:val="22"/>
                <w:lang w:val="ru-RU"/>
              </w:rPr>
              <w:t>н.д</w:t>
            </w:r>
            <w:proofErr w:type="spellEnd"/>
            <w:r w:rsidRPr="00DB5643">
              <w:rPr>
                <w:snapToGrid w:val="0"/>
                <w:kern w:val="22"/>
                <w:szCs w:val="22"/>
                <w:lang w:val="ru-RU"/>
              </w:rPr>
              <w:t>.</w:t>
            </w:r>
          </w:p>
        </w:tc>
        <w:tc>
          <w:tcPr>
            <w:tcW w:w="2207" w:type="dxa"/>
          </w:tcPr>
          <w:p w14:paraId="147F5EDB" w14:textId="6DC41633"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205</w:t>
            </w:r>
          </w:p>
        </w:tc>
      </w:tr>
      <w:tr w:rsidR="00FD4804" w:rsidRPr="00DB5643" w14:paraId="3E18A8AA" w14:textId="77777777" w:rsidTr="00FD4804">
        <w:trPr>
          <w:cantSplit/>
          <w:jc w:val="center"/>
        </w:trPr>
        <w:tc>
          <w:tcPr>
            <w:tcW w:w="3054" w:type="dxa"/>
            <w:shd w:val="clear" w:color="auto" w:fill="auto"/>
            <w:noWrap/>
            <w:vAlign w:val="center"/>
          </w:tcPr>
          <w:p w14:paraId="00D01205" w14:textId="08AFF9D6" w:rsidR="00FD4804" w:rsidRPr="00DB5643" w:rsidRDefault="00FD4804" w:rsidP="00FA1E8C">
            <w:pPr>
              <w:suppressLineNumbers/>
              <w:suppressAutoHyphens/>
              <w:jc w:val="center"/>
              <w:rPr>
                <w:snapToGrid w:val="0"/>
                <w:kern w:val="22"/>
                <w:sz w:val="20"/>
                <w:szCs w:val="20"/>
                <w:lang w:val="ru-RU"/>
              </w:rPr>
            </w:pPr>
            <w:r w:rsidRPr="00DB5643">
              <w:rPr>
                <w:kern w:val="22"/>
                <w:sz w:val="20"/>
                <w:szCs w:val="20"/>
                <w:lang w:val="ru-RU"/>
              </w:rPr>
              <w:t>План осуществления на период после 2020 года</w:t>
            </w:r>
          </w:p>
        </w:tc>
        <w:tc>
          <w:tcPr>
            <w:tcW w:w="2268" w:type="dxa"/>
            <w:shd w:val="clear" w:color="auto" w:fill="auto"/>
            <w:noWrap/>
            <w:vAlign w:val="center"/>
          </w:tcPr>
          <w:p w14:paraId="495001CA" w14:textId="2BD1B3D0" w:rsidR="00FD4804" w:rsidRPr="00DB5643" w:rsidRDefault="00FD4804" w:rsidP="00FD4804">
            <w:pPr>
              <w:suppressLineNumbers/>
              <w:suppressAutoHyphens/>
              <w:ind w:left="-58" w:right="-45"/>
              <w:jc w:val="center"/>
              <w:rPr>
                <w:snapToGrid w:val="0"/>
                <w:kern w:val="22"/>
                <w:szCs w:val="22"/>
              </w:rPr>
            </w:pPr>
            <w:proofErr w:type="spellStart"/>
            <w:r w:rsidRPr="00DB5643">
              <w:rPr>
                <w:snapToGrid w:val="0"/>
                <w:kern w:val="22"/>
                <w:szCs w:val="22"/>
                <w:lang w:val="ru-RU"/>
              </w:rPr>
              <w:t>н.д</w:t>
            </w:r>
            <w:proofErr w:type="spellEnd"/>
            <w:r w:rsidRPr="00DB5643">
              <w:rPr>
                <w:snapToGrid w:val="0"/>
                <w:kern w:val="22"/>
                <w:szCs w:val="22"/>
                <w:lang w:val="ru-RU"/>
              </w:rPr>
              <w:t>.</w:t>
            </w:r>
          </w:p>
        </w:tc>
        <w:tc>
          <w:tcPr>
            <w:tcW w:w="2207" w:type="dxa"/>
          </w:tcPr>
          <w:p w14:paraId="1D617029" w14:textId="77777777"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109</w:t>
            </w:r>
          </w:p>
        </w:tc>
      </w:tr>
      <w:tr w:rsidR="00FD4804" w:rsidRPr="00DB5643" w14:paraId="7D64755D" w14:textId="77777777" w:rsidTr="00FD4804">
        <w:trPr>
          <w:cantSplit/>
          <w:jc w:val="center"/>
        </w:trPr>
        <w:tc>
          <w:tcPr>
            <w:tcW w:w="3054" w:type="dxa"/>
            <w:shd w:val="clear" w:color="auto" w:fill="auto"/>
            <w:noWrap/>
            <w:vAlign w:val="center"/>
          </w:tcPr>
          <w:p w14:paraId="530B5E71" w14:textId="252E75A7" w:rsidR="00FD4804" w:rsidRPr="00DB5643" w:rsidRDefault="00FD4804" w:rsidP="00FA1E8C">
            <w:pPr>
              <w:suppressLineNumbers/>
              <w:suppressAutoHyphens/>
              <w:jc w:val="center"/>
              <w:rPr>
                <w:kern w:val="22"/>
                <w:sz w:val="20"/>
                <w:szCs w:val="20"/>
              </w:rPr>
            </w:pPr>
            <w:r w:rsidRPr="00DB5643">
              <w:rPr>
                <w:kern w:val="22"/>
                <w:sz w:val="20"/>
                <w:szCs w:val="20"/>
                <w:lang w:val="ru-RU"/>
              </w:rPr>
              <w:t>Осведомленность общественности</w:t>
            </w:r>
          </w:p>
        </w:tc>
        <w:tc>
          <w:tcPr>
            <w:tcW w:w="2268" w:type="dxa"/>
            <w:shd w:val="clear" w:color="auto" w:fill="auto"/>
            <w:noWrap/>
            <w:vAlign w:val="center"/>
          </w:tcPr>
          <w:p w14:paraId="76330956" w14:textId="26EBEEF5" w:rsidR="00FD4804" w:rsidRPr="00DB5643" w:rsidRDefault="00FD4804" w:rsidP="00FD4804">
            <w:pPr>
              <w:suppressLineNumbers/>
              <w:suppressAutoHyphens/>
              <w:ind w:left="-58" w:right="-45"/>
              <w:jc w:val="center"/>
              <w:rPr>
                <w:snapToGrid w:val="0"/>
                <w:kern w:val="22"/>
                <w:szCs w:val="22"/>
              </w:rPr>
            </w:pPr>
            <w:proofErr w:type="spellStart"/>
            <w:r w:rsidRPr="00DB5643">
              <w:rPr>
                <w:snapToGrid w:val="0"/>
                <w:kern w:val="22"/>
                <w:szCs w:val="22"/>
                <w:lang w:val="ru-RU"/>
              </w:rPr>
              <w:t>н.д</w:t>
            </w:r>
            <w:proofErr w:type="spellEnd"/>
            <w:r w:rsidRPr="00DB5643">
              <w:rPr>
                <w:snapToGrid w:val="0"/>
                <w:kern w:val="22"/>
                <w:szCs w:val="22"/>
                <w:lang w:val="ru-RU"/>
              </w:rPr>
              <w:t>.</w:t>
            </w:r>
          </w:p>
        </w:tc>
        <w:tc>
          <w:tcPr>
            <w:tcW w:w="2207" w:type="dxa"/>
          </w:tcPr>
          <w:p w14:paraId="1EFA24DA" w14:textId="6198EB55" w:rsidR="00FD4804" w:rsidRPr="00DB5643" w:rsidRDefault="00FD4804" w:rsidP="00FD4804">
            <w:pPr>
              <w:suppressLineNumbers/>
              <w:suppressAutoHyphens/>
              <w:ind w:left="-58" w:right="-45"/>
              <w:jc w:val="center"/>
              <w:rPr>
                <w:snapToGrid w:val="0"/>
                <w:kern w:val="22"/>
                <w:szCs w:val="22"/>
              </w:rPr>
            </w:pPr>
            <w:r w:rsidRPr="00DB5643">
              <w:rPr>
                <w:snapToGrid w:val="0"/>
                <w:kern w:val="22"/>
                <w:szCs w:val="22"/>
              </w:rPr>
              <w:t>180</w:t>
            </w:r>
          </w:p>
        </w:tc>
      </w:tr>
      <w:tr w:rsidR="004569FB" w:rsidRPr="00DB5643" w14:paraId="00243E30" w14:textId="77777777" w:rsidTr="00FD4804">
        <w:trPr>
          <w:cantSplit/>
          <w:jc w:val="center"/>
        </w:trPr>
        <w:tc>
          <w:tcPr>
            <w:tcW w:w="3054" w:type="dxa"/>
            <w:shd w:val="clear" w:color="auto" w:fill="auto"/>
            <w:noWrap/>
            <w:vAlign w:val="center"/>
            <w:hideMark/>
          </w:tcPr>
          <w:p w14:paraId="11F77D81" w14:textId="5E769B7C" w:rsidR="004569FB" w:rsidRPr="00DB5643" w:rsidRDefault="00FD4804" w:rsidP="00FA1E8C">
            <w:pPr>
              <w:suppressLineNumbers/>
              <w:suppressAutoHyphens/>
              <w:jc w:val="center"/>
              <w:rPr>
                <w:b/>
                <w:bCs/>
                <w:snapToGrid w:val="0"/>
                <w:kern w:val="22"/>
                <w:sz w:val="20"/>
                <w:szCs w:val="20"/>
                <w:lang w:val="ru-RU"/>
              </w:rPr>
            </w:pPr>
            <w:r w:rsidRPr="00DB5643">
              <w:rPr>
                <w:b/>
                <w:bCs/>
                <w:snapToGrid w:val="0"/>
                <w:kern w:val="22"/>
                <w:sz w:val="20"/>
                <w:szCs w:val="20"/>
                <w:lang w:val="ru-RU"/>
              </w:rPr>
              <w:t>Всего</w:t>
            </w:r>
          </w:p>
        </w:tc>
        <w:tc>
          <w:tcPr>
            <w:tcW w:w="2268" w:type="dxa"/>
            <w:shd w:val="clear" w:color="auto" w:fill="auto"/>
            <w:noWrap/>
            <w:vAlign w:val="center"/>
            <w:hideMark/>
          </w:tcPr>
          <w:p w14:paraId="5E967622" w14:textId="77777777" w:rsidR="004569FB" w:rsidRPr="00DB5643" w:rsidRDefault="004569FB" w:rsidP="00FD4804">
            <w:pPr>
              <w:suppressLineNumbers/>
              <w:suppressAutoHyphens/>
              <w:ind w:left="-58" w:right="-45"/>
              <w:jc w:val="center"/>
              <w:rPr>
                <w:b/>
                <w:bCs/>
                <w:snapToGrid w:val="0"/>
                <w:kern w:val="22"/>
                <w:szCs w:val="22"/>
              </w:rPr>
            </w:pPr>
            <w:r w:rsidRPr="00DB5643">
              <w:rPr>
                <w:b/>
                <w:bCs/>
                <w:snapToGrid w:val="0"/>
                <w:kern w:val="22"/>
                <w:szCs w:val="22"/>
              </w:rPr>
              <w:t>428</w:t>
            </w:r>
          </w:p>
        </w:tc>
        <w:tc>
          <w:tcPr>
            <w:tcW w:w="2207" w:type="dxa"/>
          </w:tcPr>
          <w:p w14:paraId="4D3EE000" w14:textId="0E65EB21" w:rsidR="004569FB" w:rsidRPr="00DB5643" w:rsidRDefault="00E13D8A" w:rsidP="00FD4804">
            <w:pPr>
              <w:suppressLineNumbers/>
              <w:suppressAutoHyphens/>
              <w:ind w:left="-58" w:right="-45"/>
              <w:jc w:val="center"/>
              <w:rPr>
                <w:b/>
                <w:bCs/>
                <w:snapToGrid w:val="0"/>
                <w:kern w:val="22"/>
                <w:szCs w:val="22"/>
              </w:rPr>
            </w:pPr>
            <w:r w:rsidRPr="00DB5643">
              <w:rPr>
                <w:b/>
                <w:bCs/>
                <w:snapToGrid w:val="0"/>
                <w:kern w:val="22"/>
                <w:szCs w:val="22"/>
              </w:rPr>
              <w:t>875</w:t>
            </w:r>
          </w:p>
        </w:tc>
      </w:tr>
    </w:tbl>
    <w:p w14:paraId="23AA4BF4" w14:textId="047872CC" w:rsidR="00F67E77" w:rsidRPr="00996741" w:rsidRDefault="00F67E77" w:rsidP="00F67E77">
      <w:pPr>
        <w:pStyle w:val="a3"/>
        <w:spacing w:before="120" w:after="240"/>
        <w:ind w:left="924" w:right="856"/>
        <w:contextualSpacing w:val="0"/>
        <w:rPr>
          <w:snapToGrid w:val="0"/>
          <w:kern w:val="22"/>
          <w:sz w:val="20"/>
          <w:szCs w:val="22"/>
          <w:lang w:val="ru-RU"/>
        </w:rPr>
      </w:pPr>
      <w:r w:rsidRPr="00996741">
        <w:rPr>
          <w:i/>
          <w:snapToGrid w:val="0"/>
          <w:kern w:val="22"/>
          <w:sz w:val="20"/>
          <w:szCs w:val="22"/>
          <w:lang w:val="ru-RU"/>
        </w:rPr>
        <w:t>Примечание</w:t>
      </w:r>
      <w:r w:rsidRPr="00996741">
        <w:rPr>
          <w:snapToGrid w:val="0"/>
          <w:kern w:val="22"/>
          <w:sz w:val="20"/>
          <w:szCs w:val="22"/>
          <w:lang w:val="ru-RU"/>
        </w:rPr>
        <w:t xml:space="preserve">: </w:t>
      </w:r>
      <w:r w:rsidRPr="00F67E77">
        <w:rPr>
          <w:snapToGrid w:val="0"/>
          <w:kern w:val="22"/>
          <w:sz w:val="20"/>
          <w:szCs w:val="22"/>
          <w:lang w:val="ru-RU"/>
        </w:rPr>
        <w:t xml:space="preserve">для тем, по которым проводилось более одного форума, указано среднее число участников </w:t>
      </w:r>
      <w:r w:rsidR="00405E38">
        <w:rPr>
          <w:snapToGrid w:val="0"/>
          <w:kern w:val="22"/>
          <w:sz w:val="20"/>
          <w:szCs w:val="22"/>
          <w:lang w:val="ru-RU"/>
        </w:rPr>
        <w:t>каждого форума.</w:t>
      </w:r>
    </w:p>
    <w:p w14:paraId="4C5715B0" w14:textId="77777777" w:rsidR="00122860" w:rsidRPr="00F67E77" w:rsidRDefault="00122860" w:rsidP="00122860">
      <w:pPr>
        <w:pStyle w:val="a3"/>
        <w:suppressLineNumbers/>
        <w:suppressAutoHyphens/>
        <w:snapToGrid w:val="0"/>
        <w:spacing w:before="120" w:after="120"/>
        <w:ind w:left="0"/>
        <w:contextualSpacing w:val="0"/>
        <w:rPr>
          <w:snapToGrid w:val="0"/>
          <w:kern w:val="22"/>
          <w:szCs w:val="22"/>
          <w:lang w:val="ru-RU"/>
        </w:rPr>
      </w:pPr>
    </w:p>
    <w:p w14:paraId="543ACD24" w14:textId="45459198" w:rsidR="00F84E9C" w:rsidRPr="00DB5643" w:rsidRDefault="00FD4804" w:rsidP="00F84E9C">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lastRenderedPageBreak/>
        <w:t>Наконец</w:t>
      </w:r>
      <w:r w:rsidR="00F84E9C" w:rsidRPr="00DB5643">
        <w:rPr>
          <w:snapToGrid w:val="0"/>
          <w:kern w:val="22"/>
          <w:szCs w:val="22"/>
          <w:lang w:val="ru-RU"/>
        </w:rPr>
        <w:t xml:space="preserve">, </w:t>
      </w:r>
      <w:r w:rsidR="005F6869" w:rsidRPr="00DB5643">
        <w:rPr>
          <w:snapToGrid w:val="0"/>
          <w:kern w:val="22"/>
          <w:szCs w:val="22"/>
          <w:lang w:val="ru-RU"/>
        </w:rPr>
        <w:t>что касается</w:t>
      </w:r>
      <w:r w:rsidR="00F84E9C" w:rsidRPr="00DB5643">
        <w:rPr>
          <w:snapToGrid w:val="0"/>
          <w:kern w:val="22"/>
          <w:szCs w:val="22"/>
          <w:lang w:val="ru-RU"/>
        </w:rPr>
        <w:t xml:space="preserve"> </w:t>
      </w:r>
      <w:r w:rsidR="005F6869" w:rsidRPr="00DB5643">
        <w:rPr>
          <w:b/>
          <w:snapToGrid w:val="0"/>
          <w:kern w:val="22"/>
          <w:szCs w:val="22"/>
          <w:lang w:val="ru-RU"/>
        </w:rPr>
        <w:t>индикатора</w:t>
      </w:r>
      <w:r w:rsidR="00F84E9C" w:rsidRPr="00DB5643">
        <w:rPr>
          <w:b/>
          <w:snapToGrid w:val="0"/>
          <w:kern w:val="22"/>
          <w:szCs w:val="22"/>
          <w:lang w:val="ru-RU"/>
        </w:rPr>
        <w:t xml:space="preserve"> 4.2.3</w:t>
      </w:r>
      <w:r w:rsidR="00F84E9C" w:rsidRPr="00DB5643">
        <w:rPr>
          <w:snapToGrid w:val="0"/>
          <w:kern w:val="22"/>
          <w:szCs w:val="22"/>
          <w:lang w:val="ru-RU"/>
        </w:rPr>
        <w:t xml:space="preserve"> (</w:t>
      </w:r>
      <w:r w:rsidR="005F6869" w:rsidRPr="00DB5643">
        <w:rPr>
          <w:snapToGrid w:val="0"/>
          <w:kern w:val="22"/>
          <w:szCs w:val="22"/>
          <w:lang w:val="ru-RU"/>
        </w:rPr>
        <w:t xml:space="preserve">число мероприятий по созданию потенциала, нацеленных на повышение прозрачности, учета широкого круга мнений и справедливого участия в деятельности </w:t>
      </w:r>
      <w:proofErr w:type="spellStart"/>
      <w:r w:rsidR="005F6869" w:rsidRPr="00DB5643">
        <w:rPr>
          <w:snapToGrid w:val="0"/>
          <w:kern w:val="22"/>
          <w:szCs w:val="22"/>
          <w:lang w:val="ru-RU"/>
        </w:rPr>
        <w:t>МПБ</w:t>
      </w:r>
      <w:proofErr w:type="spellEnd"/>
      <w:r w:rsidR="00F84E9C" w:rsidRPr="00DB5643">
        <w:rPr>
          <w:snapToGrid w:val="0"/>
          <w:kern w:val="22"/>
          <w:szCs w:val="22"/>
          <w:lang w:val="ru-RU"/>
        </w:rPr>
        <w:t xml:space="preserve">), </w:t>
      </w:r>
      <w:r w:rsidR="005F6869" w:rsidRPr="00DB5643">
        <w:rPr>
          <w:snapToGrid w:val="0"/>
          <w:kern w:val="22"/>
          <w:szCs w:val="22"/>
          <w:lang w:val="ru-RU"/>
        </w:rPr>
        <w:t>за второй отчетный цикл было проведено два сетевых форума</w:t>
      </w:r>
      <w:r w:rsidR="00F84E9C" w:rsidRPr="00DB5643">
        <w:rPr>
          <w:snapToGrid w:val="0"/>
          <w:kern w:val="22"/>
          <w:szCs w:val="22"/>
          <w:lang w:val="ru-RU"/>
        </w:rPr>
        <w:t xml:space="preserve"> (</w:t>
      </w:r>
      <w:r w:rsidR="005F6869" w:rsidRPr="00DB5643">
        <w:rPr>
          <w:snapToGrid w:val="0"/>
          <w:kern w:val="22"/>
          <w:szCs w:val="22"/>
          <w:lang w:val="ru-RU"/>
        </w:rPr>
        <w:t xml:space="preserve">«Форум </w:t>
      </w:r>
      <w:proofErr w:type="spellStart"/>
      <w:r w:rsidR="005F6869" w:rsidRPr="00DB5643">
        <w:rPr>
          <w:snapToGrid w:val="0"/>
          <w:kern w:val="22"/>
          <w:szCs w:val="22"/>
          <w:lang w:val="ru-RU"/>
        </w:rPr>
        <w:t>МПБ</w:t>
      </w:r>
      <w:proofErr w:type="spellEnd"/>
      <w:r w:rsidR="005F6869" w:rsidRPr="00DB5643">
        <w:rPr>
          <w:snapToGrid w:val="0"/>
          <w:kern w:val="22"/>
          <w:szCs w:val="22"/>
          <w:lang w:val="ru-RU"/>
        </w:rPr>
        <w:t xml:space="preserve"> по </w:t>
      </w:r>
      <w:proofErr w:type="spellStart"/>
      <w:r w:rsidR="005F6869" w:rsidRPr="00DB5643">
        <w:rPr>
          <w:snapToGrid w:val="0"/>
          <w:kern w:val="22"/>
          <w:szCs w:val="22"/>
          <w:lang w:val="ru-RU"/>
        </w:rPr>
        <w:t>МПБ</w:t>
      </w:r>
      <w:proofErr w:type="spellEnd"/>
      <w:r w:rsidR="005F6869" w:rsidRPr="00DB5643">
        <w:rPr>
          <w:snapToGrid w:val="0"/>
          <w:kern w:val="22"/>
          <w:szCs w:val="22"/>
          <w:lang w:val="ru-RU"/>
        </w:rPr>
        <w:t xml:space="preserve">» и «Форум </w:t>
      </w:r>
      <w:proofErr w:type="spellStart"/>
      <w:r w:rsidR="005F6869" w:rsidRPr="00DB5643">
        <w:rPr>
          <w:snapToGrid w:val="0"/>
          <w:kern w:val="22"/>
          <w:szCs w:val="22"/>
          <w:lang w:val="ru-RU"/>
        </w:rPr>
        <w:t>ЮНЕП-ГЭФ</w:t>
      </w:r>
      <w:proofErr w:type="spellEnd"/>
      <w:r w:rsidR="005F6869" w:rsidRPr="00DB5643">
        <w:rPr>
          <w:snapToGrid w:val="0"/>
          <w:kern w:val="22"/>
          <w:szCs w:val="22"/>
          <w:lang w:val="ru-RU"/>
        </w:rPr>
        <w:t xml:space="preserve"> </w:t>
      </w:r>
      <w:proofErr w:type="spellStart"/>
      <w:r w:rsidR="005F6869" w:rsidRPr="00DB5643">
        <w:rPr>
          <w:snapToGrid w:val="0"/>
          <w:kern w:val="22"/>
          <w:szCs w:val="22"/>
          <w:lang w:val="ru-RU"/>
        </w:rPr>
        <w:t>МПБ</w:t>
      </w:r>
      <w:proofErr w:type="spellEnd"/>
      <w:r w:rsidR="005F6869" w:rsidRPr="00DB5643">
        <w:rPr>
          <w:snapToGrid w:val="0"/>
          <w:kern w:val="22"/>
          <w:szCs w:val="22"/>
          <w:lang w:val="ru-RU"/>
        </w:rPr>
        <w:t>»)</w:t>
      </w:r>
      <w:r w:rsidR="00F84E9C" w:rsidRPr="00DB5643">
        <w:rPr>
          <w:snapToGrid w:val="0"/>
          <w:kern w:val="22"/>
          <w:szCs w:val="22"/>
          <w:lang w:val="ru-RU"/>
        </w:rPr>
        <w:t>.</w:t>
      </w:r>
      <w:r w:rsidR="005F6869" w:rsidRPr="00DB5643">
        <w:rPr>
          <w:snapToGrid w:val="0"/>
          <w:kern w:val="22"/>
          <w:szCs w:val="22"/>
          <w:lang w:val="ru-RU"/>
        </w:rPr>
        <w:t xml:space="preserve"> В третьем отчетном цикле было добавлено два новых форума</w:t>
      </w:r>
      <w:r w:rsidR="00F84E9C" w:rsidRPr="00DB5643">
        <w:rPr>
          <w:snapToGrid w:val="0"/>
          <w:kern w:val="22"/>
          <w:szCs w:val="22"/>
          <w:lang w:val="ru-RU"/>
        </w:rPr>
        <w:t xml:space="preserve"> (</w:t>
      </w:r>
      <w:r w:rsidR="005F6869" w:rsidRPr="00DB5643">
        <w:rPr>
          <w:snapToGrid w:val="0"/>
          <w:kern w:val="22"/>
          <w:szCs w:val="22"/>
          <w:lang w:val="ru-RU"/>
        </w:rPr>
        <w:t xml:space="preserve">«Форум </w:t>
      </w:r>
      <w:proofErr w:type="spellStart"/>
      <w:r w:rsidR="005F6869" w:rsidRPr="00DB5643">
        <w:rPr>
          <w:snapToGrid w:val="0"/>
          <w:kern w:val="22"/>
          <w:szCs w:val="22"/>
          <w:lang w:val="ru-RU"/>
        </w:rPr>
        <w:t>ФАО-КБР-ОЭСР</w:t>
      </w:r>
      <w:proofErr w:type="spellEnd"/>
      <w:r w:rsidR="005F6869" w:rsidRPr="00DB5643">
        <w:rPr>
          <w:snapToGrid w:val="0"/>
          <w:kern w:val="22"/>
          <w:szCs w:val="22"/>
          <w:lang w:val="ru-RU"/>
        </w:rPr>
        <w:t xml:space="preserve"> по базам данных по биобезопасности» и «Неофициальный консультативный комитет </w:t>
      </w:r>
      <w:proofErr w:type="spellStart"/>
      <w:r w:rsidR="005F6869" w:rsidRPr="00DB5643">
        <w:rPr>
          <w:snapToGrid w:val="0"/>
          <w:kern w:val="22"/>
          <w:szCs w:val="22"/>
          <w:lang w:val="ru-RU"/>
        </w:rPr>
        <w:t>МПБ</w:t>
      </w:r>
      <w:proofErr w:type="spellEnd"/>
      <w:r w:rsidR="005F6869" w:rsidRPr="00DB5643">
        <w:rPr>
          <w:snapToGrid w:val="0"/>
          <w:kern w:val="22"/>
          <w:szCs w:val="22"/>
          <w:lang w:val="ru-RU"/>
        </w:rPr>
        <w:t>»</w:t>
      </w:r>
      <w:r w:rsidR="00F84E9C" w:rsidRPr="00DB5643">
        <w:rPr>
          <w:snapToGrid w:val="0"/>
          <w:kern w:val="22"/>
          <w:szCs w:val="22"/>
          <w:lang w:val="ru-RU"/>
        </w:rPr>
        <w:t xml:space="preserve">). </w:t>
      </w:r>
      <w:r w:rsidR="005F6869" w:rsidRPr="00DB5643">
        <w:rPr>
          <w:snapToGrid w:val="0"/>
          <w:kern w:val="22"/>
          <w:szCs w:val="22"/>
          <w:lang w:val="ru-RU"/>
        </w:rPr>
        <w:t>В четвертом отчетном цикле не было увеличения чи</w:t>
      </w:r>
      <w:r w:rsidR="00405E38">
        <w:rPr>
          <w:snapToGrid w:val="0"/>
          <w:kern w:val="22"/>
          <w:szCs w:val="22"/>
          <w:lang w:val="ru-RU"/>
        </w:rPr>
        <w:t>сла</w:t>
      </w:r>
      <w:r w:rsidR="005F6869" w:rsidRPr="00DB5643">
        <w:rPr>
          <w:snapToGrid w:val="0"/>
          <w:kern w:val="22"/>
          <w:szCs w:val="22"/>
          <w:lang w:val="ru-RU"/>
        </w:rPr>
        <w:t xml:space="preserve"> сетевых форумов</w:t>
      </w:r>
      <w:r w:rsidR="00F84E9C" w:rsidRPr="00DB5643">
        <w:rPr>
          <w:snapToGrid w:val="0"/>
          <w:kern w:val="22"/>
          <w:szCs w:val="22"/>
          <w:lang w:val="ru-RU"/>
        </w:rPr>
        <w:t>.</w:t>
      </w:r>
      <w:r w:rsidR="005F6869" w:rsidRPr="00DB5643">
        <w:rPr>
          <w:snapToGrid w:val="0"/>
          <w:kern w:val="22"/>
          <w:szCs w:val="22"/>
          <w:lang w:val="ru-RU"/>
        </w:rPr>
        <w:t xml:space="preserve"> Более того</w:t>
      </w:r>
      <w:r w:rsidR="00F84E9C" w:rsidRPr="00DB5643">
        <w:rPr>
          <w:snapToGrid w:val="0"/>
          <w:kern w:val="22"/>
          <w:szCs w:val="22"/>
          <w:lang w:val="ru-RU"/>
        </w:rPr>
        <w:t xml:space="preserve">, </w:t>
      </w:r>
      <w:r w:rsidR="005F6869" w:rsidRPr="00DB5643">
        <w:rPr>
          <w:snapToGrid w:val="0"/>
          <w:kern w:val="22"/>
          <w:szCs w:val="22"/>
          <w:lang w:val="ru-RU"/>
        </w:rPr>
        <w:t>в течение этого цикла был активен только</w:t>
      </w:r>
      <w:r w:rsidR="00F84E9C" w:rsidRPr="00DB5643">
        <w:rPr>
          <w:snapToGrid w:val="0"/>
          <w:kern w:val="22"/>
          <w:szCs w:val="22"/>
          <w:lang w:val="ru-RU"/>
        </w:rPr>
        <w:t xml:space="preserve"> </w:t>
      </w:r>
      <w:r w:rsidR="005F6869" w:rsidRPr="00DB5643">
        <w:rPr>
          <w:snapToGrid w:val="0"/>
          <w:kern w:val="22"/>
          <w:szCs w:val="22"/>
          <w:lang w:val="ru-RU"/>
        </w:rPr>
        <w:t xml:space="preserve">«Форум </w:t>
      </w:r>
      <w:proofErr w:type="spellStart"/>
      <w:r w:rsidR="005F6869" w:rsidRPr="00DB5643">
        <w:rPr>
          <w:snapToGrid w:val="0"/>
          <w:kern w:val="22"/>
          <w:szCs w:val="22"/>
          <w:lang w:val="ru-RU"/>
        </w:rPr>
        <w:t>МПБ</w:t>
      </w:r>
      <w:proofErr w:type="spellEnd"/>
      <w:r w:rsidR="005F6869" w:rsidRPr="00DB5643">
        <w:rPr>
          <w:snapToGrid w:val="0"/>
          <w:kern w:val="22"/>
          <w:szCs w:val="22"/>
          <w:lang w:val="ru-RU"/>
        </w:rPr>
        <w:t xml:space="preserve"> по </w:t>
      </w:r>
      <w:proofErr w:type="spellStart"/>
      <w:r w:rsidR="005F6869" w:rsidRPr="00DB5643">
        <w:rPr>
          <w:snapToGrid w:val="0"/>
          <w:kern w:val="22"/>
          <w:szCs w:val="22"/>
          <w:lang w:val="ru-RU"/>
        </w:rPr>
        <w:t>МПБ</w:t>
      </w:r>
      <w:proofErr w:type="spellEnd"/>
      <w:r w:rsidR="005F6869" w:rsidRPr="00DB5643">
        <w:rPr>
          <w:snapToGrid w:val="0"/>
          <w:kern w:val="22"/>
          <w:szCs w:val="22"/>
          <w:lang w:val="ru-RU"/>
        </w:rPr>
        <w:t>», который продолжает работать</w:t>
      </w:r>
      <w:r w:rsidR="00F84E9C" w:rsidRPr="00DB5643">
        <w:rPr>
          <w:snapToGrid w:val="0"/>
          <w:kern w:val="22"/>
          <w:szCs w:val="22"/>
          <w:lang w:val="ru-RU"/>
        </w:rPr>
        <w:t xml:space="preserve">.  </w:t>
      </w:r>
    </w:p>
    <w:p w14:paraId="6EDCB90A" w14:textId="789BA58C" w:rsidR="00F84E9C" w:rsidRPr="00DB5643" w:rsidRDefault="008D0474" w:rsidP="00F84E9C">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сотрудничестве с проектом </w:t>
      </w:r>
      <w:proofErr w:type="spellStart"/>
      <w:r w:rsidRPr="00DB5643">
        <w:rPr>
          <w:snapToGrid w:val="0"/>
          <w:kern w:val="22"/>
          <w:szCs w:val="22"/>
          <w:lang w:val="ru-RU"/>
        </w:rPr>
        <w:t>ЮНЕП-ГЭФ</w:t>
      </w:r>
      <w:proofErr w:type="spellEnd"/>
      <w:r w:rsidRPr="00DB5643">
        <w:rPr>
          <w:snapToGrid w:val="0"/>
          <w:kern w:val="22"/>
          <w:szCs w:val="22"/>
          <w:lang w:val="ru-RU"/>
        </w:rPr>
        <w:t xml:space="preserve"> </w:t>
      </w:r>
      <w:proofErr w:type="spellStart"/>
      <w:r w:rsidRPr="00DB5643">
        <w:rPr>
          <w:snapToGrid w:val="0"/>
          <w:kern w:val="22"/>
          <w:szCs w:val="22"/>
          <w:lang w:val="ru-RU"/>
        </w:rPr>
        <w:t>МПБ</w:t>
      </w:r>
      <w:proofErr w:type="spellEnd"/>
      <w:r w:rsidRPr="00DB5643">
        <w:rPr>
          <w:snapToGrid w:val="0"/>
          <w:kern w:val="22"/>
          <w:szCs w:val="22"/>
          <w:lang w:val="ru-RU"/>
        </w:rPr>
        <w:t xml:space="preserve"> и при его поддержке секретариат Конвенции о биологическом разнообразии созвал два учебных семинара по </w:t>
      </w:r>
      <w:proofErr w:type="spellStart"/>
      <w:r w:rsidRPr="00DB5643">
        <w:rPr>
          <w:snapToGrid w:val="0"/>
          <w:kern w:val="22"/>
          <w:szCs w:val="22"/>
          <w:lang w:val="ru-RU"/>
        </w:rPr>
        <w:t>М</w:t>
      </w:r>
      <w:r w:rsidR="00405E38">
        <w:rPr>
          <w:snapToGrid w:val="0"/>
          <w:kern w:val="22"/>
          <w:szCs w:val="22"/>
          <w:lang w:val="ru-RU"/>
        </w:rPr>
        <w:t>ПБ</w:t>
      </w:r>
      <w:proofErr w:type="spellEnd"/>
      <w:r w:rsidRPr="00DB5643">
        <w:rPr>
          <w:snapToGrid w:val="0"/>
          <w:kern w:val="22"/>
          <w:szCs w:val="22"/>
          <w:lang w:val="ru-RU"/>
        </w:rPr>
        <w:t xml:space="preserve"> в кулуарах пятого </w:t>
      </w:r>
      <w:r w:rsidR="00405E38">
        <w:rPr>
          <w:snapToGrid w:val="0"/>
          <w:kern w:val="22"/>
          <w:szCs w:val="22"/>
          <w:lang w:val="ru-RU"/>
        </w:rPr>
        <w:t xml:space="preserve">(2010 г.) </w:t>
      </w:r>
      <w:r w:rsidRPr="00DB5643">
        <w:rPr>
          <w:snapToGrid w:val="0"/>
          <w:kern w:val="22"/>
          <w:szCs w:val="22"/>
          <w:lang w:val="ru-RU"/>
        </w:rPr>
        <w:t xml:space="preserve">и шестого </w:t>
      </w:r>
      <w:r w:rsidR="00405E38">
        <w:rPr>
          <w:snapToGrid w:val="0"/>
          <w:kern w:val="22"/>
          <w:szCs w:val="22"/>
          <w:lang w:val="ru-RU"/>
        </w:rPr>
        <w:t xml:space="preserve">(2012 г.) </w:t>
      </w:r>
      <w:r w:rsidRPr="00DB5643">
        <w:rPr>
          <w:snapToGrid w:val="0"/>
          <w:kern w:val="22"/>
          <w:szCs w:val="22"/>
          <w:lang w:val="ru-RU"/>
        </w:rPr>
        <w:t>совещаний Конференции Сторон, выступающей в качестве Совещания Сторон Протокола</w:t>
      </w:r>
      <w:r w:rsidR="00F84E9C" w:rsidRPr="00DB5643">
        <w:rPr>
          <w:kern w:val="22"/>
          <w:szCs w:val="22"/>
          <w:lang w:val="ru-RU"/>
        </w:rPr>
        <w:t xml:space="preserve">. </w:t>
      </w:r>
      <w:r w:rsidRPr="00DB5643">
        <w:rPr>
          <w:kern w:val="22"/>
          <w:szCs w:val="22"/>
          <w:lang w:val="ru-RU"/>
        </w:rPr>
        <w:t>В период четвертого цикла отчетности</w:t>
      </w:r>
      <w:r w:rsidR="00BE2854" w:rsidRPr="00DB5643">
        <w:rPr>
          <w:kern w:val="22"/>
          <w:szCs w:val="22"/>
          <w:lang w:val="ru-RU"/>
        </w:rPr>
        <w:t xml:space="preserve"> (2016</w:t>
      </w:r>
      <w:r w:rsidRPr="00DB5643">
        <w:rPr>
          <w:kern w:val="22"/>
          <w:szCs w:val="22"/>
          <w:lang w:val="ru-RU"/>
        </w:rPr>
        <w:t>-</w:t>
      </w:r>
      <w:r w:rsidR="00BE2854" w:rsidRPr="00DB5643">
        <w:rPr>
          <w:kern w:val="22"/>
          <w:szCs w:val="22"/>
          <w:lang w:val="ru-RU"/>
        </w:rPr>
        <w:t>2019</w:t>
      </w:r>
      <w:r w:rsidRPr="00DB5643">
        <w:rPr>
          <w:kern w:val="22"/>
          <w:szCs w:val="22"/>
          <w:lang w:val="ru-RU"/>
        </w:rPr>
        <w:t xml:space="preserve"> гг.</w:t>
      </w:r>
      <w:r w:rsidR="00BE2854" w:rsidRPr="00DB5643">
        <w:rPr>
          <w:kern w:val="22"/>
          <w:szCs w:val="22"/>
          <w:lang w:val="ru-RU"/>
        </w:rPr>
        <w:t>)</w:t>
      </w:r>
      <w:r w:rsidRPr="00DB5643">
        <w:rPr>
          <w:kern w:val="22"/>
          <w:szCs w:val="22"/>
          <w:lang w:val="ru-RU"/>
        </w:rPr>
        <w:t xml:space="preserve"> было организовано </w:t>
      </w:r>
      <w:r w:rsidRPr="00DB5643">
        <w:rPr>
          <w:snapToGrid w:val="0"/>
          <w:kern w:val="22"/>
          <w:szCs w:val="22"/>
          <w:lang w:val="ru-RU"/>
        </w:rPr>
        <w:t xml:space="preserve">два учебных семинара по </w:t>
      </w:r>
      <w:proofErr w:type="spellStart"/>
      <w:r w:rsidRPr="00DB5643">
        <w:rPr>
          <w:snapToGrid w:val="0"/>
          <w:kern w:val="22"/>
          <w:szCs w:val="22"/>
          <w:lang w:val="ru-RU"/>
        </w:rPr>
        <w:t>М</w:t>
      </w:r>
      <w:r w:rsidR="00405E38">
        <w:rPr>
          <w:snapToGrid w:val="0"/>
          <w:kern w:val="22"/>
          <w:szCs w:val="22"/>
          <w:lang w:val="ru-RU"/>
        </w:rPr>
        <w:t>ПБ</w:t>
      </w:r>
      <w:proofErr w:type="spellEnd"/>
      <w:r w:rsidRPr="00DB5643">
        <w:rPr>
          <w:snapToGrid w:val="0"/>
          <w:kern w:val="22"/>
          <w:szCs w:val="22"/>
          <w:lang w:val="ru-RU"/>
        </w:rPr>
        <w:t xml:space="preserve"> в кулуарах восьмого и девятого совещаний Конференции Сторон, выступающей в качестве Совещания Сторон Протокола</w:t>
      </w:r>
      <w:r w:rsidR="00F84E9C" w:rsidRPr="00DB5643">
        <w:rPr>
          <w:kern w:val="22"/>
          <w:szCs w:val="22"/>
          <w:lang w:val="ru-RU"/>
        </w:rPr>
        <w:t xml:space="preserve">. </w:t>
      </w:r>
      <w:r w:rsidRPr="00DB5643">
        <w:rPr>
          <w:kern w:val="22"/>
          <w:szCs w:val="22"/>
          <w:lang w:val="ru-RU"/>
        </w:rPr>
        <w:t>Кроме того</w:t>
      </w:r>
      <w:r w:rsidR="00F84E9C" w:rsidRPr="00DB5643">
        <w:rPr>
          <w:kern w:val="22"/>
          <w:szCs w:val="22"/>
          <w:lang w:val="ru-RU"/>
        </w:rPr>
        <w:t>,</w:t>
      </w:r>
      <w:r w:rsidRPr="00DB5643">
        <w:rPr>
          <w:kern w:val="22"/>
          <w:szCs w:val="22"/>
          <w:lang w:val="ru-RU"/>
        </w:rPr>
        <w:t xml:space="preserve"> начиная с </w:t>
      </w:r>
      <w:r w:rsidR="00F84E9C" w:rsidRPr="00DB5643">
        <w:rPr>
          <w:kern w:val="22"/>
          <w:szCs w:val="22"/>
          <w:lang w:val="ru-RU"/>
        </w:rPr>
        <w:t>2016</w:t>
      </w:r>
      <w:r w:rsidRPr="00DB5643">
        <w:rPr>
          <w:kern w:val="22"/>
          <w:szCs w:val="22"/>
          <w:lang w:val="ru-RU"/>
        </w:rPr>
        <w:t xml:space="preserve"> года</w:t>
      </w:r>
      <w:r w:rsidR="00F84E9C" w:rsidRPr="00DB5643">
        <w:rPr>
          <w:kern w:val="22"/>
          <w:szCs w:val="22"/>
          <w:lang w:val="ru-RU"/>
        </w:rPr>
        <w:t xml:space="preserve">, </w:t>
      </w:r>
      <w:r w:rsidRPr="00DB5643">
        <w:rPr>
          <w:kern w:val="22"/>
          <w:szCs w:val="22"/>
          <w:lang w:val="ru-RU"/>
        </w:rPr>
        <w:t xml:space="preserve">проект </w:t>
      </w:r>
      <w:proofErr w:type="spellStart"/>
      <w:r w:rsidRPr="00DB5643">
        <w:rPr>
          <w:snapToGrid w:val="0"/>
          <w:kern w:val="22"/>
          <w:szCs w:val="22"/>
          <w:lang w:val="ru-RU"/>
        </w:rPr>
        <w:t>ЮНЕП-ГЭФ</w:t>
      </w:r>
      <w:proofErr w:type="spellEnd"/>
      <w:r w:rsidRPr="00DB5643">
        <w:rPr>
          <w:snapToGrid w:val="0"/>
          <w:kern w:val="22"/>
          <w:szCs w:val="22"/>
          <w:lang w:val="ru-RU"/>
        </w:rPr>
        <w:t xml:space="preserve"> </w:t>
      </w:r>
      <w:proofErr w:type="spellStart"/>
      <w:r w:rsidRPr="00DB5643">
        <w:rPr>
          <w:snapToGrid w:val="0"/>
          <w:kern w:val="22"/>
          <w:szCs w:val="22"/>
          <w:lang w:val="ru-RU"/>
        </w:rPr>
        <w:t>МПБ</w:t>
      </w:r>
      <w:proofErr w:type="spellEnd"/>
      <w:r w:rsidRPr="00DB5643">
        <w:rPr>
          <w:snapToGrid w:val="0"/>
          <w:kern w:val="22"/>
          <w:szCs w:val="22"/>
          <w:lang w:val="ru-RU"/>
        </w:rPr>
        <w:t xml:space="preserve"> </w:t>
      </w:r>
      <w:r w:rsidR="00F84E9C" w:rsidRPr="00DB5643">
        <w:rPr>
          <w:kern w:val="22"/>
          <w:szCs w:val="22"/>
        </w:rPr>
        <w:t>III</w:t>
      </w:r>
      <w:r w:rsidR="00F84E9C" w:rsidRPr="00DB5643">
        <w:rPr>
          <w:kern w:val="22"/>
          <w:szCs w:val="22"/>
          <w:lang w:val="ru-RU"/>
        </w:rPr>
        <w:t xml:space="preserve"> </w:t>
      </w:r>
      <w:r w:rsidRPr="00DB5643">
        <w:rPr>
          <w:kern w:val="22"/>
          <w:szCs w:val="22"/>
          <w:lang w:val="ru-RU"/>
        </w:rPr>
        <w:t xml:space="preserve">проводит многочисленные мероприятия по созданию потенциала в отношении </w:t>
      </w:r>
      <w:proofErr w:type="spellStart"/>
      <w:r w:rsidRPr="00DB5643">
        <w:rPr>
          <w:kern w:val="22"/>
          <w:szCs w:val="22"/>
          <w:lang w:val="ru-RU"/>
        </w:rPr>
        <w:t>МПБ</w:t>
      </w:r>
      <w:proofErr w:type="spellEnd"/>
      <w:r w:rsidRPr="00DB5643">
        <w:rPr>
          <w:kern w:val="22"/>
          <w:szCs w:val="22"/>
          <w:lang w:val="ru-RU"/>
        </w:rPr>
        <w:t xml:space="preserve"> в разных странах</w:t>
      </w:r>
      <w:r w:rsidR="00F84E9C" w:rsidRPr="00DB5643">
        <w:rPr>
          <w:kern w:val="22"/>
          <w:szCs w:val="22"/>
          <w:lang w:val="ru-RU"/>
        </w:rPr>
        <w:t xml:space="preserve">. </w:t>
      </w:r>
      <w:r w:rsidRPr="00DB5643">
        <w:rPr>
          <w:kern w:val="22"/>
          <w:szCs w:val="22"/>
          <w:lang w:val="ru-RU"/>
        </w:rPr>
        <w:t xml:space="preserve">Информация об этих мероприятиях регулярно публикуется на странице «Новости </w:t>
      </w:r>
      <w:proofErr w:type="spellStart"/>
      <w:r w:rsidRPr="00DB5643">
        <w:rPr>
          <w:kern w:val="22"/>
          <w:szCs w:val="22"/>
          <w:lang w:val="ru-RU"/>
        </w:rPr>
        <w:t>МПБ</w:t>
      </w:r>
      <w:proofErr w:type="spellEnd"/>
      <w:r w:rsidRPr="00DB5643">
        <w:rPr>
          <w:kern w:val="22"/>
          <w:szCs w:val="22"/>
          <w:lang w:val="ru-RU"/>
        </w:rPr>
        <w:t>»</w:t>
      </w:r>
      <w:r w:rsidR="00F84E9C" w:rsidRPr="00DB5643">
        <w:rPr>
          <w:rStyle w:val="ac"/>
          <w:kern w:val="22"/>
          <w:szCs w:val="22"/>
        </w:rPr>
        <w:footnoteReference w:id="41"/>
      </w:r>
      <w:r w:rsidRPr="00DB5643">
        <w:rPr>
          <w:kern w:val="22"/>
          <w:szCs w:val="22"/>
          <w:lang w:val="ru-RU"/>
        </w:rPr>
        <w:t>.</w:t>
      </w:r>
    </w:p>
    <w:p w14:paraId="0EB32B68" w14:textId="19047B36" w:rsidR="004569FB" w:rsidRPr="00DB5643" w:rsidRDefault="000551E6" w:rsidP="00405E38">
      <w:pPr>
        <w:keepNext/>
        <w:numPr>
          <w:ilvl w:val="0"/>
          <w:numId w:val="17"/>
        </w:numPr>
        <w:suppressLineNumbers/>
        <w:tabs>
          <w:tab w:val="clear" w:pos="2070"/>
          <w:tab w:val="left" w:pos="426"/>
        </w:tabs>
        <w:suppressAutoHyphens/>
        <w:spacing w:before="120" w:after="120"/>
        <w:ind w:left="0" w:firstLine="0"/>
        <w:jc w:val="center"/>
        <w:outlineLvl w:val="1"/>
        <w:rPr>
          <w:iCs/>
          <w:snapToGrid w:val="0"/>
          <w:kern w:val="22"/>
          <w:szCs w:val="22"/>
          <w:lang w:val="ru-RU"/>
        </w:rPr>
      </w:pPr>
      <w:r w:rsidRPr="00DB5643">
        <w:rPr>
          <w:b/>
          <w:iCs/>
          <w:snapToGrid w:val="0"/>
          <w:kern w:val="22"/>
          <w:szCs w:val="22"/>
          <w:lang w:val="ru-RU"/>
        </w:rPr>
        <w:t xml:space="preserve">Соблюдение и обзор </w:t>
      </w:r>
      <w:r w:rsidR="004569FB" w:rsidRPr="00DB5643">
        <w:rPr>
          <w:b/>
          <w:iCs/>
          <w:snapToGrid w:val="0"/>
          <w:kern w:val="22"/>
          <w:szCs w:val="22"/>
          <w:lang w:val="ru-RU"/>
        </w:rPr>
        <w:t>(</w:t>
      </w:r>
      <w:r w:rsidRPr="00DB5643">
        <w:rPr>
          <w:b/>
          <w:iCs/>
          <w:snapToGrid w:val="0"/>
          <w:kern w:val="22"/>
          <w:szCs w:val="22"/>
          <w:lang w:val="ru-RU"/>
        </w:rPr>
        <w:t>оперативные цели</w:t>
      </w:r>
      <w:r w:rsidR="004569FB" w:rsidRPr="00DB5643">
        <w:rPr>
          <w:b/>
          <w:iCs/>
          <w:snapToGrid w:val="0"/>
          <w:kern w:val="22"/>
          <w:szCs w:val="22"/>
          <w:lang w:val="ru-RU"/>
        </w:rPr>
        <w:t xml:space="preserve"> 3.1 </w:t>
      </w:r>
      <w:r w:rsidRPr="00DB5643">
        <w:rPr>
          <w:b/>
          <w:iCs/>
          <w:snapToGrid w:val="0"/>
          <w:kern w:val="22"/>
          <w:szCs w:val="22"/>
          <w:lang w:val="ru-RU"/>
        </w:rPr>
        <w:t>и</w:t>
      </w:r>
      <w:r w:rsidR="004569FB" w:rsidRPr="00DB5643">
        <w:rPr>
          <w:b/>
          <w:iCs/>
          <w:snapToGrid w:val="0"/>
          <w:kern w:val="22"/>
          <w:szCs w:val="22"/>
          <w:lang w:val="ru-RU"/>
        </w:rPr>
        <w:t xml:space="preserve"> 3.2)</w:t>
      </w:r>
    </w:p>
    <w:p w14:paraId="0A94E018" w14:textId="723562AC" w:rsidR="004569FB" w:rsidRPr="00DB5643" w:rsidRDefault="000551E6" w:rsidP="000A5388">
      <w:pPr>
        <w:keepNext/>
        <w:suppressLineNumbers/>
        <w:tabs>
          <w:tab w:val="num" w:pos="0"/>
          <w:tab w:val="left" w:pos="720"/>
        </w:tabs>
        <w:suppressAutoHyphens/>
        <w:spacing w:before="120" w:after="120"/>
        <w:textAlignment w:val="baseline"/>
        <w:outlineLvl w:val="2"/>
        <w:rPr>
          <w:b/>
          <w:iCs/>
          <w:snapToGrid w:val="0"/>
          <w:kern w:val="22"/>
          <w:szCs w:val="22"/>
        </w:rPr>
      </w:pPr>
      <w:r w:rsidRPr="00DB5643">
        <w:rPr>
          <w:b/>
          <w:iCs/>
          <w:snapToGrid w:val="0"/>
          <w:kern w:val="22"/>
          <w:szCs w:val="22"/>
          <w:lang w:val="ru-RU"/>
        </w:rPr>
        <w:t>Оперативная</w:t>
      </w:r>
      <w:r w:rsidRPr="00DB5643">
        <w:rPr>
          <w:b/>
          <w:iCs/>
          <w:snapToGrid w:val="0"/>
          <w:kern w:val="22"/>
          <w:szCs w:val="22"/>
          <w:lang w:val="en-US"/>
        </w:rPr>
        <w:t xml:space="preserve"> </w:t>
      </w:r>
      <w:r w:rsidRPr="00DB5643">
        <w:rPr>
          <w:b/>
          <w:iCs/>
          <w:snapToGrid w:val="0"/>
          <w:kern w:val="22"/>
          <w:szCs w:val="22"/>
          <w:lang w:val="ru-RU"/>
        </w:rPr>
        <w:t>цель</w:t>
      </w:r>
      <w:r w:rsidR="004569FB" w:rsidRPr="00DB5643">
        <w:rPr>
          <w:b/>
          <w:iCs/>
          <w:snapToGrid w:val="0"/>
          <w:kern w:val="22"/>
          <w:szCs w:val="22"/>
        </w:rPr>
        <w:t xml:space="preserve"> 3.1</w:t>
      </w:r>
      <w:r w:rsidRPr="00DB5643">
        <w:rPr>
          <w:b/>
          <w:iCs/>
          <w:snapToGrid w:val="0"/>
          <w:kern w:val="22"/>
          <w:szCs w:val="22"/>
          <w:lang w:val="en-US"/>
        </w:rPr>
        <w:t>.</w:t>
      </w:r>
      <w:r w:rsidR="004569FB" w:rsidRPr="00DB5643">
        <w:rPr>
          <w:b/>
          <w:iCs/>
          <w:snapToGrid w:val="0"/>
          <w:kern w:val="22"/>
          <w:szCs w:val="22"/>
        </w:rPr>
        <w:t xml:space="preserve"> </w:t>
      </w:r>
      <w:r w:rsidRPr="00DB5643">
        <w:rPr>
          <w:b/>
          <w:iCs/>
          <w:snapToGrid w:val="0"/>
          <w:kern w:val="22"/>
          <w:szCs w:val="22"/>
          <w:lang w:val="ru-RU"/>
        </w:rPr>
        <w:t>Соблюдение Протокола</w:t>
      </w:r>
    </w:p>
    <w:p w14:paraId="0C65ABC0" w14:textId="3F0DA20D" w:rsidR="004569FB" w:rsidRPr="00DB5643" w:rsidRDefault="00524D81"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3.1.1</w:t>
      </w:r>
      <w:r w:rsidR="004569FB" w:rsidRPr="00DB5643">
        <w:rPr>
          <w:snapToGrid w:val="0"/>
          <w:kern w:val="22"/>
          <w:szCs w:val="22"/>
          <w:lang w:val="ru-RU"/>
        </w:rPr>
        <w:t xml:space="preserve"> (</w:t>
      </w:r>
      <w:r w:rsidRPr="00DB5643">
        <w:rPr>
          <w:snapToGrid w:val="0"/>
          <w:kern w:val="22"/>
          <w:szCs w:val="22"/>
          <w:lang w:val="ru-RU"/>
        </w:rPr>
        <w:t>число Сторон, выявивших у себя и решивших вопросы несоблюдения</w:t>
      </w:r>
      <w:r w:rsidR="004569FB" w:rsidRPr="00DB5643">
        <w:rPr>
          <w:snapToGrid w:val="0"/>
          <w:kern w:val="22"/>
          <w:szCs w:val="22"/>
          <w:lang w:val="ru-RU"/>
        </w:rPr>
        <w:t xml:space="preserve">) </w:t>
      </w:r>
      <w:r w:rsidRPr="00DB5643">
        <w:rPr>
          <w:snapToGrid w:val="0"/>
          <w:kern w:val="22"/>
          <w:szCs w:val="22"/>
          <w:lang w:val="ru-RU"/>
        </w:rPr>
        <w:t>может быть принят во внимание имеющийся у Комитета по соблюдению опыт обзора соблюдения Сторонами их обязательств в рамках Протокола и принятия ими мер по содействию соблюдению и рассмотрения случаев несоблюдения</w:t>
      </w:r>
      <w:r w:rsidR="004569FB" w:rsidRPr="00DB5643">
        <w:rPr>
          <w:snapToGrid w:val="0"/>
          <w:kern w:val="22"/>
          <w:szCs w:val="22"/>
          <w:lang w:val="ru-RU"/>
        </w:rPr>
        <w:t xml:space="preserve">. </w:t>
      </w:r>
    </w:p>
    <w:p w14:paraId="20522D07" w14:textId="073444C6" w:rsidR="00953188" w:rsidRPr="00DB5643" w:rsidRDefault="001F2100"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 xml:space="preserve">В соответствии с Процедурами и механизмами, содействующими соблюдению </w:t>
      </w:r>
      <w:proofErr w:type="spellStart"/>
      <w:r w:rsidRPr="00DB5643">
        <w:rPr>
          <w:snapToGrid w:val="0"/>
          <w:kern w:val="22"/>
          <w:szCs w:val="22"/>
          <w:lang w:val="ru-RU"/>
        </w:rPr>
        <w:t>Картахенского</w:t>
      </w:r>
      <w:proofErr w:type="spellEnd"/>
      <w:r w:rsidRPr="00DB5643">
        <w:rPr>
          <w:snapToGrid w:val="0"/>
          <w:kern w:val="22"/>
          <w:szCs w:val="22"/>
          <w:lang w:val="ru-RU"/>
        </w:rPr>
        <w:t xml:space="preserve"> протокола по биобезопасности, которые приводятся в приложении к решению </w:t>
      </w:r>
      <w:r w:rsidRPr="00DB5643">
        <w:rPr>
          <w:snapToGrid w:val="0"/>
          <w:kern w:val="22"/>
          <w:szCs w:val="22"/>
          <w:lang w:val="en-US"/>
        </w:rPr>
        <w:t>BS</w:t>
      </w:r>
      <w:r w:rsidRPr="00DB5643">
        <w:rPr>
          <w:snapToGrid w:val="0"/>
          <w:kern w:val="22"/>
          <w:szCs w:val="22"/>
          <w:lang w:val="ru-RU"/>
        </w:rPr>
        <w:t>-</w:t>
      </w:r>
      <w:r w:rsidRPr="00DB5643">
        <w:rPr>
          <w:snapToGrid w:val="0"/>
          <w:kern w:val="22"/>
          <w:szCs w:val="22"/>
          <w:lang w:val="en-US"/>
        </w:rPr>
        <w:t>I</w:t>
      </w:r>
      <w:r w:rsidRPr="00DB5643">
        <w:rPr>
          <w:snapToGrid w:val="0"/>
          <w:kern w:val="22"/>
          <w:szCs w:val="22"/>
          <w:lang w:val="ru-RU"/>
        </w:rPr>
        <w:t xml:space="preserve">/7, Комитет по соблюдению может получить </w:t>
      </w:r>
      <w:r w:rsidR="00BD6404" w:rsidRPr="00DB5643">
        <w:rPr>
          <w:snapToGrid w:val="0"/>
          <w:kern w:val="22"/>
          <w:szCs w:val="22"/>
          <w:lang w:val="ru-RU"/>
        </w:rPr>
        <w:t xml:space="preserve">материал, касающийся соблюдения, </w:t>
      </w:r>
      <w:r w:rsidRPr="00DB5643">
        <w:rPr>
          <w:snapToGrid w:val="0"/>
          <w:kern w:val="22"/>
          <w:szCs w:val="22"/>
          <w:lang w:val="ru-RU"/>
        </w:rPr>
        <w:t>от Стороны в отношении самой себя или от Стороны в отношении другой Стороны и на основании него принять ряд мер по решению вопроса</w:t>
      </w:r>
      <w:r w:rsidR="004569FB" w:rsidRPr="00DB5643">
        <w:rPr>
          <w:snapToGrid w:val="0"/>
          <w:kern w:val="22"/>
          <w:szCs w:val="22"/>
          <w:lang w:val="ru-RU"/>
        </w:rPr>
        <w:t xml:space="preserve">. </w:t>
      </w:r>
      <w:r w:rsidR="00BD6404" w:rsidRPr="00DB5643">
        <w:rPr>
          <w:snapToGrid w:val="0"/>
          <w:kern w:val="22"/>
          <w:szCs w:val="22"/>
          <w:lang w:val="ru-RU"/>
        </w:rPr>
        <w:t xml:space="preserve">Опыт в рамках этой процедуры, вероятно, составит наиболее подходящую основу для обзора прогресса по </w:t>
      </w:r>
      <w:r w:rsidR="00BD6404" w:rsidRPr="00DB5643">
        <w:rPr>
          <w:b/>
          <w:bCs/>
          <w:snapToGrid w:val="0"/>
          <w:kern w:val="22"/>
          <w:szCs w:val="22"/>
          <w:lang w:val="ru-RU"/>
        </w:rPr>
        <w:t>индикатору</w:t>
      </w:r>
      <w:r w:rsidR="004569FB" w:rsidRPr="00DB5643">
        <w:rPr>
          <w:b/>
          <w:bCs/>
          <w:snapToGrid w:val="0"/>
          <w:kern w:val="22"/>
          <w:szCs w:val="22"/>
          <w:lang w:val="ru-RU"/>
        </w:rPr>
        <w:t xml:space="preserve"> 3.1.1</w:t>
      </w:r>
      <w:r w:rsidR="004569FB" w:rsidRPr="00DB5643">
        <w:rPr>
          <w:snapToGrid w:val="0"/>
          <w:kern w:val="22"/>
          <w:szCs w:val="22"/>
          <w:lang w:val="ru-RU"/>
        </w:rPr>
        <w:t xml:space="preserve">. </w:t>
      </w:r>
      <w:r w:rsidR="00BD6404" w:rsidRPr="00DB5643">
        <w:rPr>
          <w:snapToGrid w:val="0"/>
          <w:kern w:val="22"/>
          <w:szCs w:val="22"/>
          <w:lang w:val="ru-RU"/>
        </w:rPr>
        <w:t>Однако на сегодняшний день таких материалов представлено не было</w:t>
      </w:r>
      <w:r w:rsidR="004569FB" w:rsidRPr="00DB5643">
        <w:rPr>
          <w:snapToGrid w:val="0"/>
          <w:kern w:val="22"/>
          <w:szCs w:val="22"/>
          <w:lang w:val="ru-RU"/>
        </w:rPr>
        <w:t xml:space="preserve">. </w:t>
      </w:r>
    </w:p>
    <w:p w14:paraId="337A8C9D" w14:textId="3970F6E8" w:rsidR="004569FB" w:rsidRPr="00DB5643" w:rsidRDefault="0080243D"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решении</w:t>
      </w:r>
      <w:r w:rsidR="001B7B97" w:rsidRPr="00DB5643">
        <w:rPr>
          <w:snapToGrid w:val="0"/>
          <w:kern w:val="22"/>
          <w:szCs w:val="22"/>
          <w:lang w:val="ru-RU"/>
        </w:rPr>
        <w:t xml:space="preserve"> </w:t>
      </w:r>
      <w:r w:rsidR="001B7B97" w:rsidRPr="00DB5643">
        <w:rPr>
          <w:snapToGrid w:val="0"/>
          <w:kern w:val="22"/>
          <w:szCs w:val="22"/>
        </w:rPr>
        <w:t>BS</w:t>
      </w:r>
      <w:r w:rsidR="001B7B97" w:rsidRPr="00DB5643">
        <w:rPr>
          <w:snapToGrid w:val="0"/>
          <w:kern w:val="22"/>
          <w:szCs w:val="22"/>
          <w:lang w:val="ru-RU"/>
        </w:rPr>
        <w:t>-</w:t>
      </w:r>
      <w:r w:rsidR="001B7B97" w:rsidRPr="00DB5643">
        <w:rPr>
          <w:snapToGrid w:val="0"/>
          <w:kern w:val="22"/>
          <w:szCs w:val="22"/>
        </w:rPr>
        <w:t>V</w:t>
      </w:r>
      <w:r w:rsidR="00FA3BAF" w:rsidRPr="00DB5643">
        <w:rPr>
          <w:snapToGrid w:val="0"/>
          <w:kern w:val="22"/>
          <w:szCs w:val="22"/>
          <w:lang w:val="ru-RU"/>
        </w:rPr>
        <w:t>/1</w:t>
      </w:r>
      <w:r w:rsidR="001B7B97" w:rsidRPr="00DB5643">
        <w:rPr>
          <w:snapToGrid w:val="0"/>
          <w:kern w:val="22"/>
          <w:szCs w:val="22"/>
          <w:lang w:val="ru-RU"/>
        </w:rPr>
        <w:t xml:space="preserve"> </w:t>
      </w:r>
      <w:r w:rsidRPr="00DB5643">
        <w:rPr>
          <w:snapToGrid w:val="0"/>
          <w:kern w:val="22"/>
          <w:szCs w:val="22"/>
          <w:lang w:val="ru-RU"/>
        </w:rPr>
        <w:t>после рассмотрения способов возможного усовершенствования вспомогательной роли Комитета по соблюдению</w:t>
      </w:r>
      <w:r w:rsidR="001B7B97" w:rsidRPr="00DB5643">
        <w:rPr>
          <w:snapToGrid w:val="0"/>
          <w:kern w:val="22"/>
          <w:szCs w:val="22"/>
          <w:lang w:val="ru-RU"/>
        </w:rPr>
        <w:t xml:space="preserve"> </w:t>
      </w:r>
      <w:r w:rsidRPr="00DB5643">
        <w:rPr>
          <w:snapToGrid w:val="0"/>
          <w:kern w:val="22"/>
          <w:szCs w:val="22"/>
          <w:lang w:val="ru-RU"/>
        </w:rPr>
        <w:t xml:space="preserve">Конференция Сторон, выступающая в качестве Совещания Сторон Протокола, постановила, что Комитет по соблюдению может также принять меры в случаях, когда Сторона не представляет своего национального доклада или когда получена информация через национальный доклад или через секретариат на основе информации, размещенной в </w:t>
      </w:r>
      <w:proofErr w:type="spellStart"/>
      <w:r w:rsidRPr="00DB5643">
        <w:rPr>
          <w:snapToGrid w:val="0"/>
          <w:kern w:val="22"/>
          <w:szCs w:val="22"/>
          <w:lang w:val="ru-RU"/>
        </w:rPr>
        <w:t>М</w:t>
      </w:r>
      <w:r w:rsidR="00716F4F">
        <w:rPr>
          <w:snapToGrid w:val="0"/>
          <w:kern w:val="22"/>
          <w:szCs w:val="22"/>
          <w:lang w:val="ru-RU"/>
        </w:rPr>
        <w:t>ПБ</w:t>
      </w:r>
      <w:proofErr w:type="spellEnd"/>
      <w:r w:rsidRPr="00DB5643">
        <w:rPr>
          <w:snapToGrid w:val="0"/>
          <w:kern w:val="22"/>
          <w:szCs w:val="22"/>
          <w:lang w:val="ru-RU"/>
        </w:rPr>
        <w:t>, в которой указывается, что соответствующая Сторона сталкивается с трудностями при соблюдении своих обязательств в рамках Протокола</w:t>
      </w:r>
      <w:r w:rsidR="001B7B97" w:rsidRPr="00DB5643">
        <w:rPr>
          <w:snapToGrid w:val="0"/>
          <w:kern w:val="22"/>
          <w:szCs w:val="22"/>
          <w:lang w:val="ru-RU"/>
        </w:rPr>
        <w:t xml:space="preserve">. </w:t>
      </w:r>
      <w:r w:rsidR="00FA3BAF" w:rsidRPr="00DB5643">
        <w:rPr>
          <w:snapToGrid w:val="0"/>
          <w:kern w:val="22"/>
          <w:szCs w:val="22"/>
          <w:lang w:val="ru-RU"/>
        </w:rPr>
        <w:t xml:space="preserve">По этим причинам опыт, полученный Комитетом по соблюдению </w:t>
      </w:r>
      <w:r w:rsidR="00716F4F">
        <w:rPr>
          <w:snapToGrid w:val="0"/>
          <w:kern w:val="22"/>
          <w:szCs w:val="22"/>
          <w:lang w:val="ru-RU"/>
        </w:rPr>
        <w:t>при</w:t>
      </w:r>
      <w:r w:rsidR="00FA3BAF" w:rsidRPr="00DB5643">
        <w:rPr>
          <w:snapToGrid w:val="0"/>
          <w:kern w:val="22"/>
          <w:szCs w:val="22"/>
          <w:lang w:val="ru-RU"/>
        </w:rPr>
        <w:t xml:space="preserve"> осуществлени</w:t>
      </w:r>
      <w:r w:rsidR="00716F4F">
        <w:rPr>
          <w:snapToGrid w:val="0"/>
          <w:kern w:val="22"/>
          <w:szCs w:val="22"/>
          <w:lang w:val="ru-RU"/>
        </w:rPr>
        <w:t>и</w:t>
      </w:r>
      <w:r w:rsidR="00FA3BAF" w:rsidRPr="00DB5643">
        <w:rPr>
          <w:snapToGrid w:val="0"/>
          <w:kern w:val="22"/>
          <w:szCs w:val="22"/>
          <w:lang w:val="ru-RU"/>
        </w:rPr>
        <w:t xml:space="preserve"> других видов деятельности, приводится ниже</w:t>
      </w:r>
      <w:r w:rsidR="004569FB" w:rsidRPr="00DB5643">
        <w:rPr>
          <w:snapToGrid w:val="0"/>
          <w:kern w:val="22"/>
          <w:szCs w:val="22"/>
          <w:lang w:val="ru-RU"/>
        </w:rPr>
        <w:t xml:space="preserve">.   </w:t>
      </w:r>
    </w:p>
    <w:p w14:paraId="7F712EC9" w14:textId="1828BBF3" w:rsidR="004569FB" w:rsidRPr="00DB5643" w:rsidRDefault="00C03C2F"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Комитет сосредоточил свою деятельность в значительной степени на рассмотрении общих вопросов соблюдения и отдельных случаев несоблюдения</w:t>
      </w:r>
      <w:r w:rsidR="004569FB" w:rsidRPr="00DB5643">
        <w:rPr>
          <w:snapToGrid w:val="0"/>
          <w:kern w:val="22"/>
          <w:szCs w:val="22"/>
          <w:lang w:val="ru-RU"/>
        </w:rPr>
        <w:t xml:space="preserve">, </w:t>
      </w:r>
      <w:r w:rsidRPr="00DB5643">
        <w:rPr>
          <w:snapToGrid w:val="0"/>
          <w:kern w:val="22"/>
          <w:szCs w:val="22"/>
          <w:lang w:val="ru-RU"/>
        </w:rPr>
        <w:t xml:space="preserve">осуществляя обзор соблюдения Сторонами ряда ключевых обязательств в рамках Протокола, в частности обязательства отчитываться об осуществлении Протокола в соответствии со статьей </w:t>
      </w:r>
      <w:r w:rsidR="004569FB" w:rsidRPr="00DB5643">
        <w:rPr>
          <w:snapToGrid w:val="0"/>
          <w:kern w:val="22"/>
          <w:szCs w:val="22"/>
          <w:lang w:val="ru-RU"/>
        </w:rPr>
        <w:t xml:space="preserve">33 </w:t>
      </w:r>
      <w:r w:rsidRPr="00DB5643">
        <w:rPr>
          <w:snapToGrid w:val="0"/>
          <w:kern w:val="22"/>
          <w:szCs w:val="22"/>
          <w:lang w:val="ru-RU"/>
        </w:rPr>
        <w:t>Протокола</w:t>
      </w:r>
      <w:r w:rsidR="004569FB" w:rsidRPr="00DB5643">
        <w:rPr>
          <w:snapToGrid w:val="0"/>
          <w:kern w:val="22"/>
          <w:szCs w:val="22"/>
          <w:lang w:val="ru-RU"/>
        </w:rPr>
        <w:t xml:space="preserve">, </w:t>
      </w:r>
      <w:r w:rsidRPr="00DB5643">
        <w:rPr>
          <w:snapToGrid w:val="0"/>
          <w:kern w:val="22"/>
          <w:szCs w:val="22"/>
          <w:lang w:val="ru-RU"/>
        </w:rPr>
        <w:t>обязательства принимать необходимые меры по осуществлению Протокола</w:t>
      </w:r>
      <w:r w:rsidR="004569FB" w:rsidRPr="00DB5643">
        <w:rPr>
          <w:snapToGrid w:val="0"/>
          <w:kern w:val="22"/>
          <w:szCs w:val="22"/>
          <w:lang w:val="ru-RU"/>
        </w:rPr>
        <w:t xml:space="preserve"> </w:t>
      </w:r>
      <w:r w:rsidRPr="00DB5643">
        <w:rPr>
          <w:snapToGrid w:val="0"/>
          <w:kern w:val="22"/>
          <w:szCs w:val="22"/>
          <w:lang w:val="ru-RU"/>
        </w:rPr>
        <w:t xml:space="preserve">в соответствии с пунктом 1 статьи </w:t>
      </w:r>
      <w:r w:rsidR="004569FB" w:rsidRPr="00DB5643">
        <w:rPr>
          <w:snapToGrid w:val="0"/>
          <w:kern w:val="22"/>
          <w:szCs w:val="22"/>
          <w:lang w:val="ru-RU"/>
        </w:rPr>
        <w:t>2</w:t>
      </w:r>
      <w:r w:rsidRPr="00DB5643">
        <w:rPr>
          <w:snapToGrid w:val="0"/>
          <w:kern w:val="22"/>
          <w:szCs w:val="22"/>
          <w:lang w:val="ru-RU"/>
        </w:rPr>
        <w:t xml:space="preserve"> Протокола и обязательства предоставлять </w:t>
      </w:r>
      <w:proofErr w:type="spellStart"/>
      <w:r w:rsidRPr="00DB5643">
        <w:rPr>
          <w:snapToGrid w:val="0"/>
          <w:kern w:val="22"/>
          <w:szCs w:val="22"/>
          <w:lang w:val="ru-RU"/>
        </w:rPr>
        <w:t>МПБ</w:t>
      </w:r>
      <w:proofErr w:type="spellEnd"/>
      <w:r w:rsidRPr="00DB5643">
        <w:rPr>
          <w:snapToGrid w:val="0"/>
          <w:kern w:val="22"/>
          <w:szCs w:val="22"/>
          <w:lang w:val="ru-RU"/>
        </w:rPr>
        <w:t xml:space="preserve"> информацию определенных видов в соответствии с пунктом</w:t>
      </w:r>
      <w:r w:rsidR="004569FB" w:rsidRPr="00DB5643">
        <w:rPr>
          <w:snapToGrid w:val="0"/>
          <w:kern w:val="22"/>
          <w:szCs w:val="22"/>
          <w:lang w:val="ru-RU"/>
        </w:rPr>
        <w:t xml:space="preserve"> </w:t>
      </w:r>
      <w:r w:rsidRPr="00DB5643">
        <w:rPr>
          <w:snapToGrid w:val="0"/>
          <w:kern w:val="22"/>
          <w:szCs w:val="22"/>
          <w:lang w:val="ru-RU"/>
        </w:rPr>
        <w:t xml:space="preserve">3 статьи </w:t>
      </w:r>
      <w:r w:rsidR="004569FB" w:rsidRPr="00DB5643">
        <w:rPr>
          <w:snapToGrid w:val="0"/>
          <w:kern w:val="22"/>
          <w:szCs w:val="22"/>
          <w:lang w:val="ru-RU"/>
        </w:rPr>
        <w:t>20</w:t>
      </w:r>
      <w:r w:rsidR="002D2190" w:rsidRPr="00DB5643">
        <w:rPr>
          <w:snapToGrid w:val="0"/>
          <w:kern w:val="22"/>
          <w:szCs w:val="22"/>
          <w:lang w:val="ru-RU"/>
        </w:rPr>
        <w:t>,</w:t>
      </w:r>
      <w:r w:rsidRPr="00DB5643">
        <w:rPr>
          <w:snapToGrid w:val="0"/>
          <w:kern w:val="22"/>
          <w:szCs w:val="22"/>
          <w:lang w:val="ru-RU"/>
        </w:rPr>
        <w:t xml:space="preserve"> и други</w:t>
      </w:r>
      <w:r w:rsidR="002D2190" w:rsidRPr="00DB5643">
        <w:rPr>
          <w:snapToGrid w:val="0"/>
          <w:kern w:val="22"/>
          <w:szCs w:val="22"/>
          <w:lang w:val="ru-RU"/>
        </w:rPr>
        <w:t>х</w:t>
      </w:r>
      <w:r w:rsidRPr="00DB5643">
        <w:rPr>
          <w:snapToGrid w:val="0"/>
          <w:kern w:val="22"/>
          <w:szCs w:val="22"/>
          <w:lang w:val="ru-RU"/>
        </w:rPr>
        <w:t xml:space="preserve"> положени</w:t>
      </w:r>
      <w:r w:rsidR="002D2190" w:rsidRPr="00DB5643">
        <w:rPr>
          <w:snapToGrid w:val="0"/>
          <w:kern w:val="22"/>
          <w:szCs w:val="22"/>
          <w:lang w:val="ru-RU"/>
        </w:rPr>
        <w:t>й</w:t>
      </w:r>
      <w:r w:rsidRPr="00DB5643">
        <w:rPr>
          <w:snapToGrid w:val="0"/>
          <w:kern w:val="22"/>
          <w:szCs w:val="22"/>
          <w:lang w:val="ru-RU"/>
        </w:rPr>
        <w:t xml:space="preserve"> Протокола</w:t>
      </w:r>
      <w:r w:rsidR="004569FB" w:rsidRPr="00DB5643">
        <w:rPr>
          <w:snapToGrid w:val="0"/>
          <w:kern w:val="22"/>
          <w:szCs w:val="22"/>
          <w:lang w:val="ru-RU"/>
        </w:rPr>
        <w:t xml:space="preserve">. </w:t>
      </w:r>
    </w:p>
    <w:p w14:paraId="341CC75C" w14:textId="1CC878DD" w:rsidR="004569FB" w:rsidRPr="00DB5643" w:rsidRDefault="00914FEF"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lastRenderedPageBreak/>
        <w:t>В этом контексте Комитет осуществил обзор соблюдения Сторонами обязательства представить их вторые и третьи национальные доклады и принял ряд поступательных последующих мер в этой связи</w:t>
      </w:r>
      <w:r w:rsidR="004569FB" w:rsidRPr="00DB5643">
        <w:rPr>
          <w:snapToGrid w:val="0"/>
          <w:kern w:val="22"/>
          <w:szCs w:val="22"/>
          <w:lang w:val="ru-RU"/>
        </w:rPr>
        <w:t xml:space="preserve">. </w:t>
      </w:r>
      <w:r w:rsidRPr="00DB5643">
        <w:rPr>
          <w:snapToGrid w:val="0"/>
          <w:kern w:val="22"/>
          <w:szCs w:val="22"/>
          <w:lang w:val="ru-RU"/>
        </w:rPr>
        <w:t>Комитет отметил позитивные последствия его продолжающихся усилий по оказани</w:t>
      </w:r>
      <w:r w:rsidR="004339BF" w:rsidRPr="00DB5643">
        <w:rPr>
          <w:snapToGrid w:val="0"/>
          <w:kern w:val="22"/>
          <w:szCs w:val="22"/>
          <w:lang w:val="ru-RU"/>
        </w:rPr>
        <w:t>ю</w:t>
      </w:r>
      <w:r w:rsidRPr="00DB5643">
        <w:rPr>
          <w:snapToGrid w:val="0"/>
          <w:kern w:val="22"/>
          <w:szCs w:val="22"/>
          <w:lang w:val="ru-RU"/>
        </w:rPr>
        <w:t xml:space="preserve"> поддержки Сторонам в подготовке и представлении их национальных докладов, в том числе посредством мер, принятых в отношении Сторон, не </w:t>
      </w:r>
      <w:r w:rsidR="004339BF" w:rsidRPr="00DB5643">
        <w:rPr>
          <w:snapToGrid w:val="0"/>
          <w:kern w:val="22"/>
          <w:szCs w:val="22"/>
          <w:lang w:val="ru-RU"/>
        </w:rPr>
        <w:t>представля</w:t>
      </w:r>
      <w:r w:rsidRPr="00DB5643">
        <w:rPr>
          <w:snapToGrid w:val="0"/>
          <w:kern w:val="22"/>
          <w:szCs w:val="22"/>
          <w:lang w:val="ru-RU"/>
        </w:rPr>
        <w:t>вших национальные доклады</w:t>
      </w:r>
      <w:r w:rsidR="004569FB" w:rsidRPr="00DB5643">
        <w:rPr>
          <w:snapToGrid w:val="0"/>
          <w:kern w:val="22"/>
          <w:szCs w:val="22"/>
          <w:lang w:val="ru-RU"/>
        </w:rPr>
        <w:t xml:space="preserve"> </w:t>
      </w:r>
      <w:r w:rsidR="004339BF" w:rsidRPr="00DB5643">
        <w:rPr>
          <w:snapToGrid w:val="0"/>
          <w:kern w:val="22"/>
          <w:szCs w:val="22"/>
          <w:lang w:val="ru-RU"/>
        </w:rPr>
        <w:t>в течение нескольких циклов отчетности</w:t>
      </w:r>
      <w:r w:rsidR="004569FB" w:rsidRPr="00DB5643">
        <w:rPr>
          <w:rStyle w:val="ac"/>
          <w:snapToGrid w:val="0"/>
          <w:kern w:val="22"/>
          <w:szCs w:val="22"/>
        </w:rPr>
        <w:footnoteReference w:id="42"/>
      </w:r>
      <w:r w:rsidR="004339BF" w:rsidRPr="00DB5643">
        <w:rPr>
          <w:snapToGrid w:val="0"/>
          <w:kern w:val="22"/>
          <w:szCs w:val="22"/>
          <w:lang w:val="ru-RU"/>
        </w:rPr>
        <w:t>.</w:t>
      </w:r>
    </w:p>
    <w:p w14:paraId="4F18F574" w14:textId="1669F3DC" w:rsidR="004569FB" w:rsidRPr="00DB5643" w:rsidRDefault="004339BF"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Комитет также осуществил обзор и</w:t>
      </w:r>
      <w:r w:rsidR="003F2F2A" w:rsidRPr="00DB5643">
        <w:rPr>
          <w:snapToGrid w:val="0"/>
          <w:kern w:val="22"/>
          <w:szCs w:val="22"/>
          <w:lang w:val="ru-RU"/>
        </w:rPr>
        <w:t xml:space="preserve"> принял последующие меры относительно вопросов соблюдения, связанных с полнотой информации в </w:t>
      </w:r>
      <w:proofErr w:type="spellStart"/>
      <w:r w:rsidR="003F2F2A" w:rsidRPr="00DB5643">
        <w:rPr>
          <w:snapToGrid w:val="0"/>
          <w:kern w:val="22"/>
          <w:szCs w:val="22"/>
          <w:lang w:val="ru-RU"/>
        </w:rPr>
        <w:t>МПБ</w:t>
      </w:r>
      <w:proofErr w:type="spellEnd"/>
      <w:r w:rsidR="003F2F2A" w:rsidRPr="00DB5643">
        <w:rPr>
          <w:snapToGrid w:val="0"/>
          <w:kern w:val="22"/>
          <w:szCs w:val="22"/>
          <w:lang w:val="ru-RU"/>
        </w:rPr>
        <w:t xml:space="preserve">, как изложено ниже в </w:t>
      </w:r>
      <w:r w:rsidR="00184373">
        <w:rPr>
          <w:snapToGrid w:val="0"/>
          <w:kern w:val="22"/>
          <w:szCs w:val="22"/>
          <w:lang w:val="ru-RU"/>
        </w:rPr>
        <w:t>информации</w:t>
      </w:r>
      <w:r w:rsidR="003F2F2A" w:rsidRPr="00DB5643">
        <w:rPr>
          <w:snapToGrid w:val="0"/>
          <w:kern w:val="22"/>
          <w:szCs w:val="22"/>
          <w:lang w:val="ru-RU"/>
        </w:rPr>
        <w:t xml:space="preserve"> по индикатору</w:t>
      </w:r>
      <w:r w:rsidRPr="00DB5643">
        <w:rPr>
          <w:snapToGrid w:val="0"/>
          <w:kern w:val="22"/>
          <w:szCs w:val="22"/>
          <w:lang w:val="ru-RU"/>
        </w:rPr>
        <w:t xml:space="preserve"> </w:t>
      </w:r>
      <w:r w:rsidR="004569FB" w:rsidRPr="00DB5643">
        <w:rPr>
          <w:snapToGrid w:val="0"/>
          <w:kern w:val="22"/>
          <w:szCs w:val="22"/>
          <w:lang w:val="ru-RU"/>
        </w:rPr>
        <w:t xml:space="preserve">3.1.5. </w:t>
      </w:r>
      <w:r w:rsidR="003F2F2A" w:rsidRPr="00DB5643">
        <w:rPr>
          <w:snapToGrid w:val="0"/>
          <w:kern w:val="22"/>
          <w:szCs w:val="22"/>
          <w:lang w:val="ru-RU"/>
        </w:rPr>
        <w:t>В этом контексте</w:t>
      </w:r>
      <w:r w:rsidR="004569FB" w:rsidRPr="00DB5643">
        <w:rPr>
          <w:snapToGrid w:val="0"/>
          <w:kern w:val="22"/>
          <w:szCs w:val="22"/>
          <w:lang w:val="ru-RU"/>
        </w:rPr>
        <w:t xml:space="preserve"> </w:t>
      </w:r>
      <w:r w:rsidR="003F2F2A" w:rsidRPr="00DB5643">
        <w:rPr>
          <w:snapToGrid w:val="0"/>
          <w:kern w:val="22"/>
          <w:szCs w:val="22"/>
          <w:lang w:val="ru-RU"/>
        </w:rPr>
        <w:t>Конференция Сторон, выступающая в качестве Совещания Сторон Протокола, на своем девятом совещании</w:t>
      </w:r>
      <w:r w:rsidR="0026078C" w:rsidRPr="00DB5643">
        <w:rPr>
          <w:snapToGrid w:val="0"/>
          <w:kern w:val="22"/>
          <w:szCs w:val="22"/>
          <w:lang w:val="ru-RU"/>
        </w:rPr>
        <w:t xml:space="preserve"> с удовлетворением отметила усилия Сторон по выполнению их обязательств в рамках Протокола, связанных с размещением информации в </w:t>
      </w:r>
      <w:proofErr w:type="spellStart"/>
      <w:r w:rsidR="0026078C" w:rsidRPr="00DB5643">
        <w:rPr>
          <w:snapToGrid w:val="0"/>
          <w:kern w:val="22"/>
          <w:szCs w:val="22"/>
          <w:lang w:val="ru-RU"/>
        </w:rPr>
        <w:t>МПБ</w:t>
      </w:r>
      <w:proofErr w:type="spellEnd"/>
      <w:r w:rsidR="004569FB" w:rsidRPr="00DB5643">
        <w:rPr>
          <w:snapToGrid w:val="0"/>
          <w:kern w:val="22"/>
          <w:szCs w:val="22"/>
          <w:lang w:val="ru-RU"/>
        </w:rPr>
        <w:t xml:space="preserve"> (</w:t>
      </w:r>
      <w:r w:rsidR="0026078C" w:rsidRPr="00DB5643">
        <w:rPr>
          <w:snapToGrid w:val="0"/>
          <w:kern w:val="22"/>
          <w:szCs w:val="22"/>
          <w:lang w:val="ru-RU"/>
        </w:rPr>
        <w:t>решение</w:t>
      </w:r>
      <w:r w:rsidR="004569FB" w:rsidRPr="00DB5643">
        <w:rPr>
          <w:snapToGrid w:val="0"/>
          <w:kern w:val="22"/>
          <w:szCs w:val="22"/>
          <w:lang w:val="ru-RU"/>
        </w:rPr>
        <w:t xml:space="preserve"> </w:t>
      </w:r>
      <w:proofErr w:type="spellStart"/>
      <w:r w:rsidR="004569FB" w:rsidRPr="00DB5643">
        <w:rPr>
          <w:snapToGrid w:val="0"/>
          <w:kern w:val="22"/>
          <w:szCs w:val="22"/>
        </w:rPr>
        <w:t>CP</w:t>
      </w:r>
      <w:proofErr w:type="spellEnd"/>
      <w:r w:rsidR="004569FB" w:rsidRPr="00DB5643">
        <w:rPr>
          <w:snapToGrid w:val="0"/>
          <w:kern w:val="22"/>
          <w:szCs w:val="22"/>
          <w:lang w:val="ru-RU"/>
        </w:rPr>
        <w:t xml:space="preserve">-9/1). </w:t>
      </w:r>
      <w:r w:rsidR="0026078C" w:rsidRPr="00DB5643">
        <w:rPr>
          <w:snapToGrid w:val="0"/>
          <w:kern w:val="22"/>
          <w:szCs w:val="22"/>
          <w:lang w:val="ru-RU"/>
        </w:rPr>
        <w:t>Кроме того, Комитет осуществил обзор соблюдения обязательств о принятии необходимых мер по осуществлению Протокола, и после третьей оценки и обзора и промежуточной оценки он принял в связи с этим последующие меры в отношении отдельных Сторон</w:t>
      </w:r>
      <w:r w:rsidR="004569FB" w:rsidRPr="00DB5643">
        <w:rPr>
          <w:snapToGrid w:val="0"/>
          <w:kern w:val="22"/>
          <w:szCs w:val="22"/>
          <w:lang w:val="ru-RU"/>
        </w:rPr>
        <w:t xml:space="preserve">. </w:t>
      </w:r>
    </w:p>
    <w:p w14:paraId="0B8D459A" w14:textId="5F6F8F46" w:rsidR="004569FB" w:rsidRPr="00DB5643" w:rsidRDefault="00206544"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Вспомогательная роль Комитета</w:t>
      </w:r>
      <w:r w:rsidR="004569FB" w:rsidRPr="00DB5643">
        <w:rPr>
          <w:snapToGrid w:val="0"/>
          <w:kern w:val="22"/>
          <w:szCs w:val="22"/>
          <w:lang w:val="ru-RU"/>
        </w:rPr>
        <w:t>,</w:t>
      </w:r>
      <w:r w:rsidRPr="00DB5643">
        <w:rPr>
          <w:snapToGrid w:val="0"/>
          <w:kern w:val="22"/>
          <w:szCs w:val="22"/>
          <w:lang w:val="ru-RU"/>
        </w:rPr>
        <w:t xml:space="preserve"> согласно решению</w:t>
      </w:r>
      <w:r w:rsidR="004569FB" w:rsidRPr="00DB5643">
        <w:rPr>
          <w:snapToGrid w:val="0"/>
          <w:kern w:val="22"/>
          <w:szCs w:val="22"/>
          <w:lang w:val="ru-RU"/>
        </w:rPr>
        <w:t xml:space="preserve"> </w:t>
      </w:r>
      <w:r w:rsidR="004569FB" w:rsidRPr="00DB5643">
        <w:rPr>
          <w:snapToGrid w:val="0"/>
          <w:kern w:val="22"/>
          <w:szCs w:val="22"/>
        </w:rPr>
        <w:t>BS</w:t>
      </w:r>
      <w:r w:rsidR="004569FB" w:rsidRPr="00DB5643">
        <w:rPr>
          <w:snapToGrid w:val="0"/>
          <w:kern w:val="22"/>
          <w:szCs w:val="22"/>
          <w:lang w:val="ru-RU"/>
        </w:rPr>
        <w:t>-</w:t>
      </w:r>
      <w:r w:rsidR="004569FB" w:rsidRPr="00DB5643">
        <w:rPr>
          <w:snapToGrid w:val="0"/>
          <w:kern w:val="22"/>
          <w:szCs w:val="22"/>
        </w:rPr>
        <w:t>V</w:t>
      </w:r>
      <w:r w:rsidR="004569FB" w:rsidRPr="00DB5643">
        <w:rPr>
          <w:snapToGrid w:val="0"/>
          <w:kern w:val="22"/>
          <w:szCs w:val="22"/>
          <w:lang w:val="ru-RU"/>
        </w:rPr>
        <w:t>/1</w:t>
      </w:r>
      <w:r w:rsidR="004569FB" w:rsidRPr="00DB5643">
        <w:rPr>
          <w:rStyle w:val="ac"/>
          <w:snapToGrid w:val="0"/>
          <w:kern w:val="22"/>
          <w:szCs w:val="22"/>
        </w:rPr>
        <w:footnoteReference w:id="43"/>
      </w:r>
      <w:r w:rsidRPr="00DB5643">
        <w:rPr>
          <w:snapToGrid w:val="0"/>
          <w:kern w:val="22"/>
          <w:szCs w:val="22"/>
          <w:lang w:val="ru-RU"/>
        </w:rPr>
        <w:t>, приветствовалась Конференцией Сторон, выступающей в качестве Совещания Сторон Протокола, в качестве вклада в достижение сообщенных результатов в контексте третьей оценки и обзора Протокола</w:t>
      </w:r>
      <w:r w:rsidR="004569FB" w:rsidRPr="00DB5643">
        <w:rPr>
          <w:snapToGrid w:val="0"/>
          <w:kern w:val="22"/>
          <w:szCs w:val="22"/>
          <w:lang w:val="ru-RU"/>
        </w:rPr>
        <w:t xml:space="preserve"> </w:t>
      </w:r>
      <w:r w:rsidRPr="00DB5643">
        <w:rPr>
          <w:snapToGrid w:val="0"/>
          <w:kern w:val="22"/>
          <w:szCs w:val="22"/>
          <w:lang w:val="ru-RU"/>
        </w:rPr>
        <w:t>и промежуточной оценки Стратегического плана</w:t>
      </w:r>
      <w:r w:rsidR="004569FB" w:rsidRPr="00DB5643">
        <w:rPr>
          <w:snapToGrid w:val="0"/>
          <w:kern w:val="22"/>
          <w:szCs w:val="22"/>
          <w:lang w:val="ru-RU"/>
        </w:rPr>
        <w:t xml:space="preserve"> (</w:t>
      </w:r>
      <w:r w:rsidRPr="00DB5643">
        <w:rPr>
          <w:snapToGrid w:val="0"/>
          <w:kern w:val="22"/>
          <w:szCs w:val="22"/>
          <w:lang w:val="ru-RU"/>
        </w:rPr>
        <w:t>решение</w:t>
      </w:r>
      <w:r w:rsidR="004569FB" w:rsidRPr="00DB5643">
        <w:rPr>
          <w:snapToGrid w:val="0"/>
          <w:kern w:val="22"/>
          <w:szCs w:val="22"/>
          <w:lang w:val="ru-RU"/>
        </w:rPr>
        <w:t xml:space="preserve"> </w:t>
      </w:r>
      <w:proofErr w:type="spellStart"/>
      <w:r w:rsidR="004569FB" w:rsidRPr="00DB5643">
        <w:rPr>
          <w:snapToGrid w:val="0"/>
          <w:kern w:val="22"/>
          <w:szCs w:val="22"/>
        </w:rPr>
        <w:t>CP</w:t>
      </w:r>
      <w:proofErr w:type="spellEnd"/>
      <w:r w:rsidR="004569FB" w:rsidRPr="00DB5643">
        <w:rPr>
          <w:snapToGrid w:val="0"/>
          <w:kern w:val="22"/>
          <w:szCs w:val="22"/>
          <w:lang w:val="ru-RU"/>
        </w:rPr>
        <w:t>-</w:t>
      </w:r>
      <w:r w:rsidR="004569FB" w:rsidRPr="00DB5643">
        <w:rPr>
          <w:snapToGrid w:val="0"/>
          <w:kern w:val="22"/>
          <w:szCs w:val="22"/>
        </w:rPr>
        <w:t>VIII</w:t>
      </w:r>
      <w:r w:rsidR="004569FB" w:rsidRPr="00DB5643">
        <w:rPr>
          <w:snapToGrid w:val="0"/>
          <w:kern w:val="22"/>
          <w:szCs w:val="22"/>
          <w:lang w:val="ru-RU"/>
        </w:rPr>
        <w:t xml:space="preserve">/15).  </w:t>
      </w:r>
    </w:p>
    <w:p w14:paraId="0680EA6C" w14:textId="7D03880E" w:rsidR="00AD6896" w:rsidRPr="00DB5643" w:rsidRDefault="00206544"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Более подробное описание опыта Комитета по оказанию поддержки Сторонам в соблюдении их обязательств в рамках Протокола</w:t>
      </w:r>
      <w:r w:rsidR="00184373">
        <w:rPr>
          <w:snapToGrid w:val="0"/>
          <w:kern w:val="22"/>
          <w:szCs w:val="22"/>
          <w:lang w:val="ru-RU"/>
        </w:rPr>
        <w:t xml:space="preserve"> в связи с </w:t>
      </w:r>
      <w:r w:rsidRPr="00DB5643">
        <w:rPr>
          <w:snapToGrid w:val="0"/>
          <w:kern w:val="22"/>
          <w:szCs w:val="22"/>
          <w:lang w:val="ru-RU"/>
        </w:rPr>
        <w:t>индикаторам</w:t>
      </w:r>
      <w:r w:rsidR="00184373">
        <w:rPr>
          <w:snapToGrid w:val="0"/>
          <w:kern w:val="22"/>
          <w:szCs w:val="22"/>
          <w:lang w:val="ru-RU"/>
        </w:rPr>
        <w:t>и Стратегического плана</w:t>
      </w:r>
      <w:r w:rsidRPr="00DB5643">
        <w:rPr>
          <w:snapToGrid w:val="0"/>
          <w:kern w:val="22"/>
          <w:szCs w:val="22"/>
          <w:lang w:val="ru-RU"/>
        </w:rPr>
        <w:t xml:space="preserve"> приводится в документе </w:t>
      </w:r>
      <w:proofErr w:type="spellStart"/>
      <w:r w:rsidR="00AD6896" w:rsidRPr="00DB5643">
        <w:rPr>
          <w:snapToGrid w:val="0"/>
          <w:kern w:val="22"/>
          <w:szCs w:val="22"/>
        </w:rPr>
        <w:t>CBD</w:t>
      </w:r>
      <w:proofErr w:type="spellEnd"/>
      <w:r w:rsidR="00AD6896" w:rsidRPr="00DB5643">
        <w:rPr>
          <w:snapToGrid w:val="0"/>
          <w:kern w:val="22"/>
          <w:szCs w:val="22"/>
          <w:lang w:val="ru-RU"/>
        </w:rPr>
        <w:t>/</w:t>
      </w:r>
      <w:proofErr w:type="spellStart"/>
      <w:r w:rsidR="00AD6896" w:rsidRPr="00DB5643">
        <w:rPr>
          <w:snapToGrid w:val="0"/>
          <w:kern w:val="22"/>
          <w:szCs w:val="22"/>
        </w:rPr>
        <w:t>CP</w:t>
      </w:r>
      <w:proofErr w:type="spellEnd"/>
      <w:r w:rsidR="00AD6896" w:rsidRPr="00DB5643">
        <w:rPr>
          <w:snapToGrid w:val="0"/>
          <w:kern w:val="22"/>
          <w:szCs w:val="22"/>
          <w:lang w:val="ru-RU"/>
        </w:rPr>
        <w:t>/</w:t>
      </w:r>
      <w:r w:rsidR="00AD6896" w:rsidRPr="00DB5643">
        <w:rPr>
          <w:snapToGrid w:val="0"/>
          <w:kern w:val="22"/>
          <w:szCs w:val="22"/>
        </w:rPr>
        <w:t>CC</w:t>
      </w:r>
      <w:r w:rsidR="00AD6896" w:rsidRPr="00DB5643">
        <w:rPr>
          <w:snapToGrid w:val="0"/>
          <w:kern w:val="22"/>
          <w:szCs w:val="22"/>
          <w:lang w:val="ru-RU"/>
        </w:rPr>
        <w:t>/17/3.</w:t>
      </w:r>
    </w:p>
    <w:p w14:paraId="1DA54E60" w14:textId="2E41F8A2" w:rsidR="004569FB" w:rsidRPr="00DB5643" w:rsidRDefault="00473ED7" w:rsidP="00B44100">
      <w:pPr>
        <w:pStyle w:val="a3"/>
        <w:numPr>
          <w:ilvl w:val="0"/>
          <w:numId w:val="9"/>
        </w:numPr>
        <w:tabs>
          <w:tab w:val="clear" w:pos="3240"/>
        </w:tabs>
        <w:snapToGrid w:val="0"/>
        <w:spacing w:before="120" w:after="120"/>
        <w:ind w:left="0" w:firstLine="0"/>
        <w:contextualSpacing w:val="0"/>
        <w:rPr>
          <w:iCs/>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3.1.2</w:t>
      </w:r>
      <w:r w:rsidR="004569FB" w:rsidRPr="00DB5643">
        <w:rPr>
          <w:snapToGrid w:val="0"/>
          <w:kern w:val="22"/>
          <w:szCs w:val="22"/>
          <w:lang w:val="ru-RU"/>
        </w:rPr>
        <w:t xml:space="preserve"> </w:t>
      </w:r>
      <w:r w:rsidR="004569FB" w:rsidRPr="00DB5643">
        <w:rPr>
          <w:iCs/>
          <w:snapToGrid w:val="0"/>
          <w:kern w:val="22"/>
          <w:szCs w:val="22"/>
          <w:lang w:val="ru-RU"/>
        </w:rPr>
        <w:t>(</w:t>
      </w:r>
      <w:r w:rsidR="00BE5895" w:rsidRPr="00DB5643">
        <w:rPr>
          <w:iCs/>
          <w:snapToGrid w:val="0"/>
          <w:kern w:val="22"/>
          <w:szCs w:val="22"/>
          <w:lang w:val="ru-RU"/>
        </w:rPr>
        <w:t>число Сторон, располагающих утвержденными и функциональными национальными правовыми, административными и другими мерами по осуществлению Протокола</w:t>
      </w:r>
      <w:r w:rsidR="004569FB" w:rsidRPr="00DB5643">
        <w:rPr>
          <w:iCs/>
          <w:snapToGrid w:val="0"/>
          <w:kern w:val="22"/>
          <w:szCs w:val="22"/>
          <w:lang w:val="ru-RU"/>
        </w:rPr>
        <w:t>) 55</w:t>
      </w:r>
      <w:r w:rsidR="00BE5895" w:rsidRPr="00DB5643">
        <w:rPr>
          <w:iCs/>
          <w:snapToGrid w:val="0"/>
          <w:kern w:val="22"/>
          <w:szCs w:val="22"/>
          <w:lang w:val="en-US"/>
        </w:rPr>
        <w:t> </w:t>
      </w:r>
      <w:r w:rsidR="004569FB" w:rsidRPr="00DB5643">
        <w:rPr>
          <w:iCs/>
          <w:snapToGrid w:val="0"/>
          <w:kern w:val="22"/>
          <w:szCs w:val="22"/>
          <w:lang w:val="ru-RU"/>
        </w:rPr>
        <w:t xml:space="preserve">% </w:t>
      </w:r>
      <w:r w:rsidR="00BE5895" w:rsidRPr="00DB5643">
        <w:rPr>
          <w:iCs/>
          <w:snapToGrid w:val="0"/>
          <w:kern w:val="22"/>
          <w:szCs w:val="22"/>
          <w:lang w:val="ru-RU"/>
        </w:rPr>
        <w:t>Сторон</w:t>
      </w:r>
      <w:r w:rsidR="004569FB" w:rsidRPr="00DB5643">
        <w:rPr>
          <w:iCs/>
          <w:snapToGrid w:val="0"/>
          <w:kern w:val="22"/>
          <w:szCs w:val="22"/>
          <w:lang w:val="ru-RU"/>
        </w:rPr>
        <w:t xml:space="preserve"> (51 </w:t>
      </w:r>
      <w:r w:rsidR="00BE5895" w:rsidRPr="00DB5643">
        <w:rPr>
          <w:iCs/>
          <w:snapToGrid w:val="0"/>
          <w:kern w:val="22"/>
          <w:szCs w:val="22"/>
          <w:lang w:val="ru-RU"/>
        </w:rPr>
        <w:t>Сторона</w:t>
      </w:r>
      <w:r w:rsidR="004569FB" w:rsidRPr="00DB5643">
        <w:rPr>
          <w:iCs/>
          <w:snapToGrid w:val="0"/>
          <w:kern w:val="22"/>
          <w:szCs w:val="22"/>
          <w:lang w:val="ru-RU"/>
        </w:rPr>
        <w:t xml:space="preserve">) </w:t>
      </w:r>
      <w:r w:rsidR="00BE5895" w:rsidRPr="00DB5643">
        <w:rPr>
          <w:iCs/>
          <w:snapToGrid w:val="0"/>
          <w:kern w:val="22"/>
          <w:szCs w:val="22"/>
          <w:lang w:val="ru-RU"/>
        </w:rPr>
        <w:t>сообщили, что меры по осуществлению Протокола внедрены в полном масштабе</w:t>
      </w:r>
      <w:r w:rsidR="004569FB" w:rsidRPr="00DB5643">
        <w:rPr>
          <w:iCs/>
          <w:snapToGrid w:val="0"/>
          <w:kern w:val="22"/>
          <w:szCs w:val="22"/>
          <w:lang w:val="ru-RU"/>
        </w:rPr>
        <w:t xml:space="preserve">, </w:t>
      </w:r>
      <w:r w:rsidR="00BE5895" w:rsidRPr="00DB5643">
        <w:rPr>
          <w:iCs/>
          <w:snapToGrid w:val="0"/>
          <w:kern w:val="22"/>
          <w:szCs w:val="22"/>
          <w:lang w:val="ru-RU"/>
        </w:rPr>
        <w:t xml:space="preserve">что на </w:t>
      </w:r>
      <w:r w:rsidR="004569FB" w:rsidRPr="00DB5643">
        <w:rPr>
          <w:iCs/>
          <w:snapToGrid w:val="0"/>
          <w:kern w:val="22"/>
          <w:szCs w:val="22"/>
          <w:lang w:val="ru-RU"/>
        </w:rPr>
        <w:t>8</w:t>
      </w:r>
      <w:r w:rsidR="00BE5895" w:rsidRPr="00DB5643">
        <w:rPr>
          <w:iCs/>
          <w:snapToGrid w:val="0"/>
          <w:kern w:val="22"/>
          <w:szCs w:val="22"/>
          <w:lang w:val="ru-RU"/>
        </w:rPr>
        <w:t> </w:t>
      </w:r>
      <w:r w:rsidR="004569FB" w:rsidRPr="00DB5643">
        <w:rPr>
          <w:iCs/>
          <w:snapToGrid w:val="0"/>
          <w:kern w:val="22"/>
          <w:szCs w:val="22"/>
          <w:lang w:val="ru-RU"/>
        </w:rPr>
        <w:t xml:space="preserve">% </w:t>
      </w:r>
      <w:r w:rsidR="00BE5895" w:rsidRPr="00DB5643">
        <w:rPr>
          <w:iCs/>
          <w:snapToGrid w:val="0"/>
          <w:kern w:val="22"/>
          <w:szCs w:val="22"/>
          <w:lang w:val="ru-RU"/>
        </w:rPr>
        <w:t>больше по сравнению с исходным уровнем</w:t>
      </w:r>
      <w:r w:rsidR="004569FB" w:rsidRPr="00DB5643">
        <w:rPr>
          <w:iCs/>
          <w:snapToGrid w:val="0"/>
          <w:kern w:val="22"/>
          <w:szCs w:val="22"/>
          <w:lang w:val="ru-RU"/>
        </w:rPr>
        <w:t xml:space="preserve">. </w:t>
      </w:r>
      <w:r w:rsidR="00BE5895" w:rsidRPr="00DB5643">
        <w:rPr>
          <w:iCs/>
          <w:snapToGrid w:val="0"/>
          <w:kern w:val="22"/>
          <w:szCs w:val="22"/>
          <w:lang w:val="ru-RU"/>
        </w:rPr>
        <w:t>В общей сложности</w:t>
      </w:r>
      <w:r w:rsidR="004569FB" w:rsidRPr="00DB5643">
        <w:rPr>
          <w:iCs/>
          <w:snapToGrid w:val="0"/>
          <w:kern w:val="22"/>
          <w:szCs w:val="22"/>
          <w:lang w:val="ru-RU"/>
        </w:rPr>
        <w:t xml:space="preserve"> 39</w:t>
      </w:r>
      <w:r w:rsidR="00BE5895" w:rsidRPr="00DB5643">
        <w:rPr>
          <w:iCs/>
          <w:snapToGrid w:val="0"/>
          <w:kern w:val="22"/>
          <w:szCs w:val="22"/>
          <w:lang w:val="en-US"/>
        </w:rPr>
        <w:t> </w:t>
      </w:r>
      <w:r w:rsidR="004569FB" w:rsidRPr="00DB5643">
        <w:rPr>
          <w:iCs/>
          <w:snapToGrid w:val="0"/>
          <w:kern w:val="22"/>
          <w:szCs w:val="22"/>
          <w:lang w:val="ru-RU"/>
        </w:rPr>
        <w:t xml:space="preserve">% </w:t>
      </w:r>
      <w:r w:rsidR="00BE5895" w:rsidRPr="00DB5643">
        <w:rPr>
          <w:iCs/>
          <w:snapToGrid w:val="0"/>
          <w:kern w:val="22"/>
          <w:szCs w:val="22"/>
          <w:lang w:val="ru-RU"/>
        </w:rPr>
        <w:t>Сторон</w:t>
      </w:r>
      <w:r w:rsidR="004569FB" w:rsidRPr="00DB5643">
        <w:rPr>
          <w:iCs/>
          <w:snapToGrid w:val="0"/>
          <w:kern w:val="22"/>
          <w:szCs w:val="22"/>
          <w:lang w:val="ru-RU"/>
        </w:rPr>
        <w:t xml:space="preserve"> (3</w:t>
      </w:r>
      <w:r w:rsidR="00E93DF4" w:rsidRPr="00DB5643">
        <w:rPr>
          <w:iCs/>
          <w:snapToGrid w:val="0"/>
          <w:kern w:val="22"/>
          <w:szCs w:val="22"/>
          <w:lang w:val="ru-RU"/>
        </w:rPr>
        <w:t>6</w:t>
      </w:r>
      <w:r w:rsidR="004569FB" w:rsidRPr="00DB5643">
        <w:rPr>
          <w:iCs/>
          <w:snapToGrid w:val="0"/>
          <w:kern w:val="22"/>
          <w:szCs w:val="22"/>
          <w:lang w:val="ru-RU"/>
        </w:rPr>
        <w:t xml:space="preserve"> </w:t>
      </w:r>
      <w:r w:rsidR="00BE5895" w:rsidRPr="00DB5643">
        <w:rPr>
          <w:iCs/>
          <w:snapToGrid w:val="0"/>
          <w:kern w:val="22"/>
          <w:szCs w:val="22"/>
          <w:lang w:val="ru-RU"/>
        </w:rPr>
        <w:t>Сторон</w:t>
      </w:r>
      <w:r w:rsidR="004569FB" w:rsidRPr="00DB5643">
        <w:rPr>
          <w:iCs/>
          <w:snapToGrid w:val="0"/>
          <w:kern w:val="22"/>
          <w:szCs w:val="22"/>
          <w:lang w:val="ru-RU"/>
        </w:rPr>
        <w:t xml:space="preserve">) </w:t>
      </w:r>
      <w:r w:rsidR="00BE5895" w:rsidRPr="00DB5643">
        <w:rPr>
          <w:iCs/>
          <w:snapToGrid w:val="0"/>
          <w:kern w:val="22"/>
          <w:szCs w:val="22"/>
          <w:lang w:val="ru-RU"/>
        </w:rPr>
        <w:t>сообщили, что национальные меры внедрены частично</w:t>
      </w:r>
      <w:r w:rsidR="004569FB" w:rsidRPr="00DB5643">
        <w:rPr>
          <w:iCs/>
          <w:snapToGrid w:val="0"/>
          <w:kern w:val="22"/>
          <w:szCs w:val="22"/>
          <w:lang w:val="ru-RU"/>
        </w:rPr>
        <w:t xml:space="preserve">, </w:t>
      </w:r>
      <w:r w:rsidR="00BE5895" w:rsidRPr="00DB5643">
        <w:rPr>
          <w:iCs/>
          <w:snapToGrid w:val="0"/>
          <w:kern w:val="22"/>
          <w:szCs w:val="22"/>
          <w:lang w:val="ru-RU"/>
        </w:rPr>
        <w:t>что на</w:t>
      </w:r>
      <w:r w:rsidR="004569FB" w:rsidRPr="00DB5643">
        <w:rPr>
          <w:iCs/>
          <w:snapToGrid w:val="0"/>
          <w:kern w:val="22"/>
          <w:szCs w:val="22"/>
          <w:lang w:val="ru-RU"/>
        </w:rPr>
        <w:t xml:space="preserve"> 1</w:t>
      </w:r>
      <w:r w:rsidR="00BE5895" w:rsidRPr="00DB5643">
        <w:rPr>
          <w:iCs/>
          <w:snapToGrid w:val="0"/>
          <w:kern w:val="22"/>
          <w:szCs w:val="22"/>
          <w:lang w:val="ru-RU"/>
        </w:rPr>
        <w:t> </w:t>
      </w:r>
      <w:r w:rsidR="004569FB" w:rsidRPr="00DB5643">
        <w:rPr>
          <w:iCs/>
          <w:snapToGrid w:val="0"/>
          <w:kern w:val="22"/>
          <w:szCs w:val="22"/>
          <w:lang w:val="ru-RU"/>
        </w:rPr>
        <w:t xml:space="preserve">% </w:t>
      </w:r>
      <w:r w:rsidR="00BE5895" w:rsidRPr="00DB5643">
        <w:rPr>
          <w:iCs/>
          <w:snapToGrid w:val="0"/>
          <w:kern w:val="22"/>
          <w:szCs w:val="22"/>
          <w:lang w:val="ru-RU"/>
        </w:rPr>
        <w:t>меньше по сравнению с исходным уровнем</w:t>
      </w:r>
      <w:r w:rsidR="004569FB" w:rsidRPr="00DB5643">
        <w:rPr>
          <w:iCs/>
          <w:snapToGrid w:val="0"/>
          <w:kern w:val="22"/>
          <w:szCs w:val="22"/>
          <w:lang w:val="ru-RU"/>
        </w:rPr>
        <w:t xml:space="preserve">. </w:t>
      </w:r>
      <w:r w:rsidR="00BE5895" w:rsidRPr="00DB5643">
        <w:rPr>
          <w:iCs/>
          <w:snapToGrid w:val="0"/>
          <w:kern w:val="22"/>
          <w:szCs w:val="22"/>
          <w:lang w:val="ru-RU"/>
        </w:rPr>
        <w:t>Одна Сторона</w:t>
      </w:r>
      <w:r w:rsidR="004569FB" w:rsidRPr="00DB5643">
        <w:rPr>
          <w:iCs/>
          <w:snapToGrid w:val="0"/>
          <w:kern w:val="22"/>
          <w:szCs w:val="22"/>
          <w:lang w:val="ru-RU"/>
        </w:rPr>
        <w:t xml:space="preserve">, </w:t>
      </w:r>
      <w:r w:rsidR="00BE5895" w:rsidRPr="00DB5643">
        <w:rPr>
          <w:iCs/>
          <w:snapToGrid w:val="0"/>
          <w:kern w:val="22"/>
          <w:szCs w:val="22"/>
          <w:lang w:val="ru-RU"/>
        </w:rPr>
        <w:t xml:space="preserve">составляющая </w:t>
      </w:r>
      <w:r w:rsidR="004569FB" w:rsidRPr="00DB5643">
        <w:rPr>
          <w:iCs/>
          <w:snapToGrid w:val="0"/>
          <w:kern w:val="22"/>
          <w:szCs w:val="22"/>
          <w:lang w:val="ru-RU"/>
        </w:rPr>
        <w:t>1</w:t>
      </w:r>
      <w:r w:rsidR="00BE5895" w:rsidRPr="00DB5643">
        <w:rPr>
          <w:iCs/>
          <w:snapToGrid w:val="0"/>
          <w:kern w:val="22"/>
          <w:szCs w:val="22"/>
          <w:lang w:val="en-US"/>
        </w:rPr>
        <w:t> </w:t>
      </w:r>
      <w:r w:rsidR="004569FB" w:rsidRPr="00DB5643">
        <w:rPr>
          <w:iCs/>
          <w:snapToGrid w:val="0"/>
          <w:kern w:val="22"/>
          <w:szCs w:val="22"/>
          <w:lang w:val="ru-RU"/>
        </w:rPr>
        <w:t xml:space="preserve">% </w:t>
      </w:r>
      <w:r w:rsidR="00BE5895" w:rsidRPr="00DB5643">
        <w:rPr>
          <w:iCs/>
          <w:snapToGrid w:val="0"/>
          <w:kern w:val="22"/>
          <w:szCs w:val="22"/>
          <w:lang w:val="ru-RU"/>
        </w:rPr>
        <w:t>Сторон</w:t>
      </w:r>
      <w:r w:rsidR="004569FB" w:rsidRPr="00DB5643">
        <w:rPr>
          <w:iCs/>
          <w:snapToGrid w:val="0"/>
          <w:kern w:val="22"/>
          <w:szCs w:val="22"/>
          <w:lang w:val="ru-RU"/>
        </w:rPr>
        <w:t xml:space="preserve">, </w:t>
      </w:r>
      <w:r w:rsidR="00BE5895" w:rsidRPr="00DB5643">
        <w:rPr>
          <w:iCs/>
          <w:snapToGrid w:val="0"/>
          <w:kern w:val="22"/>
          <w:szCs w:val="22"/>
          <w:lang w:val="ru-RU"/>
        </w:rPr>
        <w:t>сообщила о внедрении только временных мер</w:t>
      </w:r>
      <w:r w:rsidR="004569FB" w:rsidRPr="00DB5643">
        <w:rPr>
          <w:iCs/>
          <w:snapToGrid w:val="0"/>
          <w:kern w:val="22"/>
          <w:szCs w:val="22"/>
          <w:lang w:val="ru-RU"/>
        </w:rPr>
        <w:t xml:space="preserve">, </w:t>
      </w:r>
      <w:r w:rsidR="00BE5895" w:rsidRPr="00DB5643">
        <w:rPr>
          <w:iCs/>
          <w:snapToGrid w:val="0"/>
          <w:kern w:val="22"/>
          <w:szCs w:val="22"/>
          <w:lang w:val="ru-RU"/>
        </w:rPr>
        <w:t xml:space="preserve">что на </w:t>
      </w:r>
      <w:r w:rsidR="004569FB" w:rsidRPr="00DB5643">
        <w:rPr>
          <w:iCs/>
          <w:snapToGrid w:val="0"/>
          <w:kern w:val="22"/>
          <w:szCs w:val="22"/>
          <w:lang w:val="ru-RU"/>
        </w:rPr>
        <w:t xml:space="preserve">2 </w:t>
      </w:r>
      <w:r w:rsidR="00BE5895" w:rsidRPr="00DB5643">
        <w:rPr>
          <w:iCs/>
          <w:snapToGrid w:val="0"/>
          <w:kern w:val="22"/>
          <w:szCs w:val="22"/>
          <w:lang w:val="ru-RU"/>
        </w:rPr>
        <w:t xml:space="preserve">Стороны меньше по сравнению с исходным уровнем </w:t>
      </w:r>
      <w:r w:rsidR="004569FB" w:rsidRPr="00DB5643">
        <w:rPr>
          <w:iCs/>
          <w:snapToGrid w:val="0"/>
          <w:kern w:val="22"/>
          <w:szCs w:val="22"/>
          <w:lang w:val="ru-RU"/>
        </w:rPr>
        <w:t>(-2</w:t>
      </w:r>
      <w:r w:rsidR="00BE5895" w:rsidRPr="00DB5643">
        <w:rPr>
          <w:iCs/>
          <w:snapToGrid w:val="0"/>
          <w:kern w:val="22"/>
          <w:szCs w:val="22"/>
          <w:lang w:val="ru-RU"/>
        </w:rPr>
        <w:t> </w:t>
      </w:r>
      <w:r w:rsidR="004569FB" w:rsidRPr="00DB5643">
        <w:rPr>
          <w:iCs/>
          <w:snapToGrid w:val="0"/>
          <w:kern w:val="22"/>
          <w:szCs w:val="22"/>
          <w:lang w:val="ru-RU"/>
        </w:rPr>
        <w:t xml:space="preserve">%). </w:t>
      </w:r>
      <w:r w:rsidR="00BE5895" w:rsidRPr="00DB5643">
        <w:rPr>
          <w:iCs/>
          <w:snapToGrid w:val="0"/>
          <w:kern w:val="22"/>
          <w:szCs w:val="22"/>
          <w:lang w:val="ru-RU"/>
        </w:rPr>
        <w:t>Пять Сторон сообщили, что</w:t>
      </w:r>
      <w:r w:rsidR="00C44716" w:rsidRPr="00DB5643">
        <w:rPr>
          <w:iCs/>
          <w:snapToGrid w:val="0"/>
          <w:kern w:val="22"/>
          <w:szCs w:val="22"/>
          <w:lang w:val="ru-RU"/>
        </w:rPr>
        <w:t xml:space="preserve"> меры</w:t>
      </w:r>
      <w:r w:rsidR="00BE5895" w:rsidRPr="00DB5643">
        <w:rPr>
          <w:iCs/>
          <w:snapToGrid w:val="0"/>
          <w:kern w:val="22"/>
          <w:szCs w:val="22"/>
          <w:lang w:val="ru-RU"/>
        </w:rPr>
        <w:t xml:space="preserve"> приняты только </w:t>
      </w:r>
      <w:r w:rsidR="00C44716" w:rsidRPr="00DB5643">
        <w:rPr>
          <w:iCs/>
          <w:snapToGrid w:val="0"/>
          <w:kern w:val="22"/>
          <w:szCs w:val="22"/>
          <w:lang w:val="ru-RU"/>
        </w:rPr>
        <w:t xml:space="preserve">в </w:t>
      </w:r>
      <w:r w:rsidR="00BE5895" w:rsidRPr="00DB5643">
        <w:rPr>
          <w:iCs/>
          <w:snapToGrid w:val="0"/>
          <w:kern w:val="22"/>
          <w:szCs w:val="22"/>
          <w:lang w:val="ru-RU"/>
        </w:rPr>
        <w:t>проект</w:t>
      </w:r>
      <w:r w:rsidR="00C44716" w:rsidRPr="00DB5643">
        <w:rPr>
          <w:iCs/>
          <w:snapToGrid w:val="0"/>
          <w:kern w:val="22"/>
          <w:szCs w:val="22"/>
          <w:lang w:val="ru-RU"/>
        </w:rPr>
        <w:t>е</w:t>
      </w:r>
      <w:r w:rsidR="004569FB" w:rsidRPr="00DB5643">
        <w:rPr>
          <w:iCs/>
          <w:snapToGrid w:val="0"/>
          <w:kern w:val="22"/>
          <w:szCs w:val="22"/>
          <w:lang w:val="ru-RU"/>
        </w:rPr>
        <w:t xml:space="preserve">, </w:t>
      </w:r>
      <w:r w:rsidR="00BE5895" w:rsidRPr="00DB5643">
        <w:rPr>
          <w:iCs/>
          <w:snapToGrid w:val="0"/>
          <w:kern w:val="22"/>
          <w:szCs w:val="22"/>
          <w:lang w:val="ru-RU"/>
        </w:rPr>
        <w:t xml:space="preserve">что на </w:t>
      </w:r>
      <w:r w:rsidR="004569FB" w:rsidRPr="00DB5643">
        <w:rPr>
          <w:iCs/>
          <w:snapToGrid w:val="0"/>
          <w:kern w:val="22"/>
          <w:szCs w:val="22"/>
          <w:lang w:val="ru-RU"/>
        </w:rPr>
        <w:t xml:space="preserve">1 </w:t>
      </w:r>
      <w:r w:rsidR="00BE5895" w:rsidRPr="00DB5643">
        <w:rPr>
          <w:iCs/>
          <w:snapToGrid w:val="0"/>
          <w:kern w:val="22"/>
          <w:szCs w:val="22"/>
          <w:lang w:val="ru-RU"/>
        </w:rPr>
        <w:t>Сторону меньше</w:t>
      </w:r>
      <w:r w:rsidR="004569FB" w:rsidRPr="00DB5643">
        <w:rPr>
          <w:iCs/>
          <w:snapToGrid w:val="0"/>
          <w:kern w:val="22"/>
          <w:szCs w:val="22"/>
          <w:lang w:val="ru-RU"/>
        </w:rPr>
        <w:t xml:space="preserve"> (-1</w:t>
      </w:r>
      <w:r w:rsidR="00BE5895" w:rsidRPr="00DB5643">
        <w:rPr>
          <w:iCs/>
          <w:snapToGrid w:val="0"/>
          <w:kern w:val="22"/>
          <w:szCs w:val="22"/>
          <w:lang w:val="ru-RU"/>
        </w:rPr>
        <w:t> </w:t>
      </w:r>
      <w:r w:rsidR="004569FB" w:rsidRPr="00DB5643">
        <w:rPr>
          <w:iCs/>
          <w:snapToGrid w:val="0"/>
          <w:kern w:val="22"/>
          <w:szCs w:val="22"/>
          <w:lang w:val="ru-RU"/>
        </w:rPr>
        <w:t>%)</w:t>
      </w:r>
      <w:r w:rsidR="00BE5895" w:rsidRPr="00DB5643">
        <w:rPr>
          <w:iCs/>
          <w:snapToGrid w:val="0"/>
          <w:kern w:val="22"/>
          <w:szCs w:val="22"/>
          <w:lang w:val="ru-RU"/>
        </w:rPr>
        <w:t xml:space="preserve"> по сравнению с исходным уровнем</w:t>
      </w:r>
      <w:r w:rsidR="004569FB" w:rsidRPr="00DB5643">
        <w:rPr>
          <w:iCs/>
          <w:snapToGrid w:val="0"/>
          <w:kern w:val="22"/>
          <w:szCs w:val="22"/>
          <w:lang w:val="ru-RU"/>
        </w:rPr>
        <w:t xml:space="preserve">. </w:t>
      </w:r>
      <w:r w:rsidR="00BE5895" w:rsidRPr="00DB5643">
        <w:rPr>
          <w:iCs/>
          <w:snapToGrid w:val="0"/>
          <w:kern w:val="22"/>
          <w:szCs w:val="22"/>
          <w:lang w:val="ru-RU"/>
        </w:rPr>
        <w:t>Ни одна из Сторон не сообщила, что никакие меры не приняты</w:t>
      </w:r>
      <w:r w:rsidR="004569FB" w:rsidRPr="00DB5643">
        <w:rPr>
          <w:iCs/>
          <w:snapToGrid w:val="0"/>
          <w:kern w:val="22"/>
          <w:szCs w:val="22"/>
          <w:lang w:val="ru-RU"/>
        </w:rPr>
        <w:t xml:space="preserve">, </w:t>
      </w:r>
      <w:r w:rsidR="00BE5895" w:rsidRPr="00DB5643">
        <w:rPr>
          <w:iCs/>
          <w:snapToGrid w:val="0"/>
          <w:kern w:val="22"/>
          <w:szCs w:val="22"/>
          <w:lang w:val="ru-RU"/>
        </w:rPr>
        <w:t>что на</w:t>
      </w:r>
      <w:r w:rsidR="004569FB" w:rsidRPr="00DB5643">
        <w:rPr>
          <w:iCs/>
          <w:snapToGrid w:val="0"/>
          <w:kern w:val="22"/>
          <w:szCs w:val="22"/>
          <w:lang w:val="ru-RU"/>
        </w:rPr>
        <w:t xml:space="preserve"> 3 </w:t>
      </w:r>
      <w:r w:rsidR="00BE5895" w:rsidRPr="00DB5643">
        <w:rPr>
          <w:iCs/>
          <w:snapToGrid w:val="0"/>
          <w:kern w:val="22"/>
          <w:szCs w:val="22"/>
          <w:lang w:val="ru-RU"/>
        </w:rPr>
        <w:t>Стороны меньше по сравнению с исходным уровнем</w:t>
      </w:r>
      <w:r w:rsidR="004569FB" w:rsidRPr="00DB5643">
        <w:rPr>
          <w:iCs/>
          <w:snapToGrid w:val="0"/>
          <w:kern w:val="22"/>
          <w:szCs w:val="22"/>
          <w:lang w:val="ru-RU"/>
        </w:rPr>
        <w:t xml:space="preserve"> (-3</w:t>
      </w:r>
      <w:r w:rsidR="00BE5895" w:rsidRPr="00DB5643">
        <w:rPr>
          <w:iCs/>
          <w:snapToGrid w:val="0"/>
          <w:kern w:val="22"/>
          <w:szCs w:val="22"/>
          <w:lang w:val="ru-RU"/>
        </w:rPr>
        <w:t> </w:t>
      </w:r>
      <w:r w:rsidR="004569FB" w:rsidRPr="00DB5643">
        <w:rPr>
          <w:iCs/>
          <w:snapToGrid w:val="0"/>
          <w:kern w:val="22"/>
          <w:szCs w:val="22"/>
          <w:lang w:val="ru-RU"/>
        </w:rPr>
        <w:t>%) (</w:t>
      </w:r>
      <w:r w:rsidR="00BE5895" w:rsidRPr="00DB5643">
        <w:rPr>
          <w:iCs/>
          <w:snapToGrid w:val="0"/>
          <w:kern w:val="22"/>
          <w:szCs w:val="22"/>
          <w:lang w:val="ru-RU"/>
        </w:rPr>
        <w:t>см. рис.</w:t>
      </w:r>
      <w:r w:rsidR="004569FB" w:rsidRPr="00DB5643">
        <w:rPr>
          <w:iCs/>
          <w:snapToGrid w:val="0"/>
          <w:kern w:val="22"/>
          <w:szCs w:val="22"/>
          <w:lang w:val="ru-RU"/>
        </w:rPr>
        <w:t xml:space="preserve"> 8) (</w:t>
      </w:r>
      <w:r w:rsidR="00BE5895" w:rsidRPr="00DB5643">
        <w:rPr>
          <w:iCs/>
          <w:snapToGrid w:val="0"/>
          <w:kern w:val="22"/>
          <w:szCs w:val="22"/>
          <w:lang w:val="ru-RU"/>
        </w:rPr>
        <w:t xml:space="preserve">см. также </w:t>
      </w:r>
      <w:r w:rsidR="00BE5895" w:rsidRPr="00DB5643">
        <w:rPr>
          <w:b/>
          <w:iCs/>
          <w:snapToGrid w:val="0"/>
          <w:kern w:val="22"/>
          <w:szCs w:val="22"/>
          <w:lang w:val="ru-RU"/>
        </w:rPr>
        <w:t>индикаторы</w:t>
      </w:r>
      <w:r w:rsidR="004569FB" w:rsidRPr="00DB5643">
        <w:rPr>
          <w:b/>
          <w:iCs/>
          <w:snapToGrid w:val="0"/>
          <w:kern w:val="22"/>
          <w:szCs w:val="22"/>
          <w:lang w:val="ru-RU"/>
        </w:rPr>
        <w:t xml:space="preserve"> 1.1.1</w:t>
      </w:r>
      <w:r w:rsidR="004569FB" w:rsidRPr="00DB5643">
        <w:rPr>
          <w:iCs/>
          <w:snapToGrid w:val="0"/>
          <w:kern w:val="22"/>
          <w:szCs w:val="22"/>
          <w:lang w:val="ru-RU"/>
        </w:rPr>
        <w:t xml:space="preserve"> </w:t>
      </w:r>
      <w:r w:rsidR="00BE5895" w:rsidRPr="00DB5643">
        <w:rPr>
          <w:iCs/>
          <w:snapToGrid w:val="0"/>
          <w:kern w:val="22"/>
          <w:szCs w:val="22"/>
          <w:lang w:val="ru-RU"/>
        </w:rPr>
        <w:t>и</w:t>
      </w:r>
      <w:r w:rsidR="004569FB" w:rsidRPr="00DB5643">
        <w:rPr>
          <w:iCs/>
          <w:snapToGrid w:val="0"/>
          <w:kern w:val="22"/>
          <w:szCs w:val="22"/>
          <w:lang w:val="ru-RU"/>
        </w:rPr>
        <w:t xml:space="preserve"> </w:t>
      </w:r>
      <w:r w:rsidR="004569FB" w:rsidRPr="00DB5643">
        <w:rPr>
          <w:b/>
          <w:iCs/>
          <w:snapToGrid w:val="0"/>
          <w:kern w:val="22"/>
          <w:szCs w:val="22"/>
          <w:lang w:val="ru-RU"/>
        </w:rPr>
        <w:t>2.1.2</w:t>
      </w:r>
      <w:r w:rsidR="004569FB" w:rsidRPr="00DB5643">
        <w:rPr>
          <w:iCs/>
          <w:snapToGrid w:val="0"/>
          <w:kern w:val="22"/>
          <w:szCs w:val="22"/>
          <w:lang w:val="ru-RU"/>
        </w:rPr>
        <w:t xml:space="preserve"> </w:t>
      </w:r>
      <w:r w:rsidR="00BE5895" w:rsidRPr="00DB5643">
        <w:rPr>
          <w:iCs/>
          <w:snapToGrid w:val="0"/>
          <w:kern w:val="22"/>
          <w:szCs w:val="22"/>
          <w:lang w:val="ru-RU"/>
        </w:rPr>
        <w:t>выше</w:t>
      </w:r>
      <w:r w:rsidR="004569FB" w:rsidRPr="00DB5643">
        <w:rPr>
          <w:iCs/>
          <w:snapToGrid w:val="0"/>
          <w:kern w:val="22"/>
          <w:szCs w:val="22"/>
          <w:lang w:val="ru-RU"/>
        </w:rPr>
        <w:t xml:space="preserve">). </w:t>
      </w:r>
    </w:p>
    <w:p w14:paraId="014CD40E" w14:textId="7AA166B3" w:rsidR="004569FB" w:rsidRPr="00DB5643" w:rsidRDefault="00523124" w:rsidP="00B44100">
      <w:pPr>
        <w:pStyle w:val="a3"/>
        <w:numPr>
          <w:ilvl w:val="0"/>
          <w:numId w:val="9"/>
        </w:numPr>
        <w:tabs>
          <w:tab w:val="clear" w:pos="3240"/>
        </w:tabs>
        <w:snapToGrid w:val="0"/>
        <w:spacing w:before="120" w:after="120"/>
        <w:ind w:left="0" w:firstLine="0"/>
        <w:contextualSpacing w:val="0"/>
        <w:rPr>
          <w:iCs/>
          <w:snapToGrid w:val="0"/>
          <w:kern w:val="22"/>
          <w:szCs w:val="22"/>
          <w:lang w:val="ru-RU"/>
        </w:rPr>
      </w:pPr>
      <w:r w:rsidRPr="00DB5643">
        <w:rPr>
          <w:iCs/>
          <w:snapToGrid w:val="0"/>
          <w:kern w:val="22"/>
          <w:szCs w:val="22"/>
          <w:lang w:val="ru-RU"/>
        </w:rPr>
        <w:t>В общей сложности</w:t>
      </w:r>
      <w:r w:rsidR="004569FB" w:rsidRPr="00DB5643">
        <w:rPr>
          <w:iCs/>
          <w:snapToGrid w:val="0"/>
          <w:kern w:val="22"/>
          <w:szCs w:val="22"/>
          <w:lang w:val="ru-RU"/>
        </w:rPr>
        <w:t xml:space="preserve"> 58</w:t>
      </w:r>
      <w:r w:rsidRPr="00DB5643">
        <w:rPr>
          <w:iCs/>
          <w:snapToGrid w:val="0"/>
          <w:kern w:val="22"/>
          <w:szCs w:val="22"/>
          <w:lang w:val="en-US"/>
        </w:rPr>
        <w:t> </w:t>
      </w:r>
      <w:r w:rsidR="004569FB" w:rsidRPr="00DB5643">
        <w:rPr>
          <w:iCs/>
          <w:snapToGrid w:val="0"/>
          <w:kern w:val="22"/>
          <w:szCs w:val="22"/>
          <w:lang w:val="ru-RU"/>
        </w:rPr>
        <w:t xml:space="preserve">% </w:t>
      </w:r>
      <w:r w:rsidRPr="00DB5643">
        <w:rPr>
          <w:iCs/>
          <w:snapToGrid w:val="0"/>
          <w:kern w:val="22"/>
          <w:szCs w:val="22"/>
          <w:lang w:val="ru-RU"/>
        </w:rPr>
        <w:t>Сторон</w:t>
      </w:r>
      <w:r w:rsidR="004569FB" w:rsidRPr="00DB5643">
        <w:rPr>
          <w:iCs/>
          <w:snapToGrid w:val="0"/>
          <w:kern w:val="22"/>
          <w:szCs w:val="22"/>
          <w:lang w:val="ru-RU"/>
        </w:rPr>
        <w:t xml:space="preserve"> (53 </w:t>
      </w:r>
      <w:r w:rsidRPr="00DB5643">
        <w:rPr>
          <w:iCs/>
          <w:snapToGrid w:val="0"/>
          <w:kern w:val="22"/>
          <w:szCs w:val="22"/>
          <w:lang w:val="ru-RU"/>
        </w:rPr>
        <w:t>Стороны</w:t>
      </w:r>
      <w:r w:rsidR="004569FB" w:rsidRPr="00DB5643">
        <w:rPr>
          <w:iCs/>
          <w:snapToGrid w:val="0"/>
          <w:kern w:val="22"/>
          <w:szCs w:val="22"/>
          <w:lang w:val="ru-RU"/>
        </w:rPr>
        <w:t xml:space="preserve">) </w:t>
      </w:r>
      <w:r w:rsidRPr="00DB5643">
        <w:rPr>
          <w:iCs/>
          <w:snapToGrid w:val="0"/>
          <w:kern w:val="22"/>
          <w:szCs w:val="22"/>
          <w:lang w:val="ru-RU"/>
        </w:rPr>
        <w:t xml:space="preserve">сообщили о </w:t>
      </w:r>
      <w:r w:rsidR="00907738" w:rsidRPr="00DB5643">
        <w:rPr>
          <w:iCs/>
          <w:snapToGrid w:val="0"/>
          <w:kern w:val="22"/>
          <w:szCs w:val="22"/>
          <w:lang w:val="ru-RU"/>
        </w:rPr>
        <w:t>внедрении</w:t>
      </w:r>
      <w:r w:rsidRPr="00DB5643">
        <w:rPr>
          <w:iCs/>
          <w:snapToGrid w:val="0"/>
          <w:kern w:val="22"/>
          <w:szCs w:val="22"/>
          <w:lang w:val="ru-RU"/>
        </w:rPr>
        <w:t xml:space="preserve"> механизма распределения бюджетных средств для обеспечения функционирования их национальных мер в области биобезопасности</w:t>
      </w:r>
      <w:r w:rsidR="004569FB" w:rsidRPr="00DB5643">
        <w:rPr>
          <w:iCs/>
          <w:snapToGrid w:val="0"/>
          <w:kern w:val="22"/>
          <w:szCs w:val="22"/>
          <w:lang w:val="ru-RU"/>
        </w:rPr>
        <w:t xml:space="preserve">, </w:t>
      </w:r>
      <w:r w:rsidRPr="00DB5643">
        <w:rPr>
          <w:iCs/>
          <w:snapToGrid w:val="0"/>
          <w:kern w:val="22"/>
          <w:szCs w:val="22"/>
          <w:lang w:val="ru-RU"/>
        </w:rPr>
        <w:t>что соответствует уменьшению на</w:t>
      </w:r>
      <w:r w:rsidR="004569FB" w:rsidRPr="00DB5643">
        <w:rPr>
          <w:iCs/>
          <w:snapToGrid w:val="0"/>
          <w:kern w:val="22"/>
          <w:szCs w:val="22"/>
          <w:lang w:val="ru-RU"/>
        </w:rPr>
        <w:t xml:space="preserve"> 10</w:t>
      </w:r>
      <w:r w:rsidRPr="00DB5643">
        <w:rPr>
          <w:iCs/>
          <w:snapToGrid w:val="0"/>
          <w:kern w:val="22"/>
          <w:szCs w:val="22"/>
          <w:lang w:val="ru-RU"/>
        </w:rPr>
        <w:t> </w:t>
      </w:r>
      <w:r w:rsidR="004569FB" w:rsidRPr="00DB5643">
        <w:rPr>
          <w:iCs/>
          <w:snapToGrid w:val="0"/>
          <w:kern w:val="22"/>
          <w:szCs w:val="22"/>
          <w:lang w:val="ru-RU"/>
        </w:rPr>
        <w:t xml:space="preserve">%. </w:t>
      </w:r>
      <w:r w:rsidRPr="00DB5643">
        <w:rPr>
          <w:iCs/>
          <w:snapToGrid w:val="0"/>
          <w:kern w:val="22"/>
          <w:szCs w:val="22"/>
          <w:lang w:val="ru-RU"/>
        </w:rPr>
        <w:t xml:space="preserve">В общей сложности </w:t>
      </w:r>
      <w:r w:rsidR="004569FB" w:rsidRPr="00DB5643">
        <w:rPr>
          <w:iCs/>
          <w:snapToGrid w:val="0"/>
          <w:kern w:val="22"/>
          <w:szCs w:val="22"/>
          <w:lang w:val="ru-RU"/>
        </w:rPr>
        <w:t>23</w:t>
      </w:r>
      <w:r w:rsidR="00907738" w:rsidRPr="00DB5643">
        <w:rPr>
          <w:iCs/>
          <w:snapToGrid w:val="0"/>
          <w:kern w:val="22"/>
          <w:szCs w:val="22"/>
          <w:lang w:val="en-US"/>
        </w:rPr>
        <w:t> </w:t>
      </w:r>
      <w:r w:rsidR="004569FB" w:rsidRPr="00DB5643">
        <w:rPr>
          <w:iCs/>
          <w:snapToGrid w:val="0"/>
          <w:kern w:val="22"/>
          <w:szCs w:val="22"/>
          <w:lang w:val="ru-RU"/>
        </w:rPr>
        <w:t xml:space="preserve">% </w:t>
      </w:r>
      <w:r w:rsidR="00907738" w:rsidRPr="00DB5643">
        <w:rPr>
          <w:iCs/>
          <w:snapToGrid w:val="0"/>
          <w:kern w:val="22"/>
          <w:szCs w:val="22"/>
          <w:lang w:val="ru-RU"/>
        </w:rPr>
        <w:t>Сторон</w:t>
      </w:r>
      <w:r w:rsidR="004569FB" w:rsidRPr="00DB5643">
        <w:rPr>
          <w:iCs/>
          <w:snapToGrid w:val="0"/>
          <w:kern w:val="22"/>
          <w:szCs w:val="22"/>
          <w:lang w:val="ru-RU"/>
        </w:rPr>
        <w:t xml:space="preserve"> (21 </w:t>
      </w:r>
      <w:r w:rsidR="00907738" w:rsidRPr="00DB5643">
        <w:rPr>
          <w:iCs/>
          <w:snapToGrid w:val="0"/>
          <w:kern w:val="22"/>
          <w:szCs w:val="22"/>
          <w:lang w:val="ru-RU"/>
        </w:rPr>
        <w:t>Сторона</w:t>
      </w:r>
      <w:r w:rsidR="004569FB" w:rsidRPr="00DB5643">
        <w:rPr>
          <w:iCs/>
          <w:snapToGrid w:val="0"/>
          <w:kern w:val="22"/>
          <w:szCs w:val="22"/>
          <w:lang w:val="ru-RU"/>
        </w:rPr>
        <w:t xml:space="preserve">) </w:t>
      </w:r>
      <w:r w:rsidR="00907738" w:rsidRPr="00DB5643">
        <w:rPr>
          <w:iCs/>
          <w:snapToGrid w:val="0"/>
          <w:kern w:val="22"/>
          <w:szCs w:val="22"/>
          <w:lang w:val="ru-RU"/>
        </w:rPr>
        <w:t>сообщили, что такой механизм внедрен в некоторой степени</w:t>
      </w:r>
      <w:r w:rsidR="004569FB" w:rsidRPr="00DB5643">
        <w:rPr>
          <w:iCs/>
          <w:snapToGrid w:val="0"/>
          <w:kern w:val="22"/>
          <w:szCs w:val="22"/>
          <w:lang w:val="ru-RU"/>
        </w:rPr>
        <w:t xml:space="preserve">, </w:t>
      </w:r>
      <w:r w:rsidR="00907738" w:rsidRPr="00DB5643">
        <w:rPr>
          <w:iCs/>
          <w:snapToGrid w:val="0"/>
          <w:kern w:val="22"/>
          <w:szCs w:val="22"/>
          <w:lang w:val="ru-RU"/>
        </w:rPr>
        <w:t>что соответствует увеличению на</w:t>
      </w:r>
      <w:r w:rsidR="00B063DE" w:rsidRPr="00DB5643">
        <w:rPr>
          <w:iCs/>
          <w:snapToGrid w:val="0"/>
          <w:kern w:val="22"/>
          <w:szCs w:val="22"/>
          <w:lang w:val="ru-RU"/>
        </w:rPr>
        <w:t xml:space="preserve"> </w:t>
      </w:r>
      <w:r w:rsidR="004569FB" w:rsidRPr="00DB5643">
        <w:rPr>
          <w:iCs/>
          <w:snapToGrid w:val="0"/>
          <w:kern w:val="22"/>
          <w:szCs w:val="22"/>
          <w:lang w:val="ru-RU"/>
        </w:rPr>
        <w:t>23</w:t>
      </w:r>
      <w:r w:rsidR="00907738" w:rsidRPr="00DB5643">
        <w:rPr>
          <w:iCs/>
          <w:snapToGrid w:val="0"/>
          <w:kern w:val="22"/>
          <w:szCs w:val="22"/>
          <w:lang w:val="en-US"/>
        </w:rPr>
        <w:t> </w:t>
      </w:r>
      <w:r w:rsidR="00907738" w:rsidRPr="00DB5643">
        <w:rPr>
          <w:iCs/>
          <w:snapToGrid w:val="0"/>
          <w:kern w:val="22"/>
          <w:szCs w:val="22"/>
          <w:lang w:val="ru-RU"/>
        </w:rPr>
        <w:t>%</w:t>
      </w:r>
      <w:r w:rsidR="004569FB" w:rsidRPr="00DB5643">
        <w:rPr>
          <w:rStyle w:val="ac"/>
          <w:iCs/>
          <w:snapToGrid w:val="0"/>
          <w:kern w:val="22"/>
          <w:szCs w:val="22"/>
        </w:rPr>
        <w:footnoteReference w:id="44"/>
      </w:r>
      <w:r w:rsidR="00907738" w:rsidRPr="00DB5643">
        <w:rPr>
          <w:iCs/>
          <w:snapToGrid w:val="0"/>
          <w:kern w:val="22"/>
          <w:szCs w:val="22"/>
          <w:lang w:val="ru-RU"/>
        </w:rPr>
        <w:t>.</w:t>
      </w:r>
      <w:r w:rsidR="004569FB" w:rsidRPr="00DB5643">
        <w:rPr>
          <w:iCs/>
          <w:snapToGrid w:val="0"/>
          <w:kern w:val="22"/>
          <w:szCs w:val="22"/>
          <w:lang w:val="ru-RU"/>
        </w:rPr>
        <w:t xml:space="preserve"> </w:t>
      </w:r>
      <w:r w:rsidR="00907738" w:rsidRPr="00DB5643">
        <w:rPr>
          <w:iCs/>
          <w:snapToGrid w:val="0"/>
          <w:kern w:val="22"/>
          <w:szCs w:val="22"/>
          <w:lang w:val="ru-RU"/>
        </w:rPr>
        <w:t>В совокупности</w:t>
      </w:r>
      <w:r w:rsidR="004569FB" w:rsidRPr="00DB5643">
        <w:rPr>
          <w:iCs/>
          <w:snapToGrid w:val="0"/>
          <w:kern w:val="22"/>
          <w:szCs w:val="22"/>
          <w:lang w:val="ru-RU"/>
        </w:rPr>
        <w:t xml:space="preserve"> </w:t>
      </w:r>
      <w:r w:rsidR="005E4CE8" w:rsidRPr="00DB5643">
        <w:rPr>
          <w:iCs/>
          <w:snapToGrid w:val="0"/>
          <w:kern w:val="22"/>
          <w:szCs w:val="22"/>
          <w:lang w:val="ru-RU"/>
        </w:rPr>
        <w:t>74</w:t>
      </w:r>
      <w:r w:rsidR="004569FB" w:rsidRPr="00DB5643">
        <w:rPr>
          <w:iCs/>
          <w:snapToGrid w:val="0"/>
          <w:kern w:val="22"/>
          <w:szCs w:val="22"/>
          <w:lang w:val="ru-RU"/>
        </w:rPr>
        <w:t xml:space="preserve"> </w:t>
      </w:r>
      <w:r w:rsidR="00907738" w:rsidRPr="00DB5643">
        <w:rPr>
          <w:iCs/>
          <w:snapToGrid w:val="0"/>
          <w:kern w:val="22"/>
          <w:szCs w:val="22"/>
          <w:lang w:val="ru-RU"/>
        </w:rPr>
        <w:t>Сторон</w:t>
      </w:r>
      <w:r w:rsidR="009C7111">
        <w:rPr>
          <w:iCs/>
          <w:snapToGrid w:val="0"/>
          <w:kern w:val="22"/>
          <w:szCs w:val="22"/>
          <w:lang w:val="ru-RU"/>
        </w:rPr>
        <w:t>ы</w:t>
      </w:r>
      <w:r w:rsidR="00907738" w:rsidRPr="00DB5643">
        <w:rPr>
          <w:iCs/>
          <w:snapToGrid w:val="0"/>
          <w:kern w:val="22"/>
          <w:szCs w:val="22"/>
          <w:lang w:val="ru-RU"/>
        </w:rPr>
        <w:t xml:space="preserve"> </w:t>
      </w:r>
      <w:r w:rsidR="004569FB" w:rsidRPr="00DB5643">
        <w:rPr>
          <w:iCs/>
          <w:snapToGrid w:val="0"/>
          <w:kern w:val="22"/>
          <w:szCs w:val="22"/>
          <w:lang w:val="ru-RU"/>
        </w:rPr>
        <w:t>(</w:t>
      </w:r>
      <w:r w:rsidR="005E4CE8" w:rsidRPr="00DB5643">
        <w:rPr>
          <w:iCs/>
          <w:snapToGrid w:val="0"/>
          <w:kern w:val="22"/>
          <w:szCs w:val="22"/>
          <w:lang w:val="ru-RU"/>
        </w:rPr>
        <w:t>81</w:t>
      </w:r>
      <w:r w:rsidR="00907738" w:rsidRPr="00DB5643">
        <w:rPr>
          <w:iCs/>
          <w:snapToGrid w:val="0"/>
          <w:kern w:val="22"/>
          <w:szCs w:val="22"/>
          <w:lang w:val="en-US"/>
        </w:rPr>
        <w:t> </w:t>
      </w:r>
      <w:r w:rsidR="004569FB" w:rsidRPr="00DB5643">
        <w:rPr>
          <w:iCs/>
          <w:snapToGrid w:val="0"/>
          <w:kern w:val="22"/>
          <w:szCs w:val="22"/>
          <w:lang w:val="ru-RU"/>
        </w:rPr>
        <w:t xml:space="preserve">%) </w:t>
      </w:r>
      <w:r w:rsidR="00907738" w:rsidRPr="00DB5643">
        <w:rPr>
          <w:iCs/>
          <w:snapToGrid w:val="0"/>
          <w:kern w:val="22"/>
          <w:szCs w:val="22"/>
          <w:lang w:val="ru-RU"/>
        </w:rPr>
        <w:t>сообщили, что такой механизм внедрен или внедрен в некоторой степени</w:t>
      </w:r>
      <w:r w:rsidR="004569FB" w:rsidRPr="00DB5643">
        <w:rPr>
          <w:iCs/>
          <w:snapToGrid w:val="0"/>
          <w:kern w:val="22"/>
          <w:szCs w:val="22"/>
          <w:lang w:val="ru-RU"/>
        </w:rPr>
        <w:t>,</w:t>
      </w:r>
      <w:r w:rsidR="00907738" w:rsidRPr="00DB5643">
        <w:rPr>
          <w:iCs/>
          <w:snapToGrid w:val="0"/>
          <w:kern w:val="22"/>
          <w:szCs w:val="22"/>
          <w:lang w:val="ru-RU"/>
        </w:rPr>
        <w:t xml:space="preserve"> что соответствует увеличению на</w:t>
      </w:r>
      <w:r w:rsidR="004569FB" w:rsidRPr="00DB5643">
        <w:rPr>
          <w:iCs/>
          <w:snapToGrid w:val="0"/>
          <w:kern w:val="22"/>
          <w:szCs w:val="22"/>
          <w:lang w:val="ru-RU"/>
        </w:rPr>
        <w:t xml:space="preserve"> 13</w:t>
      </w:r>
      <w:r w:rsidR="00907738" w:rsidRPr="00DB5643">
        <w:rPr>
          <w:iCs/>
          <w:snapToGrid w:val="0"/>
          <w:kern w:val="22"/>
          <w:szCs w:val="22"/>
          <w:lang w:val="ru-RU"/>
        </w:rPr>
        <w:t> </w:t>
      </w:r>
      <w:r w:rsidR="004569FB" w:rsidRPr="00DB5643">
        <w:rPr>
          <w:iCs/>
          <w:snapToGrid w:val="0"/>
          <w:kern w:val="22"/>
          <w:szCs w:val="22"/>
          <w:lang w:val="ru-RU"/>
        </w:rPr>
        <w:t xml:space="preserve">% </w:t>
      </w:r>
      <w:r w:rsidR="00907738" w:rsidRPr="00DB5643">
        <w:rPr>
          <w:iCs/>
          <w:snapToGrid w:val="0"/>
          <w:kern w:val="22"/>
          <w:szCs w:val="22"/>
          <w:lang w:val="ru-RU"/>
        </w:rPr>
        <w:t xml:space="preserve">по сравнению с исходным уровнем </w:t>
      </w:r>
      <w:r w:rsidR="004569FB" w:rsidRPr="00DB5643">
        <w:rPr>
          <w:iCs/>
          <w:snapToGrid w:val="0"/>
          <w:kern w:val="22"/>
          <w:szCs w:val="22"/>
          <w:lang w:val="ru-RU"/>
        </w:rPr>
        <w:t>(</w:t>
      </w:r>
      <w:r w:rsidR="00907738" w:rsidRPr="00DB5643">
        <w:rPr>
          <w:iCs/>
          <w:snapToGrid w:val="0"/>
          <w:kern w:val="22"/>
          <w:szCs w:val="22"/>
          <w:lang w:val="ru-RU"/>
        </w:rPr>
        <w:t>при следующих совокупных изменениях в каждом регионе</w:t>
      </w:r>
      <w:r w:rsidR="004569FB" w:rsidRPr="00DB5643">
        <w:rPr>
          <w:iCs/>
          <w:snapToGrid w:val="0"/>
          <w:kern w:val="22"/>
          <w:szCs w:val="22"/>
          <w:lang w:val="ru-RU"/>
        </w:rPr>
        <w:t xml:space="preserve">: </w:t>
      </w:r>
      <w:r w:rsidR="00907738" w:rsidRPr="00DB5643">
        <w:rPr>
          <w:iCs/>
          <w:snapToGrid w:val="0"/>
          <w:kern w:val="22"/>
          <w:szCs w:val="22"/>
          <w:lang w:val="ru-RU"/>
        </w:rPr>
        <w:t>Азиатско-Тихоокеанский регион:</w:t>
      </w:r>
      <w:r w:rsidR="004569FB" w:rsidRPr="00DB5643">
        <w:rPr>
          <w:iCs/>
          <w:snapToGrid w:val="0"/>
          <w:kern w:val="22"/>
          <w:szCs w:val="22"/>
          <w:lang w:val="ru-RU"/>
        </w:rPr>
        <w:t xml:space="preserve"> +25</w:t>
      </w:r>
      <w:r w:rsidR="00907738" w:rsidRPr="00DB5643">
        <w:rPr>
          <w:iCs/>
          <w:snapToGrid w:val="0"/>
          <w:kern w:val="22"/>
          <w:szCs w:val="22"/>
          <w:lang w:val="ru-RU"/>
        </w:rPr>
        <w:t> </w:t>
      </w:r>
      <w:r w:rsidR="004569FB" w:rsidRPr="00DB5643">
        <w:rPr>
          <w:iCs/>
          <w:snapToGrid w:val="0"/>
          <w:kern w:val="22"/>
          <w:szCs w:val="22"/>
          <w:lang w:val="ru-RU"/>
        </w:rPr>
        <w:t xml:space="preserve">%; </w:t>
      </w:r>
      <w:proofErr w:type="spellStart"/>
      <w:r w:rsidR="004569FB" w:rsidRPr="00DB5643">
        <w:rPr>
          <w:iCs/>
          <w:snapToGrid w:val="0"/>
          <w:kern w:val="22"/>
          <w:szCs w:val="22"/>
        </w:rPr>
        <w:t>CEE</w:t>
      </w:r>
      <w:proofErr w:type="spellEnd"/>
      <w:r w:rsidR="00907738" w:rsidRPr="00DB5643">
        <w:rPr>
          <w:iCs/>
          <w:snapToGrid w:val="0"/>
          <w:kern w:val="22"/>
          <w:szCs w:val="22"/>
          <w:lang w:val="ru-RU"/>
        </w:rPr>
        <w:t>:</w:t>
      </w:r>
      <w:r w:rsidR="004569FB" w:rsidRPr="00DB5643">
        <w:rPr>
          <w:iCs/>
          <w:snapToGrid w:val="0"/>
          <w:kern w:val="22"/>
          <w:szCs w:val="22"/>
          <w:lang w:val="ru-RU"/>
        </w:rPr>
        <w:t xml:space="preserve"> +24</w:t>
      </w:r>
      <w:r w:rsidR="00907738" w:rsidRPr="00DB5643">
        <w:rPr>
          <w:iCs/>
          <w:snapToGrid w:val="0"/>
          <w:kern w:val="22"/>
          <w:szCs w:val="22"/>
          <w:lang w:val="ru-RU"/>
        </w:rPr>
        <w:t> </w:t>
      </w:r>
      <w:r w:rsidR="004569FB" w:rsidRPr="00DB5643">
        <w:rPr>
          <w:iCs/>
          <w:snapToGrid w:val="0"/>
          <w:kern w:val="22"/>
          <w:szCs w:val="22"/>
          <w:lang w:val="ru-RU"/>
        </w:rPr>
        <w:t xml:space="preserve">%; </w:t>
      </w:r>
      <w:r w:rsidR="00907738" w:rsidRPr="00DB5643">
        <w:rPr>
          <w:iCs/>
          <w:snapToGrid w:val="0"/>
          <w:kern w:val="22"/>
          <w:szCs w:val="22"/>
          <w:lang w:val="ru-RU"/>
        </w:rPr>
        <w:t xml:space="preserve">Африка: </w:t>
      </w:r>
      <w:r w:rsidR="004569FB" w:rsidRPr="00DB5643">
        <w:rPr>
          <w:iCs/>
          <w:snapToGrid w:val="0"/>
          <w:kern w:val="22"/>
          <w:szCs w:val="22"/>
          <w:lang w:val="ru-RU"/>
        </w:rPr>
        <w:t>+13</w:t>
      </w:r>
      <w:r w:rsidR="00907738" w:rsidRPr="00DB5643">
        <w:rPr>
          <w:iCs/>
          <w:snapToGrid w:val="0"/>
          <w:kern w:val="22"/>
          <w:szCs w:val="22"/>
          <w:lang w:val="ru-RU"/>
        </w:rPr>
        <w:t> </w:t>
      </w:r>
      <w:r w:rsidR="004569FB" w:rsidRPr="00DB5643">
        <w:rPr>
          <w:iCs/>
          <w:snapToGrid w:val="0"/>
          <w:kern w:val="22"/>
          <w:szCs w:val="22"/>
          <w:lang w:val="ru-RU"/>
        </w:rPr>
        <w:t xml:space="preserve">%; </w:t>
      </w:r>
      <w:proofErr w:type="spellStart"/>
      <w:r w:rsidR="00907738" w:rsidRPr="00DB5643">
        <w:rPr>
          <w:iCs/>
          <w:snapToGrid w:val="0"/>
          <w:kern w:val="22"/>
          <w:szCs w:val="22"/>
          <w:lang w:val="ru-RU"/>
        </w:rPr>
        <w:t>ГРУЛАК</w:t>
      </w:r>
      <w:proofErr w:type="spellEnd"/>
      <w:r w:rsidR="00907738" w:rsidRPr="00DB5643">
        <w:rPr>
          <w:iCs/>
          <w:snapToGrid w:val="0"/>
          <w:kern w:val="22"/>
          <w:szCs w:val="22"/>
          <w:lang w:val="ru-RU"/>
        </w:rPr>
        <w:t>:</w:t>
      </w:r>
      <w:r w:rsidR="004569FB" w:rsidRPr="00DB5643">
        <w:rPr>
          <w:iCs/>
          <w:snapToGrid w:val="0"/>
          <w:kern w:val="22"/>
          <w:szCs w:val="22"/>
          <w:lang w:val="ru-RU"/>
        </w:rPr>
        <w:t xml:space="preserve"> -1</w:t>
      </w:r>
      <w:r w:rsidR="00907738" w:rsidRPr="00DB5643">
        <w:rPr>
          <w:iCs/>
          <w:snapToGrid w:val="0"/>
          <w:kern w:val="22"/>
          <w:szCs w:val="22"/>
          <w:lang w:val="ru-RU"/>
        </w:rPr>
        <w:t> </w:t>
      </w:r>
      <w:r w:rsidR="004569FB" w:rsidRPr="00DB5643">
        <w:rPr>
          <w:iCs/>
          <w:snapToGrid w:val="0"/>
          <w:kern w:val="22"/>
          <w:szCs w:val="22"/>
          <w:lang w:val="ru-RU"/>
        </w:rPr>
        <w:t xml:space="preserve">%; </w:t>
      </w:r>
      <w:proofErr w:type="spellStart"/>
      <w:r w:rsidR="004569FB" w:rsidRPr="00DB5643">
        <w:rPr>
          <w:iCs/>
          <w:snapToGrid w:val="0"/>
          <w:kern w:val="22"/>
          <w:szCs w:val="22"/>
        </w:rPr>
        <w:t>WEOG</w:t>
      </w:r>
      <w:proofErr w:type="spellEnd"/>
      <w:r w:rsidR="00907738" w:rsidRPr="00DB5643">
        <w:rPr>
          <w:iCs/>
          <w:snapToGrid w:val="0"/>
          <w:kern w:val="22"/>
          <w:szCs w:val="22"/>
          <w:lang w:val="ru-RU"/>
        </w:rPr>
        <w:t>: без изменений</w:t>
      </w:r>
      <w:r w:rsidR="004569FB" w:rsidRPr="00DB5643">
        <w:rPr>
          <w:iCs/>
          <w:snapToGrid w:val="0"/>
          <w:kern w:val="22"/>
          <w:szCs w:val="22"/>
          <w:lang w:val="ru-RU"/>
        </w:rPr>
        <w:t>).</w:t>
      </w:r>
    </w:p>
    <w:p w14:paraId="0AE33E86" w14:textId="4E363B6F" w:rsidR="004569FB" w:rsidRPr="00DB5643" w:rsidRDefault="00907738" w:rsidP="00B44100">
      <w:pPr>
        <w:pStyle w:val="a3"/>
        <w:numPr>
          <w:ilvl w:val="0"/>
          <w:numId w:val="9"/>
        </w:numPr>
        <w:tabs>
          <w:tab w:val="clear" w:pos="3240"/>
        </w:tabs>
        <w:snapToGrid w:val="0"/>
        <w:spacing w:before="120" w:after="120"/>
        <w:ind w:left="0" w:firstLine="0"/>
        <w:contextualSpacing w:val="0"/>
        <w:rPr>
          <w:iCs/>
          <w:snapToGrid w:val="0"/>
          <w:kern w:val="22"/>
          <w:szCs w:val="22"/>
          <w:lang w:val="ru-RU"/>
        </w:rPr>
      </w:pPr>
      <w:r w:rsidRPr="00DB5643">
        <w:rPr>
          <w:iCs/>
          <w:snapToGrid w:val="0"/>
          <w:kern w:val="22"/>
          <w:szCs w:val="22"/>
          <w:lang w:val="ru-RU"/>
        </w:rPr>
        <w:lastRenderedPageBreak/>
        <w:t>В общей сложности</w:t>
      </w:r>
      <w:r w:rsidR="004569FB" w:rsidRPr="00DB5643">
        <w:rPr>
          <w:iCs/>
          <w:snapToGrid w:val="0"/>
          <w:kern w:val="22"/>
          <w:szCs w:val="22"/>
          <w:lang w:val="ru-RU"/>
        </w:rPr>
        <w:t xml:space="preserve"> 94</w:t>
      </w:r>
      <w:r w:rsidRPr="00DB5643">
        <w:rPr>
          <w:iCs/>
          <w:snapToGrid w:val="0"/>
          <w:kern w:val="22"/>
          <w:szCs w:val="22"/>
          <w:lang w:val="en-US"/>
        </w:rPr>
        <w:t> </w:t>
      </w:r>
      <w:r w:rsidR="004569FB" w:rsidRPr="00DB5643">
        <w:rPr>
          <w:iCs/>
          <w:snapToGrid w:val="0"/>
          <w:kern w:val="22"/>
          <w:szCs w:val="22"/>
          <w:lang w:val="ru-RU"/>
        </w:rPr>
        <w:t xml:space="preserve">% </w:t>
      </w:r>
      <w:r w:rsidRPr="00DB5643">
        <w:rPr>
          <w:iCs/>
          <w:snapToGrid w:val="0"/>
          <w:kern w:val="22"/>
          <w:szCs w:val="22"/>
          <w:lang w:val="ru-RU"/>
        </w:rPr>
        <w:t>Сторон</w:t>
      </w:r>
      <w:r w:rsidR="004569FB" w:rsidRPr="00DB5643">
        <w:rPr>
          <w:iCs/>
          <w:snapToGrid w:val="0"/>
          <w:kern w:val="22"/>
          <w:szCs w:val="22"/>
          <w:lang w:val="ru-RU"/>
        </w:rPr>
        <w:t xml:space="preserve"> (87 </w:t>
      </w:r>
      <w:r w:rsidRPr="00DB5643">
        <w:rPr>
          <w:iCs/>
          <w:snapToGrid w:val="0"/>
          <w:kern w:val="22"/>
          <w:szCs w:val="22"/>
          <w:lang w:val="ru-RU"/>
        </w:rPr>
        <w:t>Сторон</w:t>
      </w:r>
      <w:r w:rsidR="004569FB" w:rsidRPr="00DB5643">
        <w:rPr>
          <w:iCs/>
          <w:snapToGrid w:val="0"/>
          <w:kern w:val="22"/>
          <w:szCs w:val="22"/>
          <w:lang w:val="ru-RU"/>
        </w:rPr>
        <w:t xml:space="preserve">) </w:t>
      </w:r>
      <w:r w:rsidRPr="00DB5643">
        <w:rPr>
          <w:iCs/>
          <w:snapToGrid w:val="0"/>
          <w:kern w:val="22"/>
          <w:szCs w:val="22"/>
          <w:lang w:val="ru-RU"/>
        </w:rPr>
        <w:t>сообщили о наличии</w:t>
      </w:r>
      <w:r w:rsidR="004569FB" w:rsidRPr="00DB5643">
        <w:rPr>
          <w:iCs/>
          <w:snapToGrid w:val="0"/>
          <w:kern w:val="22"/>
          <w:szCs w:val="22"/>
          <w:lang w:val="ru-RU"/>
        </w:rPr>
        <w:t xml:space="preserve"> </w:t>
      </w:r>
      <w:r w:rsidRPr="00DB5643">
        <w:rPr>
          <w:iCs/>
          <w:snapToGrid w:val="0"/>
          <w:kern w:val="22"/>
          <w:szCs w:val="22"/>
          <w:lang w:val="ru-RU"/>
        </w:rPr>
        <w:t>постоянного персонала для выполнения функций, непосредственно связанных с биобезопасностью</w:t>
      </w:r>
      <w:r w:rsidR="004569FB" w:rsidRPr="00DB5643">
        <w:rPr>
          <w:iCs/>
          <w:snapToGrid w:val="0"/>
          <w:kern w:val="22"/>
          <w:szCs w:val="22"/>
          <w:lang w:val="ru-RU"/>
        </w:rPr>
        <w:t>,</w:t>
      </w:r>
      <w:r w:rsidRPr="00DB5643">
        <w:rPr>
          <w:iCs/>
          <w:snapToGrid w:val="0"/>
          <w:kern w:val="22"/>
          <w:szCs w:val="22"/>
          <w:lang w:val="ru-RU"/>
        </w:rPr>
        <w:t xml:space="preserve"> что соответствует увеличению на</w:t>
      </w:r>
      <w:r w:rsidR="004569FB" w:rsidRPr="00DB5643">
        <w:rPr>
          <w:iCs/>
          <w:snapToGrid w:val="0"/>
          <w:kern w:val="22"/>
          <w:szCs w:val="22"/>
          <w:lang w:val="ru-RU"/>
        </w:rPr>
        <w:t xml:space="preserve"> 8</w:t>
      </w:r>
      <w:r w:rsidRPr="00DB5643">
        <w:rPr>
          <w:iCs/>
          <w:snapToGrid w:val="0"/>
          <w:kern w:val="22"/>
          <w:szCs w:val="22"/>
          <w:lang w:val="ru-RU"/>
        </w:rPr>
        <w:t> </w:t>
      </w:r>
      <w:r w:rsidR="004569FB" w:rsidRPr="00DB5643">
        <w:rPr>
          <w:iCs/>
          <w:snapToGrid w:val="0"/>
          <w:kern w:val="22"/>
          <w:szCs w:val="22"/>
          <w:lang w:val="ru-RU"/>
        </w:rPr>
        <w:t>% (</w:t>
      </w:r>
      <w:r w:rsidRPr="00DB5643">
        <w:rPr>
          <w:iCs/>
          <w:snapToGrid w:val="0"/>
          <w:kern w:val="22"/>
          <w:szCs w:val="22"/>
          <w:lang w:val="ru-RU"/>
        </w:rPr>
        <w:t>при следующих региональных изменениях</w:t>
      </w:r>
      <w:r w:rsidR="004569FB" w:rsidRPr="00DB5643">
        <w:rPr>
          <w:iCs/>
          <w:snapToGrid w:val="0"/>
          <w:kern w:val="22"/>
          <w:szCs w:val="22"/>
          <w:lang w:val="ru-RU"/>
        </w:rPr>
        <w:t xml:space="preserve">: </w:t>
      </w:r>
      <w:r w:rsidRPr="00DB5643">
        <w:rPr>
          <w:iCs/>
          <w:snapToGrid w:val="0"/>
          <w:kern w:val="22"/>
          <w:szCs w:val="22"/>
          <w:lang w:val="ru-RU"/>
        </w:rPr>
        <w:t>Африка:</w:t>
      </w:r>
      <w:r w:rsidR="004569FB" w:rsidRPr="00DB5643">
        <w:rPr>
          <w:iCs/>
          <w:snapToGrid w:val="0"/>
          <w:kern w:val="22"/>
          <w:szCs w:val="22"/>
          <w:lang w:val="ru-RU"/>
        </w:rPr>
        <w:t xml:space="preserve"> +17</w:t>
      </w:r>
      <w:r w:rsidRPr="00DB5643">
        <w:rPr>
          <w:iCs/>
          <w:snapToGrid w:val="0"/>
          <w:kern w:val="22"/>
          <w:szCs w:val="22"/>
          <w:lang w:val="ru-RU"/>
        </w:rPr>
        <w:t> </w:t>
      </w:r>
      <w:r w:rsidR="004569FB" w:rsidRPr="00DB5643">
        <w:rPr>
          <w:iCs/>
          <w:snapToGrid w:val="0"/>
          <w:kern w:val="22"/>
          <w:szCs w:val="22"/>
          <w:lang w:val="ru-RU"/>
        </w:rPr>
        <w:t xml:space="preserve">%; </w:t>
      </w:r>
      <w:proofErr w:type="spellStart"/>
      <w:r w:rsidRPr="00DB5643">
        <w:rPr>
          <w:iCs/>
          <w:snapToGrid w:val="0"/>
          <w:kern w:val="22"/>
          <w:szCs w:val="22"/>
          <w:lang w:val="ru-RU"/>
        </w:rPr>
        <w:t>ГРУЛАК</w:t>
      </w:r>
      <w:proofErr w:type="spellEnd"/>
      <w:r w:rsidRPr="00DB5643">
        <w:rPr>
          <w:iCs/>
          <w:snapToGrid w:val="0"/>
          <w:kern w:val="22"/>
          <w:szCs w:val="22"/>
          <w:lang w:val="ru-RU"/>
        </w:rPr>
        <w:t xml:space="preserve">: </w:t>
      </w:r>
      <w:r w:rsidR="004569FB" w:rsidRPr="00DB5643">
        <w:rPr>
          <w:iCs/>
          <w:snapToGrid w:val="0"/>
          <w:kern w:val="22"/>
          <w:szCs w:val="22"/>
          <w:lang w:val="ru-RU"/>
        </w:rPr>
        <w:t>+</w:t>
      </w:r>
      <w:r w:rsidR="005E4CE8" w:rsidRPr="00DB5643">
        <w:rPr>
          <w:iCs/>
          <w:snapToGrid w:val="0"/>
          <w:kern w:val="22"/>
          <w:szCs w:val="22"/>
          <w:lang w:val="ru-RU"/>
        </w:rPr>
        <w:t>8</w:t>
      </w:r>
      <w:r w:rsidRPr="00DB5643">
        <w:rPr>
          <w:iCs/>
          <w:snapToGrid w:val="0"/>
          <w:kern w:val="22"/>
          <w:szCs w:val="22"/>
          <w:lang w:val="ru-RU"/>
        </w:rPr>
        <w:t> </w:t>
      </w:r>
      <w:r w:rsidR="004569FB" w:rsidRPr="00DB5643">
        <w:rPr>
          <w:iCs/>
          <w:snapToGrid w:val="0"/>
          <w:kern w:val="22"/>
          <w:szCs w:val="22"/>
          <w:lang w:val="ru-RU"/>
        </w:rPr>
        <w:t xml:space="preserve">%; </w:t>
      </w:r>
      <w:proofErr w:type="spellStart"/>
      <w:r w:rsidR="004569FB" w:rsidRPr="00DB5643">
        <w:rPr>
          <w:iCs/>
          <w:snapToGrid w:val="0"/>
          <w:kern w:val="22"/>
          <w:szCs w:val="22"/>
        </w:rPr>
        <w:t>CEE</w:t>
      </w:r>
      <w:proofErr w:type="spellEnd"/>
      <w:r w:rsidRPr="00DB5643">
        <w:rPr>
          <w:iCs/>
          <w:snapToGrid w:val="0"/>
          <w:kern w:val="22"/>
          <w:szCs w:val="22"/>
          <w:lang w:val="ru-RU"/>
        </w:rPr>
        <w:t>:</w:t>
      </w:r>
      <w:r w:rsidR="004569FB" w:rsidRPr="00DB5643">
        <w:rPr>
          <w:iCs/>
          <w:snapToGrid w:val="0"/>
          <w:kern w:val="22"/>
          <w:szCs w:val="22"/>
          <w:lang w:val="ru-RU"/>
        </w:rPr>
        <w:t xml:space="preserve"> +6</w:t>
      </w:r>
      <w:r w:rsidRPr="00DB5643">
        <w:rPr>
          <w:iCs/>
          <w:snapToGrid w:val="0"/>
          <w:kern w:val="22"/>
          <w:szCs w:val="22"/>
          <w:lang w:val="ru-RU"/>
        </w:rPr>
        <w:t> </w:t>
      </w:r>
      <w:r w:rsidR="004569FB" w:rsidRPr="00DB5643">
        <w:rPr>
          <w:iCs/>
          <w:snapToGrid w:val="0"/>
          <w:kern w:val="22"/>
          <w:szCs w:val="22"/>
          <w:lang w:val="ru-RU"/>
        </w:rPr>
        <w:t xml:space="preserve">%; </w:t>
      </w:r>
      <w:r w:rsidRPr="00DB5643">
        <w:rPr>
          <w:iCs/>
          <w:snapToGrid w:val="0"/>
          <w:kern w:val="22"/>
          <w:szCs w:val="22"/>
          <w:lang w:val="ru-RU"/>
        </w:rPr>
        <w:t>Азиатско-Тихоокеанский регион и</w:t>
      </w:r>
      <w:r w:rsidR="004569FB" w:rsidRPr="00DB5643">
        <w:rPr>
          <w:iCs/>
          <w:snapToGrid w:val="0"/>
          <w:kern w:val="22"/>
          <w:szCs w:val="22"/>
          <w:lang w:val="ru-RU"/>
        </w:rPr>
        <w:t xml:space="preserve"> </w:t>
      </w:r>
      <w:proofErr w:type="spellStart"/>
      <w:r w:rsidR="004569FB" w:rsidRPr="00DB5643">
        <w:rPr>
          <w:iCs/>
          <w:snapToGrid w:val="0"/>
          <w:kern w:val="22"/>
          <w:szCs w:val="22"/>
        </w:rPr>
        <w:t>WEOG</w:t>
      </w:r>
      <w:proofErr w:type="spellEnd"/>
      <w:r w:rsidRPr="00DB5643">
        <w:rPr>
          <w:iCs/>
          <w:snapToGrid w:val="0"/>
          <w:kern w:val="22"/>
          <w:szCs w:val="22"/>
          <w:lang w:val="ru-RU"/>
        </w:rPr>
        <w:t>:</w:t>
      </w:r>
      <w:r w:rsidR="004569FB" w:rsidRPr="00DB5643">
        <w:rPr>
          <w:iCs/>
          <w:snapToGrid w:val="0"/>
          <w:kern w:val="22"/>
          <w:szCs w:val="22"/>
          <w:lang w:val="ru-RU"/>
        </w:rPr>
        <w:t xml:space="preserve"> </w:t>
      </w:r>
      <w:r w:rsidRPr="00DB5643">
        <w:rPr>
          <w:snapToGrid w:val="0"/>
          <w:kern w:val="22"/>
          <w:szCs w:val="22"/>
          <w:lang w:val="ru-RU"/>
        </w:rPr>
        <w:t>без изменений по отношению к исходному уровню</w:t>
      </w:r>
      <w:r w:rsidR="004569FB" w:rsidRPr="00DB5643">
        <w:rPr>
          <w:iCs/>
          <w:snapToGrid w:val="0"/>
          <w:kern w:val="22"/>
          <w:szCs w:val="22"/>
          <w:lang w:val="ru-RU"/>
        </w:rPr>
        <w:t xml:space="preserve">). </w:t>
      </w:r>
      <w:r w:rsidR="00A77298" w:rsidRPr="00DB5643">
        <w:rPr>
          <w:iCs/>
          <w:snapToGrid w:val="0"/>
          <w:kern w:val="22"/>
          <w:szCs w:val="22"/>
          <w:lang w:val="ru-RU"/>
        </w:rPr>
        <w:t xml:space="preserve">При </w:t>
      </w:r>
      <w:proofErr w:type="gramStart"/>
      <w:r w:rsidR="00A77298" w:rsidRPr="00DB5643">
        <w:rPr>
          <w:iCs/>
          <w:snapToGrid w:val="0"/>
          <w:kern w:val="22"/>
          <w:szCs w:val="22"/>
          <w:lang w:val="ru-RU"/>
        </w:rPr>
        <w:t>том</w:t>
      </w:r>
      <w:proofErr w:type="gramEnd"/>
      <w:r w:rsidR="00A77298" w:rsidRPr="00DB5643">
        <w:rPr>
          <w:iCs/>
          <w:snapToGrid w:val="0"/>
          <w:kern w:val="22"/>
          <w:szCs w:val="22"/>
          <w:lang w:val="ru-RU"/>
        </w:rPr>
        <w:t xml:space="preserve"> что данные для сравнения с исходным уровнем отсутствуют</w:t>
      </w:r>
      <w:r w:rsidR="004569FB" w:rsidRPr="00DB5643">
        <w:rPr>
          <w:iCs/>
          <w:snapToGrid w:val="0"/>
          <w:kern w:val="22"/>
          <w:szCs w:val="22"/>
          <w:lang w:val="ru-RU"/>
        </w:rPr>
        <w:t>,</w:t>
      </w:r>
      <w:r w:rsidR="00A77298" w:rsidRPr="00DB5643">
        <w:rPr>
          <w:iCs/>
          <w:snapToGrid w:val="0"/>
          <w:kern w:val="22"/>
          <w:szCs w:val="22"/>
          <w:lang w:val="ru-RU"/>
        </w:rPr>
        <w:t xml:space="preserve"> в общей сложности</w:t>
      </w:r>
      <w:r w:rsidR="004569FB" w:rsidRPr="00DB5643">
        <w:rPr>
          <w:iCs/>
          <w:snapToGrid w:val="0"/>
          <w:kern w:val="22"/>
          <w:szCs w:val="22"/>
          <w:lang w:val="ru-RU"/>
        </w:rPr>
        <w:t xml:space="preserve"> 47</w:t>
      </w:r>
      <w:r w:rsidR="00A77298" w:rsidRPr="00DB5643">
        <w:rPr>
          <w:iCs/>
          <w:snapToGrid w:val="0"/>
          <w:kern w:val="22"/>
          <w:szCs w:val="22"/>
          <w:lang w:val="en-US"/>
        </w:rPr>
        <w:t> </w:t>
      </w:r>
      <w:r w:rsidR="004569FB" w:rsidRPr="00DB5643">
        <w:rPr>
          <w:iCs/>
          <w:snapToGrid w:val="0"/>
          <w:kern w:val="22"/>
          <w:szCs w:val="22"/>
          <w:lang w:val="ru-RU"/>
        </w:rPr>
        <w:t xml:space="preserve">% </w:t>
      </w:r>
      <w:r w:rsidR="00A77298" w:rsidRPr="00DB5643">
        <w:rPr>
          <w:iCs/>
          <w:snapToGrid w:val="0"/>
          <w:kern w:val="22"/>
          <w:szCs w:val="22"/>
          <w:lang w:val="ru-RU"/>
        </w:rPr>
        <w:t xml:space="preserve">Сторон сообщили о достаточной численности персонала при значительных региональных различиях </w:t>
      </w:r>
      <w:r w:rsidR="004569FB" w:rsidRPr="00DB5643">
        <w:rPr>
          <w:iCs/>
          <w:snapToGrid w:val="0"/>
          <w:kern w:val="22"/>
          <w:szCs w:val="22"/>
          <w:lang w:val="ru-RU"/>
        </w:rPr>
        <w:t>(</w:t>
      </w:r>
      <w:proofErr w:type="spellStart"/>
      <w:r w:rsidR="004569FB" w:rsidRPr="00DB5643">
        <w:rPr>
          <w:iCs/>
          <w:snapToGrid w:val="0"/>
          <w:kern w:val="22"/>
          <w:szCs w:val="22"/>
        </w:rPr>
        <w:t>WEOG</w:t>
      </w:r>
      <w:proofErr w:type="spellEnd"/>
      <w:r w:rsidR="00A77298" w:rsidRPr="00DB5643">
        <w:rPr>
          <w:iCs/>
          <w:snapToGrid w:val="0"/>
          <w:kern w:val="22"/>
          <w:szCs w:val="22"/>
          <w:lang w:val="ru-RU"/>
        </w:rPr>
        <w:t>:</w:t>
      </w:r>
      <w:r w:rsidR="004569FB" w:rsidRPr="00DB5643">
        <w:rPr>
          <w:iCs/>
          <w:snapToGrid w:val="0"/>
          <w:kern w:val="22"/>
          <w:szCs w:val="22"/>
          <w:lang w:val="ru-RU"/>
        </w:rPr>
        <w:t xml:space="preserve"> 87</w:t>
      </w:r>
      <w:r w:rsidR="00A77298" w:rsidRPr="00DB5643">
        <w:rPr>
          <w:iCs/>
          <w:snapToGrid w:val="0"/>
          <w:kern w:val="22"/>
          <w:szCs w:val="22"/>
          <w:lang w:val="ru-RU"/>
        </w:rPr>
        <w:t> </w:t>
      </w:r>
      <w:r w:rsidR="004569FB" w:rsidRPr="00DB5643">
        <w:rPr>
          <w:iCs/>
          <w:snapToGrid w:val="0"/>
          <w:kern w:val="22"/>
          <w:szCs w:val="22"/>
          <w:lang w:val="ru-RU"/>
        </w:rPr>
        <w:t xml:space="preserve">%; </w:t>
      </w:r>
      <w:proofErr w:type="spellStart"/>
      <w:r w:rsidR="004569FB" w:rsidRPr="00DB5643">
        <w:rPr>
          <w:iCs/>
          <w:snapToGrid w:val="0"/>
          <w:kern w:val="22"/>
          <w:szCs w:val="22"/>
        </w:rPr>
        <w:t>CEE</w:t>
      </w:r>
      <w:proofErr w:type="spellEnd"/>
      <w:r w:rsidR="00A77298" w:rsidRPr="00DB5643">
        <w:rPr>
          <w:iCs/>
          <w:snapToGrid w:val="0"/>
          <w:kern w:val="22"/>
          <w:szCs w:val="22"/>
          <w:lang w:val="ru-RU"/>
        </w:rPr>
        <w:t>:</w:t>
      </w:r>
      <w:r w:rsidR="004569FB" w:rsidRPr="00DB5643">
        <w:rPr>
          <w:iCs/>
          <w:snapToGrid w:val="0"/>
          <w:kern w:val="22"/>
          <w:szCs w:val="22"/>
          <w:lang w:val="ru-RU"/>
        </w:rPr>
        <w:t xml:space="preserve"> 71</w:t>
      </w:r>
      <w:r w:rsidR="00A77298" w:rsidRPr="00DB5643">
        <w:rPr>
          <w:iCs/>
          <w:snapToGrid w:val="0"/>
          <w:kern w:val="22"/>
          <w:szCs w:val="22"/>
          <w:lang w:val="ru-RU"/>
        </w:rPr>
        <w:t> </w:t>
      </w:r>
      <w:r w:rsidR="004569FB" w:rsidRPr="00DB5643">
        <w:rPr>
          <w:iCs/>
          <w:snapToGrid w:val="0"/>
          <w:kern w:val="22"/>
          <w:szCs w:val="22"/>
          <w:lang w:val="ru-RU"/>
        </w:rPr>
        <w:t xml:space="preserve">%; </w:t>
      </w:r>
      <w:r w:rsidR="00A77298" w:rsidRPr="00DB5643">
        <w:rPr>
          <w:iCs/>
          <w:snapToGrid w:val="0"/>
          <w:kern w:val="22"/>
          <w:szCs w:val="22"/>
          <w:lang w:val="ru-RU"/>
        </w:rPr>
        <w:t xml:space="preserve">Азиатско-Тихоокеанский регион: </w:t>
      </w:r>
      <w:r w:rsidR="004569FB" w:rsidRPr="00DB5643">
        <w:rPr>
          <w:iCs/>
          <w:snapToGrid w:val="0"/>
          <w:kern w:val="22"/>
          <w:szCs w:val="22"/>
          <w:lang w:val="ru-RU"/>
        </w:rPr>
        <w:t>44</w:t>
      </w:r>
      <w:r w:rsidR="00A77298" w:rsidRPr="00DB5643">
        <w:rPr>
          <w:iCs/>
          <w:snapToGrid w:val="0"/>
          <w:kern w:val="22"/>
          <w:szCs w:val="22"/>
          <w:lang w:val="ru-RU"/>
        </w:rPr>
        <w:t> </w:t>
      </w:r>
      <w:r w:rsidR="004569FB" w:rsidRPr="00DB5643">
        <w:rPr>
          <w:iCs/>
          <w:snapToGrid w:val="0"/>
          <w:kern w:val="22"/>
          <w:szCs w:val="22"/>
          <w:lang w:val="ru-RU"/>
        </w:rPr>
        <w:t xml:space="preserve">%; </w:t>
      </w:r>
      <w:proofErr w:type="spellStart"/>
      <w:r w:rsidR="00A77298" w:rsidRPr="00DB5643">
        <w:rPr>
          <w:iCs/>
          <w:snapToGrid w:val="0"/>
          <w:kern w:val="22"/>
          <w:szCs w:val="22"/>
          <w:lang w:val="ru-RU"/>
        </w:rPr>
        <w:t>ГРУЛАК</w:t>
      </w:r>
      <w:proofErr w:type="spellEnd"/>
      <w:r w:rsidR="00A77298" w:rsidRPr="00DB5643">
        <w:rPr>
          <w:iCs/>
          <w:snapToGrid w:val="0"/>
          <w:kern w:val="22"/>
          <w:szCs w:val="22"/>
          <w:lang w:val="ru-RU"/>
        </w:rPr>
        <w:t>:</w:t>
      </w:r>
      <w:r w:rsidR="004569FB" w:rsidRPr="00DB5643">
        <w:rPr>
          <w:iCs/>
          <w:snapToGrid w:val="0"/>
          <w:kern w:val="22"/>
          <w:szCs w:val="22"/>
          <w:lang w:val="ru-RU"/>
        </w:rPr>
        <w:t xml:space="preserve"> 27</w:t>
      </w:r>
      <w:r w:rsidR="00A77298" w:rsidRPr="00DB5643">
        <w:rPr>
          <w:iCs/>
          <w:snapToGrid w:val="0"/>
          <w:kern w:val="22"/>
          <w:szCs w:val="22"/>
          <w:lang w:val="ru-RU"/>
        </w:rPr>
        <w:t> </w:t>
      </w:r>
      <w:r w:rsidR="004569FB" w:rsidRPr="00DB5643">
        <w:rPr>
          <w:iCs/>
          <w:snapToGrid w:val="0"/>
          <w:kern w:val="22"/>
          <w:szCs w:val="22"/>
          <w:lang w:val="ru-RU"/>
        </w:rPr>
        <w:t xml:space="preserve">%; </w:t>
      </w:r>
      <w:r w:rsidR="00A77298" w:rsidRPr="00DB5643">
        <w:rPr>
          <w:iCs/>
          <w:snapToGrid w:val="0"/>
          <w:kern w:val="22"/>
          <w:szCs w:val="22"/>
          <w:lang w:val="ru-RU"/>
        </w:rPr>
        <w:t>Африка:</w:t>
      </w:r>
      <w:r w:rsidR="004569FB" w:rsidRPr="00DB5643">
        <w:rPr>
          <w:iCs/>
          <w:snapToGrid w:val="0"/>
          <w:kern w:val="22"/>
          <w:szCs w:val="22"/>
          <w:lang w:val="ru-RU"/>
        </w:rPr>
        <w:t xml:space="preserve"> 20%)</w:t>
      </w:r>
      <w:r w:rsidR="004569FB" w:rsidRPr="00DB5643">
        <w:rPr>
          <w:rStyle w:val="ac"/>
          <w:iCs/>
          <w:snapToGrid w:val="0"/>
          <w:kern w:val="22"/>
          <w:szCs w:val="22"/>
        </w:rPr>
        <w:footnoteReference w:id="45"/>
      </w:r>
      <w:r w:rsidR="00A77298" w:rsidRPr="00DB5643">
        <w:rPr>
          <w:iCs/>
          <w:snapToGrid w:val="0"/>
          <w:kern w:val="22"/>
          <w:szCs w:val="22"/>
          <w:lang w:val="ru-RU"/>
        </w:rPr>
        <w:t>.</w:t>
      </w:r>
    </w:p>
    <w:p w14:paraId="690ACD1D" w14:textId="6A1D8640" w:rsidR="004569FB" w:rsidRPr="00DB5643" w:rsidRDefault="008D5AAF" w:rsidP="00C44716">
      <w:pPr>
        <w:pStyle w:val="a3"/>
        <w:numPr>
          <w:ilvl w:val="0"/>
          <w:numId w:val="9"/>
        </w:numPr>
        <w:tabs>
          <w:tab w:val="clear" w:pos="3240"/>
        </w:tabs>
        <w:snapToGrid w:val="0"/>
        <w:spacing w:before="120"/>
        <w:ind w:left="0" w:firstLine="0"/>
        <w:contextualSpacing w:val="0"/>
        <w:rPr>
          <w:i/>
          <w:iCs/>
          <w:snapToGrid w:val="0"/>
          <w:kern w:val="22"/>
          <w:szCs w:val="22"/>
          <w:lang w:val="ru-RU"/>
        </w:rPr>
      </w:pPr>
      <w:r w:rsidRPr="00DB5643">
        <w:rPr>
          <w:iCs/>
          <w:snapToGrid w:val="0"/>
          <w:kern w:val="22"/>
          <w:szCs w:val="22"/>
          <w:lang w:val="ru-RU"/>
        </w:rPr>
        <w:t xml:space="preserve">Несколько Сторон отметили в </w:t>
      </w:r>
      <w:r w:rsidRPr="00DB5643">
        <w:rPr>
          <w:snapToGrid w:val="0"/>
          <w:kern w:val="22"/>
          <w:szCs w:val="22"/>
          <w:lang w:val="ru-RU"/>
        </w:rPr>
        <w:t>своих ответах в развернутой форме, что</w:t>
      </w:r>
      <w:r w:rsidRPr="00DB5643">
        <w:rPr>
          <w:iCs/>
          <w:snapToGrid w:val="0"/>
          <w:kern w:val="22"/>
          <w:szCs w:val="22"/>
          <w:lang w:val="ru-RU"/>
        </w:rPr>
        <w:t xml:space="preserve"> юридические документы</w:t>
      </w:r>
      <w:r w:rsidRPr="00DB5643">
        <w:rPr>
          <w:snapToGrid w:val="0"/>
          <w:kern w:val="22"/>
          <w:szCs w:val="22"/>
          <w:lang w:val="ru-RU"/>
        </w:rPr>
        <w:t xml:space="preserve"> </w:t>
      </w:r>
      <w:r w:rsidRPr="00DB5643">
        <w:rPr>
          <w:iCs/>
          <w:snapToGrid w:val="0"/>
          <w:kern w:val="22"/>
          <w:szCs w:val="22"/>
          <w:lang w:val="ru-RU"/>
        </w:rPr>
        <w:t>разрабатываются или ожидают принятия</w:t>
      </w:r>
      <w:r w:rsidR="004569FB" w:rsidRPr="00DB5643">
        <w:rPr>
          <w:iCs/>
          <w:snapToGrid w:val="0"/>
          <w:kern w:val="22"/>
          <w:szCs w:val="22"/>
          <w:lang w:val="ru-RU"/>
        </w:rPr>
        <w:t xml:space="preserve">. </w:t>
      </w:r>
      <w:r w:rsidRPr="00DB5643">
        <w:rPr>
          <w:iCs/>
          <w:snapToGrid w:val="0"/>
          <w:kern w:val="22"/>
          <w:szCs w:val="22"/>
          <w:lang w:val="ru-RU"/>
        </w:rPr>
        <w:t>Некоторые из этих Сторон отметили, что принятие этих документов, как ожидается, будет иметь положительное влияние на организационные структуры и доступность ресурсов</w:t>
      </w:r>
      <w:r w:rsidR="004569FB" w:rsidRPr="00DB5643">
        <w:rPr>
          <w:iCs/>
          <w:snapToGrid w:val="0"/>
          <w:kern w:val="22"/>
          <w:szCs w:val="22"/>
          <w:lang w:val="ru-RU"/>
        </w:rPr>
        <w:t xml:space="preserve">. </w:t>
      </w:r>
      <w:r w:rsidRPr="00DB5643">
        <w:rPr>
          <w:iCs/>
          <w:snapToGrid w:val="0"/>
          <w:kern w:val="22"/>
          <w:szCs w:val="22"/>
          <w:lang w:val="ru-RU"/>
        </w:rPr>
        <w:t>Некоторые Стороны отметили</w:t>
      </w:r>
      <w:r w:rsidR="004569FB" w:rsidRPr="00DB5643">
        <w:rPr>
          <w:iCs/>
          <w:snapToGrid w:val="0"/>
          <w:kern w:val="22"/>
          <w:szCs w:val="22"/>
          <w:lang w:val="ru-RU"/>
        </w:rPr>
        <w:t xml:space="preserve"> </w:t>
      </w:r>
      <w:r w:rsidRPr="00DB5643">
        <w:rPr>
          <w:iCs/>
          <w:snapToGrid w:val="0"/>
          <w:kern w:val="22"/>
          <w:szCs w:val="22"/>
          <w:lang w:val="ru-RU"/>
        </w:rPr>
        <w:t>важность учет</w:t>
      </w:r>
      <w:r w:rsidR="00601C79" w:rsidRPr="00DB5643">
        <w:rPr>
          <w:iCs/>
          <w:snapToGrid w:val="0"/>
          <w:kern w:val="22"/>
          <w:szCs w:val="22"/>
          <w:lang w:val="ru-RU"/>
        </w:rPr>
        <w:t>а</w:t>
      </w:r>
      <w:r w:rsidRPr="00DB5643">
        <w:rPr>
          <w:iCs/>
          <w:snapToGrid w:val="0"/>
          <w:kern w:val="22"/>
          <w:szCs w:val="22"/>
          <w:lang w:val="ru-RU"/>
        </w:rPr>
        <w:t xml:space="preserve"> аспектов биобезопасности</w:t>
      </w:r>
      <w:r w:rsidR="00601C79" w:rsidRPr="00DB5643">
        <w:rPr>
          <w:iCs/>
          <w:snapToGrid w:val="0"/>
          <w:kern w:val="22"/>
          <w:szCs w:val="22"/>
          <w:lang w:val="ru-RU"/>
        </w:rPr>
        <w:t xml:space="preserve"> в различных секторальных и </w:t>
      </w:r>
      <w:proofErr w:type="spellStart"/>
      <w:r w:rsidR="00601C79" w:rsidRPr="00DB5643">
        <w:rPr>
          <w:iCs/>
          <w:snapToGrid w:val="0"/>
          <w:kern w:val="22"/>
          <w:szCs w:val="22"/>
          <w:lang w:val="ru-RU"/>
        </w:rPr>
        <w:t>межсекторальных</w:t>
      </w:r>
      <w:proofErr w:type="spellEnd"/>
      <w:r w:rsidR="00601C79" w:rsidRPr="00DB5643">
        <w:rPr>
          <w:iCs/>
          <w:snapToGrid w:val="0"/>
          <w:kern w:val="22"/>
          <w:szCs w:val="22"/>
          <w:lang w:val="ru-RU"/>
        </w:rPr>
        <w:t xml:space="preserve"> стратегиях и юридических документах</w:t>
      </w:r>
      <w:r w:rsidR="004569FB" w:rsidRPr="00DB5643">
        <w:rPr>
          <w:iCs/>
          <w:snapToGrid w:val="0"/>
          <w:kern w:val="22"/>
          <w:szCs w:val="22"/>
          <w:lang w:val="ru-RU"/>
        </w:rPr>
        <w:t xml:space="preserve">. </w:t>
      </w:r>
      <w:r w:rsidR="00601C79" w:rsidRPr="00DB5643">
        <w:rPr>
          <w:iCs/>
          <w:snapToGrid w:val="0"/>
          <w:kern w:val="22"/>
          <w:szCs w:val="22"/>
          <w:lang w:val="ru-RU"/>
        </w:rPr>
        <w:t xml:space="preserve">Некоторые Стороны сообщили об эффективном учете аспектов биобезопасности в секторальных и </w:t>
      </w:r>
      <w:proofErr w:type="spellStart"/>
      <w:r w:rsidR="00601C79" w:rsidRPr="00DB5643">
        <w:rPr>
          <w:iCs/>
          <w:snapToGrid w:val="0"/>
          <w:kern w:val="22"/>
          <w:szCs w:val="22"/>
          <w:lang w:val="ru-RU"/>
        </w:rPr>
        <w:t>межсекторальных</w:t>
      </w:r>
      <w:proofErr w:type="spellEnd"/>
      <w:r w:rsidR="00601C79" w:rsidRPr="00DB5643">
        <w:rPr>
          <w:iCs/>
          <w:snapToGrid w:val="0"/>
          <w:kern w:val="22"/>
          <w:szCs w:val="22"/>
          <w:lang w:val="ru-RU"/>
        </w:rPr>
        <w:t xml:space="preserve"> стратегиях и законах</w:t>
      </w:r>
      <w:r w:rsidR="004569FB" w:rsidRPr="00DB5643">
        <w:rPr>
          <w:iCs/>
          <w:snapToGrid w:val="0"/>
          <w:kern w:val="22"/>
          <w:szCs w:val="22"/>
          <w:lang w:val="ru-RU"/>
        </w:rPr>
        <w:t>.</w:t>
      </w:r>
      <w:r w:rsidR="00601C79" w:rsidRPr="00DB5643">
        <w:rPr>
          <w:iCs/>
          <w:snapToGrid w:val="0"/>
          <w:kern w:val="22"/>
          <w:szCs w:val="22"/>
          <w:lang w:val="ru-RU"/>
        </w:rPr>
        <w:t xml:space="preserve"> Несколько Сторон отметили, что недостаток ресурсов и потенциала негативно </w:t>
      </w:r>
      <w:r w:rsidR="009C7111">
        <w:rPr>
          <w:iCs/>
          <w:snapToGrid w:val="0"/>
          <w:kern w:val="22"/>
          <w:szCs w:val="22"/>
          <w:lang w:val="ru-RU"/>
        </w:rPr>
        <w:t>влияет</w:t>
      </w:r>
      <w:r w:rsidR="00601C79" w:rsidRPr="00DB5643">
        <w:rPr>
          <w:iCs/>
          <w:snapToGrid w:val="0"/>
          <w:kern w:val="22"/>
          <w:szCs w:val="22"/>
          <w:lang w:val="ru-RU"/>
        </w:rPr>
        <w:t xml:space="preserve"> на осуществление Протокола</w:t>
      </w:r>
      <w:r w:rsidR="004569FB" w:rsidRPr="00DB5643">
        <w:rPr>
          <w:iCs/>
          <w:snapToGrid w:val="0"/>
          <w:kern w:val="22"/>
          <w:szCs w:val="22"/>
          <w:lang w:val="ru-RU"/>
        </w:rPr>
        <w:t>.</w:t>
      </w:r>
    </w:p>
    <w:p w14:paraId="4AEAFDE1" w14:textId="77777777" w:rsidR="00C44716" w:rsidRPr="00DB5643" w:rsidRDefault="00C44716" w:rsidP="00C44716">
      <w:pPr>
        <w:pStyle w:val="a3"/>
        <w:snapToGrid w:val="0"/>
        <w:spacing w:after="120"/>
        <w:ind w:left="0"/>
        <w:contextualSpacing w:val="0"/>
        <w:rPr>
          <w:i/>
          <w:iCs/>
          <w:snapToGrid w:val="0"/>
          <w:kern w:val="22"/>
          <w:szCs w:val="22"/>
          <w:lang w:val="ru-RU"/>
        </w:rPr>
      </w:pPr>
    </w:p>
    <w:p w14:paraId="6474C9B7" w14:textId="006CD73B" w:rsidR="004569FB" w:rsidRPr="00DB5643" w:rsidRDefault="00C44716" w:rsidP="00BD461C">
      <w:pPr>
        <w:pStyle w:val="a3"/>
        <w:snapToGrid w:val="0"/>
        <w:ind w:left="0"/>
        <w:contextualSpacing w:val="0"/>
        <w:jc w:val="left"/>
        <w:rPr>
          <w:iCs/>
          <w:snapToGrid w:val="0"/>
          <w:kern w:val="22"/>
          <w:szCs w:val="22"/>
          <w:lang w:val="ru-RU"/>
        </w:rPr>
      </w:pPr>
      <w:r w:rsidRPr="00DB5643">
        <w:rPr>
          <w:iCs/>
          <w:noProof/>
          <w:kern w:val="22"/>
          <w:szCs w:val="22"/>
          <w:lang w:val="ru-RU" w:eastAsia="ru-RU"/>
        </w:rPr>
        <w:drawing>
          <wp:inline distT="0" distB="0" distL="0" distR="0" wp14:anchorId="5E8BBEA4" wp14:editId="79C219FE">
            <wp:extent cx="5953760" cy="4143020"/>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57909" cy="4145907"/>
                    </a:xfrm>
                    <a:prstGeom prst="rect">
                      <a:avLst/>
                    </a:prstGeom>
                    <a:noFill/>
                  </pic:spPr>
                </pic:pic>
              </a:graphicData>
            </a:graphic>
          </wp:inline>
        </w:drawing>
      </w:r>
    </w:p>
    <w:p w14:paraId="1BEEC81E" w14:textId="323293B6" w:rsidR="004569FB" w:rsidRPr="00DB5643" w:rsidRDefault="009C7111" w:rsidP="003434D7">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Что касается</w:t>
      </w:r>
      <w:r w:rsidR="004569FB" w:rsidRPr="00DB5643">
        <w:rPr>
          <w:snapToGrid w:val="0"/>
          <w:kern w:val="22"/>
          <w:szCs w:val="22"/>
          <w:lang w:val="ru-RU"/>
        </w:rPr>
        <w:t xml:space="preserve"> </w:t>
      </w:r>
      <w:r w:rsidR="00696F27" w:rsidRPr="00DB5643">
        <w:rPr>
          <w:b/>
          <w:snapToGrid w:val="0"/>
          <w:kern w:val="22"/>
          <w:szCs w:val="22"/>
          <w:lang w:val="ru-RU"/>
        </w:rPr>
        <w:t>индикатора</w:t>
      </w:r>
      <w:r w:rsidR="004569FB" w:rsidRPr="00DB5643">
        <w:rPr>
          <w:b/>
          <w:snapToGrid w:val="0"/>
          <w:kern w:val="22"/>
          <w:szCs w:val="22"/>
          <w:lang w:val="ru-RU"/>
        </w:rPr>
        <w:t xml:space="preserve"> 3.1.3</w:t>
      </w:r>
      <w:r w:rsidR="004569FB" w:rsidRPr="00DB5643">
        <w:rPr>
          <w:snapToGrid w:val="0"/>
          <w:kern w:val="22"/>
          <w:szCs w:val="22"/>
          <w:lang w:val="ru-RU"/>
        </w:rPr>
        <w:t xml:space="preserve"> (</w:t>
      </w:r>
      <w:r w:rsidR="00696F27" w:rsidRPr="00DB5643">
        <w:rPr>
          <w:snapToGrid w:val="0"/>
          <w:kern w:val="22"/>
          <w:szCs w:val="22"/>
          <w:lang w:val="ru-RU"/>
        </w:rPr>
        <w:t>процентная доля Сторон, назначивших все национальные координационные центры)</w:t>
      </w:r>
      <w:r>
        <w:rPr>
          <w:snapToGrid w:val="0"/>
          <w:kern w:val="22"/>
          <w:szCs w:val="22"/>
          <w:lang w:val="ru-RU"/>
        </w:rPr>
        <w:t>,</w:t>
      </w:r>
      <w:r w:rsidR="004569FB" w:rsidRPr="00DB5643">
        <w:rPr>
          <w:snapToGrid w:val="0"/>
          <w:kern w:val="22"/>
          <w:szCs w:val="22"/>
          <w:lang w:val="ru-RU"/>
        </w:rPr>
        <w:t xml:space="preserve"> </w:t>
      </w:r>
      <w:r w:rsidR="00122860" w:rsidRPr="00DB5643">
        <w:rPr>
          <w:snapToGrid w:val="0"/>
          <w:kern w:val="22"/>
          <w:szCs w:val="22"/>
          <w:lang w:val="ru-RU"/>
        </w:rPr>
        <w:t>98</w:t>
      </w:r>
      <w:r w:rsidR="00696F27" w:rsidRPr="00DB5643">
        <w:rPr>
          <w:snapToGrid w:val="0"/>
          <w:kern w:val="22"/>
          <w:szCs w:val="22"/>
          <w:lang w:val="ru-RU"/>
        </w:rPr>
        <w:t> </w:t>
      </w:r>
      <w:r w:rsidR="00122860" w:rsidRPr="00DB5643">
        <w:rPr>
          <w:snapToGrid w:val="0"/>
          <w:kern w:val="22"/>
          <w:szCs w:val="22"/>
          <w:lang w:val="ru-RU"/>
        </w:rPr>
        <w:t xml:space="preserve">% </w:t>
      </w:r>
      <w:r w:rsidR="00696F27" w:rsidRPr="00DB5643">
        <w:rPr>
          <w:snapToGrid w:val="0"/>
          <w:kern w:val="22"/>
          <w:szCs w:val="22"/>
          <w:lang w:val="ru-RU"/>
        </w:rPr>
        <w:t>всех Сторон Протокола</w:t>
      </w:r>
      <w:r w:rsidR="00122860" w:rsidRPr="00DB5643">
        <w:rPr>
          <w:snapToGrid w:val="0"/>
          <w:kern w:val="22"/>
          <w:szCs w:val="22"/>
          <w:lang w:val="ru-RU"/>
        </w:rPr>
        <w:t xml:space="preserve"> (168 </w:t>
      </w:r>
      <w:r w:rsidR="00696F27" w:rsidRPr="00DB5643">
        <w:rPr>
          <w:snapToGrid w:val="0"/>
          <w:kern w:val="22"/>
          <w:szCs w:val="22"/>
          <w:lang w:val="ru-RU"/>
        </w:rPr>
        <w:t>Сторон</w:t>
      </w:r>
      <w:r w:rsidR="00122860" w:rsidRPr="00DB5643">
        <w:rPr>
          <w:snapToGrid w:val="0"/>
          <w:kern w:val="22"/>
          <w:szCs w:val="22"/>
          <w:lang w:val="ru-RU"/>
        </w:rPr>
        <w:t xml:space="preserve">) </w:t>
      </w:r>
      <w:r w:rsidR="00696F27" w:rsidRPr="00DB5643">
        <w:rPr>
          <w:snapToGrid w:val="0"/>
          <w:kern w:val="22"/>
          <w:szCs w:val="22"/>
          <w:lang w:val="ru-RU"/>
        </w:rPr>
        <w:t xml:space="preserve">назначили свои национальные координационные центры </w:t>
      </w:r>
      <w:r>
        <w:rPr>
          <w:snapToGrid w:val="0"/>
          <w:kern w:val="22"/>
          <w:szCs w:val="22"/>
          <w:lang w:val="ru-RU"/>
        </w:rPr>
        <w:t>по</w:t>
      </w:r>
      <w:r w:rsidR="00696F27" w:rsidRPr="00DB5643">
        <w:rPr>
          <w:snapToGrid w:val="0"/>
          <w:kern w:val="22"/>
          <w:szCs w:val="22"/>
          <w:lang w:val="ru-RU"/>
        </w:rPr>
        <w:t xml:space="preserve"> </w:t>
      </w:r>
      <w:proofErr w:type="spellStart"/>
      <w:r w:rsidR="00696F27" w:rsidRPr="00DB5643">
        <w:rPr>
          <w:snapToGrid w:val="0"/>
          <w:kern w:val="22"/>
          <w:szCs w:val="22"/>
          <w:lang w:val="ru-RU"/>
        </w:rPr>
        <w:t>Картахенско</w:t>
      </w:r>
      <w:r>
        <w:rPr>
          <w:snapToGrid w:val="0"/>
          <w:kern w:val="22"/>
          <w:szCs w:val="22"/>
          <w:lang w:val="ru-RU"/>
        </w:rPr>
        <w:t>му</w:t>
      </w:r>
      <w:proofErr w:type="spellEnd"/>
      <w:r w:rsidR="00696F27" w:rsidRPr="00DB5643">
        <w:rPr>
          <w:snapToGrid w:val="0"/>
          <w:kern w:val="22"/>
          <w:szCs w:val="22"/>
          <w:lang w:val="ru-RU"/>
        </w:rPr>
        <w:t xml:space="preserve"> протокол</w:t>
      </w:r>
      <w:r>
        <w:rPr>
          <w:snapToGrid w:val="0"/>
          <w:kern w:val="22"/>
          <w:szCs w:val="22"/>
          <w:lang w:val="ru-RU"/>
        </w:rPr>
        <w:t>у</w:t>
      </w:r>
      <w:r w:rsidR="00122860" w:rsidRPr="00DB5643">
        <w:rPr>
          <w:snapToGrid w:val="0"/>
          <w:kern w:val="22"/>
          <w:szCs w:val="22"/>
          <w:lang w:val="ru-RU"/>
        </w:rPr>
        <w:t xml:space="preserve">. </w:t>
      </w:r>
      <w:r w:rsidR="00696F27" w:rsidRPr="00DB5643">
        <w:rPr>
          <w:snapToGrid w:val="0"/>
          <w:kern w:val="22"/>
          <w:szCs w:val="22"/>
          <w:lang w:val="ru-RU"/>
        </w:rPr>
        <w:t>Это соответствует уменьшению</w:t>
      </w:r>
      <w:r w:rsidR="00122860" w:rsidRPr="00DB5643">
        <w:rPr>
          <w:snapToGrid w:val="0"/>
          <w:kern w:val="22"/>
          <w:szCs w:val="22"/>
          <w:lang w:val="ru-RU"/>
        </w:rPr>
        <w:t xml:space="preserve"> </w:t>
      </w:r>
      <w:r w:rsidR="00696F27" w:rsidRPr="00DB5643">
        <w:rPr>
          <w:snapToGrid w:val="0"/>
          <w:kern w:val="22"/>
          <w:szCs w:val="22"/>
          <w:lang w:val="ru-RU"/>
        </w:rPr>
        <w:t>на</w:t>
      </w:r>
      <w:r w:rsidR="00122860" w:rsidRPr="00DB5643">
        <w:rPr>
          <w:snapToGrid w:val="0"/>
          <w:kern w:val="22"/>
          <w:szCs w:val="22"/>
          <w:lang w:val="ru-RU"/>
        </w:rPr>
        <w:t xml:space="preserve"> 1</w:t>
      </w:r>
      <w:r w:rsidR="00696F27" w:rsidRPr="00DB5643">
        <w:rPr>
          <w:snapToGrid w:val="0"/>
          <w:kern w:val="22"/>
          <w:szCs w:val="22"/>
          <w:lang w:val="en-US"/>
        </w:rPr>
        <w:t> </w:t>
      </w:r>
      <w:r w:rsidR="00122860" w:rsidRPr="00DB5643">
        <w:rPr>
          <w:snapToGrid w:val="0"/>
          <w:kern w:val="22"/>
          <w:szCs w:val="22"/>
          <w:lang w:val="ru-RU"/>
        </w:rPr>
        <w:t xml:space="preserve">% </w:t>
      </w:r>
      <w:r w:rsidR="00696F27" w:rsidRPr="00DB5643">
        <w:rPr>
          <w:iCs/>
          <w:snapToGrid w:val="0"/>
          <w:kern w:val="22"/>
          <w:szCs w:val="22"/>
          <w:lang w:val="ru-RU"/>
        </w:rPr>
        <w:t>по сравнению с исходным уровнем</w:t>
      </w:r>
      <w:r w:rsidR="00122860" w:rsidRPr="00DB5643">
        <w:rPr>
          <w:snapToGrid w:val="0"/>
          <w:kern w:val="22"/>
          <w:szCs w:val="22"/>
          <w:lang w:val="ru-RU"/>
        </w:rPr>
        <w:t xml:space="preserve">, </w:t>
      </w:r>
      <w:r w:rsidR="00082C24" w:rsidRPr="00DB5643">
        <w:rPr>
          <w:snapToGrid w:val="0"/>
          <w:kern w:val="22"/>
          <w:szCs w:val="22"/>
          <w:lang w:val="ru-RU"/>
        </w:rPr>
        <w:t>при котором этот показатель</w:t>
      </w:r>
      <w:r w:rsidR="00122860" w:rsidRPr="00DB5643">
        <w:rPr>
          <w:snapToGrid w:val="0"/>
          <w:kern w:val="22"/>
          <w:szCs w:val="22"/>
          <w:lang w:val="ru-RU"/>
        </w:rPr>
        <w:t xml:space="preserve"> </w:t>
      </w:r>
      <w:r w:rsidR="00082C24" w:rsidRPr="00DB5643">
        <w:rPr>
          <w:snapToGrid w:val="0"/>
          <w:kern w:val="22"/>
          <w:szCs w:val="22"/>
          <w:lang w:val="ru-RU"/>
        </w:rPr>
        <w:t>составлял</w:t>
      </w:r>
      <w:r w:rsidR="00122860" w:rsidRPr="00DB5643">
        <w:rPr>
          <w:snapToGrid w:val="0"/>
          <w:kern w:val="22"/>
          <w:szCs w:val="22"/>
          <w:lang w:val="ru-RU"/>
        </w:rPr>
        <w:t xml:space="preserve"> 99</w:t>
      </w:r>
      <w:r w:rsidR="00082C24" w:rsidRPr="00DB5643">
        <w:rPr>
          <w:snapToGrid w:val="0"/>
          <w:kern w:val="22"/>
          <w:szCs w:val="22"/>
          <w:lang w:val="ru-RU"/>
        </w:rPr>
        <w:t> </w:t>
      </w:r>
      <w:r w:rsidR="00122860" w:rsidRPr="00DB5643">
        <w:rPr>
          <w:snapToGrid w:val="0"/>
          <w:kern w:val="22"/>
          <w:szCs w:val="22"/>
          <w:lang w:val="ru-RU"/>
        </w:rPr>
        <w:t xml:space="preserve">% (159 </w:t>
      </w:r>
      <w:r w:rsidR="00082C24" w:rsidRPr="00DB5643">
        <w:rPr>
          <w:snapToGrid w:val="0"/>
          <w:kern w:val="22"/>
          <w:szCs w:val="22"/>
          <w:lang w:val="ru-RU"/>
        </w:rPr>
        <w:t>из</w:t>
      </w:r>
      <w:r w:rsidR="00122860" w:rsidRPr="00DB5643">
        <w:rPr>
          <w:snapToGrid w:val="0"/>
          <w:kern w:val="22"/>
          <w:szCs w:val="22"/>
          <w:lang w:val="ru-RU"/>
        </w:rPr>
        <w:t xml:space="preserve"> 161 </w:t>
      </w:r>
      <w:r w:rsidR="00082C24" w:rsidRPr="00DB5643">
        <w:rPr>
          <w:snapToGrid w:val="0"/>
          <w:kern w:val="22"/>
          <w:szCs w:val="22"/>
          <w:lang w:val="ru-RU"/>
        </w:rPr>
        <w:t>Стороны на тот момент</w:t>
      </w:r>
      <w:r w:rsidR="00122860" w:rsidRPr="00DB5643">
        <w:rPr>
          <w:snapToGrid w:val="0"/>
          <w:kern w:val="22"/>
          <w:szCs w:val="22"/>
          <w:lang w:val="ru-RU"/>
        </w:rPr>
        <w:t>)</w:t>
      </w:r>
      <w:r w:rsidR="008738E5" w:rsidRPr="00DB5643">
        <w:rPr>
          <w:snapToGrid w:val="0"/>
          <w:kern w:val="22"/>
          <w:szCs w:val="22"/>
          <w:lang w:val="ru-RU"/>
        </w:rPr>
        <w:t>.</w:t>
      </w:r>
      <w:r w:rsidR="00122860" w:rsidRPr="00DB5643">
        <w:rPr>
          <w:snapToGrid w:val="0"/>
          <w:kern w:val="22"/>
          <w:szCs w:val="22"/>
          <w:lang w:val="ru-RU"/>
        </w:rPr>
        <w:t xml:space="preserve"> </w:t>
      </w:r>
      <w:r w:rsidR="00082C24" w:rsidRPr="00DB5643">
        <w:rPr>
          <w:snapToGrid w:val="0"/>
          <w:kern w:val="22"/>
          <w:szCs w:val="22"/>
          <w:lang w:val="ru-RU"/>
        </w:rPr>
        <w:t>В общей сложности</w:t>
      </w:r>
      <w:r w:rsidR="00122860" w:rsidRPr="00DB5643">
        <w:rPr>
          <w:snapToGrid w:val="0"/>
          <w:kern w:val="22"/>
          <w:szCs w:val="22"/>
          <w:lang w:val="ru-RU"/>
        </w:rPr>
        <w:t xml:space="preserve"> 99</w:t>
      </w:r>
      <w:r w:rsidR="00082C24" w:rsidRPr="00DB5643">
        <w:rPr>
          <w:snapToGrid w:val="0"/>
          <w:kern w:val="22"/>
          <w:szCs w:val="22"/>
          <w:lang w:val="en-US"/>
        </w:rPr>
        <w:t> </w:t>
      </w:r>
      <w:r w:rsidR="00122860" w:rsidRPr="00DB5643">
        <w:rPr>
          <w:snapToGrid w:val="0"/>
          <w:kern w:val="22"/>
          <w:szCs w:val="22"/>
          <w:lang w:val="ru-RU"/>
        </w:rPr>
        <w:t xml:space="preserve">% </w:t>
      </w:r>
      <w:r w:rsidR="00082C24" w:rsidRPr="00DB5643">
        <w:rPr>
          <w:snapToGrid w:val="0"/>
          <w:kern w:val="22"/>
          <w:szCs w:val="22"/>
          <w:lang w:val="ru-RU"/>
        </w:rPr>
        <w:t>всех Сторон Протокола</w:t>
      </w:r>
      <w:r w:rsidR="00122860" w:rsidRPr="00DB5643">
        <w:rPr>
          <w:snapToGrid w:val="0"/>
          <w:kern w:val="22"/>
          <w:szCs w:val="22"/>
          <w:lang w:val="ru-RU"/>
        </w:rPr>
        <w:t xml:space="preserve"> (169</w:t>
      </w:r>
      <w:r w:rsidR="00082C24" w:rsidRPr="00DB5643">
        <w:rPr>
          <w:snapToGrid w:val="0"/>
          <w:kern w:val="22"/>
          <w:szCs w:val="22"/>
          <w:lang w:val="ru-RU"/>
        </w:rPr>
        <w:t xml:space="preserve"> Сторон</w:t>
      </w:r>
      <w:r w:rsidR="00122860" w:rsidRPr="00DB5643">
        <w:rPr>
          <w:snapToGrid w:val="0"/>
          <w:kern w:val="22"/>
          <w:szCs w:val="22"/>
          <w:lang w:val="ru-RU"/>
        </w:rPr>
        <w:t xml:space="preserve">) </w:t>
      </w:r>
      <w:r w:rsidR="00082C24" w:rsidRPr="00DB5643">
        <w:rPr>
          <w:snapToGrid w:val="0"/>
          <w:kern w:val="22"/>
          <w:szCs w:val="22"/>
          <w:lang w:val="ru-RU"/>
        </w:rPr>
        <w:t xml:space="preserve">назначили свои координационные центры </w:t>
      </w:r>
      <w:r>
        <w:rPr>
          <w:snapToGrid w:val="0"/>
          <w:kern w:val="22"/>
          <w:szCs w:val="22"/>
          <w:lang w:val="ru-RU"/>
        </w:rPr>
        <w:t>по</w:t>
      </w:r>
      <w:r w:rsidR="00082C24" w:rsidRPr="00DB5643">
        <w:rPr>
          <w:snapToGrid w:val="0"/>
          <w:kern w:val="22"/>
          <w:szCs w:val="22"/>
          <w:lang w:val="ru-RU"/>
        </w:rPr>
        <w:t xml:space="preserve"> </w:t>
      </w:r>
      <w:proofErr w:type="spellStart"/>
      <w:r w:rsidR="00082C24" w:rsidRPr="00DB5643">
        <w:rPr>
          <w:snapToGrid w:val="0"/>
          <w:kern w:val="22"/>
          <w:szCs w:val="22"/>
          <w:lang w:val="ru-RU"/>
        </w:rPr>
        <w:t>МПБ</w:t>
      </w:r>
      <w:proofErr w:type="spellEnd"/>
      <w:r w:rsidR="00122860" w:rsidRPr="00DB5643">
        <w:rPr>
          <w:snapToGrid w:val="0"/>
          <w:kern w:val="22"/>
          <w:szCs w:val="22"/>
          <w:lang w:val="ru-RU"/>
        </w:rPr>
        <w:t xml:space="preserve">. </w:t>
      </w:r>
      <w:r w:rsidR="00082C24" w:rsidRPr="00DB5643">
        <w:rPr>
          <w:snapToGrid w:val="0"/>
          <w:kern w:val="22"/>
          <w:szCs w:val="22"/>
          <w:lang w:val="ru-RU"/>
        </w:rPr>
        <w:t xml:space="preserve">Это соответствует отсутствию </w:t>
      </w:r>
      <w:r w:rsidR="00082C24" w:rsidRPr="00DB5643">
        <w:rPr>
          <w:snapToGrid w:val="0"/>
          <w:kern w:val="22"/>
          <w:szCs w:val="22"/>
          <w:lang w:val="ru-RU"/>
        </w:rPr>
        <w:lastRenderedPageBreak/>
        <w:t xml:space="preserve">изменений по отношению к исходному уровню, при котором этот показатель составлял </w:t>
      </w:r>
      <w:r w:rsidR="00122860" w:rsidRPr="00DB5643">
        <w:rPr>
          <w:snapToGrid w:val="0"/>
          <w:kern w:val="22"/>
          <w:szCs w:val="22"/>
          <w:lang w:val="ru-RU"/>
        </w:rPr>
        <w:t>99</w:t>
      </w:r>
      <w:r w:rsidR="00082C24" w:rsidRPr="00DB5643">
        <w:rPr>
          <w:snapToGrid w:val="0"/>
          <w:kern w:val="22"/>
          <w:szCs w:val="22"/>
          <w:lang w:val="en-US"/>
        </w:rPr>
        <w:t> </w:t>
      </w:r>
      <w:r w:rsidR="00122860" w:rsidRPr="00DB5643">
        <w:rPr>
          <w:snapToGrid w:val="0"/>
          <w:kern w:val="22"/>
          <w:szCs w:val="22"/>
          <w:lang w:val="ru-RU"/>
        </w:rPr>
        <w:t xml:space="preserve">% (160 </w:t>
      </w:r>
      <w:r w:rsidR="00082C24" w:rsidRPr="00DB5643">
        <w:rPr>
          <w:snapToGrid w:val="0"/>
          <w:kern w:val="22"/>
          <w:szCs w:val="22"/>
          <w:lang w:val="ru-RU"/>
        </w:rPr>
        <w:t>из</w:t>
      </w:r>
      <w:r w:rsidR="00122860" w:rsidRPr="00DB5643">
        <w:rPr>
          <w:snapToGrid w:val="0"/>
          <w:kern w:val="22"/>
          <w:szCs w:val="22"/>
          <w:lang w:val="ru-RU"/>
        </w:rPr>
        <w:t xml:space="preserve"> 161 </w:t>
      </w:r>
      <w:r w:rsidR="00082C24" w:rsidRPr="00DB5643">
        <w:rPr>
          <w:snapToGrid w:val="0"/>
          <w:kern w:val="22"/>
          <w:szCs w:val="22"/>
          <w:lang w:val="ru-RU"/>
        </w:rPr>
        <w:t>Стороны на тот момент</w:t>
      </w:r>
      <w:r w:rsidR="00122860" w:rsidRPr="00DB5643">
        <w:rPr>
          <w:snapToGrid w:val="0"/>
          <w:kern w:val="22"/>
          <w:szCs w:val="22"/>
          <w:lang w:val="ru-RU"/>
        </w:rPr>
        <w:t>);</w:t>
      </w:r>
      <w:r w:rsidR="00082C24" w:rsidRPr="00DB5643">
        <w:rPr>
          <w:snapToGrid w:val="0"/>
          <w:kern w:val="22"/>
          <w:szCs w:val="22"/>
          <w:lang w:val="ru-RU"/>
        </w:rPr>
        <w:t xml:space="preserve"> в общей сложности</w:t>
      </w:r>
      <w:r w:rsidR="00122860" w:rsidRPr="00DB5643">
        <w:rPr>
          <w:snapToGrid w:val="0"/>
          <w:kern w:val="22"/>
          <w:szCs w:val="22"/>
          <w:lang w:val="ru-RU"/>
        </w:rPr>
        <w:t xml:space="preserve"> 89</w:t>
      </w:r>
      <w:r w:rsidR="00082C24" w:rsidRPr="00DB5643">
        <w:rPr>
          <w:snapToGrid w:val="0"/>
          <w:kern w:val="22"/>
          <w:szCs w:val="22"/>
          <w:lang w:val="ru-RU"/>
        </w:rPr>
        <w:t> </w:t>
      </w:r>
      <w:r w:rsidR="00122860" w:rsidRPr="00DB5643">
        <w:rPr>
          <w:snapToGrid w:val="0"/>
          <w:kern w:val="22"/>
          <w:szCs w:val="22"/>
          <w:lang w:val="ru-RU"/>
        </w:rPr>
        <w:t xml:space="preserve">% </w:t>
      </w:r>
      <w:r w:rsidR="00082C24" w:rsidRPr="00DB5643">
        <w:rPr>
          <w:snapToGrid w:val="0"/>
          <w:kern w:val="22"/>
          <w:szCs w:val="22"/>
          <w:lang w:val="ru-RU"/>
        </w:rPr>
        <w:t>всех Сторон Протокола</w:t>
      </w:r>
      <w:r w:rsidR="00122860" w:rsidRPr="00DB5643">
        <w:rPr>
          <w:snapToGrid w:val="0"/>
          <w:kern w:val="22"/>
          <w:szCs w:val="22"/>
          <w:lang w:val="ru-RU"/>
        </w:rPr>
        <w:t xml:space="preserve"> (152 </w:t>
      </w:r>
      <w:r w:rsidR="00082C24" w:rsidRPr="00DB5643">
        <w:rPr>
          <w:snapToGrid w:val="0"/>
          <w:kern w:val="22"/>
          <w:szCs w:val="22"/>
          <w:lang w:val="ru-RU"/>
        </w:rPr>
        <w:t>Стороны</w:t>
      </w:r>
      <w:r w:rsidR="00122860" w:rsidRPr="00DB5643">
        <w:rPr>
          <w:snapToGrid w:val="0"/>
          <w:kern w:val="22"/>
          <w:szCs w:val="22"/>
          <w:lang w:val="ru-RU"/>
        </w:rPr>
        <w:t xml:space="preserve">) </w:t>
      </w:r>
      <w:r w:rsidR="00082C24" w:rsidRPr="00DB5643">
        <w:rPr>
          <w:snapToGrid w:val="0"/>
          <w:kern w:val="22"/>
          <w:szCs w:val="22"/>
          <w:lang w:val="ru-RU"/>
        </w:rPr>
        <w:t>назначили один или несколько компетентных национальных органов</w:t>
      </w:r>
      <w:r w:rsidR="00122860" w:rsidRPr="00DB5643">
        <w:rPr>
          <w:snapToGrid w:val="0"/>
          <w:kern w:val="22"/>
          <w:szCs w:val="22"/>
          <w:lang w:val="ru-RU"/>
        </w:rPr>
        <w:t xml:space="preserve">. </w:t>
      </w:r>
      <w:r w:rsidR="00082C24" w:rsidRPr="00DB5643">
        <w:rPr>
          <w:snapToGrid w:val="0"/>
          <w:kern w:val="22"/>
          <w:szCs w:val="22"/>
          <w:lang w:val="ru-RU"/>
        </w:rPr>
        <w:t>Это соответствует увеличению</w:t>
      </w:r>
      <w:r w:rsidR="00122860" w:rsidRPr="00DB5643">
        <w:rPr>
          <w:snapToGrid w:val="0"/>
          <w:kern w:val="22"/>
          <w:szCs w:val="22"/>
          <w:lang w:val="ru-RU"/>
        </w:rPr>
        <w:t xml:space="preserve"> </w:t>
      </w:r>
      <w:r w:rsidR="00082C24" w:rsidRPr="00DB5643">
        <w:rPr>
          <w:snapToGrid w:val="0"/>
          <w:kern w:val="22"/>
          <w:szCs w:val="22"/>
          <w:lang w:val="ru-RU"/>
        </w:rPr>
        <w:t>на</w:t>
      </w:r>
      <w:r w:rsidR="00122860" w:rsidRPr="00DB5643">
        <w:rPr>
          <w:snapToGrid w:val="0"/>
          <w:kern w:val="22"/>
          <w:szCs w:val="22"/>
          <w:lang w:val="ru-RU"/>
        </w:rPr>
        <w:t xml:space="preserve"> </w:t>
      </w:r>
      <w:r w:rsidR="00A8455B" w:rsidRPr="00DB5643">
        <w:rPr>
          <w:snapToGrid w:val="0"/>
          <w:kern w:val="22"/>
          <w:szCs w:val="22"/>
          <w:lang w:val="ru-RU"/>
        </w:rPr>
        <w:t>1</w:t>
      </w:r>
      <w:r w:rsidR="00082C24" w:rsidRPr="00DB5643">
        <w:rPr>
          <w:snapToGrid w:val="0"/>
          <w:kern w:val="22"/>
          <w:szCs w:val="22"/>
          <w:lang w:val="en-US"/>
        </w:rPr>
        <w:t> </w:t>
      </w:r>
      <w:r w:rsidR="00122860" w:rsidRPr="00DB5643">
        <w:rPr>
          <w:snapToGrid w:val="0"/>
          <w:kern w:val="22"/>
          <w:szCs w:val="22"/>
          <w:lang w:val="ru-RU"/>
        </w:rPr>
        <w:t xml:space="preserve">% </w:t>
      </w:r>
      <w:r w:rsidR="00082C24" w:rsidRPr="00DB5643">
        <w:rPr>
          <w:iCs/>
          <w:snapToGrid w:val="0"/>
          <w:kern w:val="22"/>
          <w:szCs w:val="22"/>
          <w:lang w:val="ru-RU"/>
        </w:rPr>
        <w:t>по сравнению с исходным уровнем</w:t>
      </w:r>
      <w:r w:rsidR="00122860" w:rsidRPr="00DB5643">
        <w:rPr>
          <w:snapToGrid w:val="0"/>
          <w:kern w:val="22"/>
          <w:szCs w:val="22"/>
          <w:lang w:val="ru-RU"/>
        </w:rPr>
        <w:t xml:space="preserve">, </w:t>
      </w:r>
      <w:r w:rsidR="00082C24" w:rsidRPr="00DB5643">
        <w:rPr>
          <w:snapToGrid w:val="0"/>
          <w:kern w:val="22"/>
          <w:szCs w:val="22"/>
          <w:lang w:val="ru-RU"/>
        </w:rPr>
        <w:t xml:space="preserve">при котором этот показатель составлял </w:t>
      </w:r>
      <w:r w:rsidR="00122860" w:rsidRPr="00DB5643">
        <w:rPr>
          <w:snapToGrid w:val="0"/>
          <w:kern w:val="22"/>
          <w:szCs w:val="22"/>
          <w:lang w:val="ru-RU"/>
        </w:rPr>
        <w:t>88</w:t>
      </w:r>
      <w:r w:rsidR="00082C24" w:rsidRPr="00DB5643">
        <w:rPr>
          <w:snapToGrid w:val="0"/>
          <w:kern w:val="22"/>
          <w:szCs w:val="22"/>
          <w:lang w:val="ru-RU"/>
        </w:rPr>
        <w:t> </w:t>
      </w:r>
      <w:r w:rsidR="00122860" w:rsidRPr="00DB5643">
        <w:rPr>
          <w:snapToGrid w:val="0"/>
          <w:kern w:val="22"/>
          <w:szCs w:val="22"/>
          <w:lang w:val="ru-RU"/>
        </w:rPr>
        <w:t xml:space="preserve">% (142 </w:t>
      </w:r>
      <w:r w:rsidR="00082C24" w:rsidRPr="00DB5643">
        <w:rPr>
          <w:snapToGrid w:val="0"/>
          <w:kern w:val="22"/>
          <w:szCs w:val="22"/>
          <w:lang w:val="ru-RU"/>
        </w:rPr>
        <w:t>из</w:t>
      </w:r>
      <w:r w:rsidR="00122860" w:rsidRPr="00DB5643">
        <w:rPr>
          <w:snapToGrid w:val="0"/>
          <w:kern w:val="22"/>
          <w:szCs w:val="22"/>
          <w:lang w:val="ru-RU"/>
        </w:rPr>
        <w:t xml:space="preserve"> 161 </w:t>
      </w:r>
      <w:r w:rsidR="00082C24" w:rsidRPr="00DB5643">
        <w:rPr>
          <w:snapToGrid w:val="0"/>
          <w:kern w:val="22"/>
          <w:szCs w:val="22"/>
          <w:lang w:val="ru-RU"/>
        </w:rPr>
        <w:t>Стороны на тот момент</w:t>
      </w:r>
      <w:r w:rsidR="00122860" w:rsidRPr="00DB5643">
        <w:rPr>
          <w:snapToGrid w:val="0"/>
          <w:kern w:val="22"/>
          <w:szCs w:val="22"/>
          <w:lang w:val="ru-RU"/>
        </w:rPr>
        <w:t xml:space="preserve">). </w:t>
      </w:r>
      <w:r w:rsidR="004E6170" w:rsidRPr="00DB5643">
        <w:rPr>
          <w:snapToGrid w:val="0"/>
          <w:kern w:val="22"/>
          <w:szCs w:val="22"/>
          <w:lang w:val="ru-RU"/>
        </w:rPr>
        <w:t>Более того</w:t>
      </w:r>
      <w:r w:rsidR="00122860" w:rsidRPr="00DB5643">
        <w:rPr>
          <w:snapToGrid w:val="0"/>
          <w:kern w:val="22"/>
          <w:szCs w:val="22"/>
          <w:lang w:val="ru-RU"/>
        </w:rPr>
        <w:t xml:space="preserve">, </w:t>
      </w:r>
      <w:r w:rsidR="004E6170" w:rsidRPr="00DB5643">
        <w:rPr>
          <w:snapToGrid w:val="0"/>
          <w:kern w:val="22"/>
          <w:szCs w:val="22"/>
          <w:lang w:val="ru-RU"/>
        </w:rPr>
        <w:t>в общей сложности</w:t>
      </w:r>
      <w:r w:rsidR="00122860" w:rsidRPr="00DB5643">
        <w:rPr>
          <w:snapToGrid w:val="0"/>
          <w:kern w:val="22"/>
          <w:szCs w:val="22"/>
          <w:lang w:val="ru-RU"/>
        </w:rPr>
        <w:t xml:space="preserve"> 78</w:t>
      </w:r>
      <w:r w:rsidR="004E6170" w:rsidRPr="00DB5643">
        <w:rPr>
          <w:snapToGrid w:val="0"/>
          <w:kern w:val="22"/>
          <w:szCs w:val="22"/>
          <w:lang w:val="en-US"/>
        </w:rPr>
        <w:t> </w:t>
      </w:r>
      <w:r w:rsidR="00122860" w:rsidRPr="00DB5643">
        <w:rPr>
          <w:snapToGrid w:val="0"/>
          <w:kern w:val="22"/>
          <w:szCs w:val="22"/>
          <w:lang w:val="ru-RU"/>
        </w:rPr>
        <w:t xml:space="preserve">% </w:t>
      </w:r>
      <w:r w:rsidR="004E6170" w:rsidRPr="00DB5643">
        <w:rPr>
          <w:snapToGrid w:val="0"/>
          <w:kern w:val="22"/>
          <w:szCs w:val="22"/>
          <w:lang w:val="ru-RU"/>
        </w:rPr>
        <w:t xml:space="preserve">всех Сторон Протокола </w:t>
      </w:r>
      <w:r w:rsidR="00122860" w:rsidRPr="00DB5643">
        <w:rPr>
          <w:snapToGrid w:val="0"/>
          <w:kern w:val="22"/>
          <w:szCs w:val="22"/>
          <w:lang w:val="ru-RU"/>
        </w:rPr>
        <w:t xml:space="preserve">(133 </w:t>
      </w:r>
      <w:r w:rsidR="004E6170" w:rsidRPr="00DB5643">
        <w:rPr>
          <w:snapToGrid w:val="0"/>
          <w:kern w:val="22"/>
          <w:szCs w:val="22"/>
          <w:lang w:val="ru-RU"/>
        </w:rPr>
        <w:t>Стороны</w:t>
      </w:r>
      <w:r w:rsidR="00122860" w:rsidRPr="00DB5643">
        <w:rPr>
          <w:snapToGrid w:val="0"/>
          <w:kern w:val="22"/>
          <w:szCs w:val="22"/>
          <w:lang w:val="ru-RU"/>
        </w:rPr>
        <w:t xml:space="preserve">) </w:t>
      </w:r>
      <w:r w:rsidR="004E6170" w:rsidRPr="00DB5643">
        <w:rPr>
          <w:snapToGrid w:val="0"/>
          <w:kern w:val="22"/>
          <w:szCs w:val="22"/>
          <w:lang w:val="ru-RU"/>
        </w:rPr>
        <w:t xml:space="preserve">предоставили в </w:t>
      </w:r>
      <w:proofErr w:type="spellStart"/>
      <w:r w:rsidR="004E6170" w:rsidRPr="00DB5643">
        <w:rPr>
          <w:snapToGrid w:val="0"/>
          <w:kern w:val="22"/>
          <w:szCs w:val="22"/>
          <w:lang w:val="ru-RU"/>
        </w:rPr>
        <w:t>МПБ</w:t>
      </w:r>
      <w:proofErr w:type="spellEnd"/>
      <w:r w:rsidR="004E6170" w:rsidRPr="00DB5643">
        <w:rPr>
          <w:snapToGrid w:val="0"/>
          <w:kern w:val="22"/>
          <w:szCs w:val="22"/>
          <w:lang w:val="ru-RU"/>
        </w:rPr>
        <w:t xml:space="preserve"> информацию об их контактных пунктах для получения уведомлений, предусмотренных статьей 17. Это соответствует увеличению на 34</w:t>
      </w:r>
      <w:r w:rsidR="004E6170" w:rsidRPr="00DB5643">
        <w:rPr>
          <w:snapToGrid w:val="0"/>
          <w:kern w:val="22"/>
          <w:szCs w:val="22"/>
          <w:lang w:val="en-US"/>
        </w:rPr>
        <w:t> </w:t>
      </w:r>
      <w:r w:rsidR="004E6170" w:rsidRPr="00DB5643">
        <w:rPr>
          <w:snapToGrid w:val="0"/>
          <w:kern w:val="22"/>
          <w:szCs w:val="22"/>
          <w:lang w:val="ru-RU"/>
        </w:rPr>
        <w:t>% по сравнению с исходным уровнем, при котором этот показатель составлял 44 % (71 из 161 Стороны на тот момент)</w:t>
      </w:r>
      <w:r w:rsidR="004569FB" w:rsidRPr="00DB5643">
        <w:rPr>
          <w:iCs/>
          <w:snapToGrid w:val="0"/>
          <w:kern w:val="22"/>
          <w:szCs w:val="22"/>
          <w:lang w:val="ru-RU"/>
        </w:rPr>
        <w:t>.</w:t>
      </w:r>
    </w:p>
    <w:p w14:paraId="7A3C4C41" w14:textId="745159CE" w:rsidR="00FA1E8C" w:rsidRPr="00DB5643" w:rsidRDefault="004E6170"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iCs/>
          <w:snapToGrid w:val="0"/>
          <w:kern w:val="22"/>
          <w:szCs w:val="22"/>
          <w:lang w:val="ru-RU"/>
        </w:rPr>
        <w:t>В отношении</w:t>
      </w:r>
      <w:r w:rsidR="004569FB" w:rsidRPr="00DB5643">
        <w:rPr>
          <w:iCs/>
          <w:snapToGrid w:val="0"/>
          <w:kern w:val="22"/>
          <w:szCs w:val="22"/>
          <w:lang w:val="ru-RU"/>
        </w:rPr>
        <w:t xml:space="preserve"> </w:t>
      </w:r>
      <w:r w:rsidRPr="00DB5643">
        <w:rPr>
          <w:b/>
          <w:iCs/>
          <w:snapToGrid w:val="0"/>
          <w:kern w:val="22"/>
          <w:szCs w:val="22"/>
          <w:lang w:val="ru-RU"/>
        </w:rPr>
        <w:t>индикатора</w:t>
      </w:r>
      <w:r w:rsidR="004569FB" w:rsidRPr="00DB5643">
        <w:rPr>
          <w:b/>
          <w:iCs/>
          <w:snapToGrid w:val="0"/>
          <w:kern w:val="22"/>
          <w:szCs w:val="22"/>
          <w:lang w:val="ru-RU"/>
        </w:rPr>
        <w:t xml:space="preserve"> 3.1.4 </w:t>
      </w:r>
      <w:r w:rsidR="004569FB" w:rsidRPr="00DB5643">
        <w:rPr>
          <w:iCs/>
          <w:snapToGrid w:val="0"/>
          <w:kern w:val="22"/>
          <w:szCs w:val="22"/>
          <w:lang w:val="ru-RU"/>
        </w:rPr>
        <w:t>(</w:t>
      </w:r>
      <w:r w:rsidRPr="00DB5643">
        <w:rPr>
          <w:iCs/>
          <w:snapToGrid w:val="0"/>
          <w:kern w:val="22"/>
          <w:szCs w:val="22"/>
          <w:lang w:val="ru-RU"/>
        </w:rPr>
        <w:t xml:space="preserve">число Сторон, внедривших систему рассмотрения заявок, включая заявки на получение </w:t>
      </w:r>
      <w:r w:rsidR="00E810CA" w:rsidRPr="00DB5643">
        <w:rPr>
          <w:iCs/>
          <w:snapToGrid w:val="0"/>
          <w:kern w:val="22"/>
          <w:szCs w:val="22"/>
          <w:lang w:val="ru-RU"/>
        </w:rPr>
        <w:t>заблаговременного</w:t>
      </w:r>
      <w:r w:rsidRPr="00DB5643">
        <w:rPr>
          <w:iCs/>
          <w:snapToGrid w:val="0"/>
          <w:kern w:val="22"/>
          <w:szCs w:val="22"/>
          <w:lang w:val="ru-RU"/>
        </w:rPr>
        <w:t xml:space="preserve"> обоснованного согласия</w:t>
      </w:r>
      <w:r w:rsidR="004569FB" w:rsidRPr="00DB5643">
        <w:rPr>
          <w:iCs/>
          <w:snapToGrid w:val="0"/>
          <w:kern w:val="22"/>
          <w:szCs w:val="22"/>
          <w:lang w:val="ru-RU"/>
        </w:rPr>
        <w:t>)</w:t>
      </w:r>
      <w:r w:rsidR="004569FB" w:rsidRPr="00DB5643">
        <w:rPr>
          <w:snapToGrid w:val="0"/>
          <w:kern w:val="22"/>
          <w:szCs w:val="22"/>
          <w:lang w:val="ru-RU"/>
        </w:rPr>
        <w:t xml:space="preserve"> 66% </w:t>
      </w:r>
      <w:r w:rsidR="0042630A" w:rsidRPr="00DB5643">
        <w:rPr>
          <w:snapToGrid w:val="0"/>
          <w:kern w:val="22"/>
          <w:szCs w:val="22"/>
          <w:lang w:val="ru-RU"/>
        </w:rPr>
        <w:t>Сторон</w:t>
      </w:r>
      <w:r w:rsidR="004569FB" w:rsidRPr="00DB5643">
        <w:rPr>
          <w:snapToGrid w:val="0"/>
          <w:kern w:val="22"/>
          <w:szCs w:val="22"/>
          <w:lang w:val="ru-RU"/>
        </w:rPr>
        <w:t xml:space="preserve"> (61 </w:t>
      </w:r>
      <w:r w:rsidR="0042630A" w:rsidRPr="00DB5643">
        <w:rPr>
          <w:snapToGrid w:val="0"/>
          <w:kern w:val="22"/>
          <w:szCs w:val="22"/>
          <w:lang w:val="ru-RU"/>
        </w:rPr>
        <w:t>Сторона</w:t>
      </w:r>
      <w:r w:rsidR="004569FB" w:rsidRPr="00DB5643">
        <w:rPr>
          <w:snapToGrid w:val="0"/>
          <w:kern w:val="22"/>
          <w:szCs w:val="22"/>
          <w:lang w:val="ru-RU"/>
        </w:rPr>
        <w:t xml:space="preserve">) </w:t>
      </w:r>
      <w:r w:rsidR="0042630A" w:rsidRPr="00DB5643">
        <w:rPr>
          <w:snapToGrid w:val="0"/>
          <w:kern w:val="22"/>
          <w:szCs w:val="22"/>
          <w:lang w:val="ru-RU"/>
        </w:rPr>
        <w:t xml:space="preserve">сообщили об установлении ими юридических требований к экспортерам, находящимся в их внутренней юрисдикции, о письменном уведомлении компетентного национального органа Стороны импорта перед преднамеренным трансграничным перемещением </w:t>
      </w:r>
      <w:proofErr w:type="spellStart"/>
      <w:r w:rsidR="0042630A" w:rsidRPr="00DB5643">
        <w:rPr>
          <w:snapToGrid w:val="0"/>
          <w:kern w:val="22"/>
          <w:szCs w:val="22"/>
          <w:lang w:val="ru-RU"/>
        </w:rPr>
        <w:t>ЖИО</w:t>
      </w:r>
      <w:proofErr w:type="spellEnd"/>
      <w:r w:rsidR="0042630A" w:rsidRPr="00DB5643">
        <w:rPr>
          <w:snapToGrid w:val="0"/>
          <w:kern w:val="22"/>
          <w:szCs w:val="22"/>
          <w:lang w:val="ru-RU"/>
        </w:rPr>
        <w:t>, на который распространяется действие процедуры заблаговременного обоснованного согласия (</w:t>
      </w:r>
      <w:proofErr w:type="spellStart"/>
      <w:r w:rsidR="0042630A" w:rsidRPr="00DB5643">
        <w:rPr>
          <w:snapToGrid w:val="0"/>
          <w:kern w:val="22"/>
          <w:szCs w:val="22"/>
          <w:lang w:val="ru-RU"/>
        </w:rPr>
        <w:t>ЗОС</w:t>
      </w:r>
      <w:proofErr w:type="spellEnd"/>
      <w:r w:rsidR="0042630A" w:rsidRPr="00DB5643">
        <w:rPr>
          <w:snapToGrid w:val="0"/>
          <w:kern w:val="22"/>
          <w:szCs w:val="22"/>
          <w:lang w:val="ru-RU"/>
        </w:rPr>
        <w:t>), что на 5 % больше по сравнению с исходным уровнем</w:t>
      </w:r>
      <w:r w:rsidR="004569FB" w:rsidRPr="00DB5643">
        <w:rPr>
          <w:snapToGrid w:val="0"/>
          <w:kern w:val="22"/>
          <w:szCs w:val="22"/>
          <w:lang w:val="ru-RU"/>
        </w:rPr>
        <w:t xml:space="preserve">. </w:t>
      </w:r>
      <w:r w:rsidR="00E810CA" w:rsidRPr="00DB5643">
        <w:rPr>
          <w:snapToGrid w:val="0"/>
          <w:kern w:val="22"/>
          <w:szCs w:val="22"/>
          <w:lang w:val="ru-RU"/>
        </w:rPr>
        <w:t>Кроме того, 10</w:t>
      </w:r>
      <w:r w:rsidR="00E810CA" w:rsidRPr="00DB5643">
        <w:rPr>
          <w:snapToGrid w:val="0"/>
          <w:kern w:val="22"/>
          <w:szCs w:val="22"/>
          <w:lang w:val="en-US"/>
        </w:rPr>
        <w:t> </w:t>
      </w:r>
      <w:r w:rsidR="00E810CA" w:rsidRPr="00DB5643">
        <w:rPr>
          <w:snapToGrid w:val="0"/>
          <w:kern w:val="22"/>
          <w:szCs w:val="22"/>
          <w:lang w:val="ru-RU"/>
        </w:rPr>
        <w:t>% Сторон (9 Сторон) сообщили об установлении ими таких юридических требований к экспортерам в некоторой степени</w:t>
      </w:r>
      <w:r w:rsidR="004569FB" w:rsidRPr="00DB5643">
        <w:rPr>
          <w:rStyle w:val="ac"/>
          <w:snapToGrid w:val="0"/>
          <w:kern w:val="22"/>
          <w:szCs w:val="22"/>
        </w:rPr>
        <w:footnoteReference w:id="46"/>
      </w:r>
      <w:r w:rsidR="00E810CA" w:rsidRPr="00DB5643">
        <w:rPr>
          <w:snapToGrid w:val="0"/>
          <w:kern w:val="22"/>
          <w:szCs w:val="22"/>
          <w:lang w:val="ru-RU"/>
        </w:rPr>
        <w:t>.</w:t>
      </w:r>
      <w:r w:rsidR="004569FB" w:rsidRPr="00DB5643">
        <w:rPr>
          <w:snapToGrid w:val="0"/>
          <w:kern w:val="22"/>
          <w:szCs w:val="22"/>
          <w:lang w:val="ru-RU"/>
        </w:rPr>
        <w:t xml:space="preserve"> </w:t>
      </w:r>
      <w:r w:rsidR="00E810CA" w:rsidRPr="00DB5643">
        <w:rPr>
          <w:snapToGrid w:val="0"/>
          <w:kern w:val="22"/>
          <w:szCs w:val="22"/>
          <w:lang w:val="ru-RU"/>
        </w:rPr>
        <w:t>В</w:t>
      </w:r>
      <w:r w:rsidR="009C7111">
        <w:rPr>
          <w:snapToGrid w:val="0"/>
          <w:kern w:val="22"/>
          <w:szCs w:val="22"/>
          <w:lang w:val="ru-RU"/>
        </w:rPr>
        <w:t xml:space="preserve"> совокупности</w:t>
      </w:r>
      <w:r w:rsidR="00E810CA" w:rsidRPr="00DB5643">
        <w:rPr>
          <w:snapToGrid w:val="0"/>
          <w:kern w:val="22"/>
          <w:szCs w:val="22"/>
          <w:lang w:val="ru-RU"/>
        </w:rPr>
        <w:t xml:space="preserve"> 76</w:t>
      </w:r>
      <w:r w:rsidR="00E810CA" w:rsidRPr="00DB5643">
        <w:rPr>
          <w:snapToGrid w:val="0"/>
          <w:kern w:val="22"/>
          <w:szCs w:val="22"/>
          <w:lang w:val="en-US"/>
        </w:rPr>
        <w:t> </w:t>
      </w:r>
      <w:r w:rsidR="00E810CA" w:rsidRPr="00DB5643">
        <w:rPr>
          <w:snapToGrid w:val="0"/>
          <w:kern w:val="22"/>
          <w:szCs w:val="22"/>
          <w:lang w:val="ru-RU"/>
        </w:rPr>
        <w:t>% Сторон сообщили об установлении ими таких юридических требований, что на 14 %</w:t>
      </w:r>
      <w:r w:rsidR="006C163A" w:rsidRPr="00DB5643">
        <w:rPr>
          <w:rStyle w:val="ac"/>
          <w:snapToGrid w:val="0"/>
          <w:kern w:val="22"/>
          <w:szCs w:val="22"/>
        </w:rPr>
        <w:footnoteReference w:id="47"/>
      </w:r>
      <w:r w:rsidR="004569FB" w:rsidRPr="00DB5643">
        <w:rPr>
          <w:snapToGrid w:val="0"/>
          <w:kern w:val="22"/>
          <w:szCs w:val="22"/>
          <w:lang w:val="ru-RU"/>
        </w:rPr>
        <w:t xml:space="preserve"> </w:t>
      </w:r>
      <w:r w:rsidR="00E810CA" w:rsidRPr="00DB5643">
        <w:rPr>
          <w:snapToGrid w:val="0"/>
          <w:kern w:val="22"/>
          <w:szCs w:val="22"/>
          <w:lang w:val="ru-RU"/>
        </w:rPr>
        <w:t xml:space="preserve">больше по сравнению с исходным уровнем </w:t>
      </w:r>
      <w:r w:rsidR="004569FB" w:rsidRPr="00DB5643">
        <w:rPr>
          <w:snapToGrid w:val="0"/>
          <w:kern w:val="22"/>
          <w:szCs w:val="22"/>
          <w:lang w:val="ru-RU"/>
        </w:rPr>
        <w:t>(</w:t>
      </w:r>
      <w:r w:rsidR="00BC4CFB" w:rsidRPr="00DB5643">
        <w:rPr>
          <w:snapToGrid w:val="0"/>
          <w:kern w:val="22"/>
          <w:szCs w:val="22"/>
          <w:lang w:val="ru-RU"/>
        </w:rPr>
        <w:t xml:space="preserve">при следующих региональных изменениях: Азиатско-Тихоокеанский регион: +38 %; </w:t>
      </w:r>
      <w:proofErr w:type="spellStart"/>
      <w:r w:rsidR="00BC4CFB" w:rsidRPr="00DB5643">
        <w:rPr>
          <w:snapToGrid w:val="0"/>
          <w:kern w:val="22"/>
          <w:szCs w:val="22"/>
          <w:lang w:val="ru-RU"/>
        </w:rPr>
        <w:t>ГРУЛАК</w:t>
      </w:r>
      <w:proofErr w:type="spellEnd"/>
      <w:r w:rsidR="00BC4CFB" w:rsidRPr="00DB5643">
        <w:rPr>
          <w:snapToGrid w:val="0"/>
          <w:kern w:val="22"/>
          <w:szCs w:val="22"/>
          <w:lang w:val="ru-RU"/>
        </w:rPr>
        <w:t xml:space="preserve">: +31 %; Африка: +7 %; </w:t>
      </w:r>
      <w:proofErr w:type="spellStart"/>
      <w:r w:rsidR="00BC4CFB" w:rsidRPr="00DB5643">
        <w:rPr>
          <w:snapToGrid w:val="0"/>
          <w:kern w:val="22"/>
          <w:szCs w:val="22"/>
        </w:rPr>
        <w:t>WEOG</w:t>
      </w:r>
      <w:proofErr w:type="spellEnd"/>
      <w:r w:rsidR="00BC4CFB" w:rsidRPr="00DB5643">
        <w:rPr>
          <w:snapToGrid w:val="0"/>
          <w:kern w:val="22"/>
          <w:szCs w:val="22"/>
          <w:lang w:val="ru-RU"/>
        </w:rPr>
        <w:t xml:space="preserve">: +6 %; </w:t>
      </w:r>
      <w:proofErr w:type="spellStart"/>
      <w:r w:rsidR="00BC4CFB" w:rsidRPr="00DB5643">
        <w:rPr>
          <w:snapToGrid w:val="0"/>
          <w:kern w:val="22"/>
          <w:szCs w:val="22"/>
        </w:rPr>
        <w:t>CEE</w:t>
      </w:r>
      <w:proofErr w:type="spellEnd"/>
      <w:r w:rsidR="00BC4CFB" w:rsidRPr="00DB5643">
        <w:rPr>
          <w:snapToGrid w:val="0"/>
          <w:kern w:val="22"/>
          <w:szCs w:val="22"/>
          <w:lang w:val="ru-RU"/>
        </w:rPr>
        <w:t>: без изменений по отношению к исходному уровню). В общей сложности 25</w:t>
      </w:r>
      <w:r w:rsidR="00BC4CFB" w:rsidRPr="00DB5643">
        <w:rPr>
          <w:snapToGrid w:val="0"/>
          <w:kern w:val="22"/>
          <w:szCs w:val="22"/>
          <w:lang w:val="en-US"/>
        </w:rPr>
        <w:t> </w:t>
      </w:r>
      <w:r w:rsidR="00BC4CFB" w:rsidRPr="00DB5643">
        <w:rPr>
          <w:snapToGrid w:val="0"/>
          <w:kern w:val="22"/>
          <w:szCs w:val="22"/>
          <w:lang w:val="ru-RU"/>
        </w:rPr>
        <w:t>% Сторон (23 Стороны) сообщили о том, что они не установили таких юридических требований, что соответствует уменьшению на 14 %</w:t>
      </w:r>
      <w:r w:rsidR="004569FB" w:rsidRPr="00DB5643">
        <w:rPr>
          <w:snapToGrid w:val="0"/>
          <w:kern w:val="22"/>
          <w:szCs w:val="22"/>
          <w:lang w:val="ru-RU"/>
        </w:rPr>
        <w:t>.</w:t>
      </w:r>
    </w:p>
    <w:p w14:paraId="729DD05B" w14:textId="41B75A26" w:rsidR="004569FB" w:rsidRPr="00DB5643" w:rsidRDefault="00BC4CFB"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21</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 (19</w:t>
      </w:r>
      <w:r w:rsidRPr="00DB5643">
        <w:rPr>
          <w:snapToGrid w:val="0"/>
          <w:kern w:val="22"/>
          <w:szCs w:val="22"/>
        </w:rPr>
        <w:t> </w:t>
      </w:r>
      <w:r w:rsidRPr="00DB5643">
        <w:rPr>
          <w:snapToGrid w:val="0"/>
          <w:kern w:val="22"/>
          <w:szCs w:val="22"/>
          <w:lang w:val="ru-RU"/>
        </w:rPr>
        <w:t xml:space="preserve">Сторон) сообщили о получении ими уведомления о преднамеренных трансграничных перемещениях </w:t>
      </w:r>
      <w:proofErr w:type="spellStart"/>
      <w:r w:rsidRPr="00DB5643">
        <w:rPr>
          <w:snapToGrid w:val="0"/>
          <w:kern w:val="22"/>
          <w:szCs w:val="22"/>
          <w:lang w:val="ru-RU"/>
        </w:rPr>
        <w:t>ЖИО</w:t>
      </w:r>
      <w:proofErr w:type="spellEnd"/>
      <w:r w:rsidRPr="00DB5643">
        <w:rPr>
          <w:snapToGrid w:val="0"/>
          <w:kern w:val="22"/>
          <w:szCs w:val="22"/>
          <w:lang w:val="ru-RU"/>
        </w:rPr>
        <w:t xml:space="preserve"> для преднамеренной интродукции в окружающую среду, что соответствует уменьшению на 13 % по сравнению с исходным уровнем (при следующих региональных изменениях</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Pr="00DB5643">
        <w:rPr>
          <w:snapToGrid w:val="0"/>
          <w:kern w:val="22"/>
          <w:szCs w:val="22"/>
          <w:lang w:val="ru-RU"/>
        </w:rPr>
        <w:t>:</w:t>
      </w:r>
      <w:r w:rsidR="004569FB" w:rsidRPr="00DB5643">
        <w:rPr>
          <w:snapToGrid w:val="0"/>
          <w:kern w:val="22"/>
          <w:szCs w:val="22"/>
          <w:lang w:val="ru-RU"/>
        </w:rPr>
        <w:t xml:space="preserve"> -45</w:t>
      </w:r>
      <w:r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Pr="00DB5643">
        <w:rPr>
          <w:snapToGrid w:val="0"/>
          <w:kern w:val="22"/>
          <w:szCs w:val="22"/>
          <w:lang w:val="ru-RU"/>
        </w:rPr>
        <w:t>:</w:t>
      </w:r>
      <w:r w:rsidR="004569FB" w:rsidRPr="00DB5643">
        <w:rPr>
          <w:snapToGrid w:val="0"/>
          <w:kern w:val="22"/>
          <w:szCs w:val="22"/>
          <w:lang w:val="ru-RU"/>
        </w:rPr>
        <w:t xml:space="preserve"> -19</w:t>
      </w:r>
      <w:r w:rsidRPr="00DB5643">
        <w:rPr>
          <w:snapToGrid w:val="0"/>
          <w:kern w:val="22"/>
          <w:szCs w:val="22"/>
          <w:lang w:val="ru-RU"/>
        </w:rPr>
        <w:t> </w:t>
      </w:r>
      <w:r w:rsidR="004569FB" w:rsidRPr="00DB5643">
        <w:rPr>
          <w:snapToGrid w:val="0"/>
          <w:kern w:val="22"/>
          <w:szCs w:val="22"/>
          <w:lang w:val="ru-RU"/>
        </w:rPr>
        <w:t xml:space="preserve">%; </w:t>
      </w:r>
      <w:proofErr w:type="spellStart"/>
      <w:r w:rsidRPr="00DB5643">
        <w:rPr>
          <w:snapToGrid w:val="0"/>
          <w:kern w:val="22"/>
          <w:szCs w:val="22"/>
          <w:lang w:val="ru-RU"/>
        </w:rPr>
        <w:t>ГРУЛАК</w:t>
      </w:r>
      <w:proofErr w:type="spellEnd"/>
      <w:r w:rsidRPr="00DB5643">
        <w:rPr>
          <w:snapToGrid w:val="0"/>
          <w:kern w:val="22"/>
          <w:szCs w:val="22"/>
          <w:lang w:val="ru-RU"/>
        </w:rPr>
        <w:t>:</w:t>
      </w:r>
      <w:r w:rsidR="004569FB" w:rsidRPr="00DB5643">
        <w:rPr>
          <w:snapToGrid w:val="0"/>
          <w:kern w:val="22"/>
          <w:szCs w:val="22"/>
          <w:lang w:val="ru-RU"/>
        </w:rPr>
        <w:t xml:space="preserve"> -8</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Африка и Азиатско-Тихоокеанский регион: без изменений по отношению к исходному уровню</w:t>
      </w:r>
      <w:r w:rsidR="004569FB" w:rsidRPr="00DB5643">
        <w:rPr>
          <w:snapToGrid w:val="0"/>
          <w:kern w:val="22"/>
          <w:szCs w:val="22"/>
          <w:lang w:val="ru-RU"/>
        </w:rPr>
        <w:t>)</w:t>
      </w:r>
      <w:r w:rsidR="004569FB" w:rsidRPr="00DB5643">
        <w:rPr>
          <w:rStyle w:val="ac"/>
          <w:snapToGrid w:val="0"/>
          <w:kern w:val="22"/>
          <w:szCs w:val="22"/>
        </w:rPr>
        <w:footnoteReference w:id="48"/>
      </w:r>
      <w:r w:rsidRPr="00DB5643">
        <w:rPr>
          <w:snapToGrid w:val="0"/>
          <w:kern w:val="22"/>
          <w:szCs w:val="22"/>
          <w:lang w:val="ru-RU"/>
        </w:rPr>
        <w:t>.</w:t>
      </w:r>
    </w:p>
    <w:p w14:paraId="2B4F3270" w14:textId="1B2AB47C" w:rsidR="004569FB" w:rsidRPr="00DB5643" w:rsidRDefault="00DB2FAC"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DB5643">
        <w:rPr>
          <w:snapToGrid w:val="0"/>
          <w:kern w:val="22"/>
          <w:szCs w:val="22"/>
          <w:lang w:val="ru-RU"/>
        </w:rPr>
        <w:t>В общей сложности</w:t>
      </w:r>
      <w:r w:rsidR="004569FB" w:rsidRPr="00DB5643">
        <w:rPr>
          <w:snapToGrid w:val="0"/>
          <w:kern w:val="22"/>
          <w:szCs w:val="22"/>
          <w:lang w:val="ru-RU"/>
        </w:rPr>
        <w:t xml:space="preserve"> 19</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 xml:space="preserve">Сторон (15 Сторон) сообщили о принятии ими решений в ответ на уведомление о преднамеренных трансграничных перемещениях </w:t>
      </w:r>
      <w:proofErr w:type="spellStart"/>
      <w:r w:rsidRPr="00DB5643">
        <w:rPr>
          <w:snapToGrid w:val="0"/>
          <w:kern w:val="22"/>
          <w:szCs w:val="22"/>
          <w:lang w:val="ru-RU"/>
        </w:rPr>
        <w:t>ЖИО</w:t>
      </w:r>
      <w:proofErr w:type="spellEnd"/>
      <w:r w:rsidRPr="00DB5643">
        <w:rPr>
          <w:snapToGrid w:val="0"/>
          <w:kern w:val="22"/>
          <w:szCs w:val="22"/>
          <w:lang w:val="ru-RU"/>
        </w:rPr>
        <w:t xml:space="preserve"> для преднамеренной интродукции в окружающую среду в течение данного отчетного цикла, что соответствует уменьшению на </w:t>
      </w:r>
      <w:r w:rsidR="004569FB" w:rsidRPr="00DB5643">
        <w:rPr>
          <w:snapToGrid w:val="0"/>
          <w:kern w:val="22"/>
          <w:szCs w:val="22"/>
          <w:lang w:val="ru-RU"/>
        </w:rPr>
        <w:t>1</w:t>
      </w:r>
      <w:r w:rsidR="002D693F" w:rsidRPr="00DB5643">
        <w:rPr>
          <w:snapToGrid w:val="0"/>
          <w:kern w:val="22"/>
          <w:szCs w:val="22"/>
          <w:lang w:val="ru-RU"/>
        </w:rPr>
        <w:t>5</w:t>
      </w:r>
      <w:r w:rsidRPr="00DB5643">
        <w:rPr>
          <w:snapToGrid w:val="0"/>
          <w:kern w:val="22"/>
          <w:szCs w:val="22"/>
          <w:lang w:val="ru-RU"/>
        </w:rPr>
        <w:t> </w:t>
      </w:r>
      <w:r w:rsidR="004569FB" w:rsidRPr="00DB5643">
        <w:rPr>
          <w:snapToGrid w:val="0"/>
          <w:kern w:val="22"/>
          <w:szCs w:val="22"/>
          <w:lang w:val="ru-RU"/>
        </w:rPr>
        <w:t>%</w:t>
      </w:r>
      <w:r w:rsidR="00EA7003" w:rsidRPr="00DB5643">
        <w:rPr>
          <w:snapToGrid w:val="0"/>
          <w:kern w:val="22"/>
          <w:szCs w:val="22"/>
          <w:lang w:val="ru-RU"/>
        </w:rPr>
        <w:t xml:space="preserve"> </w:t>
      </w:r>
      <w:r w:rsidR="004569FB" w:rsidRPr="00DB5643">
        <w:rPr>
          <w:snapToGrid w:val="0"/>
          <w:kern w:val="22"/>
          <w:szCs w:val="22"/>
          <w:lang w:val="ru-RU"/>
        </w:rPr>
        <w:t>(</w:t>
      </w:r>
      <w:r w:rsidR="00A54CC3" w:rsidRPr="00DB5643">
        <w:rPr>
          <w:snapToGrid w:val="0"/>
          <w:kern w:val="22"/>
          <w:szCs w:val="22"/>
          <w:lang w:val="ru-RU"/>
        </w:rPr>
        <w:t xml:space="preserve">при следующих региональных изменениях: </w:t>
      </w:r>
      <w:proofErr w:type="spellStart"/>
      <w:r w:rsidR="00A54CC3" w:rsidRPr="00DB5643">
        <w:rPr>
          <w:snapToGrid w:val="0"/>
          <w:kern w:val="22"/>
          <w:szCs w:val="22"/>
        </w:rPr>
        <w:t>WEOG</w:t>
      </w:r>
      <w:proofErr w:type="spellEnd"/>
      <w:r w:rsidR="00A54CC3" w:rsidRPr="00DB5643">
        <w:rPr>
          <w:snapToGrid w:val="0"/>
          <w:kern w:val="22"/>
          <w:szCs w:val="22"/>
          <w:lang w:val="ru-RU"/>
        </w:rPr>
        <w:t xml:space="preserve">: -41 %; </w:t>
      </w:r>
      <w:proofErr w:type="spellStart"/>
      <w:r w:rsidR="00A54CC3" w:rsidRPr="00DB5643">
        <w:rPr>
          <w:snapToGrid w:val="0"/>
          <w:kern w:val="22"/>
          <w:szCs w:val="22"/>
        </w:rPr>
        <w:t>CEE</w:t>
      </w:r>
      <w:proofErr w:type="spellEnd"/>
      <w:r w:rsidR="00A54CC3" w:rsidRPr="00DB5643">
        <w:rPr>
          <w:snapToGrid w:val="0"/>
          <w:kern w:val="22"/>
          <w:szCs w:val="22"/>
          <w:lang w:val="ru-RU"/>
        </w:rPr>
        <w:t xml:space="preserve">: -20 %; </w:t>
      </w:r>
      <w:proofErr w:type="spellStart"/>
      <w:r w:rsidR="00A54CC3" w:rsidRPr="00DB5643">
        <w:rPr>
          <w:snapToGrid w:val="0"/>
          <w:kern w:val="22"/>
          <w:szCs w:val="22"/>
          <w:lang w:val="ru-RU"/>
        </w:rPr>
        <w:t>ГРУЛАК</w:t>
      </w:r>
      <w:proofErr w:type="spellEnd"/>
      <w:r w:rsidR="00A54CC3" w:rsidRPr="00DB5643">
        <w:rPr>
          <w:snapToGrid w:val="0"/>
          <w:kern w:val="22"/>
          <w:szCs w:val="22"/>
          <w:lang w:val="ru-RU"/>
        </w:rPr>
        <w:t>: -10 %; Азиатско-Тихоокеанский регион: -8 %; Африка: без изменений по отношению к исходному уровню</w:t>
      </w:r>
      <w:r w:rsidR="004569FB" w:rsidRPr="00DB5643">
        <w:rPr>
          <w:snapToGrid w:val="0"/>
          <w:kern w:val="22"/>
          <w:szCs w:val="22"/>
          <w:lang w:val="ru-RU"/>
        </w:rPr>
        <w:t>)</w:t>
      </w:r>
      <w:r w:rsidR="00646A10" w:rsidRPr="00DB5643">
        <w:rPr>
          <w:rStyle w:val="ac"/>
          <w:snapToGrid w:val="0"/>
          <w:kern w:val="22"/>
          <w:szCs w:val="22"/>
        </w:rPr>
        <w:footnoteReference w:id="49"/>
      </w:r>
      <w:r w:rsidR="00A54CC3" w:rsidRPr="00DB5643">
        <w:rPr>
          <w:snapToGrid w:val="0"/>
          <w:kern w:val="22"/>
          <w:szCs w:val="22"/>
          <w:lang w:val="ru-RU"/>
        </w:rPr>
        <w:t>.</w:t>
      </w:r>
      <w:r w:rsidR="004569FB" w:rsidRPr="00DB5643">
        <w:rPr>
          <w:snapToGrid w:val="0"/>
          <w:kern w:val="22"/>
          <w:szCs w:val="22"/>
          <w:lang w:val="ru-RU"/>
        </w:rPr>
        <w:t xml:space="preserve"> </w:t>
      </w:r>
      <w:r w:rsidR="00A54CC3" w:rsidRPr="00DB5643">
        <w:rPr>
          <w:snapToGrid w:val="0"/>
          <w:kern w:val="22"/>
          <w:szCs w:val="22"/>
          <w:lang w:val="ru-RU"/>
        </w:rPr>
        <w:t>В общей сложности 7 Сторон, принявших такое решение, сообщили о том, что решение касалось разрешения импорта с условиями, тогда как 2 Стороны сообщили о том, что решения касались разрешения без условий. Еще 2 Стороны сообщили о том, что решение касалось запрета импорта</w:t>
      </w:r>
      <w:r w:rsidR="004569FB" w:rsidRPr="00DB5643">
        <w:rPr>
          <w:snapToGrid w:val="0"/>
          <w:kern w:val="22"/>
          <w:szCs w:val="22"/>
          <w:lang w:val="ru-RU"/>
        </w:rPr>
        <w:t xml:space="preserve">. </w:t>
      </w:r>
      <w:r w:rsidR="00A54CC3" w:rsidRPr="00DB5643">
        <w:rPr>
          <w:snapToGrid w:val="0"/>
          <w:kern w:val="22"/>
          <w:szCs w:val="22"/>
          <w:lang w:val="ru-RU"/>
        </w:rPr>
        <w:t>Из числа Сторон, сообщивших о принятии такого решения</w:t>
      </w:r>
      <w:r w:rsidR="004418A8" w:rsidRPr="00DB5643">
        <w:rPr>
          <w:snapToGrid w:val="0"/>
          <w:kern w:val="22"/>
          <w:szCs w:val="22"/>
          <w:lang w:val="ru-RU"/>
        </w:rPr>
        <w:t xml:space="preserve">, 10 </w:t>
      </w:r>
      <w:r w:rsidR="00A54CC3" w:rsidRPr="00DB5643">
        <w:rPr>
          <w:snapToGrid w:val="0"/>
          <w:kern w:val="22"/>
          <w:szCs w:val="22"/>
          <w:lang w:val="ru-RU"/>
        </w:rPr>
        <w:t>Сторон сообщили о полномасштабном внедрении национальных мер по осуществлению Протокола и 5 Сторон сообщили о частичном внедрении национальных мер по осуществлению Протокола</w:t>
      </w:r>
      <w:r w:rsidR="00875174" w:rsidRPr="00DB5643">
        <w:rPr>
          <w:snapToGrid w:val="0"/>
          <w:kern w:val="22"/>
          <w:szCs w:val="22"/>
        </w:rPr>
        <w:t>.</w:t>
      </w:r>
    </w:p>
    <w:p w14:paraId="184EC470" w14:textId="3EA95EB9" w:rsidR="004569FB" w:rsidRPr="00DB5643" w:rsidRDefault="00B52498"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84</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 xml:space="preserve">Сторон </w:t>
      </w:r>
      <w:r w:rsidR="004569FB" w:rsidRPr="00DB5643">
        <w:rPr>
          <w:snapToGrid w:val="0"/>
          <w:kern w:val="22"/>
          <w:szCs w:val="22"/>
          <w:lang w:val="ru-RU"/>
        </w:rPr>
        <w:t xml:space="preserve">(78 </w:t>
      </w:r>
      <w:r w:rsidRPr="00DB5643">
        <w:rPr>
          <w:snapToGrid w:val="0"/>
          <w:kern w:val="22"/>
          <w:szCs w:val="22"/>
          <w:lang w:val="ru-RU"/>
        </w:rPr>
        <w:t>Сторон</w:t>
      </w:r>
      <w:r w:rsidR="004569FB" w:rsidRPr="00DB5643">
        <w:rPr>
          <w:snapToGrid w:val="0"/>
          <w:kern w:val="22"/>
          <w:szCs w:val="22"/>
          <w:lang w:val="ru-RU"/>
        </w:rPr>
        <w:t xml:space="preserve">) </w:t>
      </w:r>
      <w:r w:rsidR="00DE780F" w:rsidRPr="00DB5643">
        <w:rPr>
          <w:snapToGrid w:val="0"/>
          <w:kern w:val="22"/>
          <w:szCs w:val="22"/>
          <w:lang w:val="ru-RU"/>
        </w:rPr>
        <w:t>сообщили</w:t>
      </w:r>
      <w:r w:rsidR="004569FB" w:rsidRPr="00DB5643">
        <w:rPr>
          <w:snapToGrid w:val="0"/>
          <w:kern w:val="22"/>
          <w:szCs w:val="22"/>
          <w:lang w:val="ru-RU"/>
        </w:rPr>
        <w:t xml:space="preserve"> </w:t>
      </w:r>
      <w:r w:rsidR="001728A8" w:rsidRPr="00DB5643">
        <w:rPr>
          <w:snapToGrid w:val="0"/>
          <w:kern w:val="22"/>
          <w:szCs w:val="22"/>
          <w:lang w:val="ru-RU"/>
        </w:rPr>
        <w:t>о наличии у них</w:t>
      </w:r>
      <w:r w:rsidR="001728A8" w:rsidRPr="00DB5643">
        <w:rPr>
          <w:rFonts w:eastAsia="Times New Roman" w:cs="Times New Roman"/>
          <w:color w:val="000000"/>
          <w:kern w:val="22"/>
          <w:szCs w:val="22"/>
          <w:lang w:val="ru-RU" w:eastAsia="ru-RU"/>
        </w:rPr>
        <w:t xml:space="preserve"> </w:t>
      </w:r>
      <w:r w:rsidR="001728A8" w:rsidRPr="00DB5643">
        <w:rPr>
          <w:snapToGrid w:val="0"/>
          <w:kern w:val="22"/>
          <w:szCs w:val="22"/>
          <w:lang w:val="ru-RU"/>
        </w:rPr>
        <w:t xml:space="preserve">законов, правил или административных мер для процессов принятия решений о внутреннем использовании, включая реализацию на рынке, </w:t>
      </w:r>
      <w:proofErr w:type="spellStart"/>
      <w:r w:rsidR="001728A8" w:rsidRPr="00DB5643">
        <w:rPr>
          <w:snapToGrid w:val="0"/>
          <w:kern w:val="22"/>
          <w:szCs w:val="22"/>
          <w:lang w:val="ru-RU"/>
        </w:rPr>
        <w:t>ЖИО</w:t>
      </w:r>
      <w:proofErr w:type="spellEnd"/>
      <w:r w:rsidR="001728A8" w:rsidRPr="00DB5643">
        <w:rPr>
          <w:snapToGrid w:val="0"/>
          <w:kern w:val="22"/>
          <w:szCs w:val="22"/>
          <w:lang w:val="ru-RU"/>
        </w:rPr>
        <w:t>, предназначенных для непосредственного использования в качестве продовольствия или корма или для обработки</w:t>
      </w:r>
      <w:r w:rsidR="004569FB" w:rsidRPr="00DB5643">
        <w:rPr>
          <w:snapToGrid w:val="0"/>
          <w:kern w:val="22"/>
          <w:szCs w:val="22"/>
          <w:lang w:val="ru-RU"/>
        </w:rPr>
        <w:t xml:space="preserve">, </w:t>
      </w:r>
      <w:r w:rsidR="001728A8" w:rsidRPr="00DB5643">
        <w:rPr>
          <w:snapToGrid w:val="0"/>
          <w:kern w:val="22"/>
          <w:szCs w:val="22"/>
          <w:lang w:val="ru-RU"/>
        </w:rPr>
        <w:t>что соответствует увеличению на</w:t>
      </w:r>
      <w:r w:rsidR="004569FB" w:rsidRPr="00DB5643">
        <w:rPr>
          <w:snapToGrid w:val="0"/>
          <w:kern w:val="22"/>
          <w:szCs w:val="22"/>
          <w:lang w:val="ru-RU"/>
        </w:rPr>
        <w:t xml:space="preserve"> 15</w:t>
      </w:r>
      <w:r w:rsidR="001728A8" w:rsidRPr="00DB5643">
        <w:rPr>
          <w:snapToGrid w:val="0"/>
          <w:kern w:val="22"/>
          <w:szCs w:val="22"/>
          <w:lang w:val="ru-RU"/>
        </w:rPr>
        <w:t> </w:t>
      </w:r>
      <w:r w:rsidR="004569FB" w:rsidRPr="00DB5643">
        <w:rPr>
          <w:snapToGrid w:val="0"/>
          <w:kern w:val="22"/>
          <w:szCs w:val="22"/>
          <w:lang w:val="ru-RU"/>
        </w:rPr>
        <w:t xml:space="preserve">% </w:t>
      </w:r>
      <w:r w:rsidR="001728A8" w:rsidRPr="00DB5643">
        <w:rPr>
          <w:snapToGrid w:val="0"/>
          <w:kern w:val="22"/>
          <w:szCs w:val="22"/>
          <w:lang w:val="ru-RU"/>
        </w:rPr>
        <w:t xml:space="preserve">по </w:t>
      </w:r>
      <w:r w:rsidR="001728A8" w:rsidRPr="00DB5643">
        <w:rPr>
          <w:snapToGrid w:val="0"/>
          <w:kern w:val="22"/>
          <w:szCs w:val="22"/>
          <w:lang w:val="ru-RU"/>
        </w:rPr>
        <w:lastRenderedPageBreak/>
        <w:t>сравнению с исходным уровнем</w:t>
      </w:r>
      <w:r w:rsidR="004569FB" w:rsidRPr="00DB5643">
        <w:rPr>
          <w:snapToGrid w:val="0"/>
          <w:kern w:val="22"/>
          <w:szCs w:val="22"/>
          <w:lang w:val="ru-RU"/>
        </w:rPr>
        <w:t xml:space="preserve">. </w:t>
      </w:r>
      <w:r w:rsidR="001728A8" w:rsidRPr="00DB5643">
        <w:rPr>
          <w:snapToGrid w:val="0"/>
          <w:kern w:val="22"/>
          <w:szCs w:val="22"/>
          <w:lang w:val="ru-RU"/>
        </w:rPr>
        <w:t>Было сообщено об увеличении в трех регионах</w:t>
      </w:r>
      <w:r w:rsidR="004569FB" w:rsidRPr="00DB5643">
        <w:rPr>
          <w:snapToGrid w:val="0"/>
          <w:kern w:val="22"/>
          <w:szCs w:val="22"/>
          <w:lang w:val="ru-RU"/>
        </w:rPr>
        <w:t xml:space="preserve">: </w:t>
      </w:r>
      <w:r w:rsidR="001728A8" w:rsidRPr="00DB5643">
        <w:rPr>
          <w:snapToGrid w:val="0"/>
          <w:kern w:val="22"/>
          <w:szCs w:val="22"/>
          <w:lang w:val="ru-RU"/>
        </w:rPr>
        <w:t xml:space="preserve">Азиатско-Тихоокеанский регион </w:t>
      </w:r>
      <w:r w:rsidR="004569FB" w:rsidRPr="00DB5643">
        <w:rPr>
          <w:snapToGrid w:val="0"/>
          <w:kern w:val="22"/>
          <w:szCs w:val="22"/>
          <w:lang w:val="ru-RU"/>
        </w:rPr>
        <w:t>(+31</w:t>
      </w:r>
      <w:r w:rsidR="001728A8" w:rsidRPr="00DB5643">
        <w:rPr>
          <w:snapToGrid w:val="0"/>
          <w:kern w:val="22"/>
          <w:szCs w:val="22"/>
          <w:lang w:val="ru-RU"/>
        </w:rPr>
        <w:t> </w:t>
      </w:r>
      <w:r w:rsidR="004569FB" w:rsidRPr="00DB5643">
        <w:rPr>
          <w:snapToGrid w:val="0"/>
          <w:kern w:val="22"/>
          <w:szCs w:val="22"/>
          <w:lang w:val="ru-RU"/>
        </w:rPr>
        <w:t xml:space="preserve">%); </w:t>
      </w:r>
      <w:proofErr w:type="spellStart"/>
      <w:r w:rsidR="001728A8" w:rsidRPr="00DB5643">
        <w:rPr>
          <w:snapToGrid w:val="0"/>
          <w:kern w:val="22"/>
          <w:szCs w:val="22"/>
          <w:lang w:val="ru-RU"/>
        </w:rPr>
        <w:t>ГРУЛАК</w:t>
      </w:r>
      <w:proofErr w:type="spellEnd"/>
      <w:r w:rsidR="004569FB" w:rsidRPr="00DB5643">
        <w:rPr>
          <w:snapToGrid w:val="0"/>
          <w:kern w:val="22"/>
          <w:szCs w:val="22"/>
          <w:lang w:val="ru-RU"/>
        </w:rPr>
        <w:t xml:space="preserve"> (+23</w:t>
      </w:r>
      <w:r w:rsidR="001728A8" w:rsidRPr="00DB5643">
        <w:rPr>
          <w:snapToGrid w:val="0"/>
          <w:kern w:val="22"/>
          <w:szCs w:val="22"/>
          <w:lang w:val="ru-RU"/>
        </w:rPr>
        <w:t> </w:t>
      </w:r>
      <w:r w:rsidR="004569FB" w:rsidRPr="00DB5643">
        <w:rPr>
          <w:snapToGrid w:val="0"/>
          <w:kern w:val="22"/>
          <w:szCs w:val="22"/>
          <w:lang w:val="ru-RU"/>
        </w:rPr>
        <w:t xml:space="preserve">%); </w:t>
      </w:r>
      <w:r w:rsidR="001728A8" w:rsidRPr="00DB5643">
        <w:rPr>
          <w:snapToGrid w:val="0"/>
          <w:kern w:val="22"/>
          <w:szCs w:val="22"/>
          <w:lang w:val="ru-RU"/>
        </w:rPr>
        <w:t>Африка</w:t>
      </w:r>
      <w:r w:rsidR="004569FB" w:rsidRPr="00DB5643">
        <w:rPr>
          <w:snapToGrid w:val="0"/>
          <w:kern w:val="22"/>
          <w:szCs w:val="22"/>
          <w:lang w:val="ru-RU"/>
        </w:rPr>
        <w:t xml:space="preserve"> (+20</w:t>
      </w:r>
      <w:r w:rsidR="001728A8" w:rsidRPr="00DB5643">
        <w:rPr>
          <w:snapToGrid w:val="0"/>
          <w:kern w:val="22"/>
          <w:szCs w:val="22"/>
          <w:lang w:val="ru-RU"/>
        </w:rPr>
        <w:t> </w:t>
      </w:r>
      <w:r w:rsidR="004569FB" w:rsidRPr="00DB5643">
        <w:rPr>
          <w:snapToGrid w:val="0"/>
          <w:kern w:val="22"/>
          <w:szCs w:val="22"/>
          <w:lang w:val="ru-RU"/>
        </w:rPr>
        <w:t xml:space="preserve">%). </w:t>
      </w:r>
      <w:r w:rsidR="00D673E8" w:rsidRPr="00DB5643">
        <w:rPr>
          <w:snapToGrid w:val="0"/>
          <w:kern w:val="22"/>
          <w:szCs w:val="22"/>
          <w:lang w:val="ru-RU"/>
        </w:rPr>
        <w:t>Б</w:t>
      </w:r>
      <w:r w:rsidR="001728A8" w:rsidRPr="00DB5643">
        <w:rPr>
          <w:snapToGrid w:val="0"/>
          <w:kern w:val="22"/>
          <w:szCs w:val="22"/>
          <w:lang w:val="ru-RU"/>
        </w:rPr>
        <w:t xml:space="preserve">ыло сообщено </w:t>
      </w:r>
      <w:r w:rsidR="00D673E8" w:rsidRPr="003926D8">
        <w:rPr>
          <w:snapToGrid w:val="0"/>
          <w:kern w:val="22"/>
          <w:szCs w:val="22"/>
          <w:lang w:val="ru-RU"/>
        </w:rPr>
        <w:t>о</w:t>
      </w:r>
      <w:r w:rsidR="00D673E8" w:rsidRPr="00DB5643">
        <w:rPr>
          <w:snapToGrid w:val="0"/>
          <w:kern w:val="22"/>
          <w:szCs w:val="22"/>
          <w:lang w:val="ru-RU"/>
        </w:rPr>
        <w:t>б отсутствии изменений в регионах</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4569FB" w:rsidRPr="00DB5643">
        <w:rPr>
          <w:snapToGrid w:val="0"/>
          <w:kern w:val="22"/>
          <w:szCs w:val="22"/>
          <w:lang w:val="ru-RU"/>
        </w:rPr>
        <w:t xml:space="preserve"> </w:t>
      </w:r>
      <w:r w:rsidR="00D673E8" w:rsidRPr="00DB5643">
        <w:rPr>
          <w:snapToGrid w:val="0"/>
          <w:kern w:val="22"/>
          <w:szCs w:val="22"/>
          <w:lang w:val="ru-RU"/>
        </w:rPr>
        <w:t>и</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4569FB" w:rsidRPr="00DB5643">
        <w:rPr>
          <w:snapToGrid w:val="0"/>
          <w:kern w:val="22"/>
          <w:szCs w:val="22"/>
          <w:lang w:val="ru-RU"/>
        </w:rPr>
        <w:t>.</w:t>
      </w:r>
    </w:p>
    <w:p w14:paraId="20D2B6AF" w14:textId="7AF0B710" w:rsidR="004569FB" w:rsidRPr="00DB5643" w:rsidRDefault="00D673E8"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w:t>
      </w:r>
      <w:r w:rsidR="0056323D" w:rsidRPr="00DB5643">
        <w:rPr>
          <w:snapToGrid w:val="0"/>
          <w:kern w:val="22"/>
          <w:szCs w:val="22"/>
          <w:lang w:val="ru-RU"/>
        </w:rPr>
        <w:t>70</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w:t>
      </w:r>
      <w:r w:rsidR="0056323D" w:rsidRPr="00DB5643">
        <w:rPr>
          <w:snapToGrid w:val="0"/>
          <w:kern w:val="22"/>
          <w:szCs w:val="22"/>
          <w:lang w:val="ru-RU"/>
        </w:rPr>
        <w:t xml:space="preserve">21 </w:t>
      </w:r>
      <w:r w:rsidRPr="00DB5643">
        <w:rPr>
          <w:snapToGrid w:val="0"/>
          <w:kern w:val="22"/>
          <w:szCs w:val="22"/>
          <w:lang w:val="ru-RU"/>
        </w:rPr>
        <w:t>Сторона</w:t>
      </w:r>
      <w:r w:rsidR="004569FB" w:rsidRPr="00DB5643">
        <w:rPr>
          <w:snapToGrid w:val="0"/>
          <w:kern w:val="22"/>
          <w:szCs w:val="22"/>
          <w:lang w:val="ru-RU"/>
        </w:rPr>
        <w:t xml:space="preserve">) </w:t>
      </w:r>
      <w:r w:rsidRPr="00DB5643">
        <w:rPr>
          <w:snapToGrid w:val="0"/>
          <w:kern w:val="22"/>
          <w:szCs w:val="22"/>
          <w:lang w:val="ru-RU"/>
        </w:rPr>
        <w:t xml:space="preserve">сообщили о принятии решений о внутреннем использовании, включая реализацию на рынке, </w:t>
      </w:r>
      <w:proofErr w:type="spellStart"/>
      <w:r w:rsidRPr="00DB5643">
        <w:rPr>
          <w:snapToGrid w:val="0"/>
          <w:kern w:val="22"/>
          <w:szCs w:val="22"/>
          <w:lang w:val="ru-RU"/>
        </w:rPr>
        <w:t>ЖИО</w:t>
      </w:r>
      <w:proofErr w:type="spellEnd"/>
      <w:r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которые могут стать объектом трансграничного перемещения для непосредственного использования в качестве продовольствия или корма или для обработки</w:t>
      </w:r>
      <w:r w:rsidR="004569FB" w:rsidRPr="00DB5643">
        <w:rPr>
          <w:rStyle w:val="ac"/>
          <w:snapToGrid w:val="0"/>
          <w:kern w:val="22"/>
          <w:szCs w:val="22"/>
        </w:rPr>
        <w:footnoteReference w:id="50"/>
      </w:r>
      <w:r w:rsidRPr="00DB5643">
        <w:rPr>
          <w:snapToGrid w:val="0"/>
          <w:kern w:val="22"/>
          <w:szCs w:val="22"/>
          <w:lang w:val="ru-RU"/>
        </w:rPr>
        <w:t>.</w:t>
      </w:r>
      <w:r w:rsidR="004569FB" w:rsidRPr="00DB5643">
        <w:rPr>
          <w:snapToGrid w:val="0"/>
          <w:kern w:val="22"/>
          <w:szCs w:val="22"/>
          <w:lang w:val="ru-RU"/>
        </w:rPr>
        <w:t xml:space="preserve"> </w:t>
      </w:r>
      <w:r w:rsidRPr="00DB5643">
        <w:rPr>
          <w:snapToGrid w:val="0"/>
          <w:kern w:val="22"/>
          <w:szCs w:val="22"/>
          <w:lang w:val="ru-RU"/>
        </w:rPr>
        <w:t>Это соответствует уменьшению на</w:t>
      </w:r>
      <w:r w:rsidR="004569FB" w:rsidRPr="00DB5643">
        <w:rPr>
          <w:snapToGrid w:val="0"/>
          <w:kern w:val="22"/>
          <w:szCs w:val="22"/>
          <w:lang w:val="ru-RU"/>
        </w:rPr>
        <w:t xml:space="preserve"> 3</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p>
    <w:p w14:paraId="4EB721AD" w14:textId="56A944EF" w:rsidR="004569FB" w:rsidRPr="00DB5643" w:rsidRDefault="00D673E8"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83</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(77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 о наличии у них законов, правил или административных мер для процессов принятия решений о</w:t>
      </w:r>
      <w:r w:rsidR="005B5F70" w:rsidRPr="00DB5643">
        <w:rPr>
          <w:snapToGrid w:val="0"/>
          <w:kern w:val="22"/>
          <w:szCs w:val="22"/>
          <w:lang w:val="ru-RU"/>
        </w:rPr>
        <w:t xml:space="preserve">б импорте </w:t>
      </w:r>
      <w:proofErr w:type="spellStart"/>
      <w:r w:rsidR="005B5F70" w:rsidRPr="00DB5643">
        <w:rPr>
          <w:snapToGrid w:val="0"/>
          <w:kern w:val="22"/>
          <w:szCs w:val="22"/>
          <w:lang w:val="ru-RU"/>
        </w:rPr>
        <w:t>ЖИО</w:t>
      </w:r>
      <w:proofErr w:type="spellEnd"/>
      <w:r w:rsidR="005B5F70" w:rsidRPr="00DB5643">
        <w:rPr>
          <w:snapToGrid w:val="0"/>
          <w:kern w:val="22"/>
          <w:szCs w:val="22"/>
          <w:lang w:val="ru-RU"/>
        </w:rPr>
        <w:t>,</w:t>
      </w:r>
      <w:r w:rsidRPr="00DB5643">
        <w:rPr>
          <w:snapToGrid w:val="0"/>
          <w:kern w:val="22"/>
          <w:szCs w:val="22"/>
          <w:lang w:val="ru-RU"/>
        </w:rPr>
        <w:t xml:space="preserve"> </w:t>
      </w:r>
      <w:r w:rsidR="005B5F70" w:rsidRPr="00DB5643">
        <w:rPr>
          <w:snapToGrid w:val="0"/>
          <w:kern w:val="22"/>
          <w:szCs w:val="22"/>
          <w:lang w:val="ru-RU"/>
        </w:rPr>
        <w:t>предназначенных для непосредственного использования в качестве продовольствия или корма или для обработки</w:t>
      </w:r>
      <w:r w:rsidR="004569FB" w:rsidRPr="00DB5643">
        <w:rPr>
          <w:snapToGrid w:val="0"/>
          <w:kern w:val="22"/>
          <w:szCs w:val="22"/>
          <w:lang w:val="ru-RU"/>
        </w:rPr>
        <w:t xml:space="preserve">, </w:t>
      </w:r>
      <w:r w:rsidR="005B5F70" w:rsidRPr="00DB5643">
        <w:rPr>
          <w:snapToGrid w:val="0"/>
          <w:kern w:val="22"/>
          <w:szCs w:val="22"/>
          <w:lang w:val="ru-RU"/>
        </w:rPr>
        <w:t xml:space="preserve">что соответствует увеличению на </w:t>
      </w:r>
      <w:r w:rsidR="004569FB" w:rsidRPr="00DB5643">
        <w:rPr>
          <w:snapToGrid w:val="0"/>
          <w:kern w:val="22"/>
          <w:szCs w:val="22"/>
          <w:lang w:val="ru-RU"/>
        </w:rPr>
        <w:t>13</w:t>
      </w:r>
      <w:r w:rsidR="005B5F70" w:rsidRPr="00DB5643">
        <w:rPr>
          <w:snapToGrid w:val="0"/>
          <w:kern w:val="22"/>
          <w:szCs w:val="22"/>
          <w:lang w:val="ru-RU"/>
        </w:rPr>
        <w:t> </w:t>
      </w:r>
      <w:r w:rsidR="004569FB" w:rsidRPr="00DB5643">
        <w:rPr>
          <w:snapToGrid w:val="0"/>
          <w:kern w:val="22"/>
          <w:szCs w:val="22"/>
          <w:lang w:val="ru-RU"/>
        </w:rPr>
        <w:t xml:space="preserve">% </w:t>
      </w:r>
      <w:r w:rsidR="005B5F70"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5B5F70" w:rsidRPr="00DB5643">
        <w:rPr>
          <w:snapToGrid w:val="0"/>
          <w:kern w:val="22"/>
          <w:szCs w:val="22"/>
          <w:lang w:val="ru-RU"/>
        </w:rPr>
        <w:t xml:space="preserve">Было сообщено об увеличении во всех регионах </w:t>
      </w:r>
      <w:r w:rsidR="004569FB" w:rsidRPr="00DB5643">
        <w:rPr>
          <w:snapToGrid w:val="0"/>
          <w:kern w:val="22"/>
          <w:szCs w:val="22"/>
          <w:lang w:val="ru-RU"/>
        </w:rPr>
        <w:t>(</w:t>
      </w:r>
      <w:proofErr w:type="spellStart"/>
      <w:r w:rsidR="005B5F70" w:rsidRPr="00DB5643">
        <w:rPr>
          <w:snapToGrid w:val="0"/>
          <w:kern w:val="22"/>
          <w:szCs w:val="22"/>
          <w:lang w:val="ru-RU"/>
        </w:rPr>
        <w:t>ГРУЛАК</w:t>
      </w:r>
      <w:proofErr w:type="spellEnd"/>
      <w:r w:rsidR="005B5F70" w:rsidRPr="00DB5643">
        <w:rPr>
          <w:snapToGrid w:val="0"/>
          <w:kern w:val="22"/>
          <w:szCs w:val="22"/>
          <w:lang w:val="ru-RU"/>
        </w:rPr>
        <w:t>:</w:t>
      </w:r>
      <w:r w:rsidR="004569FB" w:rsidRPr="00DB5643">
        <w:rPr>
          <w:snapToGrid w:val="0"/>
          <w:kern w:val="22"/>
          <w:szCs w:val="22"/>
          <w:lang w:val="ru-RU"/>
        </w:rPr>
        <w:t xml:space="preserve"> +31</w:t>
      </w:r>
      <w:r w:rsidR="005B5F70" w:rsidRPr="00DB5643">
        <w:rPr>
          <w:snapToGrid w:val="0"/>
          <w:kern w:val="22"/>
          <w:szCs w:val="22"/>
          <w:lang w:val="ru-RU"/>
        </w:rPr>
        <w:t> </w:t>
      </w:r>
      <w:r w:rsidR="004569FB" w:rsidRPr="00DB5643">
        <w:rPr>
          <w:snapToGrid w:val="0"/>
          <w:kern w:val="22"/>
          <w:szCs w:val="22"/>
          <w:lang w:val="ru-RU"/>
        </w:rPr>
        <w:t xml:space="preserve">%; </w:t>
      </w:r>
      <w:r w:rsidR="005B5F70" w:rsidRPr="00DB5643">
        <w:rPr>
          <w:snapToGrid w:val="0"/>
          <w:kern w:val="22"/>
          <w:szCs w:val="22"/>
          <w:lang w:val="ru-RU"/>
        </w:rPr>
        <w:t xml:space="preserve">Азиатско-Тихоокеанский регион: </w:t>
      </w:r>
      <w:r w:rsidR="004569FB" w:rsidRPr="00DB5643">
        <w:rPr>
          <w:snapToGrid w:val="0"/>
          <w:kern w:val="22"/>
          <w:szCs w:val="22"/>
          <w:lang w:val="ru-RU"/>
        </w:rPr>
        <w:t>+19</w:t>
      </w:r>
      <w:r w:rsidR="005B5F70"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WEOG</w:t>
      </w:r>
      <w:proofErr w:type="spellEnd"/>
      <w:r w:rsidR="005B5F70" w:rsidRPr="00DB5643">
        <w:rPr>
          <w:snapToGrid w:val="0"/>
          <w:kern w:val="22"/>
          <w:szCs w:val="22"/>
          <w:lang w:val="ru-RU"/>
        </w:rPr>
        <w:t>:</w:t>
      </w:r>
      <w:r w:rsidR="004569FB" w:rsidRPr="00DB5643">
        <w:rPr>
          <w:snapToGrid w:val="0"/>
          <w:kern w:val="22"/>
          <w:szCs w:val="22"/>
          <w:lang w:val="ru-RU"/>
        </w:rPr>
        <w:t xml:space="preserve"> +11</w:t>
      </w:r>
      <w:r w:rsidR="005B5F70" w:rsidRPr="00DB5643">
        <w:rPr>
          <w:snapToGrid w:val="0"/>
          <w:kern w:val="22"/>
          <w:szCs w:val="22"/>
          <w:lang w:val="ru-RU"/>
        </w:rPr>
        <w:t> </w:t>
      </w:r>
      <w:r w:rsidR="004569FB" w:rsidRPr="00DB5643">
        <w:rPr>
          <w:snapToGrid w:val="0"/>
          <w:kern w:val="22"/>
          <w:szCs w:val="22"/>
          <w:lang w:val="ru-RU"/>
        </w:rPr>
        <w:t xml:space="preserve">%; </w:t>
      </w:r>
      <w:r w:rsidR="005B5F70" w:rsidRPr="00DB5643">
        <w:rPr>
          <w:snapToGrid w:val="0"/>
          <w:kern w:val="22"/>
          <w:szCs w:val="22"/>
          <w:lang w:val="ru-RU"/>
        </w:rPr>
        <w:t>Африка:</w:t>
      </w:r>
      <w:r w:rsidR="004569FB" w:rsidRPr="00DB5643">
        <w:rPr>
          <w:snapToGrid w:val="0"/>
          <w:kern w:val="22"/>
          <w:szCs w:val="22"/>
          <w:lang w:val="ru-RU"/>
        </w:rPr>
        <w:t xml:space="preserve"> +7</w:t>
      </w:r>
      <w:r w:rsidR="005B5F70" w:rsidRPr="00DB5643">
        <w:rPr>
          <w:snapToGrid w:val="0"/>
          <w:kern w:val="22"/>
          <w:szCs w:val="22"/>
          <w:lang w:val="ru-RU"/>
        </w:rPr>
        <w:t> </w:t>
      </w:r>
      <w:r w:rsidR="004569FB" w:rsidRPr="00DB5643">
        <w:rPr>
          <w:snapToGrid w:val="0"/>
          <w:kern w:val="22"/>
          <w:szCs w:val="22"/>
          <w:lang w:val="ru-RU"/>
        </w:rPr>
        <w:t xml:space="preserve">%; </w:t>
      </w:r>
      <w:proofErr w:type="spellStart"/>
      <w:r w:rsidR="004569FB" w:rsidRPr="00DB5643">
        <w:rPr>
          <w:snapToGrid w:val="0"/>
          <w:kern w:val="22"/>
          <w:szCs w:val="22"/>
        </w:rPr>
        <w:t>CEE</w:t>
      </w:r>
      <w:proofErr w:type="spellEnd"/>
      <w:r w:rsidR="005B5F70" w:rsidRPr="00DB5643">
        <w:rPr>
          <w:snapToGrid w:val="0"/>
          <w:kern w:val="22"/>
          <w:szCs w:val="22"/>
          <w:lang w:val="ru-RU"/>
        </w:rPr>
        <w:t>:</w:t>
      </w:r>
      <w:r w:rsidR="004569FB" w:rsidRPr="00DB5643">
        <w:rPr>
          <w:snapToGrid w:val="0"/>
          <w:kern w:val="22"/>
          <w:szCs w:val="22"/>
          <w:lang w:val="ru-RU"/>
        </w:rPr>
        <w:t xml:space="preserve"> +6</w:t>
      </w:r>
      <w:r w:rsidR="005B5F70" w:rsidRPr="00DB5643">
        <w:rPr>
          <w:snapToGrid w:val="0"/>
          <w:kern w:val="22"/>
          <w:szCs w:val="22"/>
          <w:lang w:val="ru-RU"/>
        </w:rPr>
        <w:t> </w:t>
      </w:r>
      <w:r w:rsidR="004569FB" w:rsidRPr="00DB5643">
        <w:rPr>
          <w:snapToGrid w:val="0"/>
          <w:kern w:val="22"/>
          <w:szCs w:val="22"/>
          <w:lang w:val="ru-RU"/>
        </w:rPr>
        <w:t>%).</w:t>
      </w:r>
    </w:p>
    <w:p w14:paraId="6293DC56" w14:textId="207E0660" w:rsidR="004569FB" w:rsidRPr="00DB5643" w:rsidRDefault="005B5F70"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en-US"/>
        </w:rPr>
      </w:pPr>
      <w:r w:rsidRPr="00DB5643">
        <w:rPr>
          <w:snapToGrid w:val="0"/>
          <w:kern w:val="22"/>
          <w:szCs w:val="22"/>
          <w:lang w:val="ru-RU"/>
        </w:rPr>
        <w:t>В своих четвертых национальных докладах</w:t>
      </w:r>
      <w:r w:rsidR="004569FB" w:rsidRPr="00DB5643">
        <w:rPr>
          <w:snapToGrid w:val="0"/>
          <w:kern w:val="22"/>
          <w:szCs w:val="22"/>
          <w:lang w:val="ru-RU"/>
        </w:rPr>
        <w:t xml:space="preserve"> </w:t>
      </w:r>
      <w:r w:rsidR="00D41FC6" w:rsidRPr="00DB5643">
        <w:rPr>
          <w:snapToGrid w:val="0"/>
          <w:kern w:val="22"/>
          <w:szCs w:val="22"/>
          <w:lang w:val="ru-RU"/>
        </w:rPr>
        <w:t>70</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w:t>
      </w:r>
      <w:r w:rsidR="00D41FC6" w:rsidRPr="00DB5643">
        <w:rPr>
          <w:snapToGrid w:val="0"/>
          <w:kern w:val="22"/>
          <w:szCs w:val="22"/>
          <w:lang w:val="ru-RU"/>
        </w:rPr>
        <w:t>21</w:t>
      </w:r>
      <w:r w:rsidR="004569FB" w:rsidRPr="00DB5643">
        <w:rPr>
          <w:snapToGrid w:val="0"/>
          <w:kern w:val="22"/>
          <w:szCs w:val="22"/>
          <w:lang w:val="ru-RU"/>
        </w:rPr>
        <w:t xml:space="preserve"> </w:t>
      </w:r>
      <w:r w:rsidRPr="00DB5643">
        <w:rPr>
          <w:snapToGrid w:val="0"/>
          <w:kern w:val="22"/>
          <w:szCs w:val="22"/>
          <w:lang w:val="ru-RU"/>
        </w:rPr>
        <w:t>Сторона</w:t>
      </w:r>
      <w:r w:rsidR="004569FB" w:rsidRPr="00DB5643">
        <w:rPr>
          <w:snapToGrid w:val="0"/>
          <w:kern w:val="22"/>
          <w:szCs w:val="22"/>
          <w:lang w:val="ru-RU"/>
        </w:rPr>
        <w:t xml:space="preserve">) </w:t>
      </w:r>
      <w:r w:rsidRPr="00DB5643">
        <w:rPr>
          <w:snapToGrid w:val="0"/>
          <w:kern w:val="22"/>
          <w:szCs w:val="22"/>
          <w:lang w:val="ru-RU"/>
        </w:rPr>
        <w:t xml:space="preserve">сообщили о принятии решений об импорте </w:t>
      </w:r>
      <w:proofErr w:type="spellStart"/>
      <w:r w:rsidRPr="00DB5643">
        <w:rPr>
          <w:snapToGrid w:val="0"/>
          <w:kern w:val="22"/>
          <w:szCs w:val="22"/>
          <w:lang w:val="ru-RU"/>
        </w:rPr>
        <w:t>ЖИО</w:t>
      </w:r>
      <w:proofErr w:type="spellEnd"/>
      <w:r w:rsidRPr="00DB5643">
        <w:rPr>
          <w:snapToGrid w:val="0"/>
          <w:kern w:val="22"/>
          <w:szCs w:val="22"/>
          <w:lang w:val="ru-RU"/>
        </w:rPr>
        <w:t>, предназначенных для непосредственного использования в качестве продовольствия или корма или для обработки</w:t>
      </w:r>
      <w:r w:rsidR="004569FB" w:rsidRPr="00DB5643">
        <w:rPr>
          <w:rStyle w:val="ac"/>
          <w:snapToGrid w:val="0"/>
          <w:kern w:val="22"/>
          <w:szCs w:val="22"/>
        </w:rPr>
        <w:footnoteReference w:id="51"/>
      </w:r>
      <w:r w:rsidRPr="00DB5643">
        <w:rPr>
          <w:snapToGrid w:val="0"/>
          <w:kern w:val="22"/>
          <w:szCs w:val="22"/>
          <w:lang w:val="ru-RU"/>
        </w:rPr>
        <w:t>.</w:t>
      </w:r>
      <w:r w:rsidR="00D41FC6" w:rsidRPr="00DB5643">
        <w:rPr>
          <w:snapToGrid w:val="0"/>
          <w:kern w:val="22"/>
          <w:szCs w:val="22"/>
          <w:lang w:val="ru-RU"/>
        </w:rPr>
        <w:t xml:space="preserve"> </w:t>
      </w:r>
      <w:r w:rsidRPr="00DB5643">
        <w:rPr>
          <w:snapToGrid w:val="0"/>
          <w:kern w:val="22"/>
          <w:szCs w:val="22"/>
          <w:lang w:val="ru-RU"/>
        </w:rPr>
        <w:t>Это</w:t>
      </w:r>
      <w:r w:rsidRPr="00DB5643">
        <w:rPr>
          <w:snapToGrid w:val="0"/>
          <w:kern w:val="22"/>
          <w:szCs w:val="22"/>
          <w:lang w:val="en-US"/>
        </w:rPr>
        <w:t xml:space="preserve"> </w:t>
      </w:r>
      <w:r w:rsidRPr="00DB5643">
        <w:rPr>
          <w:snapToGrid w:val="0"/>
          <w:kern w:val="22"/>
          <w:szCs w:val="22"/>
          <w:lang w:val="ru-RU"/>
        </w:rPr>
        <w:t>соответствует</w:t>
      </w:r>
      <w:r w:rsidRPr="00DB5643">
        <w:rPr>
          <w:snapToGrid w:val="0"/>
          <w:kern w:val="22"/>
          <w:szCs w:val="22"/>
          <w:lang w:val="en-US"/>
        </w:rPr>
        <w:t xml:space="preserve"> </w:t>
      </w:r>
      <w:r w:rsidRPr="00DB5643">
        <w:rPr>
          <w:snapToGrid w:val="0"/>
          <w:kern w:val="22"/>
          <w:szCs w:val="22"/>
          <w:lang w:val="ru-RU"/>
        </w:rPr>
        <w:t>уменьшению</w:t>
      </w:r>
      <w:r w:rsidRPr="00DB5643">
        <w:rPr>
          <w:snapToGrid w:val="0"/>
          <w:kern w:val="22"/>
          <w:szCs w:val="22"/>
          <w:lang w:val="en-US"/>
        </w:rPr>
        <w:t xml:space="preserve"> </w:t>
      </w:r>
      <w:r w:rsidRPr="00DB5643">
        <w:rPr>
          <w:snapToGrid w:val="0"/>
          <w:kern w:val="22"/>
          <w:szCs w:val="22"/>
          <w:lang w:val="ru-RU"/>
        </w:rPr>
        <w:t>на</w:t>
      </w:r>
      <w:r w:rsidRPr="00DB5643">
        <w:rPr>
          <w:snapToGrid w:val="0"/>
          <w:kern w:val="22"/>
          <w:szCs w:val="22"/>
          <w:lang w:val="en-US"/>
        </w:rPr>
        <w:t xml:space="preserve"> </w:t>
      </w:r>
      <w:r w:rsidR="004569FB" w:rsidRPr="00DB5643">
        <w:rPr>
          <w:snapToGrid w:val="0"/>
          <w:kern w:val="22"/>
          <w:szCs w:val="22"/>
          <w:lang w:val="en-US"/>
        </w:rPr>
        <w:t>6</w:t>
      </w:r>
      <w:r w:rsidRPr="00DB5643">
        <w:rPr>
          <w:snapToGrid w:val="0"/>
          <w:kern w:val="22"/>
          <w:szCs w:val="22"/>
          <w:lang w:val="ru-RU"/>
        </w:rPr>
        <w:t> </w:t>
      </w:r>
      <w:r w:rsidR="004569FB" w:rsidRPr="00DB5643">
        <w:rPr>
          <w:snapToGrid w:val="0"/>
          <w:kern w:val="22"/>
          <w:szCs w:val="22"/>
          <w:lang w:val="en-US"/>
        </w:rPr>
        <w:t xml:space="preserve">% </w:t>
      </w:r>
      <w:r w:rsidRPr="00DB5643">
        <w:rPr>
          <w:snapToGrid w:val="0"/>
          <w:kern w:val="22"/>
          <w:szCs w:val="22"/>
          <w:lang w:val="ru-RU"/>
        </w:rPr>
        <w:t>по сравнению с исходным уровнем</w:t>
      </w:r>
      <w:r w:rsidR="004569FB" w:rsidRPr="00DB5643">
        <w:rPr>
          <w:snapToGrid w:val="0"/>
          <w:kern w:val="22"/>
          <w:szCs w:val="22"/>
          <w:lang w:val="en-US"/>
        </w:rPr>
        <w:t xml:space="preserve">. </w:t>
      </w:r>
    </w:p>
    <w:p w14:paraId="15CAD4EB" w14:textId="685953F6" w:rsidR="00327D31" w:rsidRPr="00DB5643" w:rsidRDefault="006C10CF" w:rsidP="00AD37DF">
      <w:pPr>
        <w:pStyle w:val="a3"/>
        <w:numPr>
          <w:ilvl w:val="0"/>
          <w:numId w:val="9"/>
        </w:numPr>
        <w:tabs>
          <w:tab w:val="clear" w:pos="3240"/>
        </w:tabs>
        <w:ind w:left="0" w:firstLine="0"/>
        <w:contextualSpacing w:val="0"/>
        <w:rPr>
          <w:snapToGrid w:val="0"/>
          <w:kern w:val="22"/>
          <w:szCs w:val="22"/>
          <w:lang w:val="ru-RU"/>
        </w:rPr>
      </w:pPr>
      <w:r w:rsidRPr="00DB5643">
        <w:rPr>
          <w:snapToGrid w:val="0"/>
          <w:kern w:val="22"/>
          <w:szCs w:val="22"/>
          <w:lang w:val="ru-RU"/>
        </w:rPr>
        <w:t xml:space="preserve">Что касается числа Сторон, внедривших систему рассмотрения заявок, </w:t>
      </w:r>
      <w:r w:rsidRPr="00DB5643">
        <w:rPr>
          <w:iCs/>
          <w:snapToGrid w:val="0"/>
          <w:kern w:val="22"/>
          <w:szCs w:val="22"/>
          <w:lang w:val="ru-RU"/>
        </w:rPr>
        <w:t xml:space="preserve">включая заявки на получение заблаговременного обоснованного согласия, </w:t>
      </w:r>
      <w:r w:rsidRPr="00DB5643">
        <w:rPr>
          <w:snapToGrid w:val="0"/>
          <w:kern w:val="22"/>
          <w:szCs w:val="22"/>
          <w:lang w:val="ru-RU"/>
        </w:rPr>
        <w:t>большинство Сторон сообщили</w:t>
      </w:r>
      <w:r w:rsidR="00D375DF" w:rsidRPr="00DB5643">
        <w:rPr>
          <w:snapToGrid w:val="0"/>
          <w:kern w:val="22"/>
          <w:szCs w:val="22"/>
          <w:lang w:val="ru-RU"/>
        </w:rPr>
        <w:t xml:space="preserve"> о внедрении </w:t>
      </w:r>
      <w:r w:rsidR="00AC2EC5" w:rsidRPr="00DB5643">
        <w:rPr>
          <w:bCs/>
          <w:iCs/>
          <w:snapToGrid w:val="0"/>
          <w:kern w:val="22"/>
          <w:szCs w:val="22"/>
          <w:lang w:val="ru-RU"/>
        </w:rPr>
        <w:t xml:space="preserve">регламентационной </w:t>
      </w:r>
      <w:r w:rsidR="00D375DF" w:rsidRPr="00DB5643">
        <w:rPr>
          <w:snapToGrid w:val="0"/>
          <w:kern w:val="22"/>
          <w:szCs w:val="22"/>
          <w:lang w:val="ru-RU"/>
        </w:rPr>
        <w:t xml:space="preserve">базы для принятия решений о внутреннем использовании, включая реализацию на рынке, </w:t>
      </w:r>
      <w:proofErr w:type="spellStart"/>
      <w:r w:rsidR="00D375DF" w:rsidRPr="00DB5643">
        <w:rPr>
          <w:snapToGrid w:val="0"/>
          <w:kern w:val="22"/>
          <w:szCs w:val="22"/>
          <w:lang w:val="ru-RU"/>
        </w:rPr>
        <w:t>ЖИО</w:t>
      </w:r>
      <w:proofErr w:type="spellEnd"/>
      <w:r w:rsidR="00D375DF" w:rsidRPr="00DB5643">
        <w:rPr>
          <w:snapToGrid w:val="0"/>
          <w:kern w:val="22"/>
          <w:szCs w:val="22"/>
          <w:lang w:val="ru-RU"/>
        </w:rPr>
        <w:t xml:space="preserve">, предназначенных для непосредственного использования в качестве продовольствия или корма или для обработки </w:t>
      </w:r>
      <w:r w:rsidR="00327D31" w:rsidRPr="00DB5643">
        <w:rPr>
          <w:snapToGrid w:val="0"/>
          <w:kern w:val="22"/>
          <w:szCs w:val="22"/>
          <w:lang w:val="ru-RU"/>
        </w:rPr>
        <w:t>(84</w:t>
      </w:r>
      <w:r w:rsidR="00D375DF" w:rsidRPr="00DB5643">
        <w:rPr>
          <w:snapToGrid w:val="0"/>
          <w:kern w:val="22"/>
          <w:szCs w:val="22"/>
          <w:lang w:val="ru-RU"/>
        </w:rPr>
        <w:t> </w:t>
      </w:r>
      <w:r w:rsidR="00327D31" w:rsidRPr="00DB5643">
        <w:rPr>
          <w:snapToGrid w:val="0"/>
          <w:kern w:val="22"/>
          <w:szCs w:val="22"/>
          <w:lang w:val="ru-RU"/>
        </w:rPr>
        <w:t>%)</w:t>
      </w:r>
      <w:r w:rsidR="00D375DF" w:rsidRPr="00DB5643">
        <w:rPr>
          <w:snapToGrid w:val="0"/>
          <w:kern w:val="22"/>
          <w:szCs w:val="22"/>
          <w:lang w:val="ru-RU"/>
        </w:rPr>
        <w:t xml:space="preserve">, и об импорте </w:t>
      </w:r>
      <w:proofErr w:type="spellStart"/>
      <w:r w:rsidR="00D375DF" w:rsidRPr="00DB5643">
        <w:rPr>
          <w:snapToGrid w:val="0"/>
          <w:kern w:val="22"/>
          <w:szCs w:val="22"/>
          <w:lang w:val="ru-RU"/>
        </w:rPr>
        <w:t>ЖИО</w:t>
      </w:r>
      <w:r w:rsidR="00327D31" w:rsidRPr="00DB5643">
        <w:rPr>
          <w:snapToGrid w:val="0"/>
          <w:kern w:val="22"/>
          <w:szCs w:val="22"/>
          <w:lang w:val="ru-RU"/>
        </w:rPr>
        <w:t>-</w:t>
      </w:r>
      <w:r w:rsidR="00D375DF" w:rsidRPr="00DB5643">
        <w:rPr>
          <w:snapToGrid w:val="0"/>
          <w:kern w:val="22"/>
          <w:szCs w:val="22"/>
          <w:lang w:val="ru-RU"/>
        </w:rPr>
        <w:t>ПКО</w:t>
      </w:r>
      <w:proofErr w:type="spellEnd"/>
      <w:r w:rsidR="00327D31" w:rsidRPr="00DB5643">
        <w:rPr>
          <w:snapToGrid w:val="0"/>
          <w:kern w:val="22"/>
          <w:szCs w:val="22"/>
          <w:lang w:val="ru-RU"/>
        </w:rPr>
        <w:t xml:space="preserve"> (83</w:t>
      </w:r>
      <w:r w:rsidR="00D375DF" w:rsidRPr="00DB5643">
        <w:rPr>
          <w:snapToGrid w:val="0"/>
          <w:kern w:val="22"/>
          <w:szCs w:val="22"/>
          <w:lang w:val="ru-RU"/>
        </w:rPr>
        <w:t> </w:t>
      </w:r>
      <w:r w:rsidR="00327D31" w:rsidRPr="00DB5643">
        <w:rPr>
          <w:snapToGrid w:val="0"/>
          <w:kern w:val="22"/>
          <w:szCs w:val="22"/>
          <w:lang w:val="ru-RU"/>
        </w:rPr>
        <w:t xml:space="preserve">%). </w:t>
      </w:r>
      <w:r w:rsidR="00D375DF" w:rsidRPr="00DB5643">
        <w:rPr>
          <w:snapToGrid w:val="0"/>
          <w:kern w:val="22"/>
          <w:szCs w:val="22"/>
          <w:lang w:val="ru-RU"/>
        </w:rPr>
        <w:t xml:space="preserve">Все Стороны, сообщившие о принятии решений о внутреннем использовании, включая реализацию на рынке, и все Стороны, сообщившие о принятии решений об импорте </w:t>
      </w:r>
      <w:proofErr w:type="spellStart"/>
      <w:r w:rsidR="00D375DF" w:rsidRPr="00DB5643">
        <w:rPr>
          <w:snapToGrid w:val="0"/>
          <w:kern w:val="22"/>
          <w:szCs w:val="22"/>
          <w:lang w:val="ru-RU"/>
        </w:rPr>
        <w:t>ЖИО-ПКО</w:t>
      </w:r>
      <w:proofErr w:type="spellEnd"/>
      <w:r w:rsidR="00D375DF" w:rsidRPr="00DB5643">
        <w:rPr>
          <w:snapToGrid w:val="0"/>
          <w:kern w:val="22"/>
          <w:szCs w:val="22"/>
          <w:lang w:val="ru-RU"/>
        </w:rPr>
        <w:t>, внедрили меры для принятия таких решений</w:t>
      </w:r>
      <w:r w:rsidR="00327D31" w:rsidRPr="00DB5643">
        <w:rPr>
          <w:snapToGrid w:val="0"/>
          <w:kern w:val="22"/>
          <w:szCs w:val="22"/>
          <w:lang w:val="ru-RU"/>
        </w:rPr>
        <w:t xml:space="preserve">. </w:t>
      </w:r>
      <w:r w:rsidR="00D375DF" w:rsidRPr="00DB5643">
        <w:rPr>
          <w:snapToGrid w:val="0"/>
          <w:kern w:val="22"/>
          <w:szCs w:val="22"/>
          <w:lang w:val="ru-RU"/>
        </w:rPr>
        <w:t xml:space="preserve">Из числа Сторон, сообщивших о получении уведомлений о преднамеренном трансграничном перемещении </w:t>
      </w:r>
      <w:proofErr w:type="spellStart"/>
      <w:r w:rsidR="00D375DF" w:rsidRPr="00DB5643">
        <w:rPr>
          <w:snapToGrid w:val="0"/>
          <w:kern w:val="22"/>
          <w:szCs w:val="22"/>
          <w:lang w:val="ru-RU"/>
        </w:rPr>
        <w:t>ЖИО</w:t>
      </w:r>
      <w:proofErr w:type="spellEnd"/>
      <w:r w:rsidR="00D375DF" w:rsidRPr="00DB5643">
        <w:rPr>
          <w:snapToGrid w:val="0"/>
          <w:kern w:val="22"/>
          <w:szCs w:val="22"/>
          <w:lang w:val="ru-RU"/>
        </w:rPr>
        <w:t>,</w:t>
      </w:r>
      <w:r w:rsidR="00D375DF" w:rsidRPr="00DB5643">
        <w:rPr>
          <w:bCs/>
          <w:snapToGrid w:val="0"/>
          <w:kern w:val="22"/>
          <w:szCs w:val="22"/>
          <w:lang w:val="ru-RU"/>
        </w:rPr>
        <w:t xml:space="preserve"> предназначенных для преднамеренной интродукции в окружающую среду</w:t>
      </w:r>
      <w:r w:rsidR="00D07871" w:rsidRPr="00DB5643">
        <w:rPr>
          <w:snapToGrid w:val="0"/>
          <w:kern w:val="22"/>
          <w:szCs w:val="22"/>
          <w:lang w:val="ru-RU"/>
        </w:rPr>
        <w:t>,</w:t>
      </w:r>
      <w:r w:rsidR="00740B3A" w:rsidRPr="00DB5643">
        <w:rPr>
          <w:snapToGrid w:val="0"/>
          <w:kern w:val="22"/>
          <w:szCs w:val="22"/>
          <w:lang w:val="ru-RU"/>
        </w:rPr>
        <w:t xml:space="preserve"> </w:t>
      </w:r>
      <w:r w:rsidR="00327D31" w:rsidRPr="00DB5643">
        <w:rPr>
          <w:snapToGrid w:val="0"/>
          <w:kern w:val="22"/>
          <w:szCs w:val="22"/>
          <w:lang w:val="ru-RU"/>
        </w:rPr>
        <w:t>7</w:t>
      </w:r>
      <w:r w:rsidR="0099047B" w:rsidRPr="00DB5643">
        <w:rPr>
          <w:snapToGrid w:val="0"/>
          <w:kern w:val="22"/>
          <w:szCs w:val="22"/>
          <w:lang w:val="ru-RU"/>
        </w:rPr>
        <w:t>9</w:t>
      </w:r>
      <w:r w:rsidR="00D375DF" w:rsidRPr="00DB5643">
        <w:rPr>
          <w:snapToGrid w:val="0"/>
          <w:kern w:val="22"/>
          <w:szCs w:val="22"/>
          <w:lang w:val="ru-RU"/>
        </w:rPr>
        <w:t> </w:t>
      </w:r>
      <w:r w:rsidR="00327D31" w:rsidRPr="00DB5643">
        <w:rPr>
          <w:snapToGrid w:val="0"/>
          <w:kern w:val="22"/>
          <w:szCs w:val="22"/>
          <w:lang w:val="ru-RU"/>
        </w:rPr>
        <w:t xml:space="preserve">% </w:t>
      </w:r>
      <w:r w:rsidR="00D375DF" w:rsidRPr="00DB5643">
        <w:rPr>
          <w:snapToGrid w:val="0"/>
          <w:kern w:val="22"/>
          <w:szCs w:val="22"/>
          <w:lang w:val="ru-RU"/>
        </w:rPr>
        <w:t>Сторон сообщили о принятии решения в этой связи</w:t>
      </w:r>
      <w:r w:rsidR="00327D31" w:rsidRPr="00DB5643">
        <w:rPr>
          <w:snapToGrid w:val="0"/>
          <w:kern w:val="22"/>
          <w:szCs w:val="22"/>
          <w:lang w:val="ru-RU"/>
        </w:rPr>
        <w:t xml:space="preserve">. </w:t>
      </w:r>
      <w:r w:rsidR="00D375DF" w:rsidRPr="00DB5643">
        <w:rPr>
          <w:snapToGrid w:val="0"/>
          <w:kern w:val="22"/>
          <w:szCs w:val="22"/>
          <w:lang w:val="ru-RU"/>
        </w:rPr>
        <w:t xml:space="preserve">Две трети Сторон, сообщивших о принятии такого решения, сообщили о полномасштабном внедрении мер по осуществлению Протокола, а одна треть из этих </w:t>
      </w:r>
      <w:r w:rsidR="00021459" w:rsidRPr="00DB5643">
        <w:rPr>
          <w:snapToGrid w:val="0"/>
          <w:kern w:val="22"/>
          <w:szCs w:val="22"/>
          <w:lang w:val="ru-RU"/>
        </w:rPr>
        <w:t>Сторон сообщила о частичном внедрении мер</w:t>
      </w:r>
      <w:r w:rsidR="00327D31" w:rsidRPr="00DB5643">
        <w:rPr>
          <w:snapToGrid w:val="0"/>
          <w:kern w:val="22"/>
          <w:szCs w:val="22"/>
          <w:lang w:val="ru-RU"/>
        </w:rPr>
        <w:t>.</w:t>
      </w:r>
    </w:p>
    <w:p w14:paraId="7C203816" w14:textId="41E08014" w:rsidR="004569FB" w:rsidRPr="00DB5643" w:rsidRDefault="00021459" w:rsidP="004569FB">
      <w:pPr>
        <w:pStyle w:val="a3"/>
        <w:numPr>
          <w:ilvl w:val="0"/>
          <w:numId w:val="9"/>
        </w:numPr>
        <w:suppressLineNumbers/>
        <w:tabs>
          <w:tab w:val="clear" w:pos="3240"/>
        </w:tabs>
        <w:suppressAutoHyphens/>
        <w:snapToGrid w:val="0"/>
        <w:spacing w:before="120" w:after="120"/>
        <w:ind w:left="0" w:firstLine="0"/>
        <w:contextualSpacing w:val="0"/>
        <w:rPr>
          <w:bCs/>
          <w:iCs/>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3.1.5</w:t>
      </w:r>
      <w:r w:rsidR="004569FB" w:rsidRPr="00DB5643">
        <w:rPr>
          <w:snapToGrid w:val="0"/>
          <w:kern w:val="22"/>
          <w:szCs w:val="22"/>
          <w:lang w:val="ru-RU"/>
        </w:rPr>
        <w:t xml:space="preserve"> </w:t>
      </w:r>
      <w:r w:rsidR="004569FB" w:rsidRPr="00DB5643">
        <w:rPr>
          <w:iCs/>
          <w:snapToGrid w:val="0"/>
          <w:kern w:val="22"/>
          <w:szCs w:val="22"/>
          <w:lang w:val="ru-RU"/>
        </w:rPr>
        <w:t>(</w:t>
      </w:r>
      <w:r w:rsidR="008C79D9" w:rsidRPr="00DB5643">
        <w:rPr>
          <w:iCs/>
          <w:snapToGrid w:val="0"/>
          <w:kern w:val="22"/>
          <w:szCs w:val="22"/>
          <w:lang w:val="ru-RU"/>
        </w:rPr>
        <w:t>п</w:t>
      </w:r>
      <w:r w:rsidRPr="00DB5643">
        <w:rPr>
          <w:iCs/>
          <w:snapToGrid w:val="0"/>
          <w:kern w:val="22"/>
          <w:szCs w:val="22"/>
          <w:lang w:val="ru-RU"/>
        </w:rPr>
        <w:t xml:space="preserve">роцентная доля Сторон, опубликовавших всю обязательную информацию через </w:t>
      </w:r>
      <w:proofErr w:type="spellStart"/>
      <w:r w:rsidRPr="00DB5643">
        <w:rPr>
          <w:iCs/>
          <w:snapToGrid w:val="0"/>
          <w:kern w:val="22"/>
          <w:szCs w:val="22"/>
          <w:lang w:val="ru-RU"/>
        </w:rPr>
        <w:t>МПБ</w:t>
      </w:r>
      <w:proofErr w:type="spellEnd"/>
      <w:r w:rsidR="00374EDF">
        <w:rPr>
          <w:iCs/>
          <w:snapToGrid w:val="0"/>
          <w:kern w:val="22"/>
          <w:szCs w:val="22"/>
          <w:lang w:val="ru-RU"/>
        </w:rPr>
        <w:t>)</w:t>
      </w:r>
      <w:r w:rsidR="004569FB" w:rsidRPr="00DB5643">
        <w:rPr>
          <w:iCs/>
          <w:snapToGrid w:val="0"/>
          <w:kern w:val="22"/>
          <w:szCs w:val="22"/>
          <w:lang w:val="ru-RU"/>
        </w:rPr>
        <w:t xml:space="preserve"> 78</w:t>
      </w:r>
      <w:r w:rsidRPr="00DB5643">
        <w:rPr>
          <w:iCs/>
          <w:snapToGrid w:val="0"/>
          <w:kern w:val="22"/>
          <w:szCs w:val="22"/>
          <w:lang w:val="en-US"/>
        </w:rPr>
        <w:t> </w:t>
      </w:r>
      <w:r w:rsidR="004569FB" w:rsidRPr="00DB5643">
        <w:rPr>
          <w:iCs/>
          <w:snapToGrid w:val="0"/>
          <w:kern w:val="22"/>
          <w:szCs w:val="22"/>
          <w:lang w:val="ru-RU"/>
        </w:rPr>
        <w:t xml:space="preserve">% </w:t>
      </w:r>
      <w:r w:rsidRPr="00DB5643">
        <w:rPr>
          <w:iCs/>
          <w:snapToGrid w:val="0"/>
          <w:kern w:val="22"/>
          <w:szCs w:val="22"/>
          <w:lang w:val="ru-RU"/>
        </w:rPr>
        <w:t>Сторон</w:t>
      </w:r>
      <w:r w:rsidR="004569FB" w:rsidRPr="00DB5643">
        <w:rPr>
          <w:iCs/>
          <w:snapToGrid w:val="0"/>
          <w:kern w:val="22"/>
          <w:szCs w:val="22"/>
          <w:lang w:val="ru-RU"/>
        </w:rPr>
        <w:t xml:space="preserve"> </w:t>
      </w:r>
      <w:r w:rsidR="00905733" w:rsidRPr="00DB5643">
        <w:rPr>
          <w:iCs/>
          <w:snapToGrid w:val="0"/>
          <w:kern w:val="22"/>
          <w:szCs w:val="22"/>
          <w:lang w:val="ru-RU"/>
        </w:rPr>
        <w:t xml:space="preserve">(73 </w:t>
      </w:r>
      <w:r w:rsidRPr="00DB5643">
        <w:rPr>
          <w:iCs/>
          <w:snapToGrid w:val="0"/>
          <w:kern w:val="22"/>
          <w:szCs w:val="22"/>
          <w:lang w:val="ru-RU"/>
        </w:rPr>
        <w:t>Стороны</w:t>
      </w:r>
      <w:r w:rsidR="00905733" w:rsidRPr="00DB5643">
        <w:rPr>
          <w:iCs/>
          <w:snapToGrid w:val="0"/>
          <w:kern w:val="22"/>
          <w:szCs w:val="22"/>
          <w:lang w:val="ru-RU"/>
        </w:rPr>
        <w:t xml:space="preserve">) </w:t>
      </w:r>
      <w:r w:rsidRPr="00DB5643">
        <w:rPr>
          <w:iCs/>
          <w:snapToGrid w:val="0"/>
          <w:kern w:val="22"/>
          <w:szCs w:val="22"/>
          <w:lang w:val="ru-RU"/>
        </w:rPr>
        <w:t xml:space="preserve">сообщили о представлении информации, связанной с законодательством, нормативными положениями и руководящими указаниями для осуществления Протокола, а также информации, требуемой Сторонами для процедуры </w:t>
      </w:r>
      <w:proofErr w:type="spellStart"/>
      <w:r w:rsidRPr="00DB5643">
        <w:rPr>
          <w:iCs/>
          <w:snapToGrid w:val="0"/>
          <w:kern w:val="22"/>
          <w:szCs w:val="22"/>
          <w:lang w:val="ru-RU"/>
        </w:rPr>
        <w:t>ЗОС</w:t>
      </w:r>
      <w:proofErr w:type="spellEnd"/>
      <w:r w:rsidR="008C79D9" w:rsidRPr="00DB5643">
        <w:rPr>
          <w:iCs/>
          <w:snapToGrid w:val="0"/>
          <w:kern w:val="22"/>
          <w:szCs w:val="22"/>
          <w:lang w:val="ru-RU"/>
        </w:rPr>
        <w:t xml:space="preserve">, в </w:t>
      </w:r>
      <w:proofErr w:type="spellStart"/>
      <w:r w:rsidR="008C79D9" w:rsidRPr="00DB5643">
        <w:rPr>
          <w:iCs/>
          <w:snapToGrid w:val="0"/>
          <w:kern w:val="22"/>
          <w:szCs w:val="22"/>
          <w:lang w:val="ru-RU"/>
        </w:rPr>
        <w:t>МПБ</w:t>
      </w:r>
      <w:proofErr w:type="spellEnd"/>
      <w:r w:rsidR="004569FB" w:rsidRPr="00DB5643">
        <w:rPr>
          <w:bCs/>
          <w:iCs/>
          <w:snapToGrid w:val="0"/>
          <w:kern w:val="22"/>
          <w:szCs w:val="22"/>
          <w:lang w:val="ru-RU"/>
        </w:rPr>
        <w:t xml:space="preserve">, </w:t>
      </w:r>
      <w:r w:rsidR="008C79D9" w:rsidRPr="00DB5643">
        <w:rPr>
          <w:bCs/>
          <w:iCs/>
          <w:snapToGrid w:val="0"/>
          <w:kern w:val="22"/>
          <w:szCs w:val="22"/>
          <w:lang w:val="ru-RU"/>
        </w:rPr>
        <w:t xml:space="preserve">что соответствует увеличению на </w:t>
      </w:r>
      <w:r w:rsidR="004569FB" w:rsidRPr="00DB5643">
        <w:rPr>
          <w:bCs/>
          <w:iCs/>
          <w:snapToGrid w:val="0"/>
          <w:kern w:val="22"/>
          <w:szCs w:val="22"/>
          <w:lang w:val="ru-RU"/>
        </w:rPr>
        <w:t>21</w:t>
      </w:r>
      <w:r w:rsidR="008C79D9" w:rsidRPr="00DB5643">
        <w:rPr>
          <w:bCs/>
          <w:iCs/>
          <w:snapToGrid w:val="0"/>
          <w:kern w:val="22"/>
          <w:szCs w:val="22"/>
          <w:lang w:val="ru-RU"/>
        </w:rPr>
        <w:t> </w:t>
      </w:r>
      <w:r w:rsidR="004569FB" w:rsidRPr="00DB5643">
        <w:rPr>
          <w:bCs/>
          <w:iCs/>
          <w:snapToGrid w:val="0"/>
          <w:kern w:val="22"/>
          <w:szCs w:val="22"/>
          <w:lang w:val="ru-RU"/>
        </w:rPr>
        <w:t xml:space="preserve">% </w:t>
      </w:r>
      <w:r w:rsidR="008C79D9" w:rsidRPr="00DB5643">
        <w:rPr>
          <w:bCs/>
          <w:iCs/>
          <w:snapToGrid w:val="0"/>
          <w:kern w:val="22"/>
          <w:szCs w:val="22"/>
          <w:lang w:val="ru-RU"/>
        </w:rPr>
        <w:t>по сравнению с исходным уровнем</w:t>
      </w:r>
      <w:r w:rsidR="004569FB" w:rsidRPr="00DB5643">
        <w:rPr>
          <w:bCs/>
          <w:iCs/>
          <w:snapToGrid w:val="0"/>
          <w:kern w:val="22"/>
          <w:szCs w:val="22"/>
          <w:lang w:val="ru-RU"/>
        </w:rPr>
        <w:t xml:space="preserve"> (</w:t>
      </w:r>
      <w:r w:rsidR="008C79D9" w:rsidRPr="00DB5643">
        <w:rPr>
          <w:bCs/>
          <w:iCs/>
          <w:snapToGrid w:val="0"/>
          <w:kern w:val="22"/>
          <w:szCs w:val="22"/>
          <w:lang w:val="ru-RU"/>
        </w:rPr>
        <w:t>при следующих региональных изменениях</w:t>
      </w:r>
      <w:r w:rsidR="004569FB" w:rsidRPr="00DB5643">
        <w:rPr>
          <w:bCs/>
          <w:iCs/>
          <w:snapToGrid w:val="0"/>
          <w:kern w:val="22"/>
          <w:szCs w:val="22"/>
          <w:lang w:val="ru-RU"/>
        </w:rPr>
        <w:t xml:space="preserve">: </w:t>
      </w:r>
      <w:r w:rsidR="008C79D9" w:rsidRPr="00DB5643">
        <w:rPr>
          <w:bCs/>
          <w:iCs/>
          <w:snapToGrid w:val="0"/>
          <w:kern w:val="22"/>
          <w:szCs w:val="22"/>
          <w:lang w:val="ru-RU"/>
        </w:rPr>
        <w:t>Африка:</w:t>
      </w:r>
      <w:r w:rsidR="004569FB" w:rsidRPr="00DB5643">
        <w:rPr>
          <w:bCs/>
          <w:iCs/>
          <w:snapToGrid w:val="0"/>
          <w:kern w:val="22"/>
          <w:szCs w:val="22"/>
          <w:lang w:val="ru-RU"/>
        </w:rPr>
        <w:t xml:space="preserve"> +3</w:t>
      </w:r>
      <w:r w:rsidR="004E3AC9" w:rsidRPr="00DB5643">
        <w:rPr>
          <w:bCs/>
          <w:iCs/>
          <w:snapToGrid w:val="0"/>
          <w:kern w:val="22"/>
          <w:szCs w:val="22"/>
          <w:lang w:val="ru-RU"/>
        </w:rPr>
        <w:t>7</w:t>
      </w:r>
      <w:r w:rsidR="008C79D9" w:rsidRPr="00DB5643">
        <w:rPr>
          <w:bCs/>
          <w:iCs/>
          <w:snapToGrid w:val="0"/>
          <w:kern w:val="22"/>
          <w:szCs w:val="22"/>
          <w:lang w:val="ru-RU"/>
        </w:rPr>
        <w:t> </w:t>
      </w:r>
      <w:r w:rsidR="004569FB" w:rsidRPr="00DB5643">
        <w:rPr>
          <w:bCs/>
          <w:iCs/>
          <w:snapToGrid w:val="0"/>
          <w:kern w:val="22"/>
          <w:szCs w:val="22"/>
          <w:lang w:val="ru-RU"/>
        </w:rPr>
        <w:t xml:space="preserve">%; </w:t>
      </w:r>
      <w:proofErr w:type="spellStart"/>
      <w:r w:rsidR="008C79D9" w:rsidRPr="00DB5643">
        <w:rPr>
          <w:bCs/>
          <w:iCs/>
          <w:snapToGrid w:val="0"/>
          <w:kern w:val="22"/>
          <w:szCs w:val="22"/>
          <w:lang w:val="ru-RU"/>
        </w:rPr>
        <w:t>ГРУЛАК</w:t>
      </w:r>
      <w:proofErr w:type="spellEnd"/>
      <w:r w:rsidR="008C79D9" w:rsidRPr="00DB5643">
        <w:rPr>
          <w:bCs/>
          <w:iCs/>
          <w:snapToGrid w:val="0"/>
          <w:kern w:val="22"/>
          <w:szCs w:val="22"/>
          <w:lang w:val="ru-RU"/>
        </w:rPr>
        <w:t>:</w:t>
      </w:r>
      <w:r w:rsidR="004569FB" w:rsidRPr="00DB5643">
        <w:rPr>
          <w:bCs/>
          <w:iCs/>
          <w:snapToGrid w:val="0"/>
          <w:kern w:val="22"/>
          <w:szCs w:val="22"/>
          <w:lang w:val="ru-RU"/>
        </w:rPr>
        <w:t xml:space="preserve"> +2</w:t>
      </w:r>
      <w:r w:rsidR="004E3AC9" w:rsidRPr="00DB5643">
        <w:rPr>
          <w:bCs/>
          <w:iCs/>
          <w:snapToGrid w:val="0"/>
          <w:kern w:val="22"/>
          <w:szCs w:val="22"/>
          <w:lang w:val="ru-RU"/>
        </w:rPr>
        <w:t>3</w:t>
      </w:r>
      <w:r w:rsidR="008C79D9" w:rsidRPr="00DB5643">
        <w:rPr>
          <w:bCs/>
          <w:iCs/>
          <w:snapToGrid w:val="0"/>
          <w:kern w:val="22"/>
          <w:szCs w:val="22"/>
          <w:lang w:val="ru-RU"/>
        </w:rPr>
        <w:t> </w:t>
      </w:r>
      <w:r w:rsidR="004569FB" w:rsidRPr="00DB5643">
        <w:rPr>
          <w:bCs/>
          <w:iCs/>
          <w:snapToGrid w:val="0"/>
          <w:kern w:val="22"/>
          <w:szCs w:val="22"/>
          <w:lang w:val="ru-RU"/>
        </w:rPr>
        <w:t xml:space="preserve">%; </w:t>
      </w:r>
      <w:r w:rsidR="008C79D9" w:rsidRPr="00DB5643">
        <w:rPr>
          <w:snapToGrid w:val="0"/>
          <w:kern w:val="22"/>
          <w:szCs w:val="22"/>
          <w:lang w:val="ru-RU"/>
        </w:rPr>
        <w:t>Азиатско-Тихоокеанский регион:</w:t>
      </w:r>
      <w:r w:rsidR="008C79D9" w:rsidRPr="00DB5643">
        <w:rPr>
          <w:bCs/>
          <w:iCs/>
          <w:snapToGrid w:val="0"/>
          <w:kern w:val="22"/>
          <w:szCs w:val="22"/>
          <w:lang w:val="ru-RU"/>
        </w:rPr>
        <w:t xml:space="preserve"> </w:t>
      </w:r>
      <w:r w:rsidR="004569FB" w:rsidRPr="00DB5643">
        <w:rPr>
          <w:bCs/>
          <w:iCs/>
          <w:snapToGrid w:val="0"/>
          <w:kern w:val="22"/>
          <w:szCs w:val="22"/>
          <w:lang w:val="ru-RU"/>
        </w:rPr>
        <w:t>+13</w:t>
      </w:r>
      <w:r w:rsidR="008C79D9" w:rsidRPr="00DB5643">
        <w:rPr>
          <w:bCs/>
          <w:iCs/>
          <w:snapToGrid w:val="0"/>
          <w:kern w:val="22"/>
          <w:szCs w:val="22"/>
          <w:lang w:val="ru-RU"/>
        </w:rPr>
        <w:t> </w:t>
      </w:r>
      <w:r w:rsidR="004569FB" w:rsidRPr="00DB5643">
        <w:rPr>
          <w:bCs/>
          <w:iCs/>
          <w:snapToGrid w:val="0"/>
          <w:kern w:val="22"/>
          <w:szCs w:val="22"/>
          <w:lang w:val="ru-RU"/>
        </w:rPr>
        <w:t xml:space="preserve">%; </w:t>
      </w:r>
      <w:proofErr w:type="spellStart"/>
      <w:r w:rsidR="004569FB" w:rsidRPr="00DB5643">
        <w:rPr>
          <w:bCs/>
          <w:iCs/>
          <w:snapToGrid w:val="0"/>
          <w:kern w:val="22"/>
          <w:szCs w:val="22"/>
        </w:rPr>
        <w:t>CEE</w:t>
      </w:r>
      <w:proofErr w:type="spellEnd"/>
      <w:r w:rsidR="008C79D9" w:rsidRPr="00DB5643">
        <w:rPr>
          <w:bCs/>
          <w:iCs/>
          <w:snapToGrid w:val="0"/>
          <w:kern w:val="22"/>
          <w:szCs w:val="22"/>
          <w:lang w:val="ru-RU"/>
        </w:rPr>
        <w:t>:</w:t>
      </w:r>
      <w:r w:rsidR="004569FB" w:rsidRPr="00DB5643">
        <w:rPr>
          <w:bCs/>
          <w:iCs/>
          <w:snapToGrid w:val="0"/>
          <w:kern w:val="22"/>
          <w:szCs w:val="22"/>
          <w:lang w:val="ru-RU"/>
        </w:rPr>
        <w:t xml:space="preserve"> +13</w:t>
      </w:r>
      <w:r w:rsidR="008C79D9" w:rsidRPr="00DB5643">
        <w:rPr>
          <w:bCs/>
          <w:iCs/>
          <w:snapToGrid w:val="0"/>
          <w:kern w:val="22"/>
          <w:szCs w:val="22"/>
          <w:lang w:val="ru-RU"/>
        </w:rPr>
        <w:t> </w:t>
      </w:r>
      <w:r w:rsidR="004569FB" w:rsidRPr="00DB5643">
        <w:rPr>
          <w:bCs/>
          <w:iCs/>
          <w:snapToGrid w:val="0"/>
          <w:kern w:val="22"/>
          <w:szCs w:val="22"/>
          <w:lang w:val="ru-RU"/>
        </w:rPr>
        <w:t xml:space="preserve">%, </w:t>
      </w:r>
      <w:proofErr w:type="spellStart"/>
      <w:r w:rsidR="004569FB" w:rsidRPr="00DB5643">
        <w:rPr>
          <w:bCs/>
          <w:iCs/>
          <w:snapToGrid w:val="0"/>
          <w:kern w:val="22"/>
          <w:szCs w:val="22"/>
        </w:rPr>
        <w:t>WEOG</w:t>
      </w:r>
      <w:proofErr w:type="spellEnd"/>
      <w:r w:rsidR="008C79D9" w:rsidRPr="00DB5643">
        <w:rPr>
          <w:bCs/>
          <w:iCs/>
          <w:snapToGrid w:val="0"/>
          <w:kern w:val="22"/>
          <w:szCs w:val="22"/>
          <w:lang w:val="ru-RU"/>
        </w:rPr>
        <w:t>:</w:t>
      </w:r>
      <w:r w:rsidR="004569FB" w:rsidRPr="00DB5643">
        <w:rPr>
          <w:bCs/>
          <w:iCs/>
          <w:snapToGrid w:val="0"/>
          <w:kern w:val="22"/>
          <w:szCs w:val="22"/>
          <w:lang w:val="ru-RU"/>
        </w:rPr>
        <w:t xml:space="preserve"> +11</w:t>
      </w:r>
      <w:r w:rsidR="008C79D9" w:rsidRPr="00DB5643">
        <w:rPr>
          <w:bCs/>
          <w:iCs/>
          <w:snapToGrid w:val="0"/>
          <w:kern w:val="22"/>
          <w:szCs w:val="22"/>
          <w:lang w:val="ru-RU"/>
        </w:rPr>
        <w:t> </w:t>
      </w:r>
      <w:r w:rsidR="004569FB" w:rsidRPr="00DB5643">
        <w:rPr>
          <w:bCs/>
          <w:iCs/>
          <w:snapToGrid w:val="0"/>
          <w:kern w:val="22"/>
          <w:szCs w:val="22"/>
          <w:lang w:val="ru-RU"/>
        </w:rPr>
        <w:t xml:space="preserve">%). </w:t>
      </w:r>
      <w:r w:rsidR="008C79D9" w:rsidRPr="00DB5643">
        <w:rPr>
          <w:bCs/>
          <w:iCs/>
          <w:snapToGrid w:val="0"/>
          <w:kern w:val="22"/>
          <w:szCs w:val="22"/>
          <w:lang w:val="ru-RU"/>
        </w:rPr>
        <w:t xml:space="preserve">В отношении законодательства, </w:t>
      </w:r>
      <w:r w:rsidR="008C79D9" w:rsidRPr="00DB5643">
        <w:rPr>
          <w:iCs/>
          <w:snapToGrid w:val="0"/>
          <w:kern w:val="22"/>
          <w:szCs w:val="22"/>
          <w:lang w:val="ru-RU"/>
        </w:rPr>
        <w:t xml:space="preserve">нормативных положений и руководящих указаний, применимых к импорту </w:t>
      </w:r>
      <w:proofErr w:type="spellStart"/>
      <w:r w:rsidR="008C79D9" w:rsidRPr="00DB5643">
        <w:rPr>
          <w:iCs/>
          <w:snapToGrid w:val="0"/>
          <w:kern w:val="22"/>
          <w:szCs w:val="22"/>
          <w:lang w:val="ru-RU"/>
        </w:rPr>
        <w:t>ЖИО</w:t>
      </w:r>
      <w:proofErr w:type="spellEnd"/>
      <w:r w:rsidR="008C79D9" w:rsidRPr="00DB5643">
        <w:rPr>
          <w:iCs/>
          <w:snapToGrid w:val="0"/>
          <w:kern w:val="22"/>
          <w:szCs w:val="22"/>
          <w:lang w:val="ru-RU"/>
        </w:rPr>
        <w:t xml:space="preserve">, </w:t>
      </w:r>
      <w:r w:rsidR="008C79D9" w:rsidRPr="00DB5643">
        <w:rPr>
          <w:snapToGrid w:val="0"/>
          <w:kern w:val="22"/>
          <w:szCs w:val="22"/>
          <w:lang w:val="ru-RU"/>
        </w:rPr>
        <w:t>предназначенных для непосредственного использования в качестве продовольствия или корма или для обработки,</w:t>
      </w:r>
      <w:r w:rsidR="008C79D9" w:rsidRPr="00DB5643">
        <w:rPr>
          <w:bCs/>
          <w:iCs/>
          <w:snapToGrid w:val="0"/>
          <w:kern w:val="22"/>
          <w:szCs w:val="22"/>
          <w:lang w:val="ru-RU"/>
        </w:rPr>
        <w:t xml:space="preserve"> </w:t>
      </w:r>
      <w:r w:rsidR="004569FB" w:rsidRPr="00DB5643">
        <w:rPr>
          <w:bCs/>
          <w:iCs/>
          <w:snapToGrid w:val="0"/>
          <w:kern w:val="22"/>
          <w:szCs w:val="22"/>
          <w:lang w:val="ru-RU"/>
        </w:rPr>
        <w:t>71</w:t>
      </w:r>
      <w:r w:rsidR="008C79D9" w:rsidRPr="00DB5643">
        <w:rPr>
          <w:bCs/>
          <w:iCs/>
          <w:snapToGrid w:val="0"/>
          <w:kern w:val="22"/>
          <w:szCs w:val="22"/>
          <w:lang w:val="ru-RU"/>
        </w:rPr>
        <w:t> </w:t>
      </w:r>
      <w:r w:rsidR="004569FB" w:rsidRPr="00DB5643">
        <w:rPr>
          <w:bCs/>
          <w:iCs/>
          <w:snapToGrid w:val="0"/>
          <w:kern w:val="22"/>
          <w:szCs w:val="22"/>
          <w:lang w:val="ru-RU"/>
        </w:rPr>
        <w:t xml:space="preserve">% </w:t>
      </w:r>
      <w:r w:rsidR="008C79D9" w:rsidRPr="00DB5643">
        <w:rPr>
          <w:bCs/>
          <w:iCs/>
          <w:snapToGrid w:val="0"/>
          <w:kern w:val="22"/>
          <w:szCs w:val="22"/>
          <w:lang w:val="ru-RU"/>
        </w:rPr>
        <w:t>Сторон</w:t>
      </w:r>
      <w:r w:rsidR="004569FB" w:rsidRPr="00DB5643">
        <w:rPr>
          <w:bCs/>
          <w:iCs/>
          <w:snapToGrid w:val="0"/>
          <w:kern w:val="22"/>
          <w:szCs w:val="22"/>
          <w:lang w:val="ru-RU"/>
        </w:rPr>
        <w:t xml:space="preserve"> (66 </w:t>
      </w:r>
      <w:r w:rsidR="008C79D9" w:rsidRPr="00DB5643">
        <w:rPr>
          <w:bCs/>
          <w:iCs/>
          <w:snapToGrid w:val="0"/>
          <w:kern w:val="22"/>
          <w:szCs w:val="22"/>
          <w:lang w:val="ru-RU"/>
        </w:rPr>
        <w:t>Сторон</w:t>
      </w:r>
      <w:r w:rsidR="004569FB" w:rsidRPr="00DB5643">
        <w:rPr>
          <w:bCs/>
          <w:iCs/>
          <w:snapToGrid w:val="0"/>
          <w:kern w:val="22"/>
          <w:szCs w:val="22"/>
          <w:lang w:val="ru-RU"/>
        </w:rPr>
        <w:t xml:space="preserve">) </w:t>
      </w:r>
      <w:r w:rsidR="008C79D9" w:rsidRPr="00DB5643">
        <w:rPr>
          <w:bCs/>
          <w:iCs/>
          <w:snapToGrid w:val="0"/>
          <w:kern w:val="22"/>
          <w:szCs w:val="22"/>
          <w:lang w:val="ru-RU"/>
        </w:rPr>
        <w:t xml:space="preserve">сообщили о представлении этой информации в </w:t>
      </w:r>
      <w:proofErr w:type="spellStart"/>
      <w:r w:rsidR="008C79D9" w:rsidRPr="00DB5643">
        <w:rPr>
          <w:bCs/>
          <w:iCs/>
          <w:snapToGrid w:val="0"/>
          <w:kern w:val="22"/>
          <w:szCs w:val="22"/>
          <w:lang w:val="ru-RU"/>
        </w:rPr>
        <w:t>МПБ</w:t>
      </w:r>
      <w:proofErr w:type="spellEnd"/>
      <w:r w:rsidR="004569FB" w:rsidRPr="00DB5643">
        <w:rPr>
          <w:bCs/>
          <w:iCs/>
          <w:snapToGrid w:val="0"/>
          <w:kern w:val="22"/>
          <w:szCs w:val="22"/>
          <w:lang w:val="ru-RU"/>
        </w:rPr>
        <w:t xml:space="preserve">, </w:t>
      </w:r>
      <w:r w:rsidR="008C79D9" w:rsidRPr="00DB5643">
        <w:rPr>
          <w:bCs/>
          <w:iCs/>
          <w:snapToGrid w:val="0"/>
          <w:kern w:val="22"/>
          <w:szCs w:val="22"/>
          <w:lang w:val="ru-RU"/>
        </w:rPr>
        <w:t xml:space="preserve">что на </w:t>
      </w:r>
      <w:r w:rsidR="004569FB" w:rsidRPr="00DB5643">
        <w:rPr>
          <w:bCs/>
          <w:iCs/>
          <w:snapToGrid w:val="0"/>
          <w:kern w:val="22"/>
          <w:szCs w:val="22"/>
          <w:lang w:val="ru-RU"/>
        </w:rPr>
        <w:t>18</w:t>
      </w:r>
      <w:r w:rsidR="008C79D9" w:rsidRPr="00DB5643">
        <w:rPr>
          <w:bCs/>
          <w:iCs/>
          <w:snapToGrid w:val="0"/>
          <w:kern w:val="22"/>
          <w:szCs w:val="22"/>
          <w:lang w:val="ru-RU"/>
        </w:rPr>
        <w:t> </w:t>
      </w:r>
      <w:r w:rsidR="004569FB" w:rsidRPr="00DB5643">
        <w:rPr>
          <w:bCs/>
          <w:iCs/>
          <w:snapToGrid w:val="0"/>
          <w:kern w:val="22"/>
          <w:szCs w:val="22"/>
          <w:lang w:val="ru-RU"/>
        </w:rPr>
        <w:t xml:space="preserve">% </w:t>
      </w:r>
      <w:r w:rsidR="008C79D9" w:rsidRPr="00DB5643">
        <w:rPr>
          <w:bCs/>
          <w:iCs/>
          <w:snapToGrid w:val="0"/>
          <w:kern w:val="22"/>
          <w:szCs w:val="22"/>
          <w:lang w:val="ru-RU"/>
        </w:rPr>
        <w:t>больше по сравнению с исходным уровнем</w:t>
      </w:r>
      <w:r w:rsidR="004569FB" w:rsidRPr="00DB5643">
        <w:rPr>
          <w:bCs/>
          <w:iCs/>
          <w:snapToGrid w:val="0"/>
          <w:kern w:val="22"/>
          <w:szCs w:val="22"/>
          <w:lang w:val="ru-RU"/>
        </w:rPr>
        <w:t xml:space="preserve"> (</w:t>
      </w:r>
      <w:r w:rsidR="008C79D9" w:rsidRPr="00DB5643">
        <w:rPr>
          <w:bCs/>
          <w:iCs/>
          <w:snapToGrid w:val="0"/>
          <w:kern w:val="22"/>
          <w:szCs w:val="22"/>
          <w:lang w:val="ru-RU"/>
        </w:rPr>
        <w:t>при следующих региональных изменениях</w:t>
      </w:r>
      <w:r w:rsidR="004569FB" w:rsidRPr="00DB5643">
        <w:rPr>
          <w:bCs/>
          <w:iCs/>
          <w:snapToGrid w:val="0"/>
          <w:kern w:val="22"/>
          <w:szCs w:val="22"/>
          <w:lang w:val="ru-RU"/>
        </w:rPr>
        <w:t xml:space="preserve">: </w:t>
      </w:r>
      <w:r w:rsidR="008C79D9" w:rsidRPr="00DB5643">
        <w:rPr>
          <w:bCs/>
          <w:iCs/>
          <w:snapToGrid w:val="0"/>
          <w:kern w:val="22"/>
          <w:szCs w:val="22"/>
          <w:lang w:val="ru-RU"/>
        </w:rPr>
        <w:t>Африка:</w:t>
      </w:r>
      <w:r w:rsidR="004569FB" w:rsidRPr="00DB5643">
        <w:rPr>
          <w:bCs/>
          <w:iCs/>
          <w:snapToGrid w:val="0"/>
          <w:kern w:val="22"/>
          <w:szCs w:val="22"/>
          <w:lang w:val="ru-RU"/>
        </w:rPr>
        <w:t xml:space="preserve"> +27</w:t>
      </w:r>
      <w:r w:rsidR="008C79D9" w:rsidRPr="00DB5643">
        <w:rPr>
          <w:bCs/>
          <w:iCs/>
          <w:snapToGrid w:val="0"/>
          <w:kern w:val="22"/>
          <w:szCs w:val="22"/>
          <w:lang w:val="ru-RU"/>
        </w:rPr>
        <w:t> </w:t>
      </w:r>
      <w:r w:rsidR="004569FB" w:rsidRPr="00DB5643">
        <w:rPr>
          <w:bCs/>
          <w:iCs/>
          <w:snapToGrid w:val="0"/>
          <w:kern w:val="22"/>
          <w:szCs w:val="22"/>
          <w:lang w:val="ru-RU"/>
        </w:rPr>
        <w:t xml:space="preserve">%; </w:t>
      </w:r>
      <w:proofErr w:type="spellStart"/>
      <w:r w:rsidR="008C79D9" w:rsidRPr="00DB5643">
        <w:rPr>
          <w:bCs/>
          <w:iCs/>
          <w:snapToGrid w:val="0"/>
          <w:kern w:val="22"/>
          <w:szCs w:val="22"/>
          <w:lang w:val="ru-RU"/>
        </w:rPr>
        <w:t>ГРУЛАК</w:t>
      </w:r>
      <w:proofErr w:type="spellEnd"/>
      <w:r w:rsidR="008C79D9" w:rsidRPr="00DB5643">
        <w:rPr>
          <w:bCs/>
          <w:iCs/>
          <w:snapToGrid w:val="0"/>
          <w:kern w:val="22"/>
          <w:szCs w:val="22"/>
          <w:lang w:val="ru-RU"/>
        </w:rPr>
        <w:t>:</w:t>
      </w:r>
      <w:r w:rsidR="004569FB" w:rsidRPr="00DB5643">
        <w:rPr>
          <w:bCs/>
          <w:iCs/>
          <w:snapToGrid w:val="0"/>
          <w:kern w:val="22"/>
          <w:szCs w:val="22"/>
          <w:lang w:val="ru-RU"/>
        </w:rPr>
        <w:t xml:space="preserve"> +23</w:t>
      </w:r>
      <w:r w:rsidR="008C79D9" w:rsidRPr="00DB5643">
        <w:rPr>
          <w:bCs/>
          <w:iCs/>
          <w:snapToGrid w:val="0"/>
          <w:kern w:val="22"/>
          <w:szCs w:val="22"/>
          <w:lang w:val="ru-RU"/>
        </w:rPr>
        <w:t> </w:t>
      </w:r>
      <w:r w:rsidR="004569FB" w:rsidRPr="00DB5643">
        <w:rPr>
          <w:bCs/>
          <w:iCs/>
          <w:snapToGrid w:val="0"/>
          <w:kern w:val="22"/>
          <w:szCs w:val="22"/>
          <w:lang w:val="ru-RU"/>
        </w:rPr>
        <w:t xml:space="preserve">%; </w:t>
      </w:r>
      <w:r w:rsidR="00374EDF" w:rsidRPr="00DB5643">
        <w:rPr>
          <w:snapToGrid w:val="0"/>
          <w:kern w:val="22"/>
          <w:szCs w:val="22"/>
          <w:lang w:val="ru-RU"/>
        </w:rPr>
        <w:t>Азиатско-Тихоокеанский регион</w:t>
      </w:r>
      <w:r w:rsidR="008C79D9" w:rsidRPr="00DB5643">
        <w:rPr>
          <w:bCs/>
          <w:iCs/>
          <w:snapToGrid w:val="0"/>
          <w:kern w:val="22"/>
          <w:szCs w:val="22"/>
          <w:lang w:val="ru-RU"/>
        </w:rPr>
        <w:t>:</w:t>
      </w:r>
      <w:r w:rsidR="004569FB" w:rsidRPr="00DB5643">
        <w:rPr>
          <w:bCs/>
          <w:iCs/>
          <w:snapToGrid w:val="0"/>
          <w:kern w:val="22"/>
          <w:szCs w:val="22"/>
          <w:lang w:val="ru-RU"/>
        </w:rPr>
        <w:t xml:space="preserve"> +19</w:t>
      </w:r>
      <w:r w:rsidR="008C79D9" w:rsidRPr="00DB5643">
        <w:rPr>
          <w:bCs/>
          <w:iCs/>
          <w:snapToGrid w:val="0"/>
          <w:kern w:val="22"/>
          <w:szCs w:val="22"/>
          <w:lang w:val="ru-RU"/>
        </w:rPr>
        <w:t> </w:t>
      </w:r>
      <w:r w:rsidR="004569FB" w:rsidRPr="00DB5643">
        <w:rPr>
          <w:bCs/>
          <w:iCs/>
          <w:snapToGrid w:val="0"/>
          <w:kern w:val="22"/>
          <w:szCs w:val="22"/>
          <w:lang w:val="ru-RU"/>
        </w:rPr>
        <w:t xml:space="preserve">%; </w:t>
      </w:r>
      <w:proofErr w:type="spellStart"/>
      <w:r w:rsidR="004569FB" w:rsidRPr="00DB5643">
        <w:rPr>
          <w:bCs/>
          <w:iCs/>
          <w:snapToGrid w:val="0"/>
          <w:kern w:val="22"/>
          <w:szCs w:val="22"/>
        </w:rPr>
        <w:t>WEOG</w:t>
      </w:r>
      <w:proofErr w:type="spellEnd"/>
      <w:r w:rsidR="008C79D9" w:rsidRPr="00DB5643">
        <w:rPr>
          <w:bCs/>
          <w:iCs/>
          <w:snapToGrid w:val="0"/>
          <w:kern w:val="22"/>
          <w:szCs w:val="22"/>
          <w:lang w:val="ru-RU"/>
        </w:rPr>
        <w:t>:</w:t>
      </w:r>
      <w:r w:rsidR="004569FB" w:rsidRPr="00DB5643">
        <w:rPr>
          <w:bCs/>
          <w:iCs/>
          <w:snapToGrid w:val="0"/>
          <w:kern w:val="22"/>
          <w:szCs w:val="22"/>
          <w:lang w:val="ru-RU"/>
        </w:rPr>
        <w:t xml:space="preserve"> +11</w:t>
      </w:r>
      <w:r w:rsidR="008C79D9" w:rsidRPr="00DB5643">
        <w:rPr>
          <w:bCs/>
          <w:iCs/>
          <w:snapToGrid w:val="0"/>
          <w:kern w:val="22"/>
          <w:szCs w:val="22"/>
          <w:lang w:val="ru-RU"/>
        </w:rPr>
        <w:t> </w:t>
      </w:r>
      <w:r w:rsidR="004569FB" w:rsidRPr="00DB5643">
        <w:rPr>
          <w:bCs/>
          <w:iCs/>
          <w:snapToGrid w:val="0"/>
          <w:kern w:val="22"/>
          <w:szCs w:val="22"/>
          <w:lang w:val="ru-RU"/>
        </w:rPr>
        <w:t xml:space="preserve">%; </w:t>
      </w:r>
      <w:proofErr w:type="spellStart"/>
      <w:r w:rsidR="004569FB" w:rsidRPr="00DB5643">
        <w:rPr>
          <w:bCs/>
          <w:iCs/>
          <w:snapToGrid w:val="0"/>
          <w:kern w:val="22"/>
          <w:szCs w:val="22"/>
        </w:rPr>
        <w:t>CEE</w:t>
      </w:r>
      <w:proofErr w:type="spellEnd"/>
      <w:r w:rsidR="008C79D9" w:rsidRPr="00DB5643">
        <w:rPr>
          <w:bCs/>
          <w:iCs/>
          <w:snapToGrid w:val="0"/>
          <w:kern w:val="22"/>
          <w:szCs w:val="22"/>
          <w:lang w:val="ru-RU"/>
        </w:rPr>
        <w:t>:</w:t>
      </w:r>
      <w:r w:rsidR="004569FB" w:rsidRPr="00DB5643">
        <w:rPr>
          <w:bCs/>
          <w:iCs/>
          <w:snapToGrid w:val="0"/>
          <w:kern w:val="22"/>
          <w:szCs w:val="22"/>
          <w:lang w:val="ru-RU"/>
        </w:rPr>
        <w:t xml:space="preserve"> +6</w:t>
      </w:r>
      <w:r w:rsidR="008C79D9" w:rsidRPr="00DB5643">
        <w:rPr>
          <w:bCs/>
          <w:iCs/>
          <w:snapToGrid w:val="0"/>
          <w:kern w:val="22"/>
          <w:szCs w:val="22"/>
          <w:lang w:val="ru-RU"/>
        </w:rPr>
        <w:t> </w:t>
      </w:r>
      <w:r w:rsidR="004569FB" w:rsidRPr="00DB5643">
        <w:rPr>
          <w:bCs/>
          <w:iCs/>
          <w:snapToGrid w:val="0"/>
          <w:kern w:val="22"/>
          <w:szCs w:val="22"/>
          <w:lang w:val="ru-RU"/>
        </w:rPr>
        <w:t>%).</w:t>
      </w:r>
    </w:p>
    <w:p w14:paraId="7A48E5B6" w14:textId="340862B4" w:rsidR="00600208" w:rsidRPr="00DB5643" w:rsidRDefault="00571F2D" w:rsidP="00B44100">
      <w:pPr>
        <w:pStyle w:val="a3"/>
        <w:numPr>
          <w:ilvl w:val="0"/>
          <w:numId w:val="9"/>
        </w:numPr>
        <w:suppressLineNumbers/>
        <w:tabs>
          <w:tab w:val="clear" w:pos="3240"/>
        </w:tabs>
        <w:suppressAutoHyphens/>
        <w:snapToGrid w:val="0"/>
        <w:spacing w:before="120" w:after="120"/>
        <w:ind w:left="0" w:firstLine="0"/>
        <w:contextualSpacing w:val="0"/>
        <w:rPr>
          <w:bCs/>
          <w:iCs/>
          <w:snapToGrid w:val="0"/>
          <w:kern w:val="22"/>
          <w:szCs w:val="22"/>
          <w:lang w:val="ru-RU"/>
        </w:rPr>
      </w:pPr>
      <w:r w:rsidRPr="00DB5643">
        <w:rPr>
          <w:snapToGrid w:val="0"/>
          <w:kern w:val="22"/>
          <w:szCs w:val="22"/>
          <w:lang w:val="ru-RU"/>
        </w:rPr>
        <w:lastRenderedPageBreak/>
        <w:t xml:space="preserve">Что касается статуса представляемой в </w:t>
      </w:r>
      <w:proofErr w:type="spellStart"/>
      <w:r w:rsidRPr="00DB5643">
        <w:rPr>
          <w:snapToGrid w:val="0"/>
          <w:kern w:val="22"/>
          <w:szCs w:val="22"/>
          <w:lang w:val="ru-RU"/>
        </w:rPr>
        <w:t>МПБ</w:t>
      </w:r>
      <w:proofErr w:type="spellEnd"/>
      <w:r w:rsidRPr="00DB5643">
        <w:rPr>
          <w:snapToGrid w:val="0"/>
          <w:kern w:val="22"/>
          <w:szCs w:val="22"/>
          <w:lang w:val="ru-RU"/>
        </w:rPr>
        <w:t xml:space="preserve"> обязательной информации о двусторонних, многосторонних и региональных соглашениях и договоренностях, из числа Сторон, сообщивших о наличии такой информации</w:t>
      </w:r>
      <w:r w:rsidR="004569FB" w:rsidRPr="00DB5643">
        <w:rPr>
          <w:snapToGrid w:val="0"/>
          <w:kern w:val="22"/>
          <w:szCs w:val="22"/>
          <w:lang w:val="ru-RU"/>
        </w:rPr>
        <w:t xml:space="preserve"> </w:t>
      </w:r>
      <w:r w:rsidR="00FA68D3" w:rsidRPr="00DB5643">
        <w:rPr>
          <w:bCs/>
          <w:iCs/>
          <w:snapToGrid w:val="0"/>
          <w:kern w:val="22"/>
          <w:szCs w:val="22"/>
          <w:lang w:val="ru-RU"/>
        </w:rPr>
        <w:t>(28</w:t>
      </w:r>
      <w:r w:rsidRPr="00DB5643">
        <w:rPr>
          <w:bCs/>
          <w:iCs/>
          <w:snapToGrid w:val="0"/>
          <w:kern w:val="22"/>
          <w:szCs w:val="22"/>
          <w:lang w:val="ru-RU"/>
        </w:rPr>
        <w:t> </w:t>
      </w:r>
      <w:r w:rsidR="00FA68D3" w:rsidRPr="00DB5643">
        <w:rPr>
          <w:bCs/>
          <w:iCs/>
          <w:snapToGrid w:val="0"/>
          <w:kern w:val="22"/>
          <w:szCs w:val="22"/>
          <w:lang w:val="ru-RU"/>
        </w:rPr>
        <w:t>%</w:t>
      </w:r>
      <w:r w:rsidR="00EF0957" w:rsidRPr="00DB5643">
        <w:rPr>
          <w:bCs/>
          <w:iCs/>
          <w:snapToGrid w:val="0"/>
          <w:kern w:val="22"/>
          <w:szCs w:val="22"/>
          <w:lang w:val="ru-RU"/>
        </w:rPr>
        <w:t xml:space="preserve">, </w:t>
      </w:r>
      <w:r w:rsidR="002E5D58" w:rsidRPr="00DB5643">
        <w:rPr>
          <w:bCs/>
          <w:iCs/>
          <w:snapToGrid w:val="0"/>
          <w:kern w:val="22"/>
          <w:szCs w:val="22"/>
          <w:lang w:val="ru-RU"/>
        </w:rPr>
        <w:t xml:space="preserve">26 </w:t>
      </w:r>
      <w:r w:rsidRPr="00DB5643">
        <w:rPr>
          <w:bCs/>
          <w:iCs/>
          <w:snapToGrid w:val="0"/>
          <w:kern w:val="22"/>
          <w:szCs w:val="22"/>
          <w:lang w:val="ru-RU"/>
        </w:rPr>
        <w:t>Сторон</w:t>
      </w:r>
      <w:r w:rsidR="002E5D58" w:rsidRPr="00DB5643">
        <w:rPr>
          <w:bCs/>
          <w:iCs/>
          <w:snapToGrid w:val="0"/>
          <w:kern w:val="22"/>
          <w:szCs w:val="22"/>
          <w:lang w:val="ru-RU"/>
        </w:rPr>
        <w:t>)</w:t>
      </w:r>
      <w:r w:rsidR="004569FB" w:rsidRPr="00DB5643">
        <w:rPr>
          <w:bCs/>
          <w:iCs/>
          <w:snapToGrid w:val="0"/>
          <w:kern w:val="22"/>
          <w:szCs w:val="22"/>
          <w:lang w:val="ru-RU"/>
        </w:rPr>
        <w:t>, 54</w:t>
      </w:r>
      <w:r w:rsidRPr="00DB5643">
        <w:rPr>
          <w:bCs/>
          <w:iCs/>
          <w:snapToGrid w:val="0"/>
          <w:kern w:val="22"/>
          <w:szCs w:val="22"/>
          <w:lang w:val="ru-RU"/>
        </w:rPr>
        <w:t> </w:t>
      </w:r>
      <w:r w:rsidR="004569FB" w:rsidRPr="00DB5643">
        <w:rPr>
          <w:bCs/>
          <w:iCs/>
          <w:snapToGrid w:val="0"/>
          <w:kern w:val="22"/>
          <w:szCs w:val="22"/>
          <w:lang w:val="ru-RU"/>
        </w:rPr>
        <w:t xml:space="preserve">% </w:t>
      </w:r>
      <w:r w:rsidR="00197C71" w:rsidRPr="00DB5643">
        <w:rPr>
          <w:bCs/>
          <w:iCs/>
          <w:snapToGrid w:val="0"/>
          <w:kern w:val="22"/>
          <w:szCs w:val="22"/>
          <w:lang w:val="ru-RU"/>
        </w:rPr>
        <w:t xml:space="preserve">(14 </w:t>
      </w:r>
      <w:r w:rsidRPr="00DB5643">
        <w:rPr>
          <w:bCs/>
          <w:iCs/>
          <w:snapToGrid w:val="0"/>
          <w:kern w:val="22"/>
          <w:szCs w:val="22"/>
          <w:lang w:val="ru-RU"/>
        </w:rPr>
        <w:t>Стороны</w:t>
      </w:r>
      <w:r w:rsidR="00197C71" w:rsidRPr="00DB5643">
        <w:rPr>
          <w:bCs/>
          <w:iCs/>
          <w:snapToGrid w:val="0"/>
          <w:kern w:val="22"/>
          <w:szCs w:val="22"/>
          <w:lang w:val="ru-RU"/>
        </w:rPr>
        <w:t xml:space="preserve">) </w:t>
      </w:r>
      <w:r w:rsidRPr="00DB5643">
        <w:rPr>
          <w:bCs/>
          <w:iCs/>
          <w:snapToGrid w:val="0"/>
          <w:kern w:val="22"/>
          <w:szCs w:val="22"/>
          <w:lang w:val="ru-RU"/>
        </w:rPr>
        <w:t xml:space="preserve">сообщили о том, что информация была также представлена в </w:t>
      </w:r>
      <w:proofErr w:type="spellStart"/>
      <w:r w:rsidRPr="00DB5643">
        <w:rPr>
          <w:bCs/>
          <w:iCs/>
          <w:snapToGrid w:val="0"/>
          <w:kern w:val="22"/>
          <w:szCs w:val="22"/>
          <w:lang w:val="ru-RU"/>
        </w:rPr>
        <w:t>МПБ</w:t>
      </w:r>
      <w:proofErr w:type="spellEnd"/>
      <w:r w:rsidR="004569FB" w:rsidRPr="00DB5643">
        <w:rPr>
          <w:bCs/>
          <w:iCs/>
          <w:snapToGrid w:val="0"/>
          <w:kern w:val="22"/>
          <w:szCs w:val="22"/>
          <w:lang w:val="ru-RU"/>
        </w:rPr>
        <w:t xml:space="preserve">, </w:t>
      </w:r>
      <w:r w:rsidRPr="00DB5643">
        <w:rPr>
          <w:bCs/>
          <w:iCs/>
          <w:snapToGrid w:val="0"/>
          <w:kern w:val="22"/>
          <w:szCs w:val="22"/>
          <w:lang w:val="ru-RU"/>
        </w:rPr>
        <w:t>что соответствует увеличению на</w:t>
      </w:r>
      <w:r w:rsidR="004569FB" w:rsidRPr="00DB5643">
        <w:rPr>
          <w:bCs/>
          <w:iCs/>
          <w:snapToGrid w:val="0"/>
          <w:kern w:val="22"/>
          <w:szCs w:val="22"/>
          <w:lang w:val="ru-RU"/>
        </w:rPr>
        <w:t xml:space="preserve"> 15</w:t>
      </w:r>
      <w:r w:rsidRPr="00DB5643">
        <w:rPr>
          <w:bCs/>
          <w:iCs/>
          <w:snapToGrid w:val="0"/>
          <w:kern w:val="22"/>
          <w:szCs w:val="22"/>
          <w:lang w:val="ru-RU"/>
        </w:rPr>
        <w:t> </w:t>
      </w:r>
      <w:r w:rsidR="004569FB" w:rsidRPr="00DB5643">
        <w:rPr>
          <w:bCs/>
          <w:iCs/>
          <w:snapToGrid w:val="0"/>
          <w:kern w:val="22"/>
          <w:szCs w:val="22"/>
          <w:lang w:val="ru-RU"/>
        </w:rPr>
        <w:t xml:space="preserve">%. </w:t>
      </w:r>
    </w:p>
    <w:p w14:paraId="60EC3B1B" w14:textId="08E88DA2" w:rsidR="004569FB" w:rsidRPr="00DB5643" w:rsidRDefault="00571F2D" w:rsidP="00B44100">
      <w:pPr>
        <w:pStyle w:val="a3"/>
        <w:numPr>
          <w:ilvl w:val="0"/>
          <w:numId w:val="9"/>
        </w:numPr>
        <w:suppressLineNumbers/>
        <w:tabs>
          <w:tab w:val="clear" w:pos="3240"/>
        </w:tabs>
        <w:suppressAutoHyphens/>
        <w:snapToGrid w:val="0"/>
        <w:spacing w:before="120" w:after="120"/>
        <w:ind w:left="0" w:firstLine="0"/>
        <w:contextualSpacing w:val="0"/>
        <w:rPr>
          <w:bCs/>
          <w:iCs/>
          <w:snapToGrid w:val="0"/>
          <w:kern w:val="22"/>
          <w:szCs w:val="22"/>
          <w:lang w:val="ru-RU"/>
        </w:rPr>
      </w:pPr>
      <w:r w:rsidRPr="00DB5643">
        <w:rPr>
          <w:bCs/>
          <w:iCs/>
          <w:snapToGrid w:val="0"/>
          <w:kern w:val="22"/>
          <w:szCs w:val="22"/>
          <w:lang w:val="ru-RU"/>
        </w:rPr>
        <w:t>Из числа Сторон, сообщивших</w:t>
      </w:r>
      <w:r w:rsidR="004569FB" w:rsidRPr="00DB5643">
        <w:rPr>
          <w:bCs/>
          <w:iCs/>
          <w:snapToGrid w:val="0"/>
          <w:kern w:val="22"/>
          <w:szCs w:val="22"/>
          <w:lang w:val="ru-RU"/>
        </w:rPr>
        <w:t xml:space="preserve"> </w:t>
      </w:r>
      <w:r w:rsidRPr="00DB5643">
        <w:rPr>
          <w:bCs/>
          <w:iCs/>
          <w:snapToGrid w:val="0"/>
          <w:kern w:val="22"/>
          <w:szCs w:val="22"/>
          <w:lang w:val="ru-RU"/>
        </w:rPr>
        <w:t>о наличии информации о случаях незаконных трансграничных перемещений</w:t>
      </w:r>
      <w:r w:rsidR="004569FB" w:rsidRPr="00DB5643">
        <w:rPr>
          <w:bCs/>
          <w:iCs/>
          <w:snapToGrid w:val="0"/>
          <w:kern w:val="22"/>
          <w:szCs w:val="22"/>
          <w:lang w:val="ru-RU"/>
        </w:rPr>
        <w:t xml:space="preserve"> </w:t>
      </w:r>
      <w:proofErr w:type="spellStart"/>
      <w:r w:rsidR="00BE0A7B" w:rsidRPr="00DB5643">
        <w:rPr>
          <w:bCs/>
          <w:iCs/>
          <w:snapToGrid w:val="0"/>
          <w:kern w:val="22"/>
          <w:szCs w:val="22"/>
          <w:lang w:val="ru-RU"/>
        </w:rPr>
        <w:t>ЖИО</w:t>
      </w:r>
      <w:proofErr w:type="spellEnd"/>
      <w:r w:rsidR="00315521" w:rsidRPr="00DB5643">
        <w:rPr>
          <w:bCs/>
          <w:iCs/>
          <w:snapToGrid w:val="0"/>
          <w:kern w:val="22"/>
          <w:szCs w:val="22"/>
          <w:lang w:val="ru-RU"/>
        </w:rPr>
        <w:t xml:space="preserve"> </w:t>
      </w:r>
      <w:r w:rsidR="00533B3E" w:rsidRPr="00DB5643">
        <w:rPr>
          <w:bCs/>
          <w:iCs/>
          <w:snapToGrid w:val="0"/>
          <w:kern w:val="22"/>
          <w:szCs w:val="22"/>
          <w:lang w:val="ru-RU"/>
        </w:rPr>
        <w:t>(</w:t>
      </w:r>
      <w:r w:rsidR="00315521" w:rsidRPr="00DB5643">
        <w:rPr>
          <w:bCs/>
          <w:iCs/>
          <w:snapToGrid w:val="0"/>
          <w:kern w:val="22"/>
          <w:szCs w:val="22"/>
          <w:lang w:val="ru-RU"/>
        </w:rPr>
        <w:t>16</w:t>
      </w:r>
      <w:r w:rsidR="00BE0A7B" w:rsidRPr="00DB5643">
        <w:rPr>
          <w:bCs/>
          <w:iCs/>
          <w:snapToGrid w:val="0"/>
          <w:kern w:val="22"/>
          <w:szCs w:val="22"/>
          <w:lang w:val="en-US"/>
        </w:rPr>
        <w:t> </w:t>
      </w:r>
      <w:r w:rsidR="00315521" w:rsidRPr="00DB5643">
        <w:rPr>
          <w:bCs/>
          <w:iCs/>
          <w:snapToGrid w:val="0"/>
          <w:kern w:val="22"/>
          <w:szCs w:val="22"/>
          <w:lang w:val="ru-RU"/>
        </w:rPr>
        <w:t>%</w:t>
      </w:r>
      <w:r w:rsidR="00C50047" w:rsidRPr="00DB5643">
        <w:rPr>
          <w:bCs/>
          <w:iCs/>
          <w:snapToGrid w:val="0"/>
          <w:kern w:val="22"/>
          <w:szCs w:val="22"/>
          <w:lang w:val="ru-RU"/>
        </w:rPr>
        <w:t>,</w:t>
      </w:r>
      <w:r w:rsidR="00197C71" w:rsidRPr="00DB5643">
        <w:rPr>
          <w:bCs/>
          <w:iCs/>
          <w:snapToGrid w:val="0"/>
          <w:kern w:val="22"/>
          <w:szCs w:val="22"/>
          <w:lang w:val="ru-RU"/>
        </w:rPr>
        <w:t xml:space="preserve"> </w:t>
      </w:r>
      <w:r w:rsidR="00337F1A" w:rsidRPr="00DB5643">
        <w:rPr>
          <w:bCs/>
          <w:iCs/>
          <w:snapToGrid w:val="0"/>
          <w:kern w:val="22"/>
          <w:szCs w:val="22"/>
          <w:lang w:val="ru-RU"/>
        </w:rPr>
        <w:t xml:space="preserve">15 </w:t>
      </w:r>
      <w:r w:rsidR="00BE0A7B" w:rsidRPr="00DB5643">
        <w:rPr>
          <w:bCs/>
          <w:iCs/>
          <w:snapToGrid w:val="0"/>
          <w:kern w:val="22"/>
          <w:szCs w:val="22"/>
          <w:lang w:val="ru-RU"/>
        </w:rPr>
        <w:t>Сторон</w:t>
      </w:r>
      <w:r w:rsidR="00337F1A" w:rsidRPr="00DB5643">
        <w:rPr>
          <w:bCs/>
          <w:iCs/>
          <w:snapToGrid w:val="0"/>
          <w:kern w:val="22"/>
          <w:szCs w:val="22"/>
          <w:lang w:val="ru-RU"/>
        </w:rPr>
        <w:t>)</w:t>
      </w:r>
      <w:r w:rsidR="004569FB" w:rsidRPr="00DB5643">
        <w:rPr>
          <w:bCs/>
          <w:iCs/>
          <w:snapToGrid w:val="0"/>
          <w:kern w:val="22"/>
          <w:szCs w:val="22"/>
          <w:lang w:val="ru-RU"/>
        </w:rPr>
        <w:t>, 33</w:t>
      </w:r>
      <w:r w:rsidR="00BE0A7B" w:rsidRPr="00DB5643">
        <w:rPr>
          <w:bCs/>
          <w:iCs/>
          <w:snapToGrid w:val="0"/>
          <w:kern w:val="22"/>
          <w:szCs w:val="22"/>
          <w:lang w:val="ru-RU"/>
        </w:rPr>
        <w:t> </w:t>
      </w:r>
      <w:r w:rsidR="004569FB" w:rsidRPr="00DB5643">
        <w:rPr>
          <w:bCs/>
          <w:iCs/>
          <w:snapToGrid w:val="0"/>
          <w:kern w:val="22"/>
          <w:szCs w:val="22"/>
          <w:lang w:val="ru-RU"/>
        </w:rPr>
        <w:t xml:space="preserve">% </w:t>
      </w:r>
      <w:r w:rsidR="001C2401" w:rsidRPr="00DB5643">
        <w:rPr>
          <w:bCs/>
          <w:iCs/>
          <w:snapToGrid w:val="0"/>
          <w:kern w:val="22"/>
          <w:szCs w:val="22"/>
          <w:lang w:val="ru-RU"/>
        </w:rPr>
        <w:t xml:space="preserve">(5 </w:t>
      </w:r>
      <w:r w:rsidR="00BE0A7B" w:rsidRPr="00DB5643">
        <w:rPr>
          <w:bCs/>
          <w:iCs/>
          <w:snapToGrid w:val="0"/>
          <w:kern w:val="22"/>
          <w:szCs w:val="22"/>
          <w:lang w:val="ru-RU"/>
        </w:rPr>
        <w:t>Сторон</w:t>
      </w:r>
      <w:r w:rsidR="001C2401" w:rsidRPr="00DB5643">
        <w:rPr>
          <w:bCs/>
          <w:iCs/>
          <w:snapToGrid w:val="0"/>
          <w:kern w:val="22"/>
          <w:szCs w:val="22"/>
          <w:lang w:val="ru-RU"/>
        </w:rPr>
        <w:t xml:space="preserve">) </w:t>
      </w:r>
      <w:r w:rsidR="00BE0A7B" w:rsidRPr="00DB5643">
        <w:rPr>
          <w:bCs/>
          <w:iCs/>
          <w:snapToGrid w:val="0"/>
          <w:kern w:val="22"/>
          <w:szCs w:val="22"/>
          <w:lang w:val="ru-RU"/>
        </w:rPr>
        <w:t xml:space="preserve">сообщили о том, что информация была представлена в </w:t>
      </w:r>
      <w:proofErr w:type="spellStart"/>
      <w:r w:rsidR="00BE0A7B" w:rsidRPr="00DB5643">
        <w:rPr>
          <w:bCs/>
          <w:iCs/>
          <w:snapToGrid w:val="0"/>
          <w:kern w:val="22"/>
          <w:szCs w:val="22"/>
          <w:lang w:val="ru-RU"/>
        </w:rPr>
        <w:t>МПБ</w:t>
      </w:r>
      <w:proofErr w:type="spellEnd"/>
      <w:r w:rsidR="00BE0A7B" w:rsidRPr="00DB5643">
        <w:rPr>
          <w:bCs/>
          <w:iCs/>
          <w:snapToGrid w:val="0"/>
          <w:kern w:val="22"/>
          <w:szCs w:val="22"/>
          <w:lang w:val="ru-RU"/>
        </w:rPr>
        <w:t xml:space="preserve">, что соответствует уменьшению на </w:t>
      </w:r>
      <w:r w:rsidR="004569FB" w:rsidRPr="00DB5643">
        <w:rPr>
          <w:bCs/>
          <w:iCs/>
          <w:snapToGrid w:val="0"/>
          <w:kern w:val="22"/>
          <w:szCs w:val="22"/>
          <w:lang w:val="ru-RU"/>
        </w:rPr>
        <w:t>17</w:t>
      </w:r>
      <w:r w:rsidR="00BE0A7B" w:rsidRPr="00DB5643">
        <w:rPr>
          <w:bCs/>
          <w:iCs/>
          <w:snapToGrid w:val="0"/>
          <w:kern w:val="22"/>
          <w:szCs w:val="22"/>
          <w:lang w:val="ru-RU"/>
        </w:rPr>
        <w:t> </w:t>
      </w:r>
      <w:r w:rsidR="004569FB" w:rsidRPr="00DB5643">
        <w:rPr>
          <w:bCs/>
          <w:iCs/>
          <w:snapToGrid w:val="0"/>
          <w:kern w:val="22"/>
          <w:szCs w:val="22"/>
          <w:lang w:val="ru-RU"/>
        </w:rPr>
        <w:t xml:space="preserve">% </w:t>
      </w:r>
      <w:r w:rsidR="00BE0A7B" w:rsidRPr="00DB5643">
        <w:rPr>
          <w:bCs/>
          <w:iCs/>
          <w:snapToGrid w:val="0"/>
          <w:kern w:val="22"/>
          <w:szCs w:val="22"/>
          <w:lang w:val="ru-RU"/>
        </w:rPr>
        <w:t>по сравнению с исходным уровнем</w:t>
      </w:r>
      <w:r w:rsidR="004569FB" w:rsidRPr="00DB5643">
        <w:rPr>
          <w:bCs/>
          <w:iCs/>
          <w:snapToGrid w:val="0"/>
          <w:kern w:val="22"/>
          <w:szCs w:val="22"/>
          <w:lang w:val="ru-RU"/>
        </w:rPr>
        <w:t>.</w:t>
      </w:r>
    </w:p>
    <w:p w14:paraId="7A2A80A2" w14:textId="5C9E5A27" w:rsidR="004569FB" w:rsidRPr="00DB5643" w:rsidRDefault="000D7A5A" w:rsidP="00B44100">
      <w:pPr>
        <w:pStyle w:val="a3"/>
        <w:numPr>
          <w:ilvl w:val="0"/>
          <w:numId w:val="9"/>
        </w:numPr>
        <w:tabs>
          <w:tab w:val="clear" w:pos="3240"/>
        </w:tabs>
        <w:spacing w:before="120" w:after="120"/>
        <w:ind w:left="0" w:firstLine="0"/>
        <w:contextualSpacing w:val="0"/>
        <w:rPr>
          <w:bCs/>
          <w:iCs/>
          <w:snapToGrid w:val="0"/>
          <w:kern w:val="22"/>
          <w:szCs w:val="22"/>
          <w:lang w:val="ru-RU"/>
        </w:rPr>
      </w:pPr>
      <w:r w:rsidRPr="00DB5643">
        <w:rPr>
          <w:bCs/>
          <w:iCs/>
          <w:snapToGrid w:val="0"/>
          <w:kern w:val="22"/>
          <w:szCs w:val="22"/>
          <w:lang w:val="ru-RU"/>
        </w:rPr>
        <w:t xml:space="preserve">Из числа Сторон, сообщивших о принятии решений об импорте </w:t>
      </w:r>
      <w:proofErr w:type="spellStart"/>
      <w:r w:rsidRPr="00DB5643">
        <w:rPr>
          <w:bCs/>
          <w:iCs/>
          <w:snapToGrid w:val="0"/>
          <w:kern w:val="22"/>
          <w:szCs w:val="22"/>
          <w:lang w:val="ru-RU"/>
        </w:rPr>
        <w:t>ЖИО</w:t>
      </w:r>
      <w:proofErr w:type="spellEnd"/>
      <w:r w:rsidRPr="00DB5643">
        <w:rPr>
          <w:bCs/>
          <w:iCs/>
          <w:snapToGrid w:val="0"/>
          <w:kern w:val="22"/>
          <w:szCs w:val="22"/>
          <w:lang w:val="ru-RU"/>
        </w:rPr>
        <w:t xml:space="preserve"> для преднамеренной</w:t>
      </w:r>
      <w:r w:rsidRPr="00DB5643">
        <w:rPr>
          <w:bCs/>
          <w:snapToGrid w:val="0"/>
          <w:kern w:val="22"/>
          <w:szCs w:val="22"/>
          <w:lang w:val="ru-RU"/>
        </w:rPr>
        <w:t xml:space="preserve"> интродукции в окружающую среду</w:t>
      </w:r>
      <w:r w:rsidRPr="00DB5643">
        <w:rPr>
          <w:bCs/>
          <w:iCs/>
          <w:snapToGrid w:val="0"/>
          <w:kern w:val="22"/>
          <w:szCs w:val="22"/>
          <w:lang w:val="ru-RU"/>
        </w:rPr>
        <w:t xml:space="preserve"> </w:t>
      </w:r>
      <w:r w:rsidR="00533B3E" w:rsidRPr="00DB5643">
        <w:rPr>
          <w:bCs/>
          <w:iCs/>
          <w:snapToGrid w:val="0"/>
          <w:kern w:val="22"/>
          <w:szCs w:val="22"/>
          <w:lang w:val="ru-RU"/>
        </w:rPr>
        <w:t>(40</w:t>
      </w:r>
      <w:r w:rsidRPr="00DB5643">
        <w:rPr>
          <w:bCs/>
          <w:iCs/>
          <w:snapToGrid w:val="0"/>
          <w:kern w:val="22"/>
          <w:szCs w:val="22"/>
          <w:lang w:val="ru-RU"/>
        </w:rPr>
        <w:t> </w:t>
      </w:r>
      <w:r w:rsidR="00533B3E" w:rsidRPr="00DB5643">
        <w:rPr>
          <w:bCs/>
          <w:iCs/>
          <w:snapToGrid w:val="0"/>
          <w:kern w:val="22"/>
          <w:szCs w:val="22"/>
          <w:lang w:val="ru-RU"/>
        </w:rPr>
        <w:t>%</w:t>
      </w:r>
      <w:r w:rsidR="00C50047" w:rsidRPr="00DB5643">
        <w:rPr>
          <w:bCs/>
          <w:iCs/>
          <w:snapToGrid w:val="0"/>
          <w:kern w:val="22"/>
          <w:szCs w:val="22"/>
          <w:lang w:val="ru-RU"/>
        </w:rPr>
        <w:t>,</w:t>
      </w:r>
      <w:r w:rsidR="00F0550C" w:rsidRPr="00DB5643">
        <w:rPr>
          <w:bCs/>
          <w:iCs/>
          <w:snapToGrid w:val="0"/>
          <w:kern w:val="22"/>
          <w:szCs w:val="22"/>
          <w:lang w:val="ru-RU"/>
        </w:rPr>
        <w:t xml:space="preserve"> 37 </w:t>
      </w:r>
      <w:r w:rsidRPr="00DB5643">
        <w:rPr>
          <w:bCs/>
          <w:iCs/>
          <w:snapToGrid w:val="0"/>
          <w:kern w:val="22"/>
          <w:szCs w:val="22"/>
          <w:lang w:val="ru-RU"/>
        </w:rPr>
        <w:t>Сторон</w:t>
      </w:r>
      <w:r w:rsidR="00F0550C" w:rsidRPr="00DB5643">
        <w:rPr>
          <w:bCs/>
          <w:iCs/>
          <w:snapToGrid w:val="0"/>
          <w:kern w:val="22"/>
          <w:szCs w:val="22"/>
          <w:lang w:val="ru-RU"/>
        </w:rPr>
        <w:t>)</w:t>
      </w:r>
      <w:r w:rsidR="004569FB" w:rsidRPr="00DB5643">
        <w:rPr>
          <w:bCs/>
          <w:iCs/>
          <w:snapToGrid w:val="0"/>
          <w:kern w:val="22"/>
          <w:szCs w:val="22"/>
          <w:lang w:val="ru-RU"/>
        </w:rPr>
        <w:t>, 73</w:t>
      </w:r>
      <w:r w:rsidRPr="00DB5643">
        <w:rPr>
          <w:bCs/>
          <w:iCs/>
          <w:snapToGrid w:val="0"/>
          <w:kern w:val="22"/>
          <w:szCs w:val="22"/>
          <w:lang w:val="ru-RU"/>
        </w:rPr>
        <w:t> </w:t>
      </w:r>
      <w:r w:rsidR="004569FB" w:rsidRPr="00DB5643">
        <w:rPr>
          <w:bCs/>
          <w:iCs/>
          <w:snapToGrid w:val="0"/>
          <w:kern w:val="22"/>
          <w:szCs w:val="22"/>
          <w:lang w:val="ru-RU"/>
        </w:rPr>
        <w:t xml:space="preserve">% </w:t>
      </w:r>
      <w:r w:rsidR="00952513" w:rsidRPr="00DB5643">
        <w:rPr>
          <w:bCs/>
          <w:iCs/>
          <w:snapToGrid w:val="0"/>
          <w:kern w:val="22"/>
          <w:szCs w:val="22"/>
          <w:lang w:val="ru-RU"/>
        </w:rPr>
        <w:t xml:space="preserve">(27 </w:t>
      </w:r>
      <w:r w:rsidRPr="00DB5643">
        <w:rPr>
          <w:bCs/>
          <w:iCs/>
          <w:snapToGrid w:val="0"/>
          <w:kern w:val="22"/>
          <w:szCs w:val="22"/>
          <w:lang w:val="ru-RU"/>
        </w:rPr>
        <w:t>Сторон</w:t>
      </w:r>
      <w:r w:rsidR="00952513" w:rsidRPr="00DB5643">
        <w:rPr>
          <w:bCs/>
          <w:iCs/>
          <w:snapToGrid w:val="0"/>
          <w:kern w:val="22"/>
          <w:szCs w:val="22"/>
          <w:lang w:val="ru-RU"/>
        </w:rPr>
        <w:t xml:space="preserve">) </w:t>
      </w:r>
      <w:r w:rsidRPr="00DB5643">
        <w:rPr>
          <w:bCs/>
          <w:iCs/>
          <w:snapToGrid w:val="0"/>
          <w:kern w:val="22"/>
          <w:szCs w:val="22"/>
          <w:lang w:val="ru-RU"/>
        </w:rPr>
        <w:t xml:space="preserve">сообщили, что информация была представлена в </w:t>
      </w:r>
      <w:proofErr w:type="spellStart"/>
      <w:r w:rsidRPr="00DB5643">
        <w:rPr>
          <w:bCs/>
          <w:iCs/>
          <w:snapToGrid w:val="0"/>
          <w:kern w:val="22"/>
          <w:szCs w:val="22"/>
          <w:lang w:val="ru-RU"/>
        </w:rPr>
        <w:t>МПБ</w:t>
      </w:r>
      <w:proofErr w:type="spellEnd"/>
      <w:r w:rsidR="004569FB" w:rsidRPr="00DB5643">
        <w:rPr>
          <w:bCs/>
          <w:iCs/>
          <w:snapToGrid w:val="0"/>
          <w:kern w:val="22"/>
          <w:szCs w:val="22"/>
          <w:lang w:val="ru-RU"/>
        </w:rPr>
        <w:t xml:space="preserve">, </w:t>
      </w:r>
      <w:r w:rsidRPr="00DB5643">
        <w:rPr>
          <w:bCs/>
          <w:iCs/>
          <w:snapToGrid w:val="0"/>
          <w:kern w:val="22"/>
          <w:szCs w:val="22"/>
          <w:lang w:val="ru-RU"/>
        </w:rPr>
        <w:t xml:space="preserve">что на </w:t>
      </w:r>
      <w:r w:rsidR="004569FB" w:rsidRPr="00DB5643">
        <w:rPr>
          <w:bCs/>
          <w:iCs/>
          <w:snapToGrid w:val="0"/>
          <w:kern w:val="22"/>
          <w:szCs w:val="22"/>
          <w:lang w:val="ru-RU"/>
        </w:rPr>
        <w:t>19</w:t>
      </w:r>
      <w:r w:rsidRPr="00DB5643">
        <w:rPr>
          <w:bCs/>
          <w:iCs/>
          <w:snapToGrid w:val="0"/>
          <w:kern w:val="22"/>
          <w:szCs w:val="22"/>
          <w:lang w:val="ru-RU"/>
        </w:rPr>
        <w:t> </w:t>
      </w:r>
      <w:r w:rsidR="004569FB" w:rsidRPr="00DB5643">
        <w:rPr>
          <w:bCs/>
          <w:iCs/>
          <w:snapToGrid w:val="0"/>
          <w:kern w:val="22"/>
          <w:szCs w:val="22"/>
          <w:lang w:val="ru-RU"/>
        </w:rPr>
        <w:t xml:space="preserve">% </w:t>
      </w:r>
      <w:r w:rsidRPr="00DB5643">
        <w:rPr>
          <w:bCs/>
          <w:iCs/>
          <w:snapToGrid w:val="0"/>
          <w:kern w:val="22"/>
          <w:szCs w:val="22"/>
          <w:lang w:val="ru-RU"/>
        </w:rPr>
        <w:t>больше по сравнению с исходным уровнем</w:t>
      </w:r>
      <w:r w:rsidR="004569FB" w:rsidRPr="00DB5643">
        <w:rPr>
          <w:bCs/>
          <w:iCs/>
          <w:snapToGrid w:val="0"/>
          <w:kern w:val="22"/>
          <w:szCs w:val="22"/>
          <w:lang w:val="ru-RU"/>
        </w:rPr>
        <w:t>.</w:t>
      </w:r>
    </w:p>
    <w:p w14:paraId="4D864473" w14:textId="5260E6F3" w:rsidR="004569FB" w:rsidRPr="00DB5643" w:rsidRDefault="000D7A5A" w:rsidP="00B44100">
      <w:pPr>
        <w:pStyle w:val="a3"/>
        <w:numPr>
          <w:ilvl w:val="0"/>
          <w:numId w:val="9"/>
        </w:numPr>
        <w:tabs>
          <w:tab w:val="clear" w:pos="3240"/>
        </w:tabs>
        <w:spacing w:before="120" w:after="120"/>
        <w:ind w:left="0" w:firstLine="0"/>
        <w:contextualSpacing w:val="0"/>
        <w:rPr>
          <w:bCs/>
          <w:iCs/>
          <w:snapToGrid w:val="0"/>
          <w:kern w:val="22"/>
          <w:szCs w:val="22"/>
          <w:lang w:val="ru-RU"/>
        </w:rPr>
      </w:pPr>
      <w:r w:rsidRPr="00DB5643">
        <w:rPr>
          <w:bCs/>
          <w:iCs/>
          <w:snapToGrid w:val="0"/>
          <w:kern w:val="22"/>
          <w:szCs w:val="22"/>
          <w:lang w:val="ru-RU"/>
        </w:rPr>
        <w:t xml:space="preserve">Из числа Сторон, сообщивших о принятии решений о внутреннем использовании </w:t>
      </w:r>
      <w:proofErr w:type="spellStart"/>
      <w:r w:rsidRPr="00DB5643">
        <w:rPr>
          <w:bCs/>
          <w:iCs/>
          <w:snapToGrid w:val="0"/>
          <w:kern w:val="22"/>
          <w:szCs w:val="22"/>
          <w:lang w:val="ru-RU"/>
        </w:rPr>
        <w:t>ЖИО</w:t>
      </w:r>
      <w:proofErr w:type="spellEnd"/>
      <w:r w:rsidRPr="00DB5643">
        <w:rPr>
          <w:bCs/>
          <w:iCs/>
          <w:snapToGrid w:val="0"/>
          <w:kern w:val="22"/>
          <w:szCs w:val="22"/>
          <w:lang w:val="ru-RU"/>
        </w:rPr>
        <w:t>, которые могут стать объектом трансграничного перемещения для непосредственного использования в качестве продовольствия или корма или для обработки</w:t>
      </w:r>
      <w:r w:rsidR="005D5B89" w:rsidRPr="00DB5643">
        <w:rPr>
          <w:bCs/>
          <w:iCs/>
          <w:snapToGrid w:val="0"/>
          <w:kern w:val="22"/>
          <w:szCs w:val="22"/>
          <w:lang w:val="ru-RU"/>
        </w:rPr>
        <w:t xml:space="preserve"> (45</w:t>
      </w:r>
      <w:r w:rsidRPr="00DB5643">
        <w:rPr>
          <w:bCs/>
          <w:iCs/>
          <w:snapToGrid w:val="0"/>
          <w:kern w:val="22"/>
          <w:szCs w:val="22"/>
          <w:lang w:val="ru-RU"/>
        </w:rPr>
        <w:t> </w:t>
      </w:r>
      <w:r w:rsidR="005D5B89" w:rsidRPr="00DB5643">
        <w:rPr>
          <w:bCs/>
          <w:iCs/>
          <w:snapToGrid w:val="0"/>
          <w:kern w:val="22"/>
          <w:szCs w:val="22"/>
          <w:lang w:val="ru-RU"/>
        </w:rPr>
        <w:t>%)</w:t>
      </w:r>
      <w:r w:rsidR="004569FB" w:rsidRPr="00DB5643">
        <w:rPr>
          <w:bCs/>
          <w:iCs/>
          <w:snapToGrid w:val="0"/>
          <w:kern w:val="22"/>
          <w:szCs w:val="22"/>
          <w:lang w:val="ru-RU"/>
        </w:rPr>
        <w:t>, 83</w:t>
      </w:r>
      <w:r w:rsidRPr="00DB5643">
        <w:rPr>
          <w:bCs/>
          <w:iCs/>
          <w:snapToGrid w:val="0"/>
          <w:kern w:val="22"/>
          <w:szCs w:val="22"/>
          <w:lang w:val="ru-RU"/>
        </w:rPr>
        <w:t> </w:t>
      </w:r>
      <w:r w:rsidR="004569FB" w:rsidRPr="00DB5643">
        <w:rPr>
          <w:bCs/>
          <w:iCs/>
          <w:snapToGrid w:val="0"/>
          <w:kern w:val="22"/>
          <w:szCs w:val="22"/>
          <w:lang w:val="ru-RU"/>
        </w:rPr>
        <w:t xml:space="preserve">% </w:t>
      </w:r>
      <w:r w:rsidRPr="00DB5643">
        <w:rPr>
          <w:bCs/>
          <w:iCs/>
          <w:snapToGrid w:val="0"/>
          <w:kern w:val="22"/>
          <w:szCs w:val="22"/>
          <w:lang w:val="ru-RU"/>
        </w:rPr>
        <w:t xml:space="preserve">сообщили, что информация была представлена в </w:t>
      </w:r>
      <w:proofErr w:type="spellStart"/>
      <w:r w:rsidRPr="00DB5643">
        <w:rPr>
          <w:bCs/>
          <w:iCs/>
          <w:snapToGrid w:val="0"/>
          <w:kern w:val="22"/>
          <w:szCs w:val="22"/>
          <w:lang w:val="ru-RU"/>
        </w:rPr>
        <w:t>МПБ</w:t>
      </w:r>
      <w:proofErr w:type="spellEnd"/>
      <w:r w:rsidR="004569FB" w:rsidRPr="00DB5643">
        <w:rPr>
          <w:bCs/>
          <w:iCs/>
          <w:snapToGrid w:val="0"/>
          <w:kern w:val="22"/>
          <w:szCs w:val="22"/>
          <w:lang w:val="ru-RU"/>
        </w:rPr>
        <w:t>,</w:t>
      </w:r>
      <w:r w:rsidRPr="00DB5643">
        <w:rPr>
          <w:bCs/>
          <w:iCs/>
          <w:snapToGrid w:val="0"/>
          <w:kern w:val="22"/>
          <w:szCs w:val="22"/>
          <w:lang w:val="ru-RU"/>
        </w:rPr>
        <w:t xml:space="preserve"> что соответствует увеличению на</w:t>
      </w:r>
      <w:r w:rsidR="004569FB" w:rsidRPr="00DB5643">
        <w:rPr>
          <w:bCs/>
          <w:iCs/>
          <w:snapToGrid w:val="0"/>
          <w:kern w:val="22"/>
          <w:szCs w:val="22"/>
          <w:lang w:val="ru-RU"/>
        </w:rPr>
        <w:t xml:space="preserve"> 14</w:t>
      </w:r>
      <w:r w:rsidRPr="00DB5643">
        <w:rPr>
          <w:bCs/>
          <w:iCs/>
          <w:snapToGrid w:val="0"/>
          <w:kern w:val="22"/>
          <w:szCs w:val="22"/>
          <w:lang w:val="ru-RU"/>
        </w:rPr>
        <w:t> </w:t>
      </w:r>
      <w:r w:rsidR="004569FB" w:rsidRPr="00DB5643">
        <w:rPr>
          <w:bCs/>
          <w:iCs/>
          <w:snapToGrid w:val="0"/>
          <w:kern w:val="22"/>
          <w:szCs w:val="22"/>
          <w:lang w:val="ru-RU"/>
        </w:rPr>
        <w:t>%.</w:t>
      </w:r>
    </w:p>
    <w:p w14:paraId="25F22E08" w14:textId="1E929355" w:rsidR="004569FB" w:rsidRPr="00DB5643" w:rsidRDefault="00AC2EC5" w:rsidP="00B44100">
      <w:pPr>
        <w:pStyle w:val="a3"/>
        <w:numPr>
          <w:ilvl w:val="0"/>
          <w:numId w:val="9"/>
        </w:numPr>
        <w:tabs>
          <w:tab w:val="clear" w:pos="3240"/>
        </w:tabs>
        <w:spacing w:before="120" w:after="120"/>
        <w:ind w:left="0" w:firstLine="0"/>
        <w:contextualSpacing w:val="0"/>
        <w:rPr>
          <w:bCs/>
          <w:iCs/>
          <w:snapToGrid w:val="0"/>
          <w:kern w:val="22"/>
          <w:szCs w:val="22"/>
          <w:lang w:val="ru-RU"/>
        </w:rPr>
      </w:pPr>
      <w:r w:rsidRPr="00DB5643">
        <w:rPr>
          <w:bCs/>
          <w:iCs/>
          <w:snapToGrid w:val="0"/>
          <w:kern w:val="22"/>
          <w:szCs w:val="22"/>
          <w:lang w:val="ru-RU"/>
        </w:rPr>
        <w:t xml:space="preserve">Из числа Сторон, сообщивших о принятии решений относительно импорта </w:t>
      </w:r>
      <w:proofErr w:type="spellStart"/>
      <w:r w:rsidRPr="00DB5643">
        <w:rPr>
          <w:bCs/>
          <w:iCs/>
          <w:snapToGrid w:val="0"/>
          <w:kern w:val="22"/>
          <w:szCs w:val="22"/>
          <w:lang w:val="ru-RU"/>
        </w:rPr>
        <w:t>ЖИО</w:t>
      </w:r>
      <w:proofErr w:type="spellEnd"/>
      <w:r w:rsidRPr="00DB5643">
        <w:rPr>
          <w:bCs/>
          <w:iCs/>
          <w:snapToGrid w:val="0"/>
          <w:kern w:val="22"/>
          <w:szCs w:val="22"/>
          <w:lang w:val="ru-RU"/>
        </w:rPr>
        <w:t xml:space="preserve">, предназначенных для непосредственного использования в качестве продовольствия или корма или для обработки, в рамках национальной регламентационной базы </w:t>
      </w:r>
      <w:r w:rsidR="005D5B89" w:rsidRPr="00DB5643">
        <w:rPr>
          <w:bCs/>
          <w:iCs/>
          <w:snapToGrid w:val="0"/>
          <w:kern w:val="22"/>
          <w:szCs w:val="22"/>
          <w:lang w:val="ru-RU"/>
        </w:rPr>
        <w:t>(</w:t>
      </w:r>
      <w:r w:rsidRPr="00DB5643">
        <w:rPr>
          <w:bCs/>
          <w:iCs/>
          <w:snapToGrid w:val="0"/>
          <w:kern w:val="22"/>
          <w:szCs w:val="22"/>
          <w:lang w:val="ru-RU"/>
        </w:rPr>
        <w:t xml:space="preserve">пункт 4 статьи </w:t>
      </w:r>
      <w:r w:rsidR="005D5B89" w:rsidRPr="00DB5643">
        <w:rPr>
          <w:bCs/>
          <w:iCs/>
          <w:snapToGrid w:val="0"/>
          <w:kern w:val="22"/>
          <w:szCs w:val="22"/>
          <w:lang w:val="ru-RU"/>
        </w:rPr>
        <w:t xml:space="preserve">11) </w:t>
      </w:r>
      <w:r w:rsidRPr="00DB5643">
        <w:rPr>
          <w:bCs/>
          <w:iCs/>
          <w:snapToGrid w:val="0"/>
          <w:kern w:val="22"/>
          <w:szCs w:val="22"/>
          <w:lang w:val="ru-RU"/>
        </w:rPr>
        <w:t>или в соответствии с приложением</w:t>
      </w:r>
      <w:r w:rsidR="005D5B89" w:rsidRPr="00DB5643">
        <w:rPr>
          <w:bCs/>
          <w:iCs/>
          <w:snapToGrid w:val="0"/>
          <w:kern w:val="22"/>
          <w:szCs w:val="22"/>
          <w:lang w:val="ru-RU"/>
        </w:rPr>
        <w:t xml:space="preserve"> </w:t>
      </w:r>
      <w:r w:rsidR="005D5B89" w:rsidRPr="00DB5643">
        <w:rPr>
          <w:bCs/>
          <w:iCs/>
          <w:snapToGrid w:val="0"/>
          <w:kern w:val="22"/>
          <w:szCs w:val="22"/>
        </w:rPr>
        <w:t>III</w:t>
      </w:r>
      <w:r w:rsidR="005D5B89" w:rsidRPr="00DB5643">
        <w:rPr>
          <w:bCs/>
          <w:iCs/>
          <w:snapToGrid w:val="0"/>
          <w:kern w:val="22"/>
          <w:szCs w:val="22"/>
          <w:lang w:val="ru-RU"/>
        </w:rPr>
        <w:t xml:space="preserve"> </w:t>
      </w:r>
      <w:r w:rsidRPr="00DB5643">
        <w:rPr>
          <w:bCs/>
          <w:iCs/>
          <w:snapToGrid w:val="0"/>
          <w:kern w:val="22"/>
          <w:szCs w:val="22"/>
          <w:lang w:val="ru-RU"/>
        </w:rPr>
        <w:t>Протокола</w:t>
      </w:r>
      <w:r w:rsidR="005D5B89" w:rsidRPr="00DB5643">
        <w:rPr>
          <w:bCs/>
          <w:iCs/>
          <w:snapToGrid w:val="0"/>
          <w:kern w:val="22"/>
          <w:szCs w:val="22"/>
          <w:lang w:val="ru-RU"/>
        </w:rPr>
        <w:t xml:space="preserve"> (</w:t>
      </w:r>
      <w:r w:rsidRPr="00DB5643">
        <w:rPr>
          <w:bCs/>
          <w:iCs/>
          <w:snapToGrid w:val="0"/>
          <w:kern w:val="22"/>
          <w:szCs w:val="22"/>
          <w:lang w:val="ru-RU"/>
        </w:rPr>
        <w:t xml:space="preserve">пункт 6 статьи </w:t>
      </w:r>
      <w:r w:rsidR="005D5B89" w:rsidRPr="00DB5643">
        <w:rPr>
          <w:bCs/>
          <w:iCs/>
          <w:snapToGrid w:val="0"/>
          <w:kern w:val="22"/>
          <w:szCs w:val="22"/>
          <w:lang w:val="ru-RU"/>
        </w:rPr>
        <w:t>11) (47</w:t>
      </w:r>
      <w:r w:rsidRPr="00DB5643">
        <w:rPr>
          <w:bCs/>
          <w:iCs/>
          <w:snapToGrid w:val="0"/>
          <w:kern w:val="22"/>
          <w:szCs w:val="22"/>
          <w:lang w:val="ru-RU"/>
        </w:rPr>
        <w:t> </w:t>
      </w:r>
      <w:r w:rsidR="005D5B89" w:rsidRPr="00DB5643">
        <w:rPr>
          <w:bCs/>
          <w:iCs/>
          <w:snapToGrid w:val="0"/>
          <w:kern w:val="22"/>
          <w:szCs w:val="22"/>
          <w:lang w:val="ru-RU"/>
        </w:rPr>
        <w:t>%</w:t>
      </w:r>
      <w:r w:rsidR="00C50047" w:rsidRPr="00DB5643">
        <w:rPr>
          <w:bCs/>
          <w:iCs/>
          <w:snapToGrid w:val="0"/>
          <w:kern w:val="22"/>
          <w:szCs w:val="22"/>
          <w:lang w:val="ru-RU"/>
        </w:rPr>
        <w:t>,</w:t>
      </w:r>
      <w:r w:rsidR="00F3095A" w:rsidRPr="00DB5643">
        <w:rPr>
          <w:bCs/>
          <w:iCs/>
          <w:snapToGrid w:val="0"/>
          <w:kern w:val="22"/>
          <w:szCs w:val="22"/>
          <w:lang w:val="ru-RU"/>
        </w:rPr>
        <w:t xml:space="preserve"> </w:t>
      </w:r>
      <w:r w:rsidR="00213847" w:rsidRPr="00DB5643">
        <w:rPr>
          <w:bCs/>
          <w:iCs/>
          <w:snapToGrid w:val="0"/>
          <w:kern w:val="22"/>
          <w:szCs w:val="22"/>
          <w:lang w:val="ru-RU"/>
        </w:rPr>
        <w:t xml:space="preserve">44 </w:t>
      </w:r>
      <w:r w:rsidRPr="00DB5643">
        <w:rPr>
          <w:bCs/>
          <w:iCs/>
          <w:snapToGrid w:val="0"/>
          <w:kern w:val="22"/>
          <w:szCs w:val="22"/>
          <w:lang w:val="ru-RU"/>
        </w:rPr>
        <w:t>Стороны</w:t>
      </w:r>
      <w:r w:rsidR="00213847" w:rsidRPr="00DB5643">
        <w:rPr>
          <w:bCs/>
          <w:iCs/>
          <w:snapToGrid w:val="0"/>
          <w:kern w:val="22"/>
          <w:szCs w:val="22"/>
          <w:lang w:val="ru-RU"/>
        </w:rPr>
        <w:t>)</w:t>
      </w:r>
      <w:r w:rsidR="004569FB" w:rsidRPr="00DB5643">
        <w:rPr>
          <w:bCs/>
          <w:iCs/>
          <w:snapToGrid w:val="0"/>
          <w:kern w:val="22"/>
          <w:szCs w:val="22"/>
          <w:lang w:val="ru-RU"/>
        </w:rPr>
        <w:t xml:space="preserve">, </w:t>
      </w:r>
      <w:r w:rsidR="000F2B45" w:rsidRPr="00DB5643">
        <w:rPr>
          <w:bCs/>
          <w:iCs/>
          <w:snapToGrid w:val="0"/>
          <w:kern w:val="22"/>
          <w:szCs w:val="22"/>
          <w:lang w:val="ru-RU"/>
        </w:rPr>
        <w:t>82</w:t>
      </w:r>
      <w:r w:rsidRPr="00DB5643">
        <w:rPr>
          <w:bCs/>
          <w:iCs/>
          <w:snapToGrid w:val="0"/>
          <w:kern w:val="22"/>
          <w:szCs w:val="22"/>
          <w:lang w:val="ru-RU"/>
        </w:rPr>
        <w:t> </w:t>
      </w:r>
      <w:r w:rsidR="004569FB" w:rsidRPr="00DB5643">
        <w:rPr>
          <w:bCs/>
          <w:iCs/>
          <w:snapToGrid w:val="0"/>
          <w:kern w:val="22"/>
          <w:szCs w:val="22"/>
          <w:lang w:val="ru-RU"/>
        </w:rPr>
        <w:t xml:space="preserve">% </w:t>
      </w:r>
      <w:r w:rsidR="00213847" w:rsidRPr="00DB5643">
        <w:rPr>
          <w:bCs/>
          <w:iCs/>
          <w:snapToGrid w:val="0"/>
          <w:kern w:val="22"/>
          <w:szCs w:val="22"/>
          <w:lang w:val="ru-RU"/>
        </w:rPr>
        <w:t xml:space="preserve">(36 </w:t>
      </w:r>
      <w:r w:rsidRPr="00DB5643">
        <w:rPr>
          <w:bCs/>
          <w:iCs/>
          <w:snapToGrid w:val="0"/>
          <w:kern w:val="22"/>
          <w:szCs w:val="22"/>
          <w:lang w:val="ru-RU"/>
        </w:rPr>
        <w:t>Сторон</w:t>
      </w:r>
      <w:r w:rsidR="00213847" w:rsidRPr="00DB5643">
        <w:rPr>
          <w:bCs/>
          <w:iCs/>
          <w:snapToGrid w:val="0"/>
          <w:kern w:val="22"/>
          <w:szCs w:val="22"/>
          <w:lang w:val="ru-RU"/>
        </w:rPr>
        <w:t xml:space="preserve">) </w:t>
      </w:r>
      <w:r w:rsidRPr="00DB5643">
        <w:rPr>
          <w:bCs/>
          <w:iCs/>
          <w:snapToGrid w:val="0"/>
          <w:kern w:val="22"/>
          <w:szCs w:val="22"/>
          <w:lang w:val="ru-RU"/>
        </w:rPr>
        <w:t xml:space="preserve">сообщили, что информация была представлена в </w:t>
      </w:r>
      <w:proofErr w:type="spellStart"/>
      <w:r w:rsidRPr="00DB5643">
        <w:rPr>
          <w:bCs/>
          <w:iCs/>
          <w:snapToGrid w:val="0"/>
          <w:kern w:val="22"/>
          <w:szCs w:val="22"/>
          <w:lang w:val="ru-RU"/>
        </w:rPr>
        <w:t>МПБ</w:t>
      </w:r>
      <w:proofErr w:type="spellEnd"/>
      <w:r w:rsidRPr="00DB5643">
        <w:rPr>
          <w:bCs/>
          <w:iCs/>
          <w:snapToGrid w:val="0"/>
          <w:kern w:val="22"/>
          <w:szCs w:val="22"/>
          <w:lang w:val="ru-RU"/>
        </w:rPr>
        <w:t xml:space="preserve">, что соответствует увеличению на </w:t>
      </w:r>
      <w:r w:rsidR="004569FB" w:rsidRPr="00DB5643">
        <w:rPr>
          <w:bCs/>
          <w:iCs/>
          <w:snapToGrid w:val="0"/>
          <w:kern w:val="22"/>
          <w:szCs w:val="22"/>
          <w:lang w:val="ru-RU"/>
        </w:rPr>
        <w:t>1</w:t>
      </w:r>
      <w:r w:rsidR="000F2B45" w:rsidRPr="00DB5643">
        <w:rPr>
          <w:bCs/>
          <w:iCs/>
          <w:snapToGrid w:val="0"/>
          <w:kern w:val="22"/>
          <w:szCs w:val="22"/>
          <w:lang w:val="ru-RU"/>
        </w:rPr>
        <w:t>5</w:t>
      </w:r>
      <w:r w:rsidRPr="00DB5643">
        <w:rPr>
          <w:bCs/>
          <w:iCs/>
          <w:snapToGrid w:val="0"/>
          <w:kern w:val="22"/>
          <w:szCs w:val="22"/>
          <w:lang w:val="ru-RU"/>
        </w:rPr>
        <w:t> </w:t>
      </w:r>
      <w:r w:rsidR="004569FB" w:rsidRPr="00DB5643">
        <w:rPr>
          <w:bCs/>
          <w:iCs/>
          <w:snapToGrid w:val="0"/>
          <w:kern w:val="22"/>
          <w:szCs w:val="22"/>
          <w:lang w:val="ru-RU"/>
        </w:rPr>
        <w:t>%.</w:t>
      </w:r>
    </w:p>
    <w:p w14:paraId="56DCA659" w14:textId="782AD64D" w:rsidR="004569FB" w:rsidRPr="00DB5643" w:rsidRDefault="00AC2EC5" w:rsidP="00B44100">
      <w:pPr>
        <w:pStyle w:val="a3"/>
        <w:numPr>
          <w:ilvl w:val="0"/>
          <w:numId w:val="9"/>
        </w:numPr>
        <w:tabs>
          <w:tab w:val="clear" w:pos="3240"/>
        </w:tabs>
        <w:spacing w:before="120" w:after="120"/>
        <w:ind w:left="0" w:firstLine="0"/>
        <w:contextualSpacing w:val="0"/>
        <w:rPr>
          <w:bCs/>
          <w:iCs/>
          <w:snapToGrid w:val="0"/>
          <w:kern w:val="22"/>
          <w:szCs w:val="22"/>
          <w:lang w:val="ru-RU"/>
        </w:rPr>
      </w:pPr>
      <w:r w:rsidRPr="00DB5643">
        <w:rPr>
          <w:bCs/>
          <w:iCs/>
          <w:snapToGrid w:val="0"/>
          <w:kern w:val="22"/>
          <w:szCs w:val="22"/>
          <w:lang w:val="ru-RU"/>
        </w:rPr>
        <w:t>Из числа Сторон, сообщивших о наличии резюме итогов оценки рисков или</w:t>
      </w:r>
      <w:r w:rsidRPr="00DB5643">
        <w:rPr>
          <w:rFonts w:eastAsia="Times New Roman" w:cs="Times New Roman"/>
          <w:sz w:val="24"/>
          <w:lang w:val="ru-RU" w:bidi="he-IL"/>
        </w:rPr>
        <w:t xml:space="preserve"> </w:t>
      </w:r>
      <w:r w:rsidRPr="00DB5643">
        <w:rPr>
          <w:bCs/>
          <w:iCs/>
          <w:snapToGrid w:val="0"/>
          <w:kern w:val="22"/>
          <w:szCs w:val="22"/>
          <w:lang w:val="ru-RU"/>
        </w:rPr>
        <w:t xml:space="preserve">экологических обзоров в отношении </w:t>
      </w:r>
      <w:proofErr w:type="spellStart"/>
      <w:r w:rsidRPr="00DB5643">
        <w:rPr>
          <w:bCs/>
          <w:iCs/>
          <w:snapToGrid w:val="0"/>
          <w:kern w:val="22"/>
          <w:szCs w:val="22"/>
          <w:lang w:val="ru-RU"/>
        </w:rPr>
        <w:t>ЖИО</w:t>
      </w:r>
      <w:proofErr w:type="spellEnd"/>
      <w:r w:rsidRPr="00DB5643">
        <w:rPr>
          <w:bCs/>
          <w:iCs/>
          <w:snapToGrid w:val="0"/>
          <w:kern w:val="22"/>
          <w:szCs w:val="22"/>
          <w:lang w:val="ru-RU"/>
        </w:rPr>
        <w:t>, проводимых в рамках регламентационного процесса, и соответствующ</w:t>
      </w:r>
      <w:r w:rsidR="00377F10" w:rsidRPr="00DB5643">
        <w:rPr>
          <w:bCs/>
          <w:iCs/>
          <w:snapToGrid w:val="0"/>
          <w:kern w:val="22"/>
          <w:szCs w:val="22"/>
          <w:lang w:val="ru-RU"/>
        </w:rPr>
        <w:t>ей</w:t>
      </w:r>
      <w:r w:rsidRPr="00DB5643">
        <w:rPr>
          <w:bCs/>
          <w:iCs/>
          <w:snapToGrid w:val="0"/>
          <w:kern w:val="22"/>
          <w:szCs w:val="22"/>
          <w:lang w:val="ru-RU"/>
        </w:rPr>
        <w:t xml:space="preserve"> информаци</w:t>
      </w:r>
      <w:r w:rsidR="00377F10" w:rsidRPr="00DB5643">
        <w:rPr>
          <w:bCs/>
          <w:iCs/>
          <w:snapToGrid w:val="0"/>
          <w:kern w:val="22"/>
          <w:szCs w:val="22"/>
          <w:lang w:val="ru-RU"/>
        </w:rPr>
        <w:t>и</w:t>
      </w:r>
      <w:r w:rsidRPr="00DB5643">
        <w:rPr>
          <w:bCs/>
          <w:iCs/>
          <w:snapToGrid w:val="0"/>
          <w:kern w:val="22"/>
          <w:szCs w:val="22"/>
          <w:lang w:val="ru-RU"/>
        </w:rPr>
        <w:t xml:space="preserve"> о содержащих их продуктах</w:t>
      </w:r>
      <w:r w:rsidR="00377F10" w:rsidRPr="00DB5643">
        <w:rPr>
          <w:bCs/>
          <w:iCs/>
          <w:snapToGrid w:val="0"/>
          <w:kern w:val="22"/>
          <w:szCs w:val="22"/>
          <w:lang w:val="ru-RU"/>
        </w:rPr>
        <w:t xml:space="preserve"> </w:t>
      </w:r>
      <w:r w:rsidR="00F16E17" w:rsidRPr="00DB5643">
        <w:rPr>
          <w:bCs/>
          <w:iCs/>
          <w:snapToGrid w:val="0"/>
          <w:kern w:val="22"/>
          <w:szCs w:val="22"/>
          <w:lang w:val="ru-RU"/>
        </w:rPr>
        <w:t>(55</w:t>
      </w:r>
      <w:r w:rsidR="00377F10" w:rsidRPr="00DB5643">
        <w:rPr>
          <w:bCs/>
          <w:iCs/>
          <w:snapToGrid w:val="0"/>
          <w:kern w:val="22"/>
          <w:szCs w:val="22"/>
          <w:lang w:val="ru-RU"/>
        </w:rPr>
        <w:t> </w:t>
      </w:r>
      <w:r w:rsidR="00F16E17" w:rsidRPr="00DB5643">
        <w:rPr>
          <w:bCs/>
          <w:iCs/>
          <w:snapToGrid w:val="0"/>
          <w:kern w:val="22"/>
          <w:szCs w:val="22"/>
          <w:lang w:val="ru-RU"/>
        </w:rPr>
        <w:t>%</w:t>
      </w:r>
      <w:r w:rsidR="00C50047" w:rsidRPr="00DB5643">
        <w:rPr>
          <w:bCs/>
          <w:iCs/>
          <w:snapToGrid w:val="0"/>
          <w:kern w:val="22"/>
          <w:szCs w:val="22"/>
          <w:lang w:val="ru-RU"/>
        </w:rPr>
        <w:t>,</w:t>
      </w:r>
      <w:r w:rsidR="00416B45" w:rsidRPr="00DB5643">
        <w:rPr>
          <w:bCs/>
          <w:iCs/>
          <w:snapToGrid w:val="0"/>
          <w:kern w:val="22"/>
          <w:szCs w:val="22"/>
          <w:lang w:val="ru-RU"/>
        </w:rPr>
        <w:t xml:space="preserve"> 51 </w:t>
      </w:r>
      <w:r w:rsidR="00377F10" w:rsidRPr="00DB5643">
        <w:rPr>
          <w:bCs/>
          <w:iCs/>
          <w:snapToGrid w:val="0"/>
          <w:kern w:val="22"/>
          <w:szCs w:val="22"/>
          <w:lang w:val="ru-RU"/>
        </w:rPr>
        <w:t>Сторона</w:t>
      </w:r>
      <w:r w:rsidR="00416B45" w:rsidRPr="00DB5643">
        <w:rPr>
          <w:bCs/>
          <w:iCs/>
          <w:snapToGrid w:val="0"/>
          <w:kern w:val="22"/>
          <w:szCs w:val="22"/>
          <w:lang w:val="ru-RU"/>
        </w:rPr>
        <w:t>)</w:t>
      </w:r>
      <w:r w:rsidR="004569FB" w:rsidRPr="00DB5643">
        <w:rPr>
          <w:bCs/>
          <w:iCs/>
          <w:snapToGrid w:val="0"/>
          <w:kern w:val="22"/>
          <w:szCs w:val="22"/>
          <w:lang w:val="ru-RU"/>
        </w:rPr>
        <w:t xml:space="preserve">, </w:t>
      </w:r>
      <w:r w:rsidR="00424DB5" w:rsidRPr="00DB5643">
        <w:rPr>
          <w:bCs/>
          <w:iCs/>
          <w:snapToGrid w:val="0"/>
          <w:kern w:val="22"/>
          <w:szCs w:val="22"/>
          <w:lang w:val="ru-RU"/>
        </w:rPr>
        <w:t>69</w:t>
      </w:r>
      <w:r w:rsidR="00377F10" w:rsidRPr="00DB5643">
        <w:rPr>
          <w:bCs/>
          <w:iCs/>
          <w:snapToGrid w:val="0"/>
          <w:kern w:val="22"/>
          <w:szCs w:val="22"/>
          <w:lang w:val="ru-RU"/>
        </w:rPr>
        <w:t> </w:t>
      </w:r>
      <w:r w:rsidR="004569FB" w:rsidRPr="00DB5643">
        <w:rPr>
          <w:bCs/>
          <w:iCs/>
          <w:snapToGrid w:val="0"/>
          <w:kern w:val="22"/>
          <w:szCs w:val="22"/>
          <w:lang w:val="ru-RU"/>
        </w:rPr>
        <w:t>%</w:t>
      </w:r>
      <w:r w:rsidR="00EA43F5" w:rsidRPr="00DB5643">
        <w:rPr>
          <w:bCs/>
          <w:iCs/>
          <w:snapToGrid w:val="0"/>
          <w:kern w:val="22"/>
          <w:szCs w:val="22"/>
          <w:lang w:val="ru-RU"/>
        </w:rPr>
        <w:t xml:space="preserve"> (35 </w:t>
      </w:r>
      <w:r w:rsidR="00377F10" w:rsidRPr="00DB5643">
        <w:rPr>
          <w:bCs/>
          <w:iCs/>
          <w:snapToGrid w:val="0"/>
          <w:kern w:val="22"/>
          <w:szCs w:val="22"/>
          <w:lang w:val="ru-RU"/>
        </w:rPr>
        <w:t>Сторон</w:t>
      </w:r>
      <w:r w:rsidR="00EA43F5" w:rsidRPr="00DB5643">
        <w:rPr>
          <w:bCs/>
          <w:iCs/>
          <w:snapToGrid w:val="0"/>
          <w:kern w:val="22"/>
          <w:szCs w:val="22"/>
          <w:lang w:val="ru-RU"/>
        </w:rPr>
        <w:t>)</w:t>
      </w:r>
      <w:r w:rsidR="004569FB" w:rsidRPr="00DB5643">
        <w:rPr>
          <w:bCs/>
          <w:iCs/>
          <w:snapToGrid w:val="0"/>
          <w:kern w:val="22"/>
          <w:szCs w:val="22"/>
          <w:lang w:val="ru-RU"/>
        </w:rPr>
        <w:t xml:space="preserve"> </w:t>
      </w:r>
      <w:r w:rsidR="00377F10" w:rsidRPr="00DB5643">
        <w:rPr>
          <w:bCs/>
          <w:iCs/>
          <w:snapToGrid w:val="0"/>
          <w:kern w:val="22"/>
          <w:szCs w:val="22"/>
          <w:lang w:val="ru-RU"/>
        </w:rPr>
        <w:t xml:space="preserve">сообщили, что информация была представлена в </w:t>
      </w:r>
      <w:proofErr w:type="spellStart"/>
      <w:r w:rsidR="00377F10" w:rsidRPr="00DB5643">
        <w:rPr>
          <w:bCs/>
          <w:iCs/>
          <w:snapToGrid w:val="0"/>
          <w:kern w:val="22"/>
          <w:szCs w:val="22"/>
          <w:lang w:val="ru-RU"/>
        </w:rPr>
        <w:t>МПБ</w:t>
      </w:r>
      <w:proofErr w:type="spellEnd"/>
      <w:r w:rsidR="00377F10" w:rsidRPr="00DB5643">
        <w:rPr>
          <w:bCs/>
          <w:iCs/>
          <w:snapToGrid w:val="0"/>
          <w:kern w:val="22"/>
          <w:szCs w:val="22"/>
          <w:lang w:val="ru-RU"/>
        </w:rPr>
        <w:t>, что соответствует увеличению на</w:t>
      </w:r>
      <w:r w:rsidR="004569FB" w:rsidRPr="00DB5643">
        <w:rPr>
          <w:bCs/>
          <w:iCs/>
          <w:snapToGrid w:val="0"/>
          <w:kern w:val="22"/>
          <w:szCs w:val="22"/>
          <w:lang w:val="ru-RU"/>
        </w:rPr>
        <w:t xml:space="preserve"> 1</w:t>
      </w:r>
      <w:r w:rsidR="00424DB5" w:rsidRPr="00DB5643">
        <w:rPr>
          <w:bCs/>
          <w:iCs/>
          <w:snapToGrid w:val="0"/>
          <w:kern w:val="22"/>
          <w:szCs w:val="22"/>
          <w:lang w:val="ru-RU"/>
        </w:rPr>
        <w:t>9</w:t>
      </w:r>
      <w:r w:rsidR="00377F10" w:rsidRPr="00DB5643">
        <w:rPr>
          <w:bCs/>
          <w:iCs/>
          <w:snapToGrid w:val="0"/>
          <w:kern w:val="22"/>
          <w:szCs w:val="22"/>
          <w:lang w:val="ru-RU"/>
        </w:rPr>
        <w:t> </w:t>
      </w:r>
      <w:r w:rsidR="004569FB" w:rsidRPr="00DB5643">
        <w:rPr>
          <w:bCs/>
          <w:iCs/>
          <w:snapToGrid w:val="0"/>
          <w:kern w:val="22"/>
          <w:szCs w:val="22"/>
          <w:lang w:val="ru-RU"/>
        </w:rPr>
        <w:t xml:space="preserve">%. </w:t>
      </w:r>
      <w:r w:rsidR="00377F10" w:rsidRPr="00DB5643">
        <w:rPr>
          <w:bCs/>
          <w:iCs/>
          <w:snapToGrid w:val="0"/>
          <w:kern w:val="22"/>
          <w:szCs w:val="22"/>
          <w:lang w:val="ru-RU"/>
        </w:rPr>
        <w:t xml:space="preserve">Информация в </w:t>
      </w:r>
      <w:proofErr w:type="spellStart"/>
      <w:r w:rsidR="00377F10" w:rsidRPr="00DB5643">
        <w:rPr>
          <w:bCs/>
          <w:iCs/>
          <w:snapToGrid w:val="0"/>
          <w:kern w:val="22"/>
          <w:szCs w:val="22"/>
          <w:lang w:val="ru-RU"/>
        </w:rPr>
        <w:t>МПБ</w:t>
      </w:r>
      <w:proofErr w:type="spellEnd"/>
      <w:r w:rsidR="00377F10" w:rsidRPr="00DB5643">
        <w:rPr>
          <w:bCs/>
          <w:iCs/>
          <w:snapToGrid w:val="0"/>
          <w:kern w:val="22"/>
          <w:szCs w:val="22"/>
          <w:lang w:val="ru-RU"/>
        </w:rPr>
        <w:t xml:space="preserve"> на момент подготовки этой записки показ</w:t>
      </w:r>
      <w:r w:rsidR="00374EDF">
        <w:rPr>
          <w:bCs/>
          <w:iCs/>
          <w:snapToGrid w:val="0"/>
          <w:kern w:val="22"/>
          <w:szCs w:val="22"/>
          <w:lang w:val="ru-RU"/>
        </w:rPr>
        <w:t>ыв</w:t>
      </w:r>
      <w:r w:rsidR="00377F10" w:rsidRPr="00DB5643">
        <w:rPr>
          <w:bCs/>
          <w:iCs/>
          <w:snapToGrid w:val="0"/>
          <w:kern w:val="22"/>
          <w:szCs w:val="22"/>
          <w:lang w:val="ru-RU"/>
        </w:rPr>
        <w:t>ала, что</w:t>
      </w:r>
      <w:r w:rsidR="00377F10" w:rsidRPr="00DB5643">
        <w:rPr>
          <w:rFonts w:eastAsia="Times New Roman" w:cs="Times New Roman"/>
          <w:sz w:val="20"/>
          <w:lang w:val="ru-RU"/>
        </w:rPr>
        <w:t xml:space="preserve"> </w:t>
      </w:r>
      <w:r w:rsidR="00377F10" w:rsidRPr="00DB5643">
        <w:rPr>
          <w:bCs/>
          <w:iCs/>
          <w:snapToGrid w:val="0"/>
          <w:kern w:val="22"/>
          <w:szCs w:val="22"/>
          <w:lang w:val="ru-RU"/>
        </w:rPr>
        <w:t xml:space="preserve">итоговые доклады об оценке рисков отсутствуют для </w:t>
      </w:r>
      <w:r w:rsidR="004569FB" w:rsidRPr="00DB5643">
        <w:rPr>
          <w:bCs/>
          <w:iCs/>
          <w:snapToGrid w:val="0"/>
          <w:kern w:val="22"/>
          <w:szCs w:val="22"/>
          <w:lang w:val="ru-RU"/>
        </w:rPr>
        <w:t xml:space="preserve">78 </w:t>
      </w:r>
      <w:r w:rsidR="00377F10" w:rsidRPr="00DB5643">
        <w:rPr>
          <w:bCs/>
          <w:iCs/>
          <w:snapToGrid w:val="0"/>
          <w:kern w:val="22"/>
          <w:szCs w:val="22"/>
          <w:lang w:val="ru-RU"/>
        </w:rPr>
        <w:t xml:space="preserve">решений </w:t>
      </w:r>
      <w:r w:rsidR="004569FB" w:rsidRPr="00DB5643">
        <w:rPr>
          <w:bCs/>
          <w:iCs/>
          <w:snapToGrid w:val="0"/>
          <w:kern w:val="22"/>
          <w:szCs w:val="22"/>
          <w:lang w:val="ru-RU"/>
        </w:rPr>
        <w:t xml:space="preserve">6 </w:t>
      </w:r>
      <w:r w:rsidR="00377F10" w:rsidRPr="00DB5643">
        <w:rPr>
          <w:bCs/>
          <w:iCs/>
          <w:snapToGrid w:val="0"/>
          <w:kern w:val="22"/>
          <w:szCs w:val="22"/>
          <w:lang w:val="ru-RU"/>
        </w:rPr>
        <w:t>Сторон</w:t>
      </w:r>
      <w:r w:rsidR="004569FB" w:rsidRPr="00DB5643">
        <w:rPr>
          <w:rStyle w:val="ac"/>
          <w:bCs/>
          <w:iCs/>
          <w:snapToGrid w:val="0"/>
          <w:kern w:val="22"/>
          <w:szCs w:val="22"/>
        </w:rPr>
        <w:footnoteReference w:id="52"/>
      </w:r>
      <w:r w:rsidR="00377F10" w:rsidRPr="00DB5643">
        <w:rPr>
          <w:bCs/>
          <w:iCs/>
          <w:snapToGrid w:val="0"/>
          <w:kern w:val="22"/>
          <w:szCs w:val="22"/>
          <w:lang w:val="ru-RU"/>
        </w:rPr>
        <w:t>.</w:t>
      </w:r>
    </w:p>
    <w:p w14:paraId="69E67C12" w14:textId="2B81E29F" w:rsidR="004569FB" w:rsidRPr="00DB5643" w:rsidRDefault="002D7E49" w:rsidP="00B44100">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iCs/>
          <w:snapToGrid w:val="0"/>
          <w:kern w:val="22"/>
          <w:szCs w:val="22"/>
          <w:lang w:val="ru-RU"/>
        </w:rPr>
        <w:t xml:space="preserve">В </w:t>
      </w:r>
      <w:r w:rsidRPr="00DB5643">
        <w:rPr>
          <w:snapToGrid w:val="0"/>
          <w:kern w:val="22"/>
          <w:szCs w:val="22"/>
          <w:lang w:val="ru-RU"/>
        </w:rPr>
        <w:t>своих ответах в развернутой форме многие Стороны отметили, что многие виды информации недоступны в их странах и что по этой причине информация не была представлена</w:t>
      </w:r>
      <w:r w:rsidR="004569FB" w:rsidRPr="00DB5643">
        <w:rPr>
          <w:snapToGrid w:val="0"/>
          <w:kern w:val="22"/>
          <w:szCs w:val="22"/>
          <w:lang w:val="ru-RU"/>
        </w:rPr>
        <w:t xml:space="preserve">. </w:t>
      </w:r>
      <w:r w:rsidRPr="00DB5643">
        <w:rPr>
          <w:snapToGrid w:val="0"/>
          <w:kern w:val="22"/>
          <w:szCs w:val="22"/>
          <w:lang w:val="ru-RU"/>
        </w:rPr>
        <w:t>Некоторые Стороны ссылаются на недостаток потенциала и ресурсов для предоставления некоторых видов информации</w:t>
      </w:r>
      <w:r w:rsidR="004569FB" w:rsidRPr="00DB5643">
        <w:rPr>
          <w:snapToGrid w:val="0"/>
          <w:kern w:val="22"/>
          <w:szCs w:val="22"/>
          <w:lang w:val="ru-RU"/>
        </w:rPr>
        <w:t xml:space="preserve">. </w:t>
      </w:r>
    </w:p>
    <w:p w14:paraId="2F1FC25C" w14:textId="1E6C518B" w:rsidR="004569FB" w:rsidRPr="00DB5643" w:rsidRDefault="004F433C"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sidRPr="00DB5643">
        <w:rPr>
          <w:snapToGrid w:val="0"/>
          <w:kern w:val="22"/>
          <w:szCs w:val="22"/>
          <w:lang w:val="ru-RU"/>
        </w:rPr>
        <w:t xml:space="preserve">В отношении </w:t>
      </w:r>
      <w:r w:rsidRPr="00DB5643">
        <w:rPr>
          <w:b/>
          <w:snapToGrid w:val="0"/>
          <w:kern w:val="22"/>
          <w:szCs w:val="22"/>
          <w:lang w:val="ru-RU"/>
        </w:rPr>
        <w:t>индикатора</w:t>
      </w:r>
      <w:r w:rsidR="004569FB" w:rsidRPr="00DB5643">
        <w:rPr>
          <w:snapToGrid w:val="0"/>
          <w:kern w:val="22"/>
          <w:szCs w:val="22"/>
          <w:lang w:val="ru-RU"/>
        </w:rPr>
        <w:t xml:space="preserve"> </w:t>
      </w:r>
      <w:r w:rsidR="004569FB" w:rsidRPr="00DB5643">
        <w:rPr>
          <w:b/>
          <w:snapToGrid w:val="0"/>
          <w:kern w:val="22"/>
          <w:szCs w:val="22"/>
          <w:lang w:val="ru-RU"/>
        </w:rPr>
        <w:t>3.1.6</w:t>
      </w:r>
      <w:r w:rsidR="004569FB" w:rsidRPr="00DB5643">
        <w:rPr>
          <w:snapToGrid w:val="0"/>
          <w:kern w:val="22"/>
          <w:szCs w:val="22"/>
          <w:lang w:val="ru-RU"/>
        </w:rPr>
        <w:t xml:space="preserve"> </w:t>
      </w:r>
      <w:r w:rsidR="004569FB" w:rsidRPr="00DB5643">
        <w:rPr>
          <w:iCs/>
          <w:snapToGrid w:val="0"/>
          <w:kern w:val="22"/>
          <w:szCs w:val="22"/>
          <w:lang w:val="ru-RU"/>
        </w:rPr>
        <w:t>(</w:t>
      </w:r>
      <w:r w:rsidR="00491E9A" w:rsidRPr="00DB5643">
        <w:rPr>
          <w:iCs/>
          <w:snapToGrid w:val="0"/>
          <w:kern w:val="22"/>
          <w:szCs w:val="22"/>
          <w:lang w:val="ru-RU"/>
        </w:rPr>
        <w:t>число Сторон, внедривших систему мониторинга и обеспечения соблюдения</w:t>
      </w:r>
      <w:r w:rsidR="004569FB" w:rsidRPr="00DB5643">
        <w:rPr>
          <w:iCs/>
          <w:snapToGrid w:val="0"/>
          <w:kern w:val="22"/>
          <w:szCs w:val="22"/>
          <w:lang w:val="ru-RU"/>
        </w:rPr>
        <w:t>) 77</w:t>
      </w:r>
      <w:r w:rsidR="00032499" w:rsidRPr="00DB5643">
        <w:rPr>
          <w:iCs/>
          <w:snapToGrid w:val="0"/>
          <w:kern w:val="22"/>
          <w:szCs w:val="22"/>
          <w:lang w:val="en-US"/>
        </w:rPr>
        <w:t> </w:t>
      </w:r>
      <w:r w:rsidR="004569FB" w:rsidRPr="00DB5643">
        <w:rPr>
          <w:iCs/>
          <w:snapToGrid w:val="0"/>
          <w:kern w:val="22"/>
          <w:szCs w:val="22"/>
          <w:lang w:val="ru-RU"/>
        </w:rPr>
        <w:t xml:space="preserve">% </w:t>
      </w:r>
      <w:r w:rsidR="00032499" w:rsidRPr="00DB5643">
        <w:rPr>
          <w:iCs/>
          <w:snapToGrid w:val="0"/>
          <w:kern w:val="22"/>
          <w:szCs w:val="22"/>
          <w:lang w:val="ru-RU"/>
        </w:rPr>
        <w:t>Сторон</w:t>
      </w:r>
      <w:r w:rsidR="004569FB" w:rsidRPr="00DB5643">
        <w:rPr>
          <w:iCs/>
          <w:snapToGrid w:val="0"/>
          <w:kern w:val="22"/>
          <w:szCs w:val="22"/>
          <w:lang w:val="ru-RU"/>
        </w:rPr>
        <w:t xml:space="preserve"> (53 </w:t>
      </w:r>
      <w:r w:rsidR="00032499" w:rsidRPr="00DB5643">
        <w:rPr>
          <w:iCs/>
          <w:snapToGrid w:val="0"/>
          <w:kern w:val="22"/>
          <w:szCs w:val="22"/>
          <w:lang w:val="ru-RU"/>
        </w:rPr>
        <w:t>Стороны</w:t>
      </w:r>
      <w:r w:rsidR="004569FB" w:rsidRPr="00DB5643">
        <w:rPr>
          <w:iCs/>
          <w:snapToGrid w:val="0"/>
          <w:kern w:val="22"/>
          <w:szCs w:val="22"/>
          <w:lang w:val="ru-RU"/>
        </w:rPr>
        <w:t xml:space="preserve">) </w:t>
      </w:r>
      <w:r w:rsidR="00032499" w:rsidRPr="00DB5643">
        <w:rPr>
          <w:iCs/>
          <w:snapToGrid w:val="0"/>
          <w:kern w:val="22"/>
          <w:szCs w:val="22"/>
          <w:lang w:val="ru-RU"/>
        </w:rPr>
        <w:t>сообщили о внедрении системы для мониторинга и обеспечения осуществления</w:t>
      </w:r>
      <w:r w:rsidR="004569FB" w:rsidRPr="00DB5643">
        <w:rPr>
          <w:iCs/>
          <w:snapToGrid w:val="0"/>
          <w:kern w:val="22"/>
          <w:szCs w:val="22"/>
          <w:lang w:val="ru-RU"/>
        </w:rPr>
        <w:t xml:space="preserve"> </w:t>
      </w:r>
      <w:proofErr w:type="spellStart"/>
      <w:r w:rsidR="00032499" w:rsidRPr="00DB5643">
        <w:rPr>
          <w:iCs/>
          <w:snapToGrid w:val="0"/>
          <w:kern w:val="22"/>
          <w:szCs w:val="22"/>
          <w:lang w:val="ru-RU"/>
        </w:rPr>
        <w:t>Картахенского</w:t>
      </w:r>
      <w:proofErr w:type="spellEnd"/>
      <w:r w:rsidR="00032499" w:rsidRPr="00DB5643">
        <w:rPr>
          <w:iCs/>
          <w:snapToGrid w:val="0"/>
          <w:kern w:val="22"/>
          <w:szCs w:val="22"/>
          <w:lang w:val="ru-RU"/>
        </w:rPr>
        <w:t xml:space="preserve"> протокола</w:t>
      </w:r>
      <w:r w:rsidR="004569FB" w:rsidRPr="00DB5643">
        <w:rPr>
          <w:iCs/>
          <w:snapToGrid w:val="0"/>
          <w:kern w:val="22"/>
          <w:szCs w:val="22"/>
          <w:lang w:val="ru-RU"/>
        </w:rPr>
        <w:t>,</w:t>
      </w:r>
      <w:r w:rsidR="00032499" w:rsidRPr="00DB5643">
        <w:rPr>
          <w:iCs/>
          <w:snapToGrid w:val="0"/>
          <w:kern w:val="22"/>
          <w:szCs w:val="22"/>
          <w:lang w:val="ru-RU"/>
        </w:rPr>
        <w:t xml:space="preserve"> что соответствует увеличению на</w:t>
      </w:r>
      <w:r w:rsidR="004569FB" w:rsidRPr="00DB5643">
        <w:rPr>
          <w:iCs/>
          <w:snapToGrid w:val="0"/>
          <w:kern w:val="22"/>
          <w:szCs w:val="22"/>
          <w:lang w:val="ru-RU"/>
        </w:rPr>
        <w:t xml:space="preserve"> 7</w:t>
      </w:r>
      <w:r w:rsidR="00032499" w:rsidRPr="00DB5643">
        <w:rPr>
          <w:iCs/>
          <w:snapToGrid w:val="0"/>
          <w:kern w:val="22"/>
          <w:szCs w:val="22"/>
          <w:lang w:val="ru-RU"/>
        </w:rPr>
        <w:t> </w:t>
      </w:r>
      <w:r w:rsidR="004569FB" w:rsidRPr="00DB5643">
        <w:rPr>
          <w:iCs/>
          <w:snapToGrid w:val="0"/>
          <w:kern w:val="22"/>
          <w:szCs w:val="22"/>
          <w:lang w:val="ru-RU"/>
        </w:rPr>
        <w:t xml:space="preserve">% </w:t>
      </w:r>
      <w:r w:rsidR="00032499" w:rsidRPr="00DB5643">
        <w:rPr>
          <w:iCs/>
          <w:snapToGrid w:val="0"/>
          <w:kern w:val="22"/>
          <w:szCs w:val="22"/>
          <w:lang w:val="ru-RU"/>
        </w:rPr>
        <w:t>по сравнению с исходным уровнем</w:t>
      </w:r>
      <w:r w:rsidR="004569FB" w:rsidRPr="00DB5643">
        <w:rPr>
          <w:iCs/>
          <w:snapToGrid w:val="0"/>
          <w:kern w:val="22"/>
          <w:szCs w:val="22"/>
          <w:lang w:val="ru-RU"/>
        </w:rPr>
        <w:t xml:space="preserve"> (</w:t>
      </w:r>
      <w:r w:rsidR="00032499" w:rsidRPr="00DB5643">
        <w:rPr>
          <w:iCs/>
          <w:snapToGrid w:val="0"/>
          <w:kern w:val="22"/>
          <w:szCs w:val="22"/>
          <w:lang w:val="ru-RU"/>
        </w:rPr>
        <w:t>при следующих региональных изменениях</w:t>
      </w:r>
      <w:r w:rsidR="004569FB" w:rsidRPr="00DB5643">
        <w:rPr>
          <w:iCs/>
          <w:snapToGrid w:val="0"/>
          <w:kern w:val="22"/>
          <w:szCs w:val="22"/>
          <w:lang w:val="ru-RU"/>
        </w:rPr>
        <w:t xml:space="preserve">: </w:t>
      </w:r>
      <w:r w:rsidR="00032499" w:rsidRPr="00DB5643">
        <w:rPr>
          <w:iCs/>
          <w:snapToGrid w:val="0"/>
          <w:kern w:val="22"/>
          <w:szCs w:val="22"/>
          <w:lang w:val="ru-RU"/>
        </w:rPr>
        <w:t>Азия:</w:t>
      </w:r>
      <w:r w:rsidR="004569FB" w:rsidRPr="00DB5643">
        <w:rPr>
          <w:iCs/>
          <w:snapToGrid w:val="0"/>
          <w:kern w:val="22"/>
          <w:szCs w:val="22"/>
          <w:lang w:val="ru-RU"/>
        </w:rPr>
        <w:t xml:space="preserve"> +22</w:t>
      </w:r>
      <w:r w:rsidR="00032499" w:rsidRPr="00DB5643">
        <w:rPr>
          <w:iCs/>
          <w:snapToGrid w:val="0"/>
          <w:kern w:val="22"/>
          <w:szCs w:val="22"/>
          <w:lang w:val="ru-RU"/>
        </w:rPr>
        <w:t> </w:t>
      </w:r>
      <w:r w:rsidR="004569FB" w:rsidRPr="00DB5643">
        <w:rPr>
          <w:iCs/>
          <w:snapToGrid w:val="0"/>
          <w:kern w:val="22"/>
          <w:szCs w:val="22"/>
          <w:lang w:val="ru-RU"/>
        </w:rPr>
        <w:t xml:space="preserve">%; </w:t>
      </w:r>
      <w:r w:rsidR="00032499" w:rsidRPr="00DB5643">
        <w:rPr>
          <w:iCs/>
          <w:snapToGrid w:val="0"/>
          <w:kern w:val="22"/>
          <w:szCs w:val="22"/>
          <w:lang w:val="ru-RU"/>
        </w:rPr>
        <w:t>Африка:</w:t>
      </w:r>
      <w:r w:rsidR="004569FB" w:rsidRPr="00DB5643">
        <w:rPr>
          <w:iCs/>
          <w:snapToGrid w:val="0"/>
          <w:kern w:val="22"/>
          <w:szCs w:val="22"/>
          <w:lang w:val="ru-RU"/>
        </w:rPr>
        <w:t xml:space="preserve"> +1</w:t>
      </w:r>
      <w:r w:rsidR="00B02263" w:rsidRPr="00DB5643">
        <w:rPr>
          <w:iCs/>
          <w:snapToGrid w:val="0"/>
          <w:kern w:val="22"/>
          <w:szCs w:val="22"/>
          <w:lang w:val="ru-RU"/>
        </w:rPr>
        <w:t>7</w:t>
      </w:r>
      <w:r w:rsidR="00032499" w:rsidRPr="00DB5643">
        <w:rPr>
          <w:iCs/>
          <w:snapToGrid w:val="0"/>
          <w:kern w:val="22"/>
          <w:szCs w:val="22"/>
          <w:lang w:val="ru-RU"/>
        </w:rPr>
        <w:t> </w:t>
      </w:r>
      <w:r w:rsidR="004569FB" w:rsidRPr="00DB5643">
        <w:rPr>
          <w:iCs/>
          <w:snapToGrid w:val="0"/>
          <w:kern w:val="22"/>
          <w:szCs w:val="22"/>
          <w:lang w:val="ru-RU"/>
        </w:rPr>
        <w:t xml:space="preserve">%, </w:t>
      </w:r>
      <w:proofErr w:type="spellStart"/>
      <w:r w:rsidR="004569FB" w:rsidRPr="00DB5643">
        <w:rPr>
          <w:iCs/>
          <w:snapToGrid w:val="0"/>
          <w:kern w:val="22"/>
          <w:szCs w:val="22"/>
        </w:rPr>
        <w:t>CEE</w:t>
      </w:r>
      <w:proofErr w:type="spellEnd"/>
      <w:r w:rsidR="00032499" w:rsidRPr="00DB5643">
        <w:rPr>
          <w:iCs/>
          <w:snapToGrid w:val="0"/>
          <w:kern w:val="22"/>
          <w:szCs w:val="22"/>
          <w:lang w:val="ru-RU"/>
        </w:rPr>
        <w:t>:</w:t>
      </w:r>
      <w:r w:rsidR="004569FB" w:rsidRPr="00DB5643">
        <w:rPr>
          <w:iCs/>
          <w:snapToGrid w:val="0"/>
          <w:kern w:val="22"/>
          <w:szCs w:val="22"/>
          <w:lang w:val="ru-RU"/>
        </w:rPr>
        <w:t xml:space="preserve"> +7</w:t>
      </w:r>
      <w:r w:rsidR="00032499" w:rsidRPr="00DB5643">
        <w:rPr>
          <w:iCs/>
          <w:snapToGrid w:val="0"/>
          <w:kern w:val="22"/>
          <w:szCs w:val="22"/>
          <w:lang w:val="ru-RU"/>
        </w:rPr>
        <w:t> </w:t>
      </w:r>
      <w:r w:rsidR="004569FB" w:rsidRPr="00DB5643">
        <w:rPr>
          <w:iCs/>
          <w:snapToGrid w:val="0"/>
          <w:kern w:val="22"/>
          <w:szCs w:val="22"/>
          <w:lang w:val="ru-RU"/>
        </w:rPr>
        <w:t xml:space="preserve">%; </w:t>
      </w:r>
      <w:proofErr w:type="spellStart"/>
      <w:r w:rsidR="00032499" w:rsidRPr="00DB5643">
        <w:rPr>
          <w:iCs/>
          <w:snapToGrid w:val="0"/>
          <w:kern w:val="22"/>
          <w:szCs w:val="22"/>
          <w:lang w:val="ru-RU"/>
        </w:rPr>
        <w:t>ГРУЛАК</w:t>
      </w:r>
      <w:proofErr w:type="spellEnd"/>
      <w:r w:rsidR="00032499" w:rsidRPr="00DB5643">
        <w:rPr>
          <w:iCs/>
          <w:snapToGrid w:val="0"/>
          <w:kern w:val="22"/>
          <w:szCs w:val="22"/>
          <w:lang w:val="ru-RU"/>
        </w:rPr>
        <w:t>:</w:t>
      </w:r>
      <w:r w:rsidR="004569FB" w:rsidRPr="00DB5643">
        <w:rPr>
          <w:iCs/>
          <w:snapToGrid w:val="0"/>
          <w:kern w:val="22"/>
          <w:szCs w:val="22"/>
          <w:lang w:val="ru-RU"/>
        </w:rPr>
        <w:t xml:space="preserve"> </w:t>
      </w:r>
      <w:r w:rsidR="00032499" w:rsidRPr="00DB5643">
        <w:rPr>
          <w:iCs/>
          <w:snapToGrid w:val="0"/>
          <w:kern w:val="22"/>
          <w:szCs w:val="22"/>
          <w:lang w:val="ru-RU"/>
        </w:rPr>
        <w:t>без изменений</w:t>
      </w:r>
      <w:r w:rsidR="004569FB" w:rsidRPr="00DB5643">
        <w:rPr>
          <w:iCs/>
          <w:snapToGrid w:val="0"/>
          <w:kern w:val="22"/>
          <w:szCs w:val="22"/>
          <w:lang w:val="ru-RU"/>
        </w:rPr>
        <w:t xml:space="preserve">; </w:t>
      </w:r>
      <w:proofErr w:type="spellStart"/>
      <w:r w:rsidR="004569FB" w:rsidRPr="00DB5643">
        <w:rPr>
          <w:iCs/>
          <w:snapToGrid w:val="0"/>
          <w:kern w:val="22"/>
          <w:szCs w:val="22"/>
        </w:rPr>
        <w:t>WEOG</w:t>
      </w:r>
      <w:proofErr w:type="spellEnd"/>
      <w:r w:rsidR="00032499" w:rsidRPr="00DB5643">
        <w:rPr>
          <w:iCs/>
          <w:snapToGrid w:val="0"/>
          <w:kern w:val="22"/>
          <w:szCs w:val="22"/>
          <w:lang w:val="ru-RU"/>
        </w:rPr>
        <w:t>:</w:t>
      </w:r>
      <w:r w:rsidR="004569FB" w:rsidRPr="00DB5643">
        <w:rPr>
          <w:iCs/>
          <w:snapToGrid w:val="0"/>
          <w:kern w:val="22"/>
          <w:szCs w:val="22"/>
          <w:lang w:val="ru-RU"/>
        </w:rPr>
        <w:t xml:space="preserve"> -7</w:t>
      </w:r>
      <w:r w:rsidR="00032499" w:rsidRPr="00DB5643">
        <w:rPr>
          <w:iCs/>
          <w:snapToGrid w:val="0"/>
          <w:kern w:val="22"/>
          <w:szCs w:val="22"/>
          <w:lang w:val="ru-RU"/>
        </w:rPr>
        <w:t> </w:t>
      </w:r>
      <w:r w:rsidR="004569FB" w:rsidRPr="00DB5643">
        <w:rPr>
          <w:iCs/>
          <w:snapToGrid w:val="0"/>
          <w:kern w:val="22"/>
          <w:szCs w:val="22"/>
          <w:lang w:val="ru-RU"/>
        </w:rPr>
        <w:t>%)</w:t>
      </w:r>
      <w:r w:rsidR="004569FB" w:rsidRPr="00DB5643">
        <w:rPr>
          <w:rStyle w:val="ac"/>
          <w:iCs/>
          <w:snapToGrid w:val="0"/>
          <w:kern w:val="22"/>
          <w:szCs w:val="22"/>
        </w:rPr>
        <w:footnoteReference w:id="53"/>
      </w:r>
      <w:r w:rsidR="00032499" w:rsidRPr="00DB5643">
        <w:rPr>
          <w:iCs/>
          <w:snapToGrid w:val="0"/>
          <w:kern w:val="22"/>
          <w:szCs w:val="22"/>
          <w:lang w:val="ru-RU"/>
        </w:rPr>
        <w:t>.</w:t>
      </w:r>
    </w:p>
    <w:p w14:paraId="70701637" w14:textId="1F315F6E" w:rsidR="004569FB" w:rsidRPr="00DB5643" w:rsidRDefault="00722F38"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b/>
          <w:snapToGrid w:val="0"/>
          <w:kern w:val="22"/>
          <w:szCs w:val="22"/>
          <w:lang w:val="ru-RU"/>
        </w:rPr>
        <w:t>Индикатор</w:t>
      </w:r>
      <w:r w:rsidR="004569FB" w:rsidRPr="00DB5643">
        <w:rPr>
          <w:b/>
          <w:snapToGrid w:val="0"/>
          <w:kern w:val="22"/>
          <w:szCs w:val="22"/>
          <w:lang w:val="ru-RU"/>
        </w:rPr>
        <w:t xml:space="preserve"> 3.1.7</w:t>
      </w:r>
      <w:r w:rsidR="004569FB" w:rsidRPr="00DB5643">
        <w:rPr>
          <w:snapToGrid w:val="0"/>
          <w:kern w:val="22"/>
          <w:szCs w:val="22"/>
          <w:lang w:val="ru-RU"/>
        </w:rPr>
        <w:t xml:space="preserve"> </w:t>
      </w:r>
      <w:r w:rsidRPr="00DB5643">
        <w:rPr>
          <w:snapToGrid w:val="0"/>
          <w:kern w:val="22"/>
          <w:szCs w:val="22"/>
          <w:lang w:val="ru-RU"/>
        </w:rPr>
        <w:t>показывает число национальных докладов, полученных в каждый отчетный цикл</w:t>
      </w:r>
      <w:r w:rsidR="004569FB" w:rsidRPr="00DB5643">
        <w:rPr>
          <w:snapToGrid w:val="0"/>
          <w:kern w:val="22"/>
          <w:szCs w:val="22"/>
          <w:lang w:val="ru-RU"/>
        </w:rPr>
        <w:t xml:space="preserve">. </w:t>
      </w:r>
      <w:r w:rsidRPr="00DB5643">
        <w:rPr>
          <w:snapToGrid w:val="0"/>
          <w:kern w:val="22"/>
          <w:szCs w:val="22"/>
          <w:lang w:val="ru-RU"/>
        </w:rPr>
        <w:t>По состоянию на</w:t>
      </w:r>
      <w:r w:rsidR="004569FB" w:rsidRPr="00DB5643">
        <w:rPr>
          <w:snapToGrid w:val="0"/>
          <w:kern w:val="22"/>
          <w:szCs w:val="22"/>
          <w:lang w:val="ru-RU"/>
        </w:rPr>
        <w:t xml:space="preserve"> </w:t>
      </w:r>
      <w:r w:rsidRPr="00DB5643">
        <w:rPr>
          <w:snapToGrid w:val="0"/>
          <w:kern w:val="22"/>
          <w:szCs w:val="22"/>
          <w:lang w:val="ru-RU"/>
        </w:rPr>
        <w:t>15 января</w:t>
      </w:r>
      <w:r w:rsidR="004569FB" w:rsidRPr="00DB5643">
        <w:rPr>
          <w:snapToGrid w:val="0"/>
          <w:kern w:val="22"/>
          <w:szCs w:val="22"/>
          <w:lang w:val="ru-RU"/>
        </w:rPr>
        <w:t xml:space="preserve"> 2020</w:t>
      </w:r>
      <w:r w:rsidRPr="00DB5643">
        <w:rPr>
          <w:snapToGrid w:val="0"/>
          <w:kern w:val="22"/>
          <w:szCs w:val="22"/>
          <w:lang w:val="ru-RU"/>
        </w:rPr>
        <w:t xml:space="preserve"> года свой полный четвертый национальный доклад представили</w:t>
      </w:r>
      <w:r w:rsidR="004569FB" w:rsidRPr="00DB5643">
        <w:rPr>
          <w:snapToGrid w:val="0"/>
          <w:kern w:val="22"/>
          <w:szCs w:val="22"/>
          <w:lang w:val="ru-RU"/>
        </w:rPr>
        <w:t xml:space="preserve"> </w:t>
      </w:r>
      <w:r w:rsidR="004569FB" w:rsidRPr="00DB5643">
        <w:rPr>
          <w:iCs/>
          <w:snapToGrid w:val="0"/>
          <w:kern w:val="22"/>
          <w:szCs w:val="22"/>
          <w:lang w:val="ru-RU"/>
        </w:rPr>
        <w:t xml:space="preserve">99 </w:t>
      </w:r>
      <w:r w:rsidRPr="00DB5643">
        <w:rPr>
          <w:iCs/>
          <w:snapToGrid w:val="0"/>
          <w:kern w:val="22"/>
          <w:szCs w:val="22"/>
          <w:lang w:val="ru-RU"/>
        </w:rPr>
        <w:t xml:space="preserve">из </w:t>
      </w:r>
      <w:r w:rsidR="004569FB" w:rsidRPr="00DB5643">
        <w:rPr>
          <w:iCs/>
          <w:snapToGrid w:val="0"/>
          <w:kern w:val="22"/>
          <w:szCs w:val="22"/>
          <w:lang w:val="ru-RU"/>
        </w:rPr>
        <w:t xml:space="preserve">171 </w:t>
      </w:r>
      <w:r w:rsidRPr="00DB5643">
        <w:rPr>
          <w:iCs/>
          <w:snapToGrid w:val="0"/>
          <w:kern w:val="22"/>
          <w:szCs w:val="22"/>
          <w:lang w:val="ru-RU"/>
        </w:rPr>
        <w:t>Стороны Протокола, которые должны представлять отчетность</w:t>
      </w:r>
      <w:r w:rsidR="00C56A0A" w:rsidRPr="00DB5643">
        <w:rPr>
          <w:rStyle w:val="ac"/>
          <w:snapToGrid w:val="0"/>
          <w:kern w:val="22"/>
          <w:szCs w:val="22"/>
        </w:rPr>
        <w:footnoteReference w:id="54"/>
      </w:r>
      <w:r w:rsidRPr="00DB5643">
        <w:rPr>
          <w:iCs/>
          <w:snapToGrid w:val="0"/>
          <w:kern w:val="22"/>
          <w:szCs w:val="22"/>
          <w:lang w:val="ru-RU"/>
        </w:rPr>
        <w:t>.</w:t>
      </w:r>
      <w:r w:rsidR="004569FB" w:rsidRPr="00DB5643">
        <w:rPr>
          <w:iCs/>
          <w:snapToGrid w:val="0"/>
          <w:kern w:val="22"/>
          <w:szCs w:val="22"/>
          <w:lang w:val="ru-RU"/>
        </w:rPr>
        <w:t xml:space="preserve"> </w:t>
      </w:r>
      <w:r w:rsidR="00BA5434" w:rsidRPr="00DB5643">
        <w:rPr>
          <w:iCs/>
          <w:snapToGrid w:val="0"/>
          <w:kern w:val="22"/>
          <w:szCs w:val="22"/>
          <w:lang w:val="ru-RU"/>
        </w:rPr>
        <w:lastRenderedPageBreak/>
        <w:t>Это</w:t>
      </w:r>
      <w:r w:rsidR="00BA5434" w:rsidRPr="003926D8">
        <w:rPr>
          <w:iCs/>
          <w:snapToGrid w:val="0"/>
          <w:kern w:val="22"/>
          <w:szCs w:val="22"/>
          <w:lang w:val="ru-RU"/>
        </w:rPr>
        <w:t xml:space="preserve"> </w:t>
      </w:r>
      <w:r w:rsidR="00BA5434" w:rsidRPr="00DB5643">
        <w:rPr>
          <w:iCs/>
          <w:snapToGrid w:val="0"/>
          <w:kern w:val="22"/>
          <w:szCs w:val="22"/>
          <w:lang w:val="ru-RU"/>
        </w:rPr>
        <w:t>соответствует</w:t>
      </w:r>
      <w:r w:rsidR="00BA5434" w:rsidRPr="003926D8">
        <w:rPr>
          <w:rFonts w:eastAsia="Times New Roman" w:cs="Times New Roman"/>
          <w:color w:val="000000"/>
          <w:kern w:val="22"/>
          <w:szCs w:val="22"/>
          <w:lang w:val="ru-RU" w:eastAsia="ru-RU"/>
        </w:rPr>
        <w:t xml:space="preserve"> </w:t>
      </w:r>
      <w:r w:rsidR="00BA5434" w:rsidRPr="00DB5643">
        <w:rPr>
          <w:iCs/>
          <w:snapToGrid w:val="0"/>
          <w:kern w:val="22"/>
          <w:szCs w:val="22"/>
          <w:lang w:val="ru-RU"/>
        </w:rPr>
        <w:t>уровню</w:t>
      </w:r>
      <w:r w:rsidR="00BA5434" w:rsidRPr="003926D8">
        <w:rPr>
          <w:iCs/>
          <w:snapToGrid w:val="0"/>
          <w:kern w:val="22"/>
          <w:szCs w:val="22"/>
          <w:lang w:val="ru-RU"/>
        </w:rPr>
        <w:t xml:space="preserve"> </w:t>
      </w:r>
      <w:r w:rsidR="00BA5434" w:rsidRPr="00DB5643">
        <w:rPr>
          <w:iCs/>
          <w:snapToGrid w:val="0"/>
          <w:kern w:val="22"/>
          <w:szCs w:val="22"/>
          <w:lang w:val="ru-RU"/>
        </w:rPr>
        <w:t>представления</w:t>
      </w:r>
      <w:r w:rsidR="00BA5434" w:rsidRPr="003926D8">
        <w:rPr>
          <w:iCs/>
          <w:snapToGrid w:val="0"/>
          <w:kern w:val="22"/>
          <w:szCs w:val="22"/>
          <w:lang w:val="ru-RU"/>
        </w:rPr>
        <w:t xml:space="preserve"> </w:t>
      </w:r>
      <w:r w:rsidR="00BA5434" w:rsidRPr="00DB5643">
        <w:rPr>
          <w:iCs/>
          <w:snapToGrid w:val="0"/>
          <w:kern w:val="22"/>
          <w:szCs w:val="22"/>
          <w:lang w:val="ru-RU"/>
        </w:rPr>
        <w:t>отчетности</w:t>
      </w:r>
      <w:r w:rsidR="004569FB" w:rsidRPr="003926D8">
        <w:rPr>
          <w:iCs/>
          <w:snapToGrid w:val="0"/>
          <w:kern w:val="22"/>
          <w:szCs w:val="22"/>
          <w:lang w:val="ru-RU"/>
        </w:rPr>
        <w:t xml:space="preserve"> </w:t>
      </w:r>
      <w:r w:rsidR="00BA5434" w:rsidRPr="00DB5643">
        <w:rPr>
          <w:iCs/>
          <w:snapToGrid w:val="0"/>
          <w:kern w:val="22"/>
          <w:szCs w:val="22"/>
          <w:lang w:val="ru-RU"/>
        </w:rPr>
        <w:t>в</w:t>
      </w:r>
      <w:r w:rsidR="004569FB" w:rsidRPr="003926D8">
        <w:rPr>
          <w:iCs/>
          <w:snapToGrid w:val="0"/>
          <w:kern w:val="22"/>
          <w:szCs w:val="22"/>
          <w:lang w:val="ru-RU"/>
        </w:rPr>
        <w:t xml:space="preserve"> 58</w:t>
      </w:r>
      <w:r w:rsidR="00BA5434" w:rsidRPr="00DB5643">
        <w:rPr>
          <w:iCs/>
          <w:snapToGrid w:val="0"/>
          <w:kern w:val="22"/>
          <w:szCs w:val="22"/>
          <w:lang w:val="en-US"/>
        </w:rPr>
        <w:t> </w:t>
      </w:r>
      <w:r w:rsidR="004569FB" w:rsidRPr="003926D8">
        <w:rPr>
          <w:iCs/>
          <w:snapToGrid w:val="0"/>
          <w:kern w:val="22"/>
          <w:szCs w:val="22"/>
          <w:lang w:val="ru-RU"/>
        </w:rPr>
        <w:t xml:space="preserve">%. </w:t>
      </w:r>
      <w:r w:rsidR="00BA5434" w:rsidRPr="00DB5643">
        <w:rPr>
          <w:iCs/>
          <w:snapToGrid w:val="0"/>
          <w:kern w:val="22"/>
          <w:szCs w:val="22"/>
          <w:lang w:val="ru-RU"/>
        </w:rPr>
        <w:t>В соответствующий момент времени после истечения срока представления вторых национальных докладов уровень представления отчетности составлял</w:t>
      </w:r>
      <w:r w:rsidR="004569FB" w:rsidRPr="00DB5643">
        <w:rPr>
          <w:iCs/>
          <w:snapToGrid w:val="0"/>
          <w:kern w:val="22"/>
          <w:szCs w:val="22"/>
          <w:lang w:val="ru-RU"/>
        </w:rPr>
        <w:t xml:space="preserve"> 89</w:t>
      </w:r>
      <w:r w:rsidR="00BA5434" w:rsidRPr="00DB5643">
        <w:rPr>
          <w:iCs/>
          <w:snapToGrid w:val="0"/>
          <w:kern w:val="22"/>
          <w:szCs w:val="22"/>
          <w:lang w:val="ru-RU"/>
        </w:rPr>
        <w:t> </w:t>
      </w:r>
      <w:r w:rsidR="004569FB" w:rsidRPr="00DB5643">
        <w:rPr>
          <w:iCs/>
          <w:snapToGrid w:val="0"/>
          <w:kern w:val="22"/>
          <w:szCs w:val="22"/>
          <w:lang w:val="ru-RU"/>
        </w:rPr>
        <w:t>%</w:t>
      </w:r>
      <w:r w:rsidR="004569FB" w:rsidRPr="00DB5643">
        <w:rPr>
          <w:rStyle w:val="ac"/>
          <w:iCs/>
          <w:snapToGrid w:val="0"/>
          <w:kern w:val="22"/>
          <w:szCs w:val="22"/>
        </w:rPr>
        <w:footnoteReference w:id="55"/>
      </w:r>
      <w:r w:rsidR="00BA5434" w:rsidRPr="00DB5643">
        <w:rPr>
          <w:iCs/>
          <w:snapToGrid w:val="0"/>
          <w:kern w:val="22"/>
          <w:szCs w:val="22"/>
          <w:lang w:val="ru-RU"/>
        </w:rPr>
        <w:t>.</w:t>
      </w:r>
    </w:p>
    <w:p w14:paraId="2B6DB2DA" w14:textId="0A250436" w:rsidR="004569FB" w:rsidRPr="00DB5643" w:rsidRDefault="006A186C"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отношении</w:t>
      </w:r>
      <w:r w:rsidR="004569FB" w:rsidRPr="00DB5643">
        <w:rPr>
          <w:snapToGrid w:val="0"/>
          <w:kern w:val="22"/>
          <w:szCs w:val="22"/>
          <w:lang w:val="ru-RU"/>
        </w:rPr>
        <w:t xml:space="preserve"> </w:t>
      </w:r>
      <w:r w:rsidRPr="00DB5643">
        <w:rPr>
          <w:b/>
          <w:snapToGrid w:val="0"/>
          <w:kern w:val="22"/>
          <w:szCs w:val="22"/>
          <w:lang w:val="ru-RU"/>
        </w:rPr>
        <w:t>индикатора</w:t>
      </w:r>
      <w:r w:rsidR="004569FB" w:rsidRPr="00DB5643">
        <w:rPr>
          <w:b/>
          <w:snapToGrid w:val="0"/>
          <w:kern w:val="22"/>
          <w:szCs w:val="22"/>
          <w:lang w:val="ru-RU"/>
        </w:rPr>
        <w:t xml:space="preserve"> 3.1.8</w:t>
      </w:r>
      <w:r w:rsidR="004569FB" w:rsidRPr="00DB5643">
        <w:rPr>
          <w:snapToGrid w:val="0"/>
          <w:kern w:val="22"/>
          <w:szCs w:val="22"/>
          <w:lang w:val="ru-RU"/>
        </w:rPr>
        <w:t xml:space="preserve"> (</w:t>
      </w:r>
      <w:r w:rsidRPr="00DB5643">
        <w:rPr>
          <w:snapToGrid w:val="0"/>
          <w:kern w:val="22"/>
          <w:szCs w:val="22"/>
          <w:lang w:val="ru-RU"/>
        </w:rPr>
        <w:t>число Сторон, имеющих возможности доступа к финансовым ресурсам для выполнения своих обязательств в рамках Протокола</w:t>
      </w:r>
      <w:r w:rsidR="004569FB" w:rsidRPr="00DB5643">
        <w:rPr>
          <w:snapToGrid w:val="0"/>
          <w:kern w:val="22"/>
          <w:szCs w:val="22"/>
          <w:lang w:val="ru-RU"/>
        </w:rPr>
        <w:t>) 35</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(25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 о наличии доступа к предсказуемому и надежному финансированию для эффективного осуществления</w:t>
      </w:r>
      <w:r w:rsidR="004569FB" w:rsidRPr="00DB5643">
        <w:rPr>
          <w:snapToGrid w:val="0"/>
          <w:kern w:val="22"/>
          <w:szCs w:val="22"/>
          <w:lang w:val="ru-RU"/>
        </w:rPr>
        <w:t xml:space="preserve"> </w:t>
      </w:r>
      <w:r w:rsidRPr="00DB5643">
        <w:rPr>
          <w:snapToGrid w:val="0"/>
          <w:kern w:val="22"/>
          <w:szCs w:val="22"/>
          <w:lang w:val="ru-RU"/>
        </w:rPr>
        <w:t>Протокола</w:t>
      </w:r>
      <w:r w:rsidR="004569FB" w:rsidRPr="00DB5643">
        <w:rPr>
          <w:snapToGrid w:val="0"/>
          <w:kern w:val="22"/>
          <w:szCs w:val="22"/>
          <w:lang w:val="ru-RU"/>
        </w:rPr>
        <w:t xml:space="preserve">, </w:t>
      </w:r>
      <w:r w:rsidRPr="00DB5643">
        <w:rPr>
          <w:snapToGrid w:val="0"/>
          <w:kern w:val="22"/>
          <w:szCs w:val="22"/>
          <w:lang w:val="ru-RU"/>
        </w:rPr>
        <w:t>тогда как</w:t>
      </w:r>
      <w:r w:rsidR="004569FB" w:rsidRPr="00DB5643">
        <w:rPr>
          <w:snapToGrid w:val="0"/>
          <w:kern w:val="22"/>
          <w:szCs w:val="22"/>
          <w:lang w:val="ru-RU"/>
        </w:rPr>
        <w:t xml:space="preserve"> 14</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(10 </w:t>
      </w:r>
      <w:r w:rsidRPr="00DB5643">
        <w:rPr>
          <w:snapToGrid w:val="0"/>
          <w:kern w:val="22"/>
          <w:szCs w:val="22"/>
          <w:lang w:val="ru-RU"/>
        </w:rPr>
        <w:t>Сторон</w:t>
      </w:r>
      <w:r w:rsidR="004569FB" w:rsidRPr="00DB5643">
        <w:rPr>
          <w:snapToGrid w:val="0"/>
          <w:kern w:val="22"/>
          <w:szCs w:val="22"/>
          <w:lang w:val="ru-RU"/>
        </w:rPr>
        <w:t xml:space="preserve">) </w:t>
      </w:r>
      <w:r w:rsidRPr="00DB5643">
        <w:rPr>
          <w:snapToGrid w:val="0"/>
          <w:kern w:val="22"/>
          <w:szCs w:val="22"/>
          <w:lang w:val="ru-RU"/>
        </w:rPr>
        <w:t>сообщили о наличии доступа к такому финансированию в некоторой степени</w:t>
      </w:r>
      <w:r w:rsidR="004569FB" w:rsidRPr="00DB5643">
        <w:rPr>
          <w:snapToGrid w:val="0"/>
          <w:kern w:val="22"/>
          <w:szCs w:val="22"/>
          <w:lang w:val="ru-RU"/>
        </w:rPr>
        <w:t xml:space="preserve">. </w:t>
      </w:r>
      <w:r w:rsidRPr="00DB5643">
        <w:rPr>
          <w:snapToGrid w:val="0"/>
          <w:kern w:val="22"/>
          <w:szCs w:val="22"/>
          <w:lang w:val="ru-RU"/>
        </w:rPr>
        <w:t xml:space="preserve">В совокупности это соответствует увеличению на </w:t>
      </w:r>
      <w:r w:rsidR="004569FB" w:rsidRPr="00DB5643">
        <w:rPr>
          <w:snapToGrid w:val="0"/>
          <w:kern w:val="22"/>
          <w:szCs w:val="22"/>
          <w:lang w:val="ru-RU"/>
        </w:rPr>
        <w:t>7</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по сравнению с исходным уровнем</w:t>
      </w:r>
      <w:r w:rsidR="004569FB" w:rsidRPr="00DB5643">
        <w:rPr>
          <w:snapToGrid w:val="0"/>
          <w:kern w:val="22"/>
          <w:szCs w:val="22"/>
          <w:lang w:val="ru-RU"/>
        </w:rPr>
        <w:t xml:space="preserve"> (</w:t>
      </w:r>
      <w:r w:rsidR="00BC058D" w:rsidRPr="00DB5643">
        <w:rPr>
          <w:snapToGrid w:val="0"/>
          <w:kern w:val="22"/>
          <w:szCs w:val="22"/>
          <w:lang w:val="ru-RU"/>
        </w:rPr>
        <w:t>при следующих совокупных региональных изменениях</w:t>
      </w:r>
      <w:r w:rsidR="004569FB" w:rsidRPr="00DB5643">
        <w:rPr>
          <w:snapToGrid w:val="0"/>
          <w:kern w:val="22"/>
          <w:szCs w:val="22"/>
          <w:lang w:val="ru-RU"/>
        </w:rPr>
        <w:t xml:space="preserve">: </w:t>
      </w:r>
      <w:r w:rsidR="00BC058D" w:rsidRPr="00DB5643">
        <w:rPr>
          <w:snapToGrid w:val="0"/>
          <w:kern w:val="22"/>
          <w:szCs w:val="22"/>
          <w:lang w:val="ru-RU"/>
        </w:rPr>
        <w:t>Африка:</w:t>
      </w:r>
      <w:r w:rsidR="004569FB" w:rsidRPr="00DB5643">
        <w:rPr>
          <w:snapToGrid w:val="0"/>
          <w:kern w:val="22"/>
          <w:szCs w:val="22"/>
          <w:lang w:val="ru-RU"/>
        </w:rPr>
        <w:t xml:space="preserve"> +</w:t>
      </w:r>
      <w:r w:rsidR="00424DB5" w:rsidRPr="00DB5643">
        <w:rPr>
          <w:snapToGrid w:val="0"/>
          <w:kern w:val="22"/>
          <w:szCs w:val="22"/>
          <w:lang w:val="ru-RU"/>
        </w:rPr>
        <w:t>21</w:t>
      </w:r>
      <w:r w:rsidR="00BC058D" w:rsidRPr="00DB5643">
        <w:rPr>
          <w:snapToGrid w:val="0"/>
          <w:kern w:val="22"/>
          <w:szCs w:val="22"/>
          <w:lang w:val="ru-RU"/>
        </w:rPr>
        <w:t> </w:t>
      </w:r>
      <w:r w:rsidR="004569FB" w:rsidRPr="00DB5643">
        <w:rPr>
          <w:snapToGrid w:val="0"/>
          <w:kern w:val="22"/>
          <w:szCs w:val="22"/>
          <w:lang w:val="ru-RU"/>
        </w:rPr>
        <w:t xml:space="preserve">%; </w:t>
      </w:r>
      <w:r w:rsidR="00BC058D" w:rsidRPr="00DB5643">
        <w:rPr>
          <w:snapToGrid w:val="0"/>
          <w:kern w:val="22"/>
          <w:szCs w:val="22"/>
          <w:lang w:val="ru-RU"/>
        </w:rPr>
        <w:t>Азиатско-Тихоокеанский регион:</w:t>
      </w:r>
      <w:r w:rsidR="004569FB" w:rsidRPr="00DB5643">
        <w:rPr>
          <w:snapToGrid w:val="0"/>
          <w:kern w:val="22"/>
          <w:szCs w:val="22"/>
          <w:lang w:val="ru-RU"/>
        </w:rPr>
        <w:t xml:space="preserve"> +1</w:t>
      </w:r>
      <w:r w:rsidR="00424DB5" w:rsidRPr="00DB5643">
        <w:rPr>
          <w:snapToGrid w:val="0"/>
          <w:kern w:val="22"/>
          <w:szCs w:val="22"/>
          <w:lang w:val="ru-RU"/>
        </w:rPr>
        <w:t>1</w:t>
      </w:r>
      <w:r w:rsidR="00BC058D" w:rsidRPr="00DB5643">
        <w:rPr>
          <w:snapToGrid w:val="0"/>
          <w:kern w:val="22"/>
          <w:szCs w:val="22"/>
          <w:lang w:val="ru-RU"/>
        </w:rPr>
        <w:t> </w:t>
      </w:r>
      <w:r w:rsidR="004569FB" w:rsidRPr="00DB5643">
        <w:rPr>
          <w:snapToGrid w:val="0"/>
          <w:kern w:val="22"/>
          <w:szCs w:val="22"/>
          <w:lang w:val="ru-RU"/>
        </w:rPr>
        <w:t xml:space="preserve">%; </w:t>
      </w:r>
      <w:proofErr w:type="spellStart"/>
      <w:r w:rsidR="00BC058D" w:rsidRPr="00DB5643">
        <w:rPr>
          <w:snapToGrid w:val="0"/>
          <w:kern w:val="22"/>
          <w:szCs w:val="22"/>
          <w:lang w:val="ru-RU"/>
        </w:rPr>
        <w:t>ГРУЛАК</w:t>
      </w:r>
      <w:proofErr w:type="spellEnd"/>
      <w:r w:rsidR="00BC058D" w:rsidRPr="00DB5643">
        <w:rPr>
          <w:snapToGrid w:val="0"/>
          <w:kern w:val="22"/>
          <w:szCs w:val="22"/>
          <w:lang w:val="ru-RU"/>
        </w:rPr>
        <w:t>:</w:t>
      </w:r>
      <w:r w:rsidR="004569FB" w:rsidRPr="00DB5643">
        <w:rPr>
          <w:snapToGrid w:val="0"/>
          <w:kern w:val="22"/>
          <w:szCs w:val="22"/>
          <w:lang w:val="ru-RU"/>
        </w:rPr>
        <w:t xml:space="preserve"> +</w:t>
      </w:r>
      <w:r w:rsidR="00424DB5" w:rsidRPr="00DB5643">
        <w:rPr>
          <w:snapToGrid w:val="0"/>
          <w:kern w:val="22"/>
          <w:szCs w:val="22"/>
          <w:lang w:val="ru-RU"/>
        </w:rPr>
        <w:t>8</w:t>
      </w:r>
      <w:r w:rsidR="00BC058D" w:rsidRPr="00DB5643">
        <w:rPr>
          <w:snapToGrid w:val="0"/>
          <w:kern w:val="22"/>
          <w:szCs w:val="22"/>
          <w:lang w:val="ru-RU"/>
        </w:rPr>
        <w:t> </w:t>
      </w:r>
      <w:r w:rsidR="004569FB" w:rsidRPr="00DB5643">
        <w:rPr>
          <w:snapToGrid w:val="0"/>
          <w:kern w:val="22"/>
          <w:szCs w:val="22"/>
          <w:lang w:val="ru-RU"/>
        </w:rPr>
        <w:t xml:space="preserve">%; </w:t>
      </w:r>
      <w:proofErr w:type="spellStart"/>
      <w:r w:rsidR="007C0C24" w:rsidRPr="00DB5643">
        <w:rPr>
          <w:snapToGrid w:val="0"/>
          <w:kern w:val="22"/>
          <w:szCs w:val="22"/>
        </w:rPr>
        <w:t>WEOG</w:t>
      </w:r>
      <w:proofErr w:type="spellEnd"/>
      <w:r w:rsidR="00BC058D" w:rsidRPr="00DB5643">
        <w:rPr>
          <w:snapToGrid w:val="0"/>
          <w:kern w:val="22"/>
          <w:szCs w:val="22"/>
          <w:lang w:val="ru-RU"/>
        </w:rPr>
        <w:t>:</w:t>
      </w:r>
      <w:r w:rsidR="008946DF" w:rsidRPr="00DB5643">
        <w:rPr>
          <w:snapToGrid w:val="0"/>
          <w:kern w:val="22"/>
          <w:szCs w:val="22"/>
          <w:lang w:val="ru-RU"/>
        </w:rPr>
        <w:t xml:space="preserve"> </w:t>
      </w:r>
      <w:r w:rsidR="00BC058D" w:rsidRPr="00DB5643">
        <w:rPr>
          <w:snapToGrid w:val="0"/>
          <w:kern w:val="22"/>
          <w:szCs w:val="22"/>
          <w:lang w:val="ru-RU"/>
        </w:rPr>
        <w:t>без изменений</w:t>
      </w:r>
      <w:r w:rsidR="008946DF" w:rsidRPr="00DB5643">
        <w:rPr>
          <w:snapToGrid w:val="0"/>
          <w:kern w:val="22"/>
          <w:szCs w:val="22"/>
          <w:lang w:val="ru-RU"/>
        </w:rPr>
        <w:t xml:space="preserve">; </w:t>
      </w:r>
      <w:proofErr w:type="spellStart"/>
      <w:r w:rsidR="004569FB" w:rsidRPr="00DB5643">
        <w:rPr>
          <w:snapToGrid w:val="0"/>
          <w:kern w:val="22"/>
          <w:szCs w:val="22"/>
        </w:rPr>
        <w:t>CEE</w:t>
      </w:r>
      <w:proofErr w:type="spellEnd"/>
      <w:r w:rsidR="00BC058D" w:rsidRPr="00DB5643">
        <w:rPr>
          <w:snapToGrid w:val="0"/>
          <w:kern w:val="22"/>
          <w:szCs w:val="22"/>
          <w:lang w:val="ru-RU"/>
        </w:rPr>
        <w:t>:</w:t>
      </w:r>
      <w:r w:rsidR="004569FB" w:rsidRPr="00DB5643">
        <w:rPr>
          <w:snapToGrid w:val="0"/>
          <w:kern w:val="22"/>
          <w:szCs w:val="22"/>
          <w:lang w:val="ru-RU"/>
        </w:rPr>
        <w:t xml:space="preserve"> -</w:t>
      </w:r>
      <w:r w:rsidR="00424DB5" w:rsidRPr="00DB5643">
        <w:rPr>
          <w:snapToGrid w:val="0"/>
          <w:kern w:val="22"/>
          <w:szCs w:val="22"/>
          <w:lang w:val="ru-RU"/>
        </w:rPr>
        <w:t>7</w:t>
      </w:r>
      <w:r w:rsidR="00BC058D" w:rsidRPr="00DB5643">
        <w:rPr>
          <w:snapToGrid w:val="0"/>
          <w:kern w:val="22"/>
          <w:szCs w:val="22"/>
          <w:lang w:val="ru-RU"/>
        </w:rPr>
        <w:t> </w:t>
      </w:r>
      <w:r w:rsidR="004569FB" w:rsidRPr="00DB5643">
        <w:rPr>
          <w:snapToGrid w:val="0"/>
          <w:kern w:val="22"/>
          <w:szCs w:val="22"/>
          <w:lang w:val="ru-RU"/>
        </w:rPr>
        <w:t>%)</w:t>
      </w:r>
      <w:r w:rsidR="004569FB" w:rsidRPr="00DB5643">
        <w:rPr>
          <w:rStyle w:val="ac"/>
          <w:snapToGrid w:val="0"/>
          <w:kern w:val="22"/>
          <w:szCs w:val="22"/>
        </w:rPr>
        <w:footnoteReference w:id="56"/>
      </w:r>
      <w:r w:rsidR="005B390A">
        <w:rPr>
          <w:snapToGrid w:val="0"/>
          <w:kern w:val="22"/>
          <w:szCs w:val="22"/>
          <w:lang w:val="ru-RU"/>
        </w:rPr>
        <w:t>.</w:t>
      </w:r>
      <w:r w:rsidR="004569FB" w:rsidRPr="00DB5643">
        <w:rPr>
          <w:snapToGrid w:val="0"/>
          <w:kern w:val="22"/>
          <w:szCs w:val="22"/>
          <w:lang w:val="ru-RU"/>
        </w:rPr>
        <w:t xml:space="preserve"> (</w:t>
      </w:r>
      <w:r w:rsidR="005B390A">
        <w:rPr>
          <w:snapToGrid w:val="0"/>
          <w:kern w:val="22"/>
          <w:szCs w:val="22"/>
          <w:lang w:val="ru-RU"/>
        </w:rPr>
        <w:t>С</w:t>
      </w:r>
      <w:r w:rsidR="00BC058D" w:rsidRPr="00DB5643">
        <w:rPr>
          <w:snapToGrid w:val="0"/>
          <w:kern w:val="22"/>
          <w:szCs w:val="22"/>
          <w:lang w:val="ru-RU"/>
        </w:rPr>
        <w:t xml:space="preserve">м. также информацию, представленную выше по </w:t>
      </w:r>
      <w:r w:rsidR="00BC058D" w:rsidRPr="00DB5643">
        <w:rPr>
          <w:b/>
          <w:bCs/>
          <w:snapToGrid w:val="0"/>
          <w:kern w:val="22"/>
          <w:szCs w:val="22"/>
          <w:lang w:val="ru-RU"/>
        </w:rPr>
        <w:t>индикатору</w:t>
      </w:r>
      <w:r w:rsidR="004569FB" w:rsidRPr="00DB5643">
        <w:rPr>
          <w:b/>
          <w:bCs/>
          <w:snapToGrid w:val="0"/>
          <w:kern w:val="22"/>
          <w:szCs w:val="22"/>
          <w:lang w:val="ru-RU"/>
        </w:rPr>
        <w:t xml:space="preserve"> 1.2.6</w:t>
      </w:r>
      <w:r w:rsidR="004569FB" w:rsidRPr="00DB5643">
        <w:rPr>
          <w:snapToGrid w:val="0"/>
          <w:kern w:val="22"/>
          <w:szCs w:val="22"/>
          <w:lang w:val="ru-RU"/>
        </w:rPr>
        <w:t>).</w:t>
      </w:r>
    </w:p>
    <w:p w14:paraId="2A7312B7" w14:textId="20A8C043" w:rsidR="004569FB" w:rsidRPr="00DB5643" w:rsidRDefault="00BC058D"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В общей сложности</w:t>
      </w:r>
      <w:r w:rsidR="004569FB" w:rsidRPr="00DB5643">
        <w:rPr>
          <w:snapToGrid w:val="0"/>
          <w:kern w:val="22"/>
          <w:szCs w:val="22"/>
          <w:lang w:val="ru-RU"/>
        </w:rPr>
        <w:t xml:space="preserve"> 70</w:t>
      </w:r>
      <w:r w:rsidRPr="00DB5643">
        <w:rPr>
          <w:snapToGrid w:val="0"/>
          <w:kern w:val="22"/>
          <w:szCs w:val="22"/>
          <w:lang w:val="en-US"/>
        </w:rPr>
        <w:t> </w:t>
      </w:r>
      <w:r w:rsidR="004569FB" w:rsidRPr="00DB5643">
        <w:rPr>
          <w:snapToGrid w:val="0"/>
          <w:kern w:val="22"/>
          <w:szCs w:val="22"/>
          <w:lang w:val="ru-RU"/>
        </w:rPr>
        <w:t xml:space="preserve">% </w:t>
      </w:r>
      <w:r w:rsidRPr="00DB5643">
        <w:rPr>
          <w:snapToGrid w:val="0"/>
          <w:kern w:val="22"/>
          <w:szCs w:val="22"/>
          <w:lang w:val="ru-RU"/>
        </w:rPr>
        <w:t>Сторон</w:t>
      </w:r>
      <w:r w:rsidR="004569FB" w:rsidRPr="00DB5643">
        <w:rPr>
          <w:snapToGrid w:val="0"/>
          <w:kern w:val="22"/>
          <w:szCs w:val="22"/>
          <w:lang w:val="ru-RU"/>
        </w:rPr>
        <w:t xml:space="preserve"> (31 </w:t>
      </w:r>
      <w:r w:rsidRPr="00DB5643">
        <w:rPr>
          <w:snapToGrid w:val="0"/>
          <w:kern w:val="22"/>
          <w:szCs w:val="22"/>
          <w:lang w:val="ru-RU"/>
        </w:rPr>
        <w:t>Сторона</w:t>
      </w:r>
      <w:r w:rsidR="004569FB" w:rsidRPr="00DB5643">
        <w:rPr>
          <w:snapToGrid w:val="0"/>
          <w:kern w:val="22"/>
          <w:szCs w:val="22"/>
          <w:lang w:val="ru-RU"/>
        </w:rPr>
        <w:t xml:space="preserve">) </w:t>
      </w:r>
      <w:r w:rsidRPr="00DB5643">
        <w:rPr>
          <w:snapToGrid w:val="0"/>
          <w:kern w:val="22"/>
          <w:szCs w:val="22"/>
          <w:lang w:val="ru-RU"/>
        </w:rPr>
        <w:t xml:space="preserve">сообщили о мобилизации дополнительного финансирования сверх обычных бюджетных ассигнований в поддержку осуществления </w:t>
      </w:r>
      <w:proofErr w:type="spellStart"/>
      <w:r w:rsidRPr="00DB5643">
        <w:rPr>
          <w:snapToGrid w:val="0"/>
          <w:kern w:val="22"/>
          <w:szCs w:val="22"/>
          <w:lang w:val="ru-RU"/>
        </w:rPr>
        <w:t>Картахенского</w:t>
      </w:r>
      <w:proofErr w:type="spellEnd"/>
      <w:r w:rsidRPr="00DB5643">
        <w:rPr>
          <w:snapToGrid w:val="0"/>
          <w:kern w:val="22"/>
          <w:szCs w:val="22"/>
          <w:lang w:val="ru-RU"/>
        </w:rPr>
        <w:t xml:space="preserve"> протокола</w:t>
      </w:r>
      <w:r w:rsidR="004569FB" w:rsidRPr="00DB5643">
        <w:rPr>
          <w:snapToGrid w:val="0"/>
          <w:kern w:val="22"/>
          <w:szCs w:val="22"/>
          <w:lang w:val="ru-RU"/>
        </w:rPr>
        <w:t xml:space="preserve">, </w:t>
      </w:r>
      <w:r w:rsidRPr="00DB5643">
        <w:rPr>
          <w:snapToGrid w:val="0"/>
          <w:kern w:val="22"/>
          <w:szCs w:val="22"/>
          <w:lang w:val="ru-RU"/>
        </w:rPr>
        <w:t>что на</w:t>
      </w:r>
      <w:r w:rsidR="004569FB" w:rsidRPr="00DB5643">
        <w:rPr>
          <w:snapToGrid w:val="0"/>
          <w:kern w:val="22"/>
          <w:szCs w:val="22"/>
          <w:lang w:val="ru-RU"/>
        </w:rPr>
        <w:t xml:space="preserve"> 13 </w:t>
      </w:r>
      <w:r w:rsidRPr="00DB5643">
        <w:rPr>
          <w:snapToGrid w:val="0"/>
          <w:kern w:val="22"/>
          <w:szCs w:val="22"/>
          <w:lang w:val="ru-RU"/>
        </w:rPr>
        <w:t>Сторон меньше по сравнению с исходным уровнем</w:t>
      </w:r>
      <w:r w:rsidR="004569FB" w:rsidRPr="00DB5643">
        <w:rPr>
          <w:rStyle w:val="ac"/>
          <w:snapToGrid w:val="0"/>
          <w:kern w:val="22"/>
          <w:szCs w:val="22"/>
        </w:rPr>
        <w:footnoteReference w:id="57"/>
      </w:r>
      <w:r w:rsidRPr="00DB5643">
        <w:rPr>
          <w:snapToGrid w:val="0"/>
          <w:kern w:val="22"/>
          <w:szCs w:val="22"/>
          <w:lang w:val="ru-RU"/>
        </w:rPr>
        <w:t>.</w:t>
      </w:r>
      <w:r w:rsidR="004569FB" w:rsidRPr="00DB5643">
        <w:rPr>
          <w:snapToGrid w:val="0"/>
          <w:kern w:val="22"/>
          <w:szCs w:val="22"/>
          <w:lang w:val="ru-RU"/>
        </w:rPr>
        <w:t xml:space="preserve"> </w:t>
      </w:r>
      <w:r w:rsidR="006A4DB0" w:rsidRPr="00DB5643">
        <w:rPr>
          <w:snapToGrid w:val="0"/>
          <w:kern w:val="22"/>
          <w:szCs w:val="22"/>
          <w:lang w:val="ru-RU"/>
        </w:rPr>
        <w:t>Сообщено о различиях в полученных суммах по сравнению с исходным уровнем</w:t>
      </w:r>
      <w:r w:rsidR="004569FB" w:rsidRPr="00DB5643">
        <w:rPr>
          <w:snapToGrid w:val="0"/>
          <w:kern w:val="22"/>
          <w:szCs w:val="22"/>
          <w:lang w:val="ru-RU"/>
        </w:rPr>
        <w:t xml:space="preserve">. </w:t>
      </w:r>
      <w:r w:rsidR="006A4DB0" w:rsidRPr="00DB5643">
        <w:rPr>
          <w:snapToGrid w:val="0"/>
          <w:kern w:val="22"/>
          <w:szCs w:val="22"/>
          <w:lang w:val="ru-RU"/>
        </w:rPr>
        <w:t>По суммам до 50 000 долл. США</w:t>
      </w:r>
      <w:r w:rsidR="006A4DB0" w:rsidRPr="003926D8">
        <w:rPr>
          <w:snapToGrid w:val="0"/>
          <w:kern w:val="22"/>
          <w:szCs w:val="22"/>
          <w:lang w:val="ru-RU"/>
        </w:rPr>
        <w:t xml:space="preserve"> </w:t>
      </w:r>
      <w:r w:rsidR="006A4DB0" w:rsidRPr="00DB5643">
        <w:rPr>
          <w:snapToGrid w:val="0"/>
          <w:kern w:val="22"/>
          <w:szCs w:val="22"/>
          <w:lang w:val="ru-RU"/>
        </w:rPr>
        <w:t>сообщено</w:t>
      </w:r>
      <w:r w:rsidR="006A4DB0" w:rsidRPr="003926D8">
        <w:rPr>
          <w:snapToGrid w:val="0"/>
          <w:kern w:val="22"/>
          <w:szCs w:val="22"/>
          <w:lang w:val="ru-RU"/>
        </w:rPr>
        <w:t xml:space="preserve"> </w:t>
      </w:r>
      <w:r w:rsidR="006A4DB0" w:rsidRPr="00DB5643">
        <w:rPr>
          <w:snapToGrid w:val="0"/>
          <w:kern w:val="22"/>
          <w:szCs w:val="22"/>
          <w:lang w:val="ru-RU"/>
        </w:rPr>
        <w:t>об</w:t>
      </w:r>
      <w:r w:rsidR="006A4DB0" w:rsidRPr="003926D8">
        <w:rPr>
          <w:snapToGrid w:val="0"/>
          <w:kern w:val="22"/>
          <w:szCs w:val="22"/>
          <w:lang w:val="ru-RU"/>
        </w:rPr>
        <w:t xml:space="preserve"> </w:t>
      </w:r>
      <w:r w:rsidR="006A4DB0" w:rsidRPr="00DB5643">
        <w:rPr>
          <w:snapToGrid w:val="0"/>
          <w:kern w:val="22"/>
          <w:szCs w:val="22"/>
          <w:lang w:val="ru-RU"/>
        </w:rPr>
        <w:t>уменьшении</w:t>
      </w:r>
      <w:r w:rsidR="006A4DB0" w:rsidRPr="003926D8">
        <w:rPr>
          <w:snapToGrid w:val="0"/>
          <w:kern w:val="22"/>
          <w:szCs w:val="22"/>
          <w:lang w:val="ru-RU"/>
        </w:rPr>
        <w:t xml:space="preserve"> </w:t>
      </w:r>
      <w:r w:rsidR="006A4DB0" w:rsidRPr="00DB5643">
        <w:rPr>
          <w:snapToGrid w:val="0"/>
          <w:kern w:val="22"/>
          <w:szCs w:val="22"/>
          <w:lang w:val="ru-RU"/>
        </w:rPr>
        <w:t>на</w:t>
      </w:r>
      <w:r w:rsidR="004569FB" w:rsidRPr="003926D8">
        <w:rPr>
          <w:snapToGrid w:val="0"/>
          <w:kern w:val="22"/>
          <w:szCs w:val="22"/>
          <w:lang w:val="ru-RU"/>
        </w:rPr>
        <w:t xml:space="preserve"> 11</w:t>
      </w:r>
      <w:r w:rsidR="006A4DB0" w:rsidRPr="00DB5643">
        <w:rPr>
          <w:snapToGrid w:val="0"/>
          <w:kern w:val="22"/>
          <w:szCs w:val="22"/>
          <w:lang w:val="en-US"/>
        </w:rPr>
        <w:t> </w:t>
      </w:r>
      <w:r w:rsidR="004569FB" w:rsidRPr="003926D8">
        <w:rPr>
          <w:snapToGrid w:val="0"/>
          <w:kern w:val="22"/>
          <w:szCs w:val="22"/>
          <w:lang w:val="ru-RU"/>
        </w:rPr>
        <w:t>%.</w:t>
      </w:r>
      <w:r w:rsidR="006A4DB0" w:rsidRPr="003926D8">
        <w:rPr>
          <w:snapToGrid w:val="0"/>
          <w:kern w:val="22"/>
          <w:szCs w:val="22"/>
          <w:lang w:val="ru-RU"/>
        </w:rPr>
        <w:t xml:space="preserve"> </w:t>
      </w:r>
      <w:r w:rsidR="006A4DB0" w:rsidRPr="00DB5643">
        <w:rPr>
          <w:snapToGrid w:val="0"/>
          <w:kern w:val="22"/>
          <w:szCs w:val="22"/>
          <w:lang w:val="ru-RU"/>
        </w:rPr>
        <w:t>По</w:t>
      </w:r>
      <w:r w:rsidR="006A4DB0" w:rsidRPr="003926D8">
        <w:rPr>
          <w:snapToGrid w:val="0"/>
          <w:kern w:val="22"/>
          <w:szCs w:val="22"/>
          <w:lang w:val="ru-RU"/>
        </w:rPr>
        <w:t xml:space="preserve"> </w:t>
      </w:r>
      <w:r w:rsidR="006A4DB0" w:rsidRPr="00DB5643">
        <w:rPr>
          <w:snapToGrid w:val="0"/>
          <w:kern w:val="22"/>
          <w:szCs w:val="22"/>
          <w:lang w:val="ru-RU"/>
        </w:rPr>
        <w:t>суммам</w:t>
      </w:r>
      <w:r w:rsidR="006A4DB0" w:rsidRPr="003926D8">
        <w:rPr>
          <w:snapToGrid w:val="0"/>
          <w:kern w:val="22"/>
          <w:szCs w:val="22"/>
          <w:lang w:val="ru-RU"/>
        </w:rPr>
        <w:t xml:space="preserve"> </w:t>
      </w:r>
      <w:r w:rsidR="006A4DB0" w:rsidRPr="00DB5643">
        <w:rPr>
          <w:snapToGrid w:val="0"/>
          <w:kern w:val="22"/>
          <w:szCs w:val="22"/>
          <w:lang w:val="ru-RU"/>
        </w:rPr>
        <w:t>от</w:t>
      </w:r>
      <w:r w:rsidR="006A4DB0" w:rsidRPr="003926D8">
        <w:rPr>
          <w:snapToGrid w:val="0"/>
          <w:kern w:val="22"/>
          <w:szCs w:val="22"/>
          <w:lang w:val="ru-RU"/>
        </w:rPr>
        <w:t xml:space="preserve"> 100</w:t>
      </w:r>
      <w:r w:rsidR="006A4DB0" w:rsidRPr="00DB5643">
        <w:rPr>
          <w:snapToGrid w:val="0"/>
          <w:kern w:val="22"/>
          <w:szCs w:val="22"/>
          <w:lang w:val="en-US"/>
        </w:rPr>
        <w:t> </w:t>
      </w:r>
      <w:r w:rsidR="006A4DB0" w:rsidRPr="003926D8">
        <w:rPr>
          <w:snapToGrid w:val="0"/>
          <w:kern w:val="22"/>
          <w:szCs w:val="22"/>
          <w:lang w:val="ru-RU"/>
        </w:rPr>
        <w:t xml:space="preserve">000 </w:t>
      </w:r>
      <w:r w:rsidR="006A4DB0" w:rsidRPr="00DB5643">
        <w:rPr>
          <w:snapToGrid w:val="0"/>
          <w:kern w:val="22"/>
          <w:szCs w:val="22"/>
          <w:lang w:val="ru-RU"/>
        </w:rPr>
        <w:t>до</w:t>
      </w:r>
      <w:r w:rsidR="006A4DB0" w:rsidRPr="003926D8">
        <w:rPr>
          <w:snapToGrid w:val="0"/>
          <w:kern w:val="22"/>
          <w:szCs w:val="22"/>
          <w:lang w:val="ru-RU"/>
        </w:rPr>
        <w:t xml:space="preserve"> 500</w:t>
      </w:r>
      <w:r w:rsidR="006A4DB0" w:rsidRPr="00DB5643">
        <w:rPr>
          <w:snapToGrid w:val="0"/>
          <w:kern w:val="22"/>
          <w:szCs w:val="22"/>
          <w:lang w:val="en-US"/>
        </w:rPr>
        <w:t> </w:t>
      </w:r>
      <w:r w:rsidR="006A4DB0" w:rsidRPr="003926D8">
        <w:rPr>
          <w:snapToGrid w:val="0"/>
          <w:kern w:val="22"/>
          <w:szCs w:val="22"/>
          <w:lang w:val="ru-RU"/>
        </w:rPr>
        <w:t xml:space="preserve">000 </w:t>
      </w:r>
      <w:r w:rsidR="006A4DB0" w:rsidRPr="00DB5643">
        <w:rPr>
          <w:snapToGrid w:val="0"/>
          <w:kern w:val="22"/>
          <w:szCs w:val="22"/>
          <w:lang w:val="ru-RU"/>
        </w:rPr>
        <w:t>долл</w:t>
      </w:r>
      <w:r w:rsidR="006A4DB0" w:rsidRPr="003926D8">
        <w:rPr>
          <w:snapToGrid w:val="0"/>
          <w:kern w:val="22"/>
          <w:szCs w:val="22"/>
          <w:lang w:val="ru-RU"/>
        </w:rPr>
        <w:t xml:space="preserve">. </w:t>
      </w:r>
      <w:r w:rsidR="006A4DB0" w:rsidRPr="00DB5643">
        <w:rPr>
          <w:snapToGrid w:val="0"/>
          <w:kern w:val="22"/>
          <w:szCs w:val="22"/>
          <w:lang w:val="ru-RU"/>
        </w:rPr>
        <w:t>США</w:t>
      </w:r>
      <w:r w:rsidR="006A4DB0" w:rsidRPr="003926D8">
        <w:rPr>
          <w:snapToGrid w:val="0"/>
          <w:kern w:val="22"/>
          <w:szCs w:val="22"/>
          <w:lang w:val="ru-RU"/>
        </w:rPr>
        <w:t xml:space="preserve"> </w:t>
      </w:r>
      <w:r w:rsidR="006A4DB0" w:rsidRPr="00DB5643">
        <w:rPr>
          <w:snapToGrid w:val="0"/>
          <w:kern w:val="22"/>
          <w:szCs w:val="22"/>
          <w:lang w:val="ru-RU"/>
        </w:rPr>
        <w:t>сообщено</w:t>
      </w:r>
      <w:r w:rsidR="006A4DB0" w:rsidRPr="003926D8">
        <w:rPr>
          <w:snapToGrid w:val="0"/>
          <w:kern w:val="22"/>
          <w:szCs w:val="22"/>
          <w:lang w:val="ru-RU"/>
        </w:rPr>
        <w:t xml:space="preserve"> </w:t>
      </w:r>
      <w:r w:rsidR="006A4DB0" w:rsidRPr="00DB5643">
        <w:rPr>
          <w:snapToGrid w:val="0"/>
          <w:kern w:val="22"/>
          <w:szCs w:val="22"/>
          <w:lang w:val="ru-RU"/>
        </w:rPr>
        <w:t>об</w:t>
      </w:r>
      <w:r w:rsidR="006A4DB0" w:rsidRPr="003926D8">
        <w:rPr>
          <w:snapToGrid w:val="0"/>
          <w:kern w:val="22"/>
          <w:szCs w:val="22"/>
          <w:lang w:val="ru-RU"/>
        </w:rPr>
        <w:t xml:space="preserve"> </w:t>
      </w:r>
      <w:r w:rsidR="006A4DB0" w:rsidRPr="00DB5643">
        <w:rPr>
          <w:snapToGrid w:val="0"/>
          <w:kern w:val="22"/>
          <w:szCs w:val="22"/>
          <w:lang w:val="ru-RU"/>
        </w:rPr>
        <w:t>уменьшении</w:t>
      </w:r>
      <w:r w:rsidR="006A4DB0" w:rsidRPr="003926D8">
        <w:rPr>
          <w:snapToGrid w:val="0"/>
          <w:kern w:val="22"/>
          <w:szCs w:val="22"/>
          <w:lang w:val="ru-RU"/>
        </w:rPr>
        <w:t xml:space="preserve"> </w:t>
      </w:r>
      <w:r w:rsidR="006A4DB0" w:rsidRPr="00DB5643">
        <w:rPr>
          <w:snapToGrid w:val="0"/>
          <w:kern w:val="22"/>
          <w:szCs w:val="22"/>
          <w:lang w:val="ru-RU"/>
        </w:rPr>
        <w:t>на</w:t>
      </w:r>
      <w:r w:rsidR="004569FB" w:rsidRPr="003926D8">
        <w:rPr>
          <w:snapToGrid w:val="0"/>
          <w:kern w:val="22"/>
          <w:szCs w:val="22"/>
          <w:lang w:val="ru-RU"/>
        </w:rPr>
        <w:t xml:space="preserve"> 14</w:t>
      </w:r>
      <w:r w:rsidR="006A4DB0" w:rsidRPr="00DB5643">
        <w:rPr>
          <w:snapToGrid w:val="0"/>
          <w:kern w:val="22"/>
          <w:szCs w:val="22"/>
          <w:lang w:val="en-US"/>
        </w:rPr>
        <w:t> </w:t>
      </w:r>
      <w:r w:rsidR="004569FB" w:rsidRPr="003926D8">
        <w:rPr>
          <w:snapToGrid w:val="0"/>
          <w:kern w:val="22"/>
          <w:szCs w:val="22"/>
          <w:lang w:val="ru-RU"/>
        </w:rPr>
        <w:t>%.</w:t>
      </w:r>
      <w:r w:rsidR="006A4DB0" w:rsidRPr="003926D8">
        <w:rPr>
          <w:snapToGrid w:val="0"/>
          <w:kern w:val="22"/>
          <w:szCs w:val="22"/>
          <w:lang w:val="ru-RU"/>
        </w:rPr>
        <w:t xml:space="preserve"> </w:t>
      </w:r>
      <w:r w:rsidR="006A4DB0" w:rsidRPr="00DB5643">
        <w:rPr>
          <w:snapToGrid w:val="0"/>
          <w:kern w:val="22"/>
          <w:szCs w:val="22"/>
          <w:lang w:val="ru-RU"/>
        </w:rPr>
        <w:t>По</w:t>
      </w:r>
      <w:r w:rsidR="006A4DB0" w:rsidRPr="003926D8">
        <w:rPr>
          <w:snapToGrid w:val="0"/>
          <w:kern w:val="22"/>
          <w:szCs w:val="22"/>
          <w:lang w:val="ru-RU"/>
        </w:rPr>
        <w:t xml:space="preserve"> </w:t>
      </w:r>
      <w:r w:rsidR="006A4DB0" w:rsidRPr="00DB5643">
        <w:rPr>
          <w:snapToGrid w:val="0"/>
          <w:kern w:val="22"/>
          <w:szCs w:val="22"/>
          <w:lang w:val="ru-RU"/>
        </w:rPr>
        <w:t>суммам</w:t>
      </w:r>
      <w:r w:rsidR="006A4DB0" w:rsidRPr="003926D8">
        <w:rPr>
          <w:snapToGrid w:val="0"/>
          <w:kern w:val="22"/>
          <w:szCs w:val="22"/>
          <w:lang w:val="ru-RU"/>
        </w:rPr>
        <w:t xml:space="preserve"> </w:t>
      </w:r>
      <w:r w:rsidR="006A4DB0" w:rsidRPr="00DB5643">
        <w:rPr>
          <w:snapToGrid w:val="0"/>
          <w:kern w:val="22"/>
          <w:szCs w:val="22"/>
          <w:lang w:val="ru-RU"/>
        </w:rPr>
        <w:t>свыше</w:t>
      </w:r>
      <w:r w:rsidR="006A4DB0" w:rsidRPr="003926D8">
        <w:rPr>
          <w:snapToGrid w:val="0"/>
          <w:kern w:val="22"/>
          <w:szCs w:val="22"/>
          <w:lang w:val="ru-RU"/>
        </w:rPr>
        <w:t xml:space="preserve"> 500</w:t>
      </w:r>
      <w:r w:rsidR="006A4DB0" w:rsidRPr="00DB5643">
        <w:rPr>
          <w:snapToGrid w:val="0"/>
          <w:kern w:val="22"/>
          <w:szCs w:val="22"/>
          <w:lang w:val="en-US"/>
        </w:rPr>
        <w:t> </w:t>
      </w:r>
      <w:r w:rsidR="006A4DB0" w:rsidRPr="003926D8">
        <w:rPr>
          <w:snapToGrid w:val="0"/>
          <w:kern w:val="22"/>
          <w:szCs w:val="22"/>
          <w:lang w:val="ru-RU"/>
        </w:rPr>
        <w:t xml:space="preserve">000 </w:t>
      </w:r>
      <w:r w:rsidR="006A4DB0" w:rsidRPr="00DB5643">
        <w:rPr>
          <w:snapToGrid w:val="0"/>
          <w:kern w:val="22"/>
          <w:szCs w:val="22"/>
          <w:lang w:val="ru-RU"/>
        </w:rPr>
        <w:t>долл</w:t>
      </w:r>
      <w:r w:rsidR="006A4DB0" w:rsidRPr="003926D8">
        <w:rPr>
          <w:snapToGrid w:val="0"/>
          <w:kern w:val="22"/>
          <w:szCs w:val="22"/>
          <w:lang w:val="ru-RU"/>
        </w:rPr>
        <w:t xml:space="preserve">. </w:t>
      </w:r>
      <w:r w:rsidR="006A4DB0" w:rsidRPr="00DB5643">
        <w:rPr>
          <w:snapToGrid w:val="0"/>
          <w:kern w:val="22"/>
          <w:szCs w:val="22"/>
          <w:lang w:val="ru-RU"/>
        </w:rPr>
        <w:t>США</w:t>
      </w:r>
      <w:r w:rsidR="006A4DB0" w:rsidRPr="003926D8">
        <w:rPr>
          <w:snapToGrid w:val="0"/>
          <w:kern w:val="22"/>
          <w:szCs w:val="22"/>
          <w:lang w:val="ru-RU"/>
        </w:rPr>
        <w:t xml:space="preserve"> </w:t>
      </w:r>
      <w:r w:rsidR="006A4DB0" w:rsidRPr="00DB5643">
        <w:rPr>
          <w:snapToGrid w:val="0"/>
          <w:kern w:val="22"/>
          <w:szCs w:val="22"/>
          <w:lang w:val="ru-RU"/>
        </w:rPr>
        <w:t>сообщено</w:t>
      </w:r>
      <w:r w:rsidR="006A4DB0" w:rsidRPr="003926D8">
        <w:rPr>
          <w:snapToGrid w:val="0"/>
          <w:kern w:val="22"/>
          <w:szCs w:val="22"/>
          <w:lang w:val="ru-RU"/>
        </w:rPr>
        <w:t xml:space="preserve"> </w:t>
      </w:r>
      <w:r w:rsidR="006A4DB0" w:rsidRPr="00DB5643">
        <w:rPr>
          <w:snapToGrid w:val="0"/>
          <w:kern w:val="22"/>
          <w:szCs w:val="22"/>
          <w:lang w:val="ru-RU"/>
        </w:rPr>
        <w:t>об</w:t>
      </w:r>
      <w:r w:rsidR="006A4DB0" w:rsidRPr="003926D8">
        <w:rPr>
          <w:snapToGrid w:val="0"/>
          <w:kern w:val="22"/>
          <w:szCs w:val="22"/>
          <w:lang w:val="ru-RU"/>
        </w:rPr>
        <w:t xml:space="preserve"> </w:t>
      </w:r>
      <w:r w:rsidR="006A4DB0" w:rsidRPr="00DB5643">
        <w:rPr>
          <w:snapToGrid w:val="0"/>
          <w:kern w:val="22"/>
          <w:szCs w:val="22"/>
          <w:lang w:val="ru-RU"/>
        </w:rPr>
        <w:t>уменьшении</w:t>
      </w:r>
      <w:r w:rsidR="006A4DB0" w:rsidRPr="003926D8">
        <w:rPr>
          <w:snapToGrid w:val="0"/>
          <w:kern w:val="22"/>
          <w:szCs w:val="22"/>
          <w:lang w:val="ru-RU"/>
        </w:rPr>
        <w:t xml:space="preserve"> </w:t>
      </w:r>
      <w:r w:rsidR="006A4DB0" w:rsidRPr="00DB5643">
        <w:rPr>
          <w:snapToGrid w:val="0"/>
          <w:kern w:val="22"/>
          <w:szCs w:val="22"/>
          <w:lang w:val="ru-RU"/>
        </w:rPr>
        <w:t>на</w:t>
      </w:r>
      <w:r w:rsidR="004569FB" w:rsidRPr="003926D8">
        <w:rPr>
          <w:snapToGrid w:val="0"/>
          <w:kern w:val="22"/>
          <w:szCs w:val="22"/>
          <w:lang w:val="ru-RU"/>
        </w:rPr>
        <w:t xml:space="preserve"> 7</w:t>
      </w:r>
      <w:r w:rsidR="006A4DB0" w:rsidRPr="00DB5643">
        <w:rPr>
          <w:snapToGrid w:val="0"/>
          <w:kern w:val="22"/>
          <w:szCs w:val="22"/>
          <w:lang w:val="en-US"/>
        </w:rPr>
        <w:t> </w:t>
      </w:r>
      <w:r w:rsidR="004569FB" w:rsidRPr="003926D8">
        <w:rPr>
          <w:snapToGrid w:val="0"/>
          <w:kern w:val="22"/>
          <w:szCs w:val="22"/>
          <w:lang w:val="ru-RU"/>
        </w:rPr>
        <w:t xml:space="preserve">%. </w:t>
      </w:r>
      <w:r w:rsidR="006A4DB0" w:rsidRPr="00DB5643">
        <w:rPr>
          <w:snapToGrid w:val="0"/>
          <w:kern w:val="22"/>
          <w:szCs w:val="22"/>
          <w:lang w:val="ru-RU"/>
        </w:rPr>
        <w:t>Вклад в уменьшение, по-видимому, относительно равномерно распределен между Сторонами в различных регионах</w:t>
      </w:r>
      <w:proofErr w:type="gramStart"/>
      <w:r w:rsidR="007A60E9">
        <w:rPr>
          <w:snapToGrid w:val="0"/>
          <w:kern w:val="22"/>
          <w:szCs w:val="22"/>
          <w:lang w:val="ru-RU"/>
        </w:rPr>
        <w:t>.</w:t>
      </w:r>
      <w:proofErr w:type="gramEnd"/>
      <w:r w:rsidR="004569FB" w:rsidRPr="00DB5643">
        <w:rPr>
          <w:snapToGrid w:val="0"/>
          <w:kern w:val="22"/>
          <w:szCs w:val="22"/>
          <w:lang w:val="ru-RU"/>
        </w:rPr>
        <w:t xml:space="preserve"> (</w:t>
      </w:r>
      <w:r w:rsidR="007A60E9">
        <w:rPr>
          <w:snapToGrid w:val="0"/>
          <w:kern w:val="22"/>
          <w:szCs w:val="22"/>
          <w:lang w:val="ru-RU"/>
        </w:rPr>
        <w:t>С</w:t>
      </w:r>
      <w:r w:rsidR="006A4DB0" w:rsidRPr="00DB5643">
        <w:rPr>
          <w:snapToGrid w:val="0"/>
          <w:kern w:val="22"/>
          <w:szCs w:val="22"/>
          <w:lang w:val="ru-RU"/>
        </w:rPr>
        <w:t xml:space="preserve">м. также информацию, представленную выше по </w:t>
      </w:r>
      <w:r w:rsidR="006A4DB0" w:rsidRPr="00DB5643">
        <w:rPr>
          <w:b/>
          <w:bCs/>
          <w:snapToGrid w:val="0"/>
          <w:kern w:val="22"/>
          <w:szCs w:val="22"/>
          <w:lang w:val="ru-RU"/>
        </w:rPr>
        <w:t>индикатору</w:t>
      </w:r>
      <w:r w:rsidR="004569FB" w:rsidRPr="00DB5643">
        <w:rPr>
          <w:b/>
          <w:bCs/>
          <w:snapToGrid w:val="0"/>
          <w:kern w:val="22"/>
          <w:szCs w:val="22"/>
          <w:lang w:val="ru-RU"/>
        </w:rPr>
        <w:t xml:space="preserve"> 1.2.5</w:t>
      </w:r>
      <w:r w:rsidR="004569FB" w:rsidRPr="00DB5643">
        <w:rPr>
          <w:snapToGrid w:val="0"/>
          <w:kern w:val="22"/>
          <w:szCs w:val="22"/>
          <w:lang w:val="ru-RU"/>
        </w:rPr>
        <w:t>).</w:t>
      </w:r>
    </w:p>
    <w:p w14:paraId="146C5291" w14:textId="4CBFF0BB" w:rsidR="004569FB" w:rsidRPr="00DB5643" w:rsidRDefault="00BC058D" w:rsidP="000A5388">
      <w:pPr>
        <w:pStyle w:val="a3"/>
        <w:suppressLineNumbers/>
        <w:suppressAutoHyphens/>
        <w:snapToGrid w:val="0"/>
        <w:spacing w:before="120" w:after="120"/>
        <w:ind w:left="0"/>
        <w:contextualSpacing w:val="0"/>
        <w:outlineLvl w:val="2"/>
        <w:rPr>
          <w:b/>
          <w:iCs/>
          <w:snapToGrid w:val="0"/>
          <w:kern w:val="22"/>
          <w:szCs w:val="22"/>
        </w:rPr>
      </w:pPr>
      <w:r w:rsidRPr="00DB5643">
        <w:rPr>
          <w:b/>
          <w:iCs/>
          <w:snapToGrid w:val="0"/>
          <w:kern w:val="22"/>
          <w:szCs w:val="22"/>
          <w:lang w:val="ru-RU"/>
        </w:rPr>
        <w:t>Оперативная</w:t>
      </w:r>
      <w:r w:rsidRPr="00DB5643">
        <w:rPr>
          <w:b/>
          <w:iCs/>
          <w:snapToGrid w:val="0"/>
          <w:kern w:val="22"/>
          <w:szCs w:val="22"/>
          <w:lang w:val="en-US"/>
        </w:rPr>
        <w:t xml:space="preserve"> </w:t>
      </w:r>
      <w:r w:rsidRPr="00DB5643">
        <w:rPr>
          <w:b/>
          <w:iCs/>
          <w:snapToGrid w:val="0"/>
          <w:kern w:val="22"/>
          <w:szCs w:val="22"/>
          <w:lang w:val="ru-RU"/>
        </w:rPr>
        <w:t>цель</w:t>
      </w:r>
      <w:r w:rsidR="004569FB" w:rsidRPr="00DB5643">
        <w:rPr>
          <w:b/>
          <w:iCs/>
          <w:snapToGrid w:val="0"/>
          <w:kern w:val="22"/>
          <w:szCs w:val="22"/>
        </w:rPr>
        <w:t xml:space="preserve"> 3.2</w:t>
      </w:r>
      <w:r w:rsidRPr="00DB5643">
        <w:rPr>
          <w:b/>
          <w:iCs/>
          <w:snapToGrid w:val="0"/>
          <w:kern w:val="22"/>
          <w:szCs w:val="22"/>
          <w:lang w:val="en-US"/>
        </w:rPr>
        <w:t>.</w:t>
      </w:r>
      <w:r w:rsidR="004569FB" w:rsidRPr="00DB5643">
        <w:rPr>
          <w:b/>
          <w:iCs/>
          <w:snapToGrid w:val="0"/>
          <w:kern w:val="22"/>
          <w:szCs w:val="22"/>
        </w:rPr>
        <w:t xml:space="preserve"> </w:t>
      </w:r>
      <w:r w:rsidRPr="00DB5643">
        <w:rPr>
          <w:b/>
          <w:iCs/>
          <w:snapToGrid w:val="0"/>
          <w:kern w:val="22"/>
          <w:szCs w:val="22"/>
          <w:lang w:val="ru-RU"/>
        </w:rPr>
        <w:t>Оценка</w:t>
      </w:r>
      <w:r w:rsidRPr="00DB5643">
        <w:rPr>
          <w:b/>
          <w:iCs/>
          <w:snapToGrid w:val="0"/>
          <w:kern w:val="22"/>
          <w:szCs w:val="22"/>
          <w:lang w:val="en-US"/>
        </w:rPr>
        <w:t xml:space="preserve"> </w:t>
      </w:r>
      <w:r w:rsidRPr="00DB5643">
        <w:rPr>
          <w:b/>
          <w:iCs/>
          <w:snapToGrid w:val="0"/>
          <w:kern w:val="22"/>
          <w:szCs w:val="22"/>
          <w:lang w:val="ru-RU"/>
        </w:rPr>
        <w:t>и</w:t>
      </w:r>
      <w:r w:rsidRPr="00DB5643">
        <w:rPr>
          <w:b/>
          <w:iCs/>
          <w:snapToGrid w:val="0"/>
          <w:kern w:val="22"/>
          <w:szCs w:val="22"/>
          <w:lang w:val="en-US"/>
        </w:rPr>
        <w:t xml:space="preserve"> </w:t>
      </w:r>
      <w:r w:rsidRPr="00DB5643">
        <w:rPr>
          <w:b/>
          <w:iCs/>
          <w:snapToGrid w:val="0"/>
          <w:kern w:val="22"/>
          <w:szCs w:val="22"/>
          <w:lang w:val="ru-RU"/>
        </w:rPr>
        <w:t>обзор</w:t>
      </w:r>
    </w:p>
    <w:p w14:paraId="1AA851C8" w14:textId="0DF65CD9" w:rsidR="004569FB" w:rsidRPr="00DB5643" w:rsidRDefault="00B43610"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Что касается</w:t>
      </w:r>
      <w:r w:rsidR="004569FB" w:rsidRPr="00DB5643">
        <w:rPr>
          <w:snapToGrid w:val="0"/>
          <w:kern w:val="22"/>
          <w:szCs w:val="22"/>
          <w:lang w:val="ru-RU"/>
        </w:rPr>
        <w:t xml:space="preserve"> </w:t>
      </w:r>
      <w:r w:rsidR="0075334A" w:rsidRPr="00DB5643">
        <w:rPr>
          <w:b/>
          <w:snapToGrid w:val="0"/>
          <w:kern w:val="22"/>
          <w:szCs w:val="22"/>
          <w:lang w:val="ru-RU"/>
        </w:rPr>
        <w:t>индикатора</w:t>
      </w:r>
      <w:r w:rsidR="004569FB" w:rsidRPr="00DB5643">
        <w:rPr>
          <w:b/>
          <w:snapToGrid w:val="0"/>
          <w:kern w:val="22"/>
          <w:szCs w:val="22"/>
          <w:lang w:val="ru-RU"/>
        </w:rPr>
        <w:t xml:space="preserve"> 3.2.1</w:t>
      </w:r>
      <w:r w:rsidR="004569FB" w:rsidRPr="00DB5643">
        <w:rPr>
          <w:snapToGrid w:val="0"/>
          <w:kern w:val="22"/>
          <w:szCs w:val="22"/>
          <w:lang w:val="ru-RU"/>
        </w:rPr>
        <w:t xml:space="preserve"> (</w:t>
      </w:r>
      <w:r w:rsidR="0075334A" w:rsidRPr="00DB5643">
        <w:rPr>
          <w:snapToGrid w:val="0"/>
          <w:kern w:val="22"/>
          <w:szCs w:val="22"/>
          <w:lang w:val="ru-RU"/>
        </w:rPr>
        <w:t>число представленных оценочных докладов и опубликованных обзоров</w:t>
      </w:r>
      <w:r w:rsidR="004569FB" w:rsidRPr="00DB5643">
        <w:rPr>
          <w:snapToGrid w:val="0"/>
          <w:kern w:val="22"/>
          <w:szCs w:val="22"/>
          <w:lang w:val="ru-RU"/>
        </w:rPr>
        <w:t>)</w:t>
      </w:r>
      <w:r w:rsidRPr="00DB5643">
        <w:rPr>
          <w:snapToGrid w:val="0"/>
          <w:kern w:val="22"/>
          <w:szCs w:val="22"/>
          <w:lang w:val="ru-RU"/>
        </w:rPr>
        <w:t>,</w:t>
      </w:r>
      <w:r w:rsidR="0075334A" w:rsidRPr="00DB5643">
        <w:rPr>
          <w:snapToGrid w:val="0"/>
          <w:kern w:val="22"/>
          <w:szCs w:val="22"/>
          <w:lang w:val="ru-RU"/>
        </w:rPr>
        <w:t xml:space="preserve"> по состоянию на</w:t>
      </w:r>
      <w:bookmarkStart w:id="28" w:name="_Hlk33713826"/>
      <w:r w:rsidR="004569FB" w:rsidRPr="00DB5643">
        <w:rPr>
          <w:snapToGrid w:val="0"/>
          <w:kern w:val="22"/>
          <w:szCs w:val="22"/>
          <w:lang w:val="ru-RU"/>
        </w:rPr>
        <w:t xml:space="preserve"> 15 </w:t>
      </w:r>
      <w:r w:rsidR="0075334A" w:rsidRPr="00DB5643">
        <w:rPr>
          <w:snapToGrid w:val="0"/>
          <w:kern w:val="22"/>
          <w:szCs w:val="22"/>
          <w:lang w:val="ru-RU"/>
        </w:rPr>
        <w:t>января</w:t>
      </w:r>
      <w:r w:rsidR="004569FB" w:rsidRPr="00DB5643">
        <w:rPr>
          <w:snapToGrid w:val="0"/>
          <w:kern w:val="22"/>
          <w:szCs w:val="22"/>
          <w:lang w:val="ru-RU"/>
        </w:rPr>
        <w:t xml:space="preserve"> 2020</w:t>
      </w:r>
      <w:r w:rsidR="0075334A" w:rsidRPr="00DB5643">
        <w:rPr>
          <w:snapToGrid w:val="0"/>
          <w:kern w:val="22"/>
          <w:szCs w:val="22"/>
          <w:lang w:val="ru-RU"/>
        </w:rPr>
        <w:t xml:space="preserve"> года</w:t>
      </w:r>
      <w:r w:rsidR="004569FB" w:rsidRPr="00DB5643">
        <w:rPr>
          <w:snapToGrid w:val="0"/>
          <w:kern w:val="22"/>
          <w:szCs w:val="22"/>
          <w:lang w:val="ru-RU"/>
        </w:rPr>
        <w:t xml:space="preserve"> </w:t>
      </w:r>
      <w:r w:rsidRPr="00DB5643">
        <w:rPr>
          <w:snapToGrid w:val="0"/>
          <w:kern w:val="22"/>
          <w:szCs w:val="22"/>
          <w:lang w:val="ru-RU"/>
        </w:rPr>
        <w:t xml:space="preserve">свой полный четвертый национальный доклад представили </w:t>
      </w:r>
      <w:r w:rsidR="004569FB" w:rsidRPr="00DB5643">
        <w:rPr>
          <w:snapToGrid w:val="0"/>
          <w:kern w:val="22"/>
          <w:szCs w:val="22"/>
          <w:lang w:val="ru-RU"/>
        </w:rPr>
        <w:t xml:space="preserve">99 </w:t>
      </w:r>
      <w:r w:rsidR="0075334A" w:rsidRPr="00DB5643">
        <w:rPr>
          <w:snapToGrid w:val="0"/>
          <w:kern w:val="22"/>
          <w:szCs w:val="22"/>
          <w:lang w:val="ru-RU"/>
        </w:rPr>
        <w:t xml:space="preserve">Сторон </w:t>
      </w:r>
      <w:r w:rsidR="004569FB" w:rsidRPr="00DB5643">
        <w:rPr>
          <w:snapToGrid w:val="0"/>
          <w:kern w:val="22"/>
          <w:szCs w:val="22"/>
          <w:lang w:val="ru-RU"/>
        </w:rPr>
        <w:t>(58</w:t>
      </w:r>
      <w:r w:rsidR="0075334A" w:rsidRPr="00DB5643">
        <w:rPr>
          <w:snapToGrid w:val="0"/>
          <w:kern w:val="22"/>
          <w:szCs w:val="22"/>
        </w:rPr>
        <w:t> </w:t>
      </w:r>
      <w:r w:rsidR="004569FB" w:rsidRPr="00DB5643">
        <w:rPr>
          <w:snapToGrid w:val="0"/>
          <w:kern w:val="22"/>
          <w:szCs w:val="22"/>
          <w:lang w:val="ru-RU"/>
        </w:rPr>
        <w:t xml:space="preserve">%) </w:t>
      </w:r>
      <w:r w:rsidRPr="00DB5643">
        <w:rPr>
          <w:snapToGrid w:val="0"/>
          <w:kern w:val="22"/>
          <w:szCs w:val="22"/>
          <w:lang w:val="ru-RU"/>
        </w:rPr>
        <w:t>из</w:t>
      </w:r>
      <w:r w:rsidR="004569FB" w:rsidRPr="00DB5643">
        <w:rPr>
          <w:snapToGrid w:val="0"/>
          <w:kern w:val="22"/>
          <w:szCs w:val="22"/>
          <w:lang w:val="ru-RU"/>
        </w:rPr>
        <w:t xml:space="preserve"> 171 </w:t>
      </w:r>
      <w:r w:rsidRPr="00DB5643">
        <w:rPr>
          <w:iCs/>
          <w:snapToGrid w:val="0"/>
          <w:kern w:val="22"/>
          <w:szCs w:val="22"/>
          <w:lang w:val="ru-RU"/>
        </w:rPr>
        <w:t>Стороны, которые должны представлять отчетность</w:t>
      </w:r>
      <w:r w:rsidR="004569FB" w:rsidRPr="00DB5643">
        <w:rPr>
          <w:snapToGrid w:val="0"/>
          <w:kern w:val="22"/>
          <w:szCs w:val="22"/>
          <w:lang w:val="ru-RU"/>
        </w:rPr>
        <w:t xml:space="preserve">. </w:t>
      </w:r>
      <w:r w:rsidRPr="00DB5643">
        <w:rPr>
          <w:snapToGrid w:val="0"/>
          <w:kern w:val="22"/>
          <w:szCs w:val="22"/>
          <w:lang w:val="ru-RU"/>
        </w:rPr>
        <w:t>На аналогичный момент времени</w:t>
      </w:r>
      <w:r w:rsidRPr="00DB5643">
        <w:rPr>
          <w:sz w:val="18"/>
          <w:szCs w:val="18"/>
          <w:lang w:val="ru-RU"/>
        </w:rPr>
        <w:t xml:space="preserve"> </w:t>
      </w:r>
      <w:r w:rsidRPr="00DB5643">
        <w:rPr>
          <w:snapToGrid w:val="0"/>
          <w:kern w:val="22"/>
          <w:szCs w:val="22"/>
          <w:lang w:val="ru-RU"/>
        </w:rPr>
        <w:t xml:space="preserve">после истечения </w:t>
      </w:r>
      <w:r w:rsidRPr="00DB5643">
        <w:rPr>
          <w:iCs/>
          <w:snapToGrid w:val="0"/>
          <w:kern w:val="22"/>
          <w:szCs w:val="22"/>
          <w:lang w:val="ru-RU"/>
        </w:rPr>
        <w:t>срока представления вторых национальных докладов уровень представления отчетности составлял</w:t>
      </w:r>
      <w:r w:rsidRPr="00DB5643">
        <w:rPr>
          <w:snapToGrid w:val="0"/>
          <w:kern w:val="22"/>
          <w:szCs w:val="22"/>
          <w:lang w:val="ru-RU"/>
        </w:rPr>
        <w:t xml:space="preserve"> </w:t>
      </w:r>
      <w:r w:rsidR="004569FB" w:rsidRPr="00DB5643">
        <w:rPr>
          <w:snapToGrid w:val="0"/>
          <w:kern w:val="22"/>
          <w:szCs w:val="22"/>
          <w:lang w:val="ru-RU"/>
        </w:rPr>
        <w:t>89</w:t>
      </w:r>
      <w:r w:rsidRPr="00DB5643">
        <w:rPr>
          <w:snapToGrid w:val="0"/>
          <w:kern w:val="22"/>
          <w:szCs w:val="22"/>
          <w:lang w:val="ru-RU"/>
        </w:rPr>
        <w:t> </w:t>
      </w:r>
      <w:r w:rsidR="004569FB" w:rsidRPr="00DB5643">
        <w:rPr>
          <w:snapToGrid w:val="0"/>
          <w:kern w:val="22"/>
          <w:szCs w:val="22"/>
          <w:lang w:val="ru-RU"/>
        </w:rPr>
        <w:t xml:space="preserve">%, </w:t>
      </w:r>
      <w:r w:rsidRPr="00DB5643">
        <w:rPr>
          <w:snapToGrid w:val="0"/>
          <w:kern w:val="22"/>
          <w:szCs w:val="22"/>
          <w:lang w:val="ru-RU"/>
        </w:rPr>
        <w:t>тогда как уровень представления третьих национальных докладов составлял</w:t>
      </w:r>
      <w:r w:rsidR="004569FB" w:rsidRPr="00DB5643">
        <w:rPr>
          <w:snapToGrid w:val="0"/>
          <w:kern w:val="22"/>
          <w:szCs w:val="22"/>
          <w:lang w:val="ru-RU"/>
        </w:rPr>
        <w:t xml:space="preserve"> 62</w:t>
      </w:r>
      <w:r w:rsidR="00E219CA" w:rsidRPr="00DB5643">
        <w:rPr>
          <w:snapToGrid w:val="0"/>
          <w:kern w:val="22"/>
          <w:szCs w:val="22"/>
          <w:lang w:val="ru-RU"/>
        </w:rPr>
        <w:t> </w:t>
      </w:r>
      <w:r w:rsidR="004569FB" w:rsidRPr="00DB5643">
        <w:rPr>
          <w:snapToGrid w:val="0"/>
          <w:kern w:val="22"/>
          <w:szCs w:val="22"/>
          <w:lang w:val="ru-RU"/>
        </w:rPr>
        <w:t>%</w:t>
      </w:r>
      <w:r w:rsidRPr="00DB5643">
        <w:rPr>
          <w:snapToGrid w:val="0"/>
          <w:kern w:val="22"/>
          <w:szCs w:val="22"/>
          <w:lang w:val="ru-RU"/>
        </w:rPr>
        <w:t xml:space="preserve"> в соответствующий момент времени после истечения </w:t>
      </w:r>
      <w:r w:rsidRPr="00DB5643">
        <w:rPr>
          <w:iCs/>
          <w:snapToGrid w:val="0"/>
          <w:kern w:val="22"/>
          <w:szCs w:val="22"/>
          <w:lang w:val="ru-RU"/>
        </w:rPr>
        <w:t>срока представления</w:t>
      </w:r>
      <w:r w:rsidR="004569FB" w:rsidRPr="00DB5643">
        <w:rPr>
          <w:snapToGrid w:val="0"/>
          <w:kern w:val="22"/>
          <w:szCs w:val="22"/>
          <w:lang w:val="ru-RU"/>
        </w:rPr>
        <w:t xml:space="preserve">. </w:t>
      </w:r>
    </w:p>
    <w:bookmarkEnd w:id="28"/>
    <w:p w14:paraId="7D43832E" w14:textId="6D63B1C9" w:rsidR="002B3AD1" w:rsidRPr="00DB5643" w:rsidRDefault="00CF1C65"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Тогда как</w:t>
      </w:r>
      <w:r w:rsidR="00E219CA" w:rsidRPr="00DB5643">
        <w:rPr>
          <w:snapToGrid w:val="0"/>
          <w:kern w:val="22"/>
          <w:szCs w:val="22"/>
          <w:lang w:val="ru-RU"/>
        </w:rPr>
        <w:t xml:space="preserve"> </w:t>
      </w:r>
      <w:r w:rsidR="00294E42" w:rsidRPr="00DB5643">
        <w:rPr>
          <w:snapToGrid w:val="0"/>
          <w:kern w:val="22"/>
          <w:szCs w:val="22"/>
          <w:lang w:val="ru-RU"/>
        </w:rPr>
        <w:t xml:space="preserve">применительно ко </w:t>
      </w:r>
      <w:r w:rsidR="00E219CA" w:rsidRPr="00DB5643">
        <w:rPr>
          <w:snapToGrid w:val="0"/>
          <w:kern w:val="22"/>
          <w:szCs w:val="22"/>
          <w:lang w:val="ru-RU"/>
        </w:rPr>
        <w:t>вторы</w:t>
      </w:r>
      <w:r w:rsidR="00294E42" w:rsidRPr="00DB5643">
        <w:rPr>
          <w:snapToGrid w:val="0"/>
          <w:kern w:val="22"/>
          <w:szCs w:val="22"/>
          <w:lang w:val="ru-RU"/>
        </w:rPr>
        <w:t>м</w:t>
      </w:r>
      <w:r w:rsidR="00E219CA" w:rsidRPr="00DB5643">
        <w:rPr>
          <w:snapToGrid w:val="0"/>
          <w:kern w:val="22"/>
          <w:szCs w:val="22"/>
          <w:lang w:val="ru-RU"/>
        </w:rPr>
        <w:t xml:space="preserve"> национальны</w:t>
      </w:r>
      <w:r w:rsidR="00294E42" w:rsidRPr="00DB5643">
        <w:rPr>
          <w:snapToGrid w:val="0"/>
          <w:kern w:val="22"/>
          <w:szCs w:val="22"/>
          <w:lang w:val="ru-RU"/>
        </w:rPr>
        <w:t>м</w:t>
      </w:r>
      <w:r w:rsidR="00E219CA" w:rsidRPr="00DB5643">
        <w:rPr>
          <w:snapToGrid w:val="0"/>
          <w:kern w:val="22"/>
          <w:szCs w:val="22"/>
          <w:lang w:val="ru-RU"/>
        </w:rPr>
        <w:t xml:space="preserve"> доклад</w:t>
      </w:r>
      <w:r w:rsidR="00294E42" w:rsidRPr="00DB5643">
        <w:rPr>
          <w:snapToGrid w:val="0"/>
          <w:kern w:val="22"/>
          <w:szCs w:val="22"/>
          <w:lang w:val="ru-RU"/>
        </w:rPr>
        <w:t>ам</w:t>
      </w:r>
      <w:r w:rsidR="004569FB" w:rsidRPr="00DB5643">
        <w:rPr>
          <w:snapToGrid w:val="0"/>
          <w:kern w:val="22"/>
          <w:szCs w:val="22"/>
          <w:lang w:val="ru-RU"/>
        </w:rPr>
        <w:t xml:space="preserve"> </w:t>
      </w:r>
      <w:r w:rsidR="00E219CA" w:rsidRPr="00DB5643">
        <w:rPr>
          <w:snapToGrid w:val="0"/>
          <w:kern w:val="22"/>
          <w:szCs w:val="22"/>
          <w:lang w:val="ru-RU"/>
        </w:rPr>
        <w:t xml:space="preserve">доступность финансирования со стороны </w:t>
      </w:r>
      <w:proofErr w:type="spellStart"/>
      <w:r w:rsidR="00E219CA" w:rsidRPr="00DB5643">
        <w:rPr>
          <w:snapToGrid w:val="0"/>
          <w:kern w:val="22"/>
          <w:szCs w:val="22"/>
          <w:lang w:val="ru-RU"/>
        </w:rPr>
        <w:t>Г</w:t>
      </w:r>
      <w:r w:rsidR="00CB7829">
        <w:rPr>
          <w:snapToGrid w:val="0"/>
          <w:kern w:val="22"/>
          <w:szCs w:val="22"/>
          <w:lang w:val="ru-RU"/>
        </w:rPr>
        <w:t>ЭФ</w:t>
      </w:r>
      <w:proofErr w:type="spellEnd"/>
      <w:r w:rsidR="00F233C6" w:rsidRPr="00DB5643">
        <w:rPr>
          <w:snapToGrid w:val="0"/>
          <w:kern w:val="22"/>
          <w:szCs w:val="22"/>
          <w:lang w:val="ru-RU"/>
        </w:rPr>
        <w:t xml:space="preserve"> на нужды подготовки национальных докладов, а также мероприяти</w:t>
      </w:r>
      <w:r w:rsidR="00CB7829">
        <w:rPr>
          <w:snapToGrid w:val="0"/>
          <w:kern w:val="22"/>
          <w:szCs w:val="22"/>
          <w:lang w:val="ru-RU"/>
        </w:rPr>
        <w:t>й</w:t>
      </w:r>
      <w:r w:rsidR="00F233C6" w:rsidRPr="00DB5643">
        <w:rPr>
          <w:snapToGrid w:val="0"/>
          <w:kern w:val="22"/>
          <w:szCs w:val="22"/>
          <w:lang w:val="ru-RU"/>
        </w:rPr>
        <w:t xml:space="preserve"> по созданию потенциала и повышению осведомленности, проводимы</w:t>
      </w:r>
      <w:r w:rsidR="00CB7829">
        <w:rPr>
          <w:snapToGrid w:val="0"/>
          <w:kern w:val="22"/>
          <w:szCs w:val="22"/>
          <w:lang w:val="ru-RU"/>
        </w:rPr>
        <w:t>х</w:t>
      </w:r>
      <w:r w:rsidR="00F233C6" w:rsidRPr="00DB5643">
        <w:rPr>
          <w:snapToGrid w:val="0"/>
          <w:kern w:val="22"/>
          <w:szCs w:val="22"/>
          <w:lang w:val="ru-RU"/>
        </w:rPr>
        <w:t xml:space="preserve"> секретариатом </w:t>
      </w:r>
      <w:r w:rsidR="00294E42" w:rsidRPr="00DB5643">
        <w:rPr>
          <w:snapToGrid w:val="0"/>
          <w:kern w:val="22"/>
          <w:szCs w:val="22"/>
          <w:lang w:val="ru-RU"/>
        </w:rPr>
        <w:t>в этой связи</w:t>
      </w:r>
      <w:r w:rsidR="00F233C6" w:rsidRPr="00DB5643">
        <w:rPr>
          <w:snapToGrid w:val="0"/>
          <w:kern w:val="22"/>
          <w:szCs w:val="22"/>
          <w:lang w:val="ru-RU"/>
        </w:rPr>
        <w:t xml:space="preserve">, </w:t>
      </w:r>
      <w:r w:rsidR="00AB277F" w:rsidRPr="00DB5643">
        <w:rPr>
          <w:snapToGrid w:val="0"/>
          <w:kern w:val="22"/>
          <w:szCs w:val="22"/>
          <w:lang w:val="ru-RU"/>
        </w:rPr>
        <w:t xml:space="preserve">являлись факторами, которые, </w:t>
      </w:r>
      <w:r w:rsidR="007B74EB" w:rsidRPr="00DB5643">
        <w:rPr>
          <w:snapToGrid w:val="0"/>
          <w:kern w:val="22"/>
          <w:szCs w:val="22"/>
          <w:lang w:val="ru-RU"/>
        </w:rPr>
        <w:t>по мнению Комитета по соблюдению</w:t>
      </w:r>
      <w:r w:rsidR="00AB277F" w:rsidRPr="00DB5643">
        <w:rPr>
          <w:snapToGrid w:val="0"/>
          <w:kern w:val="22"/>
          <w:szCs w:val="22"/>
          <w:lang w:val="ru-RU"/>
        </w:rPr>
        <w:t>, внесли вклад в высокий уровень представления отчетности</w:t>
      </w:r>
      <w:r w:rsidR="004569FB" w:rsidRPr="00DB5643">
        <w:rPr>
          <w:rStyle w:val="ac"/>
          <w:snapToGrid w:val="0"/>
          <w:kern w:val="22"/>
          <w:szCs w:val="22"/>
        </w:rPr>
        <w:footnoteReference w:id="58"/>
      </w:r>
      <w:r w:rsidR="007B74EB" w:rsidRPr="00DB5643">
        <w:rPr>
          <w:snapToGrid w:val="0"/>
          <w:kern w:val="22"/>
          <w:szCs w:val="22"/>
          <w:lang w:val="ru-RU"/>
        </w:rPr>
        <w:t>,</w:t>
      </w:r>
      <w:r w:rsidR="004569FB" w:rsidRPr="00DB5643">
        <w:rPr>
          <w:snapToGrid w:val="0"/>
          <w:kern w:val="22"/>
          <w:szCs w:val="22"/>
          <w:lang w:val="ru-RU"/>
        </w:rPr>
        <w:t xml:space="preserve"> </w:t>
      </w:r>
      <w:r w:rsidR="002D4840" w:rsidRPr="00DB5643">
        <w:rPr>
          <w:snapToGrid w:val="0"/>
          <w:kern w:val="22"/>
          <w:szCs w:val="22"/>
          <w:lang w:val="ru-RU"/>
        </w:rPr>
        <w:t xml:space="preserve">Комитет отметил, что административные изменения в рамках Организации Объединенных Наций создали </w:t>
      </w:r>
      <w:r w:rsidR="00F249FF" w:rsidRPr="00DB5643">
        <w:rPr>
          <w:snapToGrid w:val="0"/>
          <w:kern w:val="22"/>
          <w:szCs w:val="22"/>
          <w:lang w:val="ru-RU"/>
        </w:rPr>
        <w:t xml:space="preserve">системные проблемы, которые привели к задержкам </w:t>
      </w:r>
      <w:r w:rsidR="007B74EB" w:rsidRPr="00DB5643">
        <w:rPr>
          <w:snapToGrid w:val="0"/>
          <w:kern w:val="22"/>
          <w:szCs w:val="22"/>
          <w:lang w:val="ru-RU"/>
        </w:rPr>
        <w:t xml:space="preserve">в </w:t>
      </w:r>
      <w:r w:rsidR="00F249FF" w:rsidRPr="00DB5643">
        <w:rPr>
          <w:snapToGrid w:val="0"/>
          <w:kern w:val="22"/>
          <w:szCs w:val="22"/>
          <w:lang w:val="ru-RU"/>
        </w:rPr>
        <w:t>получени</w:t>
      </w:r>
      <w:r w:rsidR="007B74EB" w:rsidRPr="00DB5643">
        <w:rPr>
          <w:snapToGrid w:val="0"/>
          <w:kern w:val="22"/>
          <w:szCs w:val="22"/>
          <w:lang w:val="ru-RU"/>
        </w:rPr>
        <w:t>и</w:t>
      </w:r>
      <w:r w:rsidR="00F249FF" w:rsidRPr="00DB5643">
        <w:rPr>
          <w:snapToGrid w:val="0"/>
          <w:kern w:val="22"/>
          <w:szCs w:val="22"/>
          <w:lang w:val="ru-RU"/>
        </w:rPr>
        <w:t xml:space="preserve"> доступа к финансированию </w:t>
      </w:r>
      <w:r w:rsidR="007B74EB" w:rsidRPr="00DB5643">
        <w:rPr>
          <w:snapToGrid w:val="0"/>
          <w:kern w:val="22"/>
          <w:szCs w:val="22"/>
          <w:lang w:val="ru-RU"/>
        </w:rPr>
        <w:t xml:space="preserve">некоторыми </w:t>
      </w:r>
      <w:r w:rsidR="00F249FF" w:rsidRPr="00DB5643">
        <w:rPr>
          <w:snapToGrid w:val="0"/>
          <w:kern w:val="22"/>
          <w:szCs w:val="22"/>
          <w:lang w:val="ru-RU"/>
        </w:rPr>
        <w:t xml:space="preserve"> Сторон</w:t>
      </w:r>
      <w:r w:rsidR="007B74EB" w:rsidRPr="00DB5643">
        <w:rPr>
          <w:snapToGrid w:val="0"/>
          <w:kern w:val="22"/>
          <w:szCs w:val="22"/>
          <w:lang w:val="ru-RU"/>
        </w:rPr>
        <w:t>ами</w:t>
      </w:r>
      <w:r w:rsidR="00F249FF" w:rsidRPr="00DB5643">
        <w:rPr>
          <w:snapToGrid w:val="0"/>
          <w:kern w:val="22"/>
          <w:szCs w:val="22"/>
          <w:lang w:val="ru-RU"/>
        </w:rPr>
        <w:t>, имеющи</w:t>
      </w:r>
      <w:r w:rsidR="007B74EB" w:rsidRPr="00DB5643">
        <w:rPr>
          <w:snapToGrid w:val="0"/>
          <w:kern w:val="22"/>
          <w:szCs w:val="22"/>
          <w:lang w:val="ru-RU"/>
        </w:rPr>
        <w:t>ми</w:t>
      </w:r>
      <w:r w:rsidR="00F249FF" w:rsidRPr="00DB5643">
        <w:rPr>
          <w:snapToGrid w:val="0"/>
          <w:kern w:val="22"/>
          <w:szCs w:val="22"/>
          <w:lang w:val="ru-RU"/>
        </w:rPr>
        <w:t xml:space="preserve"> на это право, а также отметил, что это создало трудности для ряда Сторон </w:t>
      </w:r>
      <w:r w:rsidR="007B74EB" w:rsidRPr="00DB5643">
        <w:rPr>
          <w:snapToGrid w:val="0"/>
          <w:kern w:val="22"/>
          <w:szCs w:val="22"/>
          <w:lang w:val="ru-RU"/>
        </w:rPr>
        <w:t>при</w:t>
      </w:r>
      <w:r w:rsidR="00F249FF" w:rsidRPr="00DB5643">
        <w:rPr>
          <w:snapToGrid w:val="0"/>
          <w:kern w:val="22"/>
          <w:szCs w:val="22"/>
          <w:lang w:val="ru-RU"/>
        </w:rPr>
        <w:t xml:space="preserve"> выполнени</w:t>
      </w:r>
      <w:r w:rsidR="007B74EB" w:rsidRPr="00DB5643">
        <w:rPr>
          <w:snapToGrid w:val="0"/>
          <w:kern w:val="22"/>
          <w:szCs w:val="22"/>
          <w:lang w:val="ru-RU"/>
        </w:rPr>
        <w:t>и</w:t>
      </w:r>
      <w:r w:rsidR="00F249FF" w:rsidRPr="00DB5643">
        <w:rPr>
          <w:snapToGrid w:val="0"/>
          <w:kern w:val="22"/>
          <w:szCs w:val="22"/>
          <w:lang w:val="ru-RU"/>
        </w:rPr>
        <w:t xml:space="preserve"> их обязательств в рамках Протокола, к примеру, связанных с представлением их третьих национальных докладов</w:t>
      </w:r>
      <w:r w:rsidR="004569FB" w:rsidRPr="00DB5643">
        <w:rPr>
          <w:rStyle w:val="ac"/>
          <w:snapToGrid w:val="0"/>
          <w:kern w:val="22"/>
          <w:szCs w:val="22"/>
        </w:rPr>
        <w:footnoteReference w:id="59"/>
      </w:r>
      <w:r w:rsidR="00F249FF" w:rsidRPr="00DB5643">
        <w:rPr>
          <w:snapToGrid w:val="0"/>
          <w:kern w:val="22"/>
          <w:szCs w:val="22"/>
          <w:lang w:val="ru-RU"/>
        </w:rPr>
        <w:t>.</w:t>
      </w:r>
    </w:p>
    <w:p w14:paraId="4656159C" w14:textId="4AA11CB9" w:rsidR="004569FB" w:rsidRPr="00DB5643" w:rsidRDefault="0068791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DB5643">
        <w:rPr>
          <w:snapToGrid w:val="0"/>
          <w:kern w:val="22"/>
          <w:szCs w:val="22"/>
          <w:lang w:val="ru-RU"/>
        </w:rPr>
        <w:t>На своем 17-м совещании Комитет по соблюдению провел обзор соблюдения Сторонами их обязательств по представлению отчетности</w:t>
      </w:r>
      <w:r w:rsidR="00AF018A" w:rsidRPr="00DB5643">
        <w:rPr>
          <w:snapToGrid w:val="0"/>
          <w:kern w:val="22"/>
          <w:szCs w:val="22"/>
          <w:lang w:val="ru-RU"/>
        </w:rPr>
        <w:t xml:space="preserve">. </w:t>
      </w:r>
      <w:r w:rsidR="00DB5643" w:rsidRPr="00DB5643">
        <w:rPr>
          <w:snapToGrid w:val="0"/>
          <w:kern w:val="22"/>
          <w:szCs w:val="22"/>
          <w:lang w:val="ru-RU"/>
        </w:rPr>
        <w:t xml:space="preserve">Он рассмотрел ряд возможных факторов, которые </w:t>
      </w:r>
      <w:r w:rsidR="00DB5643" w:rsidRPr="00DB5643">
        <w:rPr>
          <w:snapToGrid w:val="0"/>
          <w:kern w:val="22"/>
          <w:szCs w:val="22"/>
          <w:lang w:val="ru-RU"/>
        </w:rPr>
        <w:lastRenderedPageBreak/>
        <w:t>могли обусловить малое число представленных четвертых национальных докладов, в том числе задержк</w:t>
      </w:r>
      <w:r w:rsidR="001D48E1">
        <w:rPr>
          <w:snapToGrid w:val="0"/>
          <w:kern w:val="22"/>
          <w:szCs w:val="22"/>
          <w:lang w:val="ru-RU"/>
        </w:rPr>
        <w:t>у</w:t>
      </w:r>
      <w:r w:rsidR="00DB5643" w:rsidRPr="00DB5643">
        <w:rPr>
          <w:snapToGrid w:val="0"/>
          <w:kern w:val="22"/>
          <w:szCs w:val="22"/>
          <w:lang w:val="ru-RU"/>
        </w:rPr>
        <w:t xml:space="preserve"> в получении доступа к финансовой поддержке, недостаток выделенных для этих целей людских ресурсов на национальном уровне, а также недостаточное внимание, уделяемое вопросам биобезопасности, и недостаточн</w:t>
      </w:r>
      <w:r w:rsidR="003C418D">
        <w:rPr>
          <w:snapToGrid w:val="0"/>
          <w:kern w:val="22"/>
          <w:szCs w:val="22"/>
          <w:lang w:val="ru-RU"/>
        </w:rPr>
        <w:t>ую</w:t>
      </w:r>
      <w:r w:rsidR="00DB5643" w:rsidRPr="00DB5643">
        <w:rPr>
          <w:snapToGrid w:val="0"/>
          <w:kern w:val="22"/>
          <w:szCs w:val="22"/>
          <w:lang w:val="ru-RU"/>
        </w:rPr>
        <w:t xml:space="preserve"> осведомленность о них</w:t>
      </w:r>
      <w:r w:rsidR="00E203A1" w:rsidRPr="00DB5643">
        <w:rPr>
          <w:rStyle w:val="ac"/>
          <w:snapToGrid w:val="0"/>
          <w:kern w:val="22"/>
          <w:szCs w:val="22"/>
        </w:rPr>
        <w:footnoteReference w:id="60"/>
      </w:r>
      <w:r w:rsidR="00DB5643" w:rsidRPr="00DB5643">
        <w:rPr>
          <w:snapToGrid w:val="0"/>
          <w:kern w:val="22"/>
          <w:szCs w:val="22"/>
          <w:lang w:val="ru-RU"/>
        </w:rPr>
        <w:t>.</w:t>
      </w:r>
    </w:p>
    <w:p w14:paraId="6F87E519" w14:textId="5C39B358" w:rsidR="004569FB" w:rsidRPr="001D48E1" w:rsidRDefault="001D48E1"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В отношении</w:t>
      </w:r>
      <w:r w:rsidR="004569FB" w:rsidRPr="001D48E1">
        <w:rPr>
          <w:snapToGrid w:val="0"/>
          <w:kern w:val="22"/>
          <w:szCs w:val="22"/>
          <w:lang w:val="ru-RU"/>
        </w:rPr>
        <w:t xml:space="preserve"> </w:t>
      </w:r>
      <w:r>
        <w:rPr>
          <w:b/>
          <w:snapToGrid w:val="0"/>
          <w:kern w:val="22"/>
          <w:szCs w:val="22"/>
          <w:lang w:val="ru-RU"/>
        </w:rPr>
        <w:t>индикатора</w:t>
      </w:r>
      <w:r w:rsidR="004569FB" w:rsidRPr="001D48E1">
        <w:rPr>
          <w:b/>
          <w:snapToGrid w:val="0"/>
          <w:kern w:val="22"/>
          <w:szCs w:val="22"/>
          <w:lang w:val="ru-RU"/>
        </w:rPr>
        <w:t xml:space="preserve"> 3.2.2. </w:t>
      </w:r>
      <w:r w:rsidR="004569FB" w:rsidRPr="001D48E1">
        <w:rPr>
          <w:snapToGrid w:val="0"/>
          <w:kern w:val="22"/>
          <w:szCs w:val="22"/>
          <w:lang w:val="ru-RU"/>
        </w:rPr>
        <w:t>(</w:t>
      </w:r>
      <w:r>
        <w:rPr>
          <w:snapToGrid w:val="0"/>
          <w:kern w:val="22"/>
          <w:szCs w:val="22"/>
          <w:lang w:val="ru-RU"/>
        </w:rPr>
        <w:t>ч</w:t>
      </w:r>
      <w:r w:rsidRPr="001D48E1">
        <w:rPr>
          <w:snapToGrid w:val="0"/>
          <w:kern w:val="22"/>
          <w:szCs w:val="22"/>
          <w:lang w:val="ru-RU"/>
        </w:rPr>
        <w:t>исло Сторон, модифицирующих свои национальные механизмы обеспечения биобезопасности, чтобы отразить в них поправки к Протоколу, принимаемые для решения новых проблем</w:t>
      </w:r>
      <w:r w:rsidR="004569FB" w:rsidRPr="001D48E1">
        <w:rPr>
          <w:snapToGrid w:val="0"/>
          <w:kern w:val="22"/>
          <w:szCs w:val="22"/>
          <w:lang w:val="ru-RU"/>
        </w:rPr>
        <w:t>)</w:t>
      </w:r>
      <w:r>
        <w:rPr>
          <w:snapToGrid w:val="0"/>
          <w:kern w:val="22"/>
          <w:szCs w:val="22"/>
          <w:lang w:val="ru-RU"/>
        </w:rPr>
        <w:t xml:space="preserve"> отмечается</w:t>
      </w:r>
      <w:r w:rsidR="004569FB" w:rsidRPr="001D48E1">
        <w:rPr>
          <w:snapToGrid w:val="0"/>
          <w:kern w:val="22"/>
          <w:szCs w:val="22"/>
          <w:lang w:val="ru-RU"/>
        </w:rPr>
        <w:t xml:space="preserve">, </w:t>
      </w:r>
      <w:r>
        <w:rPr>
          <w:snapToGrid w:val="0"/>
          <w:kern w:val="22"/>
          <w:szCs w:val="22"/>
          <w:lang w:val="ru-RU"/>
        </w:rPr>
        <w:t xml:space="preserve">что </w:t>
      </w:r>
      <w:r w:rsidRPr="001D48E1">
        <w:rPr>
          <w:snapToGrid w:val="0"/>
          <w:kern w:val="22"/>
          <w:szCs w:val="22"/>
          <w:lang w:val="ru-RU"/>
        </w:rPr>
        <w:t>до настоящего времени в Протокол не вносилось никаких поправок</w:t>
      </w:r>
      <w:r w:rsidR="004569FB" w:rsidRPr="001D48E1">
        <w:rPr>
          <w:snapToGrid w:val="0"/>
          <w:kern w:val="22"/>
          <w:szCs w:val="22"/>
          <w:lang w:val="ru-RU"/>
        </w:rPr>
        <w:t>.</w:t>
      </w:r>
    </w:p>
    <w:p w14:paraId="4B6CF1B5" w14:textId="371C1986" w:rsidR="004569FB" w:rsidRPr="001D48E1" w:rsidRDefault="001D48E1" w:rsidP="000A5388">
      <w:pPr>
        <w:keepNext/>
        <w:numPr>
          <w:ilvl w:val="0"/>
          <w:numId w:val="17"/>
        </w:numPr>
        <w:suppressLineNumbers/>
        <w:tabs>
          <w:tab w:val="clear" w:pos="2070"/>
          <w:tab w:val="left" w:pos="360"/>
        </w:tabs>
        <w:suppressAutoHyphens/>
        <w:spacing w:before="120" w:after="120"/>
        <w:ind w:left="0" w:firstLine="0"/>
        <w:jc w:val="center"/>
        <w:outlineLvl w:val="1"/>
        <w:rPr>
          <w:b/>
          <w:iCs/>
          <w:snapToGrid w:val="0"/>
          <w:kern w:val="22"/>
          <w:szCs w:val="22"/>
          <w:lang w:val="ru-RU"/>
        </w:rPr>
      </w:pPr>
      <w:r w:rsidRPr="001D48E1">
        <w:rPr>
          <w:b/>
          <w:iCs/>
          <w:snapToGrid w:val="0"/>
          <w:kern w:val="22"/>
          <w:szCs w:val="22"/>
          <w:lang w:val="ru-RU"/>
        </w:rPr>
        <w:t>Осведомленность и участие общественности, просвещение и подготовка кадров</w:t>
      </w:r>
      <w:r w:rsidR="00916880">
        <w:rPr>
          <w:b/>
          <w:iCs/>
          <w:snapToGrid w:val="0"/>
          <w:kern w:val="22"/>
          <w:szCs w:val="22"/>
          <w:lang w:val="ru-RU"/>
        </w:rPr>
        <w:br/>
      </w:r>
      <w:r w:rsidRPr="001D48E1">
        <w:rPr>
          <w:b/>
          <w:iCs/>
          <w:snapToGrid w:val="0"/>
          <w:kern w:val="22"/>
          <w:szCs w:val="22"/>
          <w:lang w:val="ru-RU"/>
        </w:rPr>
        <w:t>в сфере биобезопасности</w:t>
      </w:r>
      <w:r>
        <w:rPr>
          <w:b/>
          <w:iCs/>
          <w:snapToGrid w:val="0"/>
          <w:kern w:val="22"/>
          <w:szCs w:val="22"/>
          <w:lang w:val="ru-RU"/>
        </w:rPr>
        <w:t xml:space="preserve"> </w:t>
      </w:r>
      <w:r w:rsidR="004569FB" w:rsidRPr="001D48E1">
        <w:rPr>
          <w:b/>
          <w:iCs/>
          <w:snapToGrid w:val="0"/>
          <w:kern w:val="22"/>
          <w:szCs w:val="22"/>
          <w:lang w:val="ru-RU"/>
        </w:rPr>
        <w:t>(</w:t>
      </w:r>
      <w:r>
        <w:rPr>
          <w:b/>
          <w:iCs/>
          <w:snapToGrid w:val="0"/>
          <w:kern w:val="22"/>
          <w:szCs w:val="22"/>
          <w:lang w:val="ru-RU"/>
        </w:rPr>
        <w:t>оперативные цели</w:t>
      </w:r>
      <w:r w:rsidR="004569FB" w:rsidRPr="001D48E1">
        <w:rPr>
          <w:b/>
          <w:iCs/>
          <w:snapToGrid w:val="0"/>
          <w:kern w:val="22"/>
          <w:szCs w:val="22"/>
          <w:lang w:val="ru-RU"/>
        </w:rPr>
        <w:t xml:space="preserve"> 2.5, 2.7 </w:t>
      </w:r>
      <w:r>
        <w:rPr>
          <w:b/>
          <w:iCs/>
          <w:snapToGrid w:val="0"/>
          <w:kern w:val="22"/>
          <w:szCs w:val="22"/>
          <w:lang w:val="ru-RU"/>
        </w:rPr>
        <w:t>и</w:t>
      </w:r>
      <w:r w:rsidR="004569FB" w:rsidRPr="001D48E1">
        <w:rPr>
          <w:b/>
          <w:iCs/>
          <w:snapToGrid w:val="0"/>
          <w:kern w:val="22"/>
          <w:szCs w:val="22"/>
          <w:lang w:val="ru-RU"/>
        </w:rPr>
        <w:t xml:space="preserve"> 4.3)</w:t>
      </w:r>
    </w:p>
    <w:p w14:paraId="3791F783" w14:textId="075101B6" w:rsidR="00BE2F00" w:rsidRPr="006E0230" w:rsidRDefault="004702C3" w:rsidP="004569FB">
      <w:pPr>
        <w:pStyle w:val="Para1"/>
        <w:numPr>
          <w:ilvl w:val="0"/>
          <w:numId w:val="9"/>
        </w:numPr>
        <w:tabs>
          <w:tab w:val="clear" w:pos="3240"/>
        </w:tabs>
        <w:spacing w:before="120"/>
        <w:ind w:left="0" w:firstLine="0"/>
        <w:rPr>
          <w:kern w:val="22"/>
          <w:szCs w:val="22"/>
          <w:lang w:val="ru-RU"/>
        </w:rPr>
      </w:pPr>
      <w:r>
        <w:rPr>
          <w:kern w:val="22"/>
          <w:szCs w:val="22"/>
          <w:lang w:val="ru-RU"/>
        </w:rPr>
        <w:t>Программа</w:t>
      </w:r>
      <w:r w:rsidRPr="004702C3">
        <w:rPr>
          <w:kern w:val="22"/>
          <w:szCs w:val="22"/>
          <w:lang w:val="ru-RU"/>
        </w:rPr>
        <w:t xml:space="preserve"> </w:t>
      </w:r>
      <w:r>
        <w:rPr>
          <w:kern w:val="22"/>
          <w:szCs w:val="22"/>
          <w:lang w:val="ru-RU"/>
        </w:rPr>
        <w:t>работы</w:t>
      </w:r>
      <w:r w:rsidRPr="004702C3">
        <w:rPr>
          <w:kern w:val="22"/>
          <w:szCs w:val="22"/>
          <w:lang w:val="ru-RU"/>
        </w:rPr>
        <w:t xml:space="preserve"> </w:t>
      </w:r>
      <w:r>
        <w:rPr>
          <w:kern w:val="22"/>
          <w:szCs w:val="22"/>
          <w:lang w:val="ru-RU"/>
        </w:rPr>
        <w:t>по</w:t>
      </w:r>
      <w:r w:rsidRPr="004702C3">
        <w:rPr>
          <w:kern w:val="22"/>
          <w:szCs w:val="22"/>
          <w:lang w:val="ru-RU"/>
        </w:rPr>
        <w:t xml:space="preserve"> </w:t>
      </w:r>
      <w:r>
        <w:rPr>
          <w:kern w:val="22"/>
          <w:szCs w:val="22"/>
          <w:lang w:val="ru-RU"/>
        </w:rPr>
        <w:t>статье</w:t>
      </w:r>
      <w:r w:rsidR="004569FB" w:rsidRPr="004702C3">
        <w:rPr>
          <w:kern w:val="22"/>
          <w:szCs w:val="22"/>
          <w:lang w:val="ru-RU"/>
        </w:rPr>
        <w:t xml:space="preserve"> 23</w:t>
      </w:r>
      <w:r w:rsidR="00E15625" w:rsidRPr="004702C3">
        <w:rPr>
          <w:kern w:val="22"/>
          <w:szCs w:val="22"/>
          <w:lang w:val="ru-RU"/>
        </w:rPr>
        <w:t xml:space="preserve"> </w:t>
      </w:r>
      <w:r>
        <w:rPr>
          <w:kern w:val="22"/>
          <w:szCs w:val="22"/>
          <w:lang w:val="ru-RU"/>
        </w:rPr>
        <w:t>была</w:t>
      </w:r>
      <w:r w:rsidRPr="004702C3">
        <w:rPr>
          <w:kern w:val="22"/>
          <w:szCs w:val="22"/>
          <w:lang w:val="ru-RU"/>
        </w:rPr>
        <w:t xml:space="preserve"> </w:t>
      </w:r>
      <w:r>
        <w:rPr>
          <w:kern w:val="22"/>
          <w:szCs w:val="22"/>
          <w:lang w:val="ru-RU"/>
        </w:rPr>
        <w:t>принята</w:t>
      </w:r>
      <w:r w:rsidRPr="004702C3">
        <w:rPr>
          <w:kern w:val="22"/>
          <w:szCs w:val="22"/>
          <w:lang w:val="ru-RU"/>
        </w:rPr>
        <w:t xml:space="preserve"> Конференцией Сторон, выступающей в качестве Совещания Сторон Протокола, </w:t>
      </w:r>
      <w:r>
        <w:rPr>
          <w:kern w:val="22"/>
          <w:szCs w:val="22"/>
          <w:lang w:val="ru-RU"/>
        </w:rPr>
        <w:t>в</w:t>
      </w:r>
      <w:r w:rsidR="004569FB" w:rsidRPr="004702C3">
        <w:rPr>
          <w:kern w:val="22"/>
          <w:szCs w:val="22"/>
          <w:lang w:val="ru-RU"/>
        </w:rPr>
        <w:t xml:space="preserve"> 2010</w:t>
      </w:r>
      <w:r>
        <w:rPr>
          <w:kern w:val="22"/>
          <w:szCs w:val="22"/>
          <w:lang w:val="ru-RU"/>
        </w:rPr>
        <w:t xml:space="preserve"> году посредством решения </w:t>
      </w:r>
      <w:r w:rsidR="004569FB" w:rsidRPr="00DB5643">
        <w:rPr>
          <w:kern w:val="22"/>
          <w:szCs w:val="22"/>
        </w:rPr>
        <w:t>BS</w:t>
      </w:r>
      <w:r w:rsidR="004569FB" w:rsidRPr="004702C3">
        <w:rPr>
          <w:kern w:val="22"/>
          <w:szCs w:val="22"/>
          <w:lang w:val="ru-RU"/>
        </w:rPr>
        <w:t>-</w:t>
      </w:r>
      <w:r w:rsidR="004569FB" w:rsidRPr="00DB5643">
        <w:rPr>
          <w:kern w:val="22"/>
          <w:szCs w:val="22"/>
        </w:rPr>
        <w:t>V</w:t>
      </w:r>
      <w:r w:rsidR="004569FB" w:rsidRPr="004702C3">
        <w:rPr>
          <w:kern w:val="22"/>
          <w:szCs w:val="22"/>
          <w:lang w:val="ru-RU"/>
        </w:rPr>
        <w:t>/13</w:t>
      </w:r>
      <w:r>
        <w:rPr>
          <w:kern w:val="22"/>
          <w:szCs w:val="22"/>
          <w:lang w:val="ru-RU"/>
        </w:rPr>
        <w:t xml:space="preserve"> и была продлена до </w:t>
      </w:r>
      <w:r w:rsidR="004569FB" w:rsidRPr="004702C3">
        <w:rPr>
          <w:kern w:val="22"/>
          <w:szCs w:val="22"/>
          <w:lang w:val="ru-RU"/>
        </w:rPr>
        <w:t xml:space="preserve">2020 </w:t>
      </w:r>
      <w:r>
        <w:rPr>
          <w:kern w:val="22"/>
          <w:szCs w:val="22"/>
          <w:lang w:val="ru-RU"/>
        </w:rPr>
        <w:t>посредством решения</w:t>
      </w:r>
      <w:r w:rsidRPr="006E0230">
        <w:rPr>
          <w:kern w:val="22"/>
          <w:szCs w:val="22"/>
          <w:lang w:val="ru-RU"/>
        </w:rPr>
        <w:t xml:space="preserve"> </w:t>
      </w:r>
      <w:proofErr w:type="spellStart"/>
      <w:r w:rsidR="004569FB" w:rsidRPr="00DB5643">
        <w:rPr>
          <w:kern w:val="22"/>
          <w:szCs w:val="22"/>
        </w:rPr>
        <w:t>CP</w:t>
      </w:r>
      <w:proofErr w:type="spellEnd"/>
      <w:r w:rsidR="004569FB" w:rsidRPr="004702C3">
        <w:rPr>
          <w:kern w:val="22"/>
          <w:szCs w:val="22"/>
          <w:lang w:val="ru-RU"/>
        </w:rPr>
        <w:t>-</w:t>
      </w:r>
      <w:r w:rsidR="004569FB" w:rsidRPr="00DB5643">
        <w:rPr>
          <w:kern w:val="22"/>
          <w:szCs w:val="22"/>
        </w:rPr>
        <w:t>VIII</w:t>
      </w:r>
      <w:r w:rsidR="004569FB" w:rsidRPr="004702C3">
        <w:rPr>
          <w:kern w:val="22"/>
          <w:szCs w:val="22"/>
          <w:lang w:val="ru-RU"/>
        </w:rPr>
        <w:t xml:space="preserve">/18. </w:t>
      </w:r>
      <w:r w:rsidR="006E0230">
        <w:rPr>
          <w:kern w:val="22"/>
          <w:szCs w:val="22"/>
          <w:lang w:val="ru-RU"/>
        </w:rPr>
        <w:t>Программа</w:t>
      </w:r>
      <w:r w:rsidR="006E0230" w:rsidRPr="006E0230">
        <w:rPr>
          <w:kern w:val="22"/>
          <w:szCs w:val="22"/>
          <w:lang w:val="ru-RU"/>
        </w:rPr>
        <w:t xml:space="preserve"> </w:t>
      </w:r>
      <w:r w:rsidR="006E0230">
        <w:rPr>
          <w:kern w:val="22"/>
          <w:szCs w:val="22"/>
          <w:lang w:val="ru-RU"/>
        </w:rPr>
        <w:t>работы</w:t>
      </w:r>
      <w:r w:rsidR="006E0230" w:rsidRPr="006E0230">
        <w:rPr>
          <w:kern w:val="22"/>
          <w:szCs w:val="22"/>
          <w:lang w:val="ru-RU"/>
        </w:rPr>
        <w:t xml:space="preserve"> </w:t>
      </w:r>
      <w:r w:rsidR="006E0230">
        <w:rPr>
          <w:kern w:val="22"/>
          <w:szCs w:val="22"/>
          <w:lang w:val="ru-RU"/>
        </w:rPr>
        <w:t>включает</w:t>
      </w:r>
      <w:r w:rsidR="006E0230" w:rsidRPr="006E0230">
        <w:rPr>
          <w:kern w:val="22"/>
          <w:szCs w:val="22"/>
          <w:lang w:val="ru-RU"/>
        </w:rPr>
        <w:t xml:space="preserve"> </w:t>
      </w:r>
      <w:r w:rsidR="006E0230">
        <w:rPr>
          <w:kern w:val="22"/>
          <w:szCs w:val="22"/>
          <w:lang w:val="ru-RU"/>
        </w:rPr>
        <w:t>ряд</w:t>
      </w:r>
      <w:r w:rsidR="006E0230" w:rsidRPr="006E0230">
        <w:rPr>
          <w:kern w:val="22"/>
          <w:szCs w:val="22"/>
          <w:lang w:val="ru-RU"/>
        </w:rPr>
        <w:t xml:space="preserve"> </w:t>
      </w:r>
      <w:r w:rsidR="006E0230">
        <w:rPr>
          <w:kern w:val="22"/>
          <w:szCs w:val="22"/>
          <w:lang w:val="ru-RU"/>
        </w:rPr>
        <w:t>индикаторов</w:t>
      </w:r>
      <w:r w:rsidR="006E0230" w:rsidRPr="006E0230">
        <w:rPr>
          <w:kern w:val="22"/>
          <w:szCs w:val="22"/>
          <w:lang w:val="ru-RU"/>
        </w:rPr>
        <w:t xml:space="preserve">, </w:t>
      </w:r>
      <w:r w:rsidR="006E0230">
        <w:rPr>
          <w:kern w:val="22"/>
          <w:szCs w:val="22"/>
          <w:lang w:val="ru-RU"/>
        </w:rPr>
        <w:t>многие</w:t>
      </w:r>
      <w:r w:rsidR="006E0230" w:rsidRPr="006E0230">
        <w:rPr>
          <w:kern w:val="22"/>
          <w:szCs w:val="22"/>
          <w:lang w:val="ru-RU"/>
        </w:rPr>
        <w:t xml:space="preserve"> </w:t>
      </w:r>
      <w:r w:rsidR="006E0230">
        <w:rPr>
          <w:kern w:val="22"/>
          <w:szCs w:val="22"/>
          <w:lang w:val="ru-RU"/>
        </w:rPr>
        <w:t>из</w:t>
      </w:r>
      <w:r w:rsidR="006E0230" w:rsidRPr="006E0230">
        <w:rPr>
          <w:kern w:val="22"/>
          <w:szCs w:val="22"/>
          <w:lang w:val="ru-RU"/>
        </w:rPr>
        <w:t xml:space="preserve"> </w:t>
      </w:r>
      <w:r w:rsidR="006E0230">
        <w:rPr>
          <w:kern w:val="22"/>
          <w:szCs w:val="22"/>
          <w:lang w:val="ru-RU"/>
        </w:rPr>
        <w:t>которых</w:t>
      </w:r>
      <w:r w:rsidR="006E0230" w:rsidRPr="006E0230">
        <w:rPr>
          <w:kern w:val="22"/>
          <w:szCs w:val="22"/>
          <w:lang w:val="ru-RU"/>
        </w:rPr>
        <w:t xml:space="preserve"> </w:t>
      </w:r>
      <w:r w:rsidR="006E0230">
        <w:rPr>
          <w:kern w:val="22"/>
          <w:szCs w:val="22"/>
          <w:lang w:val="ru-RU"/>
        </w:rPr>
        <w:t>совпадают</w:t>
      </w:r>
      <w:r w:rsidR="006E0230" w:rsidRPr="006E0230">
        <w:rPr>
          <w:kern w:val="22"/>
          <w:szCs w:val="22"/>
          <w:lang w:val="ru-RU"/>
        </w:rPr>
        <w:t xml:space="preserve"> </w:t>
      </w:r>
      <w:r w:rsidR="006E0230">
        <w:rPr>
          <w:kern w:val="22"/>
          <w:szCs w:val="22"/>
          <w:lang w:val="ru-RU"/>
        </w:rPr>
        <w:t>с</w:t>
      </w:r>
      <w:r w:rsidR="006E0230" w:rsidRPr="006E0230">
        <w:rPr>
          <w:kern w:val="22"/>
          <w:szCs w:val="22"/>
          <w:lang w:val="ru-RU"/>
        </w:rPr>
        <w:t xml:space="preserve"> </w:t>
      </w:r>
      <w:r w:rsidR="006E0230">
        <w:rPr>
          <w:kern w:val="22"/>
          <w:szCs w:val="22"/>
          <w:lang w:val="ru-RU"/>
        </w:rPr>
        <w:t>индикаторами</w:t>
      </w:r>
      <w:r w:rsidR="006E0230" w:rsidRPr="006E0230">
        <w:rPr>
          <w:kern w:val="22"/>
          <w:szCs w:val="22"/>
          <w:lang w:val="ru-RU"/>
        </w:rPr>
        <w:t xml:space="preserve"> </w:t>
      </w:r>
      <w:r w:rsidR="006E0230" w:rsidRPr="00DB5643">
        <w:rPr>
          <w:kern w:val="22"/>
          <w:szCs w:val="22"/>
          <w:lang w:val="ru-RU"/>
        </w:rPr>
        <w:t xml:space="preserve">Стратегического плана </w:t>
      </w:r>
      <w:proofErr w:type="spellStart"/>
      <w:r w:rsidR="006E0230" w:rsidRPr="00DB5643">
        <w:rPr>
          <w:kern w:val="22"/>
          <w:szCs w:val="22"/>
          <w:lang w:val="ru-RU"/>
        </w:rPr>
        <w:t>Картахенского</w:t>
      </w:r>
      <w:proofErr w:type="spellEnd"/>
      <w:r w:rsidR="006E0230" w:rsidRPr="00DB5643">
        <w:rPr>
          <w:kern w:val="22"/>
          <w:szCs w:val="22"/>
          <w:lang w:val="ru-RU"/>
        </w:rPr>
        <w:t xml:space="preserve"> протокола</w:t>
      </w:r>
      <w:r w:rsidR="006E0230" w:rsidRPr="006E0230">
        <w:rPr>
          <w:kern w:val="22"/>
          <w:szCs w:val="22"/>
          <w:lang w:val="ru-RU"/>
        </w:rPr>
        <w:t xml:space="preserve"> </w:t>
      </w:r>
      <w:r w:rsidR="006E0230">
        <w:rPr>
          <w:kern w:val="22"/>
          <w:szCs w:val="22"/>
          <w:lang w:val="ru-RU"/>
        </w:rPr>
        <w:t xml:space="preserve">на период </w:t>
      </w:r>
      <w:r w:rsidR="004569FB" w:rsidRPr="006E0230">
        <w:rPr>
          <w:kern w:val="22"/>
          <w:szCs w:val="22"/>
          <w:lang w:val="ru-RU"/>
        </w:rPr>
        <w:t>2011-2020</w:t>
      </w:r>
      <w:r w:rsidR="006E0230">
        <w:rPr>
          <w:kern w:val="22"/>
          <w:szCs w:val="22"/>
          <w:lang w:val="ru-RU"/>
        </w:rPr>
        <w:t xml:space="preserve"> годов</w:t>
      </w:r>
      <w:r w:rsidR="004569FB" w:rsidRPr="006E0230">
        <w:rPr>
          <w:kern w:val="22"/>
          <w:szCs w:val="22"/>
          <w:lang w:val="ru-RU"/>
        </w:rPr>
        <w:t xml:space="preserve">. </w:t>
      </w:r>
      <w:r w:rsidR="006E0230">
        <w:rPr>
          <w:kern w:val="22"/>
          <w:szCs w:val="22"/>
          <w:lang w:val="ru-RU"/>
        </w:rPr>
        <w:t xml:space="preserve">Четвертый национальный доклад и </w:t>
      </w:r>
      <w:proofErr w:type="spellStart"/>
      <w:r w:rsidR="006E0230">
        <w:rPr>
          <w:kern w:val="22"/>
          <w:szCs w:val="22"/>
          <w:lang w:val="ru-RU"/>
        </w:rPr>
        <w:t>МПБ</w:t>
      </w:r>
      <w:proofErr w:type="spellEnd"/>
      <w:r w:rsidR="006E0230">
        <w:rPr>
          <w:kern w:val="22"/>
          <w:szCs w:val="22"/>
          <w:lang w:val="ru-RU"/>
        </w:rPr>
        <w:t xml:space="preserve"> содержат необходимую информацию для оценки прогресса в этом отношении</w:t>
      </w:r>
      <w:r w:rsidR="004569FB" w:rsidRPr="006E0230">
        <w:rPr>
          <w:kern w:val="22"/>
          <w:szCs w:val="22"/>
          <w:lang w:val="ru-RU"/>
        </w:rPr>
        <w:t xml:space="preserve">. </w:t>
      </w:r>
    </w:p>
    <w:p w14:paraId="5E79B6DA" w14:textId="1AA6A0FA" w:rsidR="004569FB" w:rsidRPr="00E33B19" w:rsidRDefault="009300EB" w:rsidP="004569FB">
      <w:pPr>
        <w:pStyle w:val="Para1"/>
        <w:numPr>
          <w:ilvl w:val="0"/>
          <w:numId w:val="9"/>
        </w:numPr>
        <w:tabs>
          <w:tab w:val="clear" w:pos="3240"/>
        </w:tabs>
        <w:spacing w:before="120"/>
        <w:ind w:left="0" w:firstLine="0"/>
        <w:rPr>
          <w:kern w:val="22"/>
          <w:szCs w:val="22"/>
          <w:lang w:val="ru-RU"/>
        </w:rPr>
      </w:pPr>
      <w:r>
        <w:rPr>
          <w:kern w:val="22"/>
          <w:szCs w:val="22"/>
          <w:lang w:val="ru-RU"/>
        </w:rPr>
        <w:t>Для</w:t>
      </w:r>
      <w:r w:rsidRPr="006B68BE">
        <w:rPr>
          <w:kern w:val="22"/>
          <w:szCs w:val="22"/>
          <w:lang w:val="ru-RU"/>
        </w:rPr>
        <w:t xml:space="preserve"> </w:t>
      </w:r>
      <w:r>
        <w:rPr>
          <w:kern w:val="22"/>
          <w:szCs w:val="22"/>
          <w:lang w:val="ru-RU"/>
        </w:rPr>
        <w:t>тех</w:t>
      </w:r>
      <w:r w:rsidRPr="006B68BE">
        <w:rPr>
          <w:kern w:val="22"/>
          <w:szCs w:val="22"/>
          <w:lang w:val="ru-RU"/>
        </w:rPr>
        <w:t xml:space="preserve"> </w:t>
      </w:r>
      <w:r>
        <w:rPr>
          <w:kern w:val="22"/>
          <w:szCs w:val="22"/>
          <w:lang w:val="ru-RU"/>
        </w:rPr>
        <w:t>индикаторов</w:t>
      </w:r>
      <w:r w:rsidRPr="006B68BE">
        <w:rPr>
          <w:kern w:val="22"/>
          <w:szCs w:val="22"/>
          <w:lang w:val="ru-RU"/>
        </w:rPr>
        <w:t xml:space="preserve"> </w:t>
      </w:r>
      <w:r>
        <w:rPr>
          <w:kern w:val="22"/>
          <w:szCs w:val="22"/>
          <w:lang w:val="ru-RU"/>
        </w:rPr>
        <w:t>программы</w:t>
      </w:r>
      <w:r w:rsidRPr="006B68BE">
        <w:rPr>
          <w:kern w:val="22"/>
          <w:szCs w:val="22"/>
          <w:lang w:val="ru-RU"/>
        </w:rPr>
        <w:t xml:space="preserve"> </w:t>
      </w:r>
      <w:r>
        <w:rPr>
          <w:kern w:val="22"/>
          <w:szCs w:val="22"/>
          <w:lang w:val="ru-RU"/>
        </w:rPr>
        <w:t>работы</w:t>
      </w:r>
      <w:r w:rsidRPr="006B68BE">
        <w:rPr>
          <w:kern w:val="22"/>
          <w:szCs w:val="22"/>
          <w:lang w:val="ru-RU"/>
        </w:rPr>
        <w:t xml:space="preserve"> </w:t>
      </w:r>
      <w:r>
        <w:rPr>
          <w:kern w:val="22"/>
          <w:szCs w:val="22"/>
          <w:lang w:val="ru-RU"/>
        </w:rPr>
        <w:t>по</w:t>
      </w:r>
      <w:r w:rsidRPr="006B68BE">
        <w:rPr>
          <w:kern w:val="22"/>
          <w:szCs w:val="22"/>
          <w:lang w:val="ru-RU"/>
        </w:rPr>
        <w:t xml:space="preserve"> </w:t>
      </w:r>
      <w:r>
        <w:rPr>
          <w:kern w:val="22"/>
          <w:szCs w:val="22"/>
          <w:lang w:val="ru-RU"/>
        </w:rPr>
        <w:t>статье</w:t>
      </w:r>
      <w:r w:rsidRPr="006B68BE">
        <w:rPr>
          <w:kern w:val="22"/>
          <w:szCs w:val="22"/>
          <w:lang w:val="ru-RU"/>
        </w:rPr>
        <w:t xml:space="preserve"> </w:t>
      </w:r>
      <w:r w:rsidR="004569FB" w:rsidRPr="006B68BE">
        <w:rPr>
          <w:kern w:val="22"/>
          <w:szCs w:val="22"/>
          <w:lang w:val="ru-RU"/>
        </w:rPr>
        <w:t>23</w:t>
      </w:r>
      <w:r w:rsidRPr="006B68BE">
        <w:rPr>
          <w:kern w:val="22"/>
          <w:szCs w:val="22"/>
          <w:lang w:val="ru-RU"/>
        </w:rPr>
        <w:t xml:space="preserve">, </w:t>
      </w:r>
      <w:r>
        <w:rPr>
          <w:kern w:val="22"/>
          <w:szCs w:val="22"/>
          <w:lang w:val="ru-RU"/>
        </w:rPr>
        <w:t>по</w:t>
      </w:r>
      <w:r w:rsidRPr="006B68BE">
        <w:rPr>
          <w:kern w:val="22"/>
          <w:szCs w:val="22"/>
          <w:lang w:val="ru-RU"/>
        </w:rPr>
        <w:t xml:space="preserve"> </w:t>
      </w:r>
      <w:r>
        <w:rPr>
          <w:kern w:val="22"/>
          <w:szCs w:val="22"/>
          <w:lang w:val="ru-RU"/>
        </w:rPr>
        <w:t>которым</w:t>
      </w:r>
      <w:r w:rsidRPr="006B68BE">
        <w:rPr>
          <w:kern w:val="22"/>
          <w:szCs w:val="22"/>
          <w:lang w:val="ru-RU"/>
        </w:rPr>
        <w:t xml:space="preserve"> </w:t>
      </w:r>
      <w:r>
        <w:rPr>
          <w:kern w:val="22"/>
          <w:szCs w:val="22"/>
          <w:lang w:val="ru-RU"/>
        </w:rPr>
        <w:t>в</w:t>
      </w:r>
      <w:r w:rsidRPr="006B68BE">
        <w:rPr>
          <w:kern w:val="22"/>
          <w:szCs w:val="22"/>
          <w:lang w:val="ru-RU"/>
        </w:rPr>
        <w:t xml:space="preserve"> </w:t>
      </w:r>
      <w:r>
        <w:rPr>
          <w:kern w:val="22"/>
          <w:szCs w:val="22"/>
          <w:lang w:val="ru-RU"/>
        </w:rPr>
        <w:t>четвертых</w:t>
      </w:r>
      <w:r w:rsidRPr="006B68BE">
        <w:rPr>
          <w:kern w:val="22"/>
          <w:szCs w:val="22"/>
          <w:lang w:val="ru-RU"/>
        </w:rPr>
        <w:t xml:space="preserve"> </w:t>
      </w:r>
      <w:r>
        <w:rPr>
          <w:kern w:val="22"/>
          <w:szCs w:val="22"/>
          <w:lang w:val="ru-RU"/>
        </w:rPr>
        <w:t>национальных</w:t>
      </w:r>
      <w:r w:rsidRPr="006B68BE">
        <w:rPr>
          <w:kern w:val="22"/>
          <w:szCs w:val="22"/>
          <w:lang w:val="ru-RU"/>
        </w:rPr>
        <w:t xml:space="preserve"> </w:t>
      </w:r>
      <w:r>
        <w:rPr>
          <w:kern w:val="22"/>
          <w:szCs w:val="22"/>
          <w:lang w:val="ru-RU"/>
        </w:rPr>
        <w:t>докладах</w:t>
      </w:r>
      <w:r w:rsidRPr="006B68BE">
        <w:rPr>
          <w:kern w:val="22"/>
          <w:szCs w:val="22"/>
          <w:lang w:val="ru-RU"/>
        </w:rPr>
        <w:t xml:space="preserve"> </w:t>
      </w:r>
      <w:r>
        <w:rPr>
          <w:kern w:val="22"/>
          <w:szCs w:val="22"/>
          <w:lang w:val="ru-RU"/>
        </w:rPr>
        <w:t>и</w:t>
      </w:r>
      <w:r w:rsidRPr="006B68BE">
        <w:rPr>
          <w:kern w:val="22"/>
          <w:szCs w:val="22"/>
          <w:lang w:val="ru-RU"/>
        </w:rPr>
        <w:t xml:space="preserve"> </w:t>
      </w:r>
      <w:proofErr w:type="spellStart"/>
      <w:r>
        <w:rPr>
          <w:kern w:val="22"/>
          <w:szCs w:val="22"/>
          <w:lang w:val="ru-RU"/>
        </w:rPr>
        <w:t>МПБ</w:t>
      </w:r>
      <w:proofErr w:type="spellEnd"/>
      <w:r w:rsidRPr="006B68BE">
        <w:rPr>
          <w:kern w:val="22"/>
          <w:szCs w:val="22"/>
          <w:lang w:val="ru-RU"/>
        </w:rPr>
        <w:t xml:space="preserve"> </w:t>
      </w:r>
      <w:r>
        <w:rPr>
          <w:kern w:val="22"/>
          <w:szCs w:val="22"/>
          <w:lang w:val="ru-RU"/>
        </w:rPr>
        <w:t>была</w:t>
      </w:r>
      <w:r w:rsidRPr="006B68BE">
        <w:rPr>
          <w:kern w:val="22"/>
          <w:szCs w:val="22"/>
          <w:lang w:val="ru-RU"/>
        </w:rPr>
        <w:t xml:space="preserve"> </w:t>
      </w:r>
      <w:r>
        <w:rPr>
          <w:kern w:val="22"/>
          <w:szCs w:val="22"/>
          <w:lang w:val="ru-RU"/>
        </w:rPr>
        <w:t>представлена</w:t>
      </w:r>
      <w:r w:rsidRPr="006B68BE">
        <w:rPr>
          <w:kern w:val="22"/>
          <w:szCs w:val="22"/>
          <w:lang w:val="ru-RU"/>
        </w:rPr>
        <w:t xml:space="preserve"> </w:t>
      </w:r>
      <w:r>
        <w:rPr>
          <w:kern w:val="22"/>
          <w:szCs w:val="22"/>
          <w:lang w:val="ru-RU"/>
        </w:rPr>
        <w:t>недостаточная</w:t>
      </w:r>
      <w:r w:rsidRPr="006B68BE">
        <w:rPr>
          <w:kern w:val="22"/>
          <w:szCs w:val="22"/>
          <w:lang w:val="ru-RU"/>
        </w:rPr>
        <w:t xml:space="preserve"> </w:t>
      </w:r>
      <w:r>
        <w:rPr>
          <w:kern w:val="22"/>
          <w:szCs w:val="22"/>
          <w:lang w:val="ru-RU"/>
        </w:rPr>
        <w:t>информация</w:t>
      </w:r>
      <w:r w:rsidR="004569FB" w:rsidRPr="006B68BE">
        <w:rPr>
          <w:kern w:val="22"/>
          <w:szCs w:val="22"/>
          <w:lang w:val="ru-RU"/>
        </w:rPr>
        <w:t xml:space="preserve">, </w:t>
      </w:r>
      <w:r>
        <w:rPr>
          <w:kern w:val="22"/>
          <w:szCs w:val="22"/>
          <w:lang w:val="ru-RU"/>
        </w:rPr>
        <w:t>был</w:t>
      </w:r>
      <w:r w:rsidR="006B68BE">
        <w:rPr>
          <w:kern w:val="22"/>
          <w:szCs w:val="22"/>
          <w:lang w:val="ru-RU"/>
        </w:rPr>
        <w:t>о</w:t>
      </w:r>
      <w:r w:rsidRPr="006B68BE">
        <w:rPr>
          <w:kern w:val="22"/>
          <w:szCs w:val="22"/>
          <w:lang w:val="ru-RU"/>
        </w:rPr>
        <w:t xml:space="preserve"> </w:t>
      </w:r>
      <w:r>
        <w:rPr>
          <w:kern w:val="22"/>
          <w:szCs w:val="22"/>
          <w:lang w:val="ru-RU"/>
        </w:rPr>
        <w:t>разработан</w:t>
      </w:r>
      <w:r w:rsidR="006B68BE">
        <w:rPr>
          <w:kern w:val="22"/>
          <w:szCs w:val="22"/>
          <w:lang w:val="ru-RU"/>
        </w:rPr>
        <w:t>о</w:t>
      </w:r>
      <w:r w:rsidRPr="006B68BE">
        <w:rPr>
          <w:kern w:val="22"/>
          <w:szCs w:val="22"/>
          <w:lang w:val="ru-RU"/>
        </w:rPr>
        <w:t xml:space="preserve"> </w:t>
      </w:r>
      <w:r w:rsidR="006B68BE">
        <w:rPr>
          <w:kern w:val="22"/>
          <w:szCs w:val="22"/>
          <w:lang w:val="ru-RU"/>
        </w:rPr>
        <w:t>обследование</w:t>
      </w:r>
      <w:r w:rsidRPr="006B68BE">
        <w:rPr>
          <w:kern w:val="22"/>
          <w:szCs w:val="22"/>
          <w:lang w:val="ru-RU"/>
        </w:rPr>
        <w:t xml:space="preserve"> </w:t>
      </w:r>
      <w:r>
        <w:rPr>
          <w:kern w:val="22"/>
          <w:szCs w:val="22"/>
          <w:lang w:val="ru-RU"/>
        </w:rPr>
        <w:t>для</w:t>
      </w:r>
      <w:r w:rsidRPr="006B68BE">
        <w:rPr>
          <w:kern w:val="22"/>
          <w:szCs w:val="22"/>
          <w:lang w:val="ru-RU"/>
        </w:rPr>
        <w:t xml:space="preserve"> </w:t>
      </w:r>
      <w:r>
        <w:rPr>
          <w:kern w:val="22"/>
          <w:szCs w:val="22"/>
          <w:lang w:val="ru-RU"/>
        </w:rPr>
        <w:t>пополнения</w:t>
      </w:r>
      <w:r w:rsidRPr="006B68BE">
        <w:rPr>
          <w:kern w:val="22"/>
          <w:szCs w:val="22"/>
          <w:lang w:val="ru-RU"/>
        </w:rPr>
        <w:t xml:space="preserve"> </w:t>
      </w:r>
      <w:r>
        <w:rPr>
          <w:kern w:val="22"/>
          <w:szCs w:val="22"/>
          <w:lang w:val="ru-RU"/>
        </w:rPr>
        <w:t>информационной</w:t>
      </w:r>
      <w:r w:rsidRPr="006B68BE">
        <w:rPr>
          <w:kern w:val="22"/>
          <w:szCs w:val="22"/>
          <w:lang w:val="ru-RU"/>
        </w:rPr>
        <w:t xml:space="preserve"> </w:t>
      </w:r>
      <w:r>
        <w:rPr>
          <w:kern w:val="22"/>
          <w:szCs w:val="22"/>
          <w:lang w:val="ru-RU"/>
        </w:rPr>
        <w:t>базы</w:t>
      </w:r>
      <w:r w:rsidRPr="006B68BE">
        <w:rPr>
          <w:kern w:val="22"/>
          <w:szCs w:val="22"/>
          <w:lang w:val="ru-RU"/>
        </w:rPr>
        <w:t xml:space="preserve"> – </w:t>
      </w:r>
      <w:r w:rsidR="003C418D">
        <w:rPr>
          <w:i/>
          <w:iCs/>
          <w:kern w:val="22"/>
          <w:szCs w:val="22"/>
          <w:lang w:val="ru-RU"/>
        </w:rPr>
        <w:t>О</w:t>
      </w:r>
      <w:r w:rsidR="006B68BE">
        <w:rPr>
          <w:i/>
          <w:iCs/>
          <w:kern w:val="22"/>
          <w:szCs w:val="22"/>
          <w:lang w:val="ru-RU"/>
        </w:rPr>
        <w:t>бследование по ключевым индикаторам программы работы</w:t>
      </w:r>
      <w:r w:rsidR="002E2022" w:rsidRPr="006B68BE">
        <w:rPr>
          <w:i/>
          <w:kern w:val="22"/>
          <w:lang w:val="ru-RU"/>
        </w:rPr>
        <w:t xml:space="preserve"> </w:t>
      </w:r>
      <w:r w:rsidR="006B68BE">
        <w:rPr>
          <w:i/>
          <w:kern w:val="22"/>
          <w:lang w:val="ru-RU"/>
        </w:rPr>
        <w:t>по осведомленности, просвещению и участию общественности</w:t>
      </w:r>
      <w:r w:rsidR="006B68BE" w:rsidRPr="006B68BE">
        <w:rPr>
          <w:rFonts w:eastAsia="Times New Roman" w:cs="Times New Roman"/>
          <w:snapToGrid/>
          <w:color w:val="000000"/>
          <w:kern w:val="22"/>
          <w:szCs w:val="22"/>
          <w:lang w:val="ru-RU" w:eastAsia="ru-RU"/>
        </w:rPr>
        <w:t xml:space="preserve"> </w:t>
      </w:r>
      <w:r w:rsidR="006B68BE" w:rsidRPr="006B68BE">
        <w:rPr>
          <w:i/>
          <w:kern w:val="22"/>
          <w:lang w:val="ru-RU"/>
        </w:rPr>
        <w:t>в области безопасной передачи, обработки и использования</w:t>
      </w:r>
      <w:r w:rsidR="006B68BE">
        <w:rPr>
          <w:i/>
          <w:kern w:val="22"/>
          <w:lang w:val="ru-RU"/>
        </w:rPr>
        <w:t xml:space="preserve"> живых измененных организмов</w:t>
      </w:r>
      <w:r w:rsidR="002E2022" w:rsidRPr="006B68BE">
        <w:rPr>
          <w:i/>
          <w:kern w:val="22"/>
          <w:lang w:val="ru-RU"/>
        </w:rPr>
        <w:t xml:space="preserve"> </w:t>
      </w:r>
      <w:r w:rsidR="002E2022" w:rsidRPr="006B68BE">
        <w:rPr>
          <w:iCs/>
          <w:kern w:val="22"/>
          <w:lang w:val="ru-RU"/>
        </w:rPr>
        <w:t>(</w:t>
      </w:r>
      <w:r w:rsidR="003C418D">
        <w:rPr>
          <w:iCs/>
          <w:kern w:val="22"/>
          <w:lang w:val="ru-RU"/>
        </w:rPr>
        <w:t>О</w:t>
      </w:r>
      <w:r w:rsidR="006B68BE">
        <w:rPr>
          <w:iCs/>
          <w:kern w:val="22"/>
          <w:lang w:val="ru-RU"/>
        </w:rPr>
        <w:t>бследование по программе работы по статье</w:t>
      </w:r>
      <w:r w:rsidR="002E2022" w:rsidRPr="006B68BE">
        <w:rPr>
          <w:iCs/>
          <w:kern w:val="22"/>
          <w:lang w:val="ru-RU"/>
        </w:rPr>
        <w:t xml:space="preserve"> 23)</w:t>
      </w:r>
      <w:r w:rsidR="0055230F" w:rsidRPr="00DB5643">
        <w:rPr>
          <w:rStyle w:val="ac"/>
          <w:kern w:val="22"/>
          <w:szCs w:val="22"/>
        </w:rPr>
        <w:footnoteReference w:id="61"/>
      </w:r>
      <w:r w:rsidR="006B68BE">
        <w:rPr>
          <w:iCs/>
          <w:kern w:val="22"/>
          <w:lang w:val="ru-RU"/>
        </w:rPr>
        <w:t>.</w:t>
      </w:r>
      <w:r w:rsidR="004569FB" w:rsidRPr="006B68BE">
        <w:rPr>
          <w:kern w:val="22"/>
          <w:szCs w:val="22"/>
          <w:lang w:val="ru-RU"/>
        </w:rPr>
        <w:t xml:space="preserve"> </w:t>
      </w:r>
      <w:r w:rsidR="006B68BE">
        <w:rPr>
          <w:kern w:val="22"/>
          <w:szCs w:val="22"/>
          <w:lang w:val="ru-RU"/>
        </w:rPr>
        <w:t>Посредством</w:t>
      </w:r>
      <w:r w:rsidR="006B68BE" w:rsidRPr="00E33B19">
        <w:rPr>
          <w:kern w:val="22"/>
          <w:szCs w:val="22"/>
          <w:lang w:val="ru-RU"/>
        </w:rPr>
        <w:t xml:space="preserve"> </w:t>
      </w:r>
      <w:r w:rsidR="006B68BE">
        <w:rPr>
          <w:kern w:val="22"/>
          <w:szCs w:val="22"/>
          <w:lang w:val="ru-RU"/>
        </w:rPr>
        <w:t>уведомления</w:t>
      </w:r>
      <w:r w:rsidR="004569FB" w:rsidRPr="00E33B19">
        <w:rPr>
          <w:kern w:val="22"/>
          <w:szCs w:val="22"/>
          <w:lang w:val="ru-RU"/>
        </w:rPr>
        <w:t xml:space="preserve"> 2019-92</w:t>
      </w:r>
      <w:r w:rsidR="006B68BE" w:rsidRPr="00E33B19">
        <w:rPr>
          <w:kern w:val="22"/>
          <w:szCs w:val="22"/>
          <w:lang w:val="ru-RU"/>
        </w:rPr>
        <w:t xml:space="preserve"> </w:t>
      </w:r>
      <w:r w:rsidR="006B68BE">
        <w:rPr>
          <w:kern w:val="22"/>
          <w:szCs w:val="22"/>
          <w:lang w:val="ru-RU"/>
        </w:rPr>
        <w:t>от</w:t>
      </w:r>
      <w:r w:rsidR="004569FB" w:rsidRPr="00E33B19">
        <w:rPr>
          <w:kern w:val="22"/>
          <w:szCs w:val="22"/>
          <w:lang w:val="ru-RU"/>
        </w:rPr>
        <w:t xml:space="preserve"> 21 </w:t>
      </w:r>
      <w:r w:rsidR="006B68BE">
        <w:rPr>
          <w:kern w:val="22"/>
          <w:szCs w:val="22"/>
          <w:lang w:val="ru-RU"/>
        </w:rPr>
        <w:t>октября</w:t>
      </w:r>
      <w:r w:rsidR="004569FB" w:rsidRPr="00E33B19">
        <w:rPr>
          <w:kern w:val="22"/>
          <w:szCs w:val="22"/>
          <w:lang w:val="ru-RU"/>
        </w:rPr>
        <w:t xml:space="preserve"> 2019</w:t>
      </w:r>
      <w:r w:rsidR="006B68BE" w:rsidRPr="00E33B19">
        <w:rPr>
          <w:kern w:val="22"/>
          <w:szCs w:val="22"/>
          <w:lang w:val="ru-RU"/>
        </w:rPr>
        <w:t xml:space="preserve"> </w:t>
      </w:r>
      <w:r w:rsidR="006B68BE">
        <w:rPr>
          <w:kern w:val="22"/>
          <w:szCs w:val="22"/>
          <w:lang w:val="ru-RU"/>
        </w:rPr>
        <w:t>года</w:t>
      </w:r>
      <w:r w:rsidR="006B68BE" w:rsidRPr="00E33B19">
        <w:rPr>
          <w:kern w:val="22"/>
          <w:szCs w:val="22"/>
          <w:lang w:val="ru-RU"/>
        </w:rPr>
        <w:t xml:space="preserve"> </w:t>
      </w:r>
      <w:r w:rsidR="006B68BE">
        <w:rPr>
          <w:kern w:val="22"/>
          <w:szCs w:val="22"/>
          <w:lang w:val="ru-RU"/>
        </w:rPr>
        <w:t>Сторон</w:t>
      </w:r>
      <w:r w:rsidR="00E33B19">
        <w:rPr>
          <w:kern w:val="22"/>
          <w:szCs w:val="22"/>
          <w:lang w:val="ru-RU"/>
        </w:rPr>
        <w:t>ам было предложено ответить на</w:t>
      </w:r>
      <w:r w:rsidR="003C418D">
        <w:rPr>
          <w:kern w:val="22"/>
          <w:szCs w:val="22"/>
          <w:lang w:val="ru-RU"/>
        </w:rPr>
        <w:t xml:space="preserve"> вопросы</w:t>
      </w:r>
      <w:r w:rsidR="00E33B19">
        <w:rPr>
          <w:kern w:val="22"/>
          <w:szCs w:val="22"/>
          <w:lang w:val="ru-RU"/>
        </w:rPr>
        <w:t xml:space="preserve"> Обследовани</w:t>
      </w:r>
      <w:r w:rsidR="003C418D">
        <w:rPr>
          <w:kern w:val="22"/>
          <w:szCs w:val="22"/>
          <w:lang w:val="ru-RU"/>
        </w:rPr>
        <w:t>я</w:t>
      </w:r>
      <w:r w:rsidR="006B68BE" w:rsidRPr="00E33B19">
        <w:rPr>
          <w:kern w:val="22"/>
          <w:szCs w:val="22"/>
          <w:lang w:val="ru-RU"/>
        </w:rPr>
        <w:t xml:space="preserve"> </w:t>
      </w:r>
      <w:r w:rsidR="00E33B19">
        <w:rPr>
          <w:iCs/>
          <w:kern w:val="22"/>
          <w:lang w:val="ru-RU"/>
        </w:rPr>
        <w:t>по программе работы по статье</w:t>
      </w:r>
      <w:r w:rsidR="00E33B19" w:rsidRPr="006B68BE">
        <w:rPr>
          <w:iCs/>
          <w:kern w:val="22"/>
          <w:lang w:val="ru-RU"/>
        </w:rPr>
        <w:t xml:space="preserve"> </w:t>
      </w:r>
      <w:r w:rsidR="002E2022" w:rsidRPr="00E33B19">
        <w:rPr>
          <w:kern w:val="22"/>
          <w:szCs w:val="22"/>
          <w:lang w:val="ru-RU"/>
        </w:rPr>
        <w:t>23</w:t>
      </w:r>
      <w:r w:rsidR="004569FB" w:rsidRPr="00E33B19">
        <w:rPr>
          <w:kern w:val="22"/>
          <w:szCs w:val="22"/>
          <w:lang w:val="ru-RU"/>
        </w:rPr>
        <w:t xml:space="preserve">. </w:t>
      </w:r>
      <w:r w:rsidR="00E33B19">
        <w:rPr>
          <w:kern w:val="22"/>
          <w:szCs w:val="22"/>
          <w:lang w:val="ru-RU"/>
        </w:rPr>
        <w:t>В</w:t>
      </w:r>
      <w:r w:rsidR="00E33B19" w:rsidRPr="00E33B19">
        <w:rPr>
          <w:kern w:val="22"/>
          <w:szCs w:val="22"/>
          <w:lang w:val="ru-RU"/>
        </w:rPr>
        <w:t xml:space="preserve"> </w:t>
      </w:r>
      <w:r w:rsidR="00E33B19">
        <w:rPr>
          <w:kern w:val="22"/>
          <w:szCs w:val="22"/>
          <w:lang w:val="ru-RU"/>
        </w:rPr>
        <w:t>общей</w:t>
      </w:r>
      <w:r w:rsidR="00E33B19" w:rsidRPr="00E33B19">
        <w:rPr>
          <w:kern w:val="22"/>
          <w:szCs w:val="22"/>
          <w:lang w:val="ru-RU"/>
        </w:rPr>
        <w:t xml:space="preserve"> </w:t>
      </w:r>
      <w:r w:rsidR="00E33B19">
        <w:rPr>
          <w:kern w:val="22"/>
          <w:szCs w:val="22"/>
          <w:lang w:val="ru-RU"/>
        </w:rPr>
        <w:t>сложности</w:t>
      </w:r>
      <w:r w:rsidR="004569FB" w:rsidRPr="00E33B19">
        <w:rPr>
          <w:kern w:val="22"/>
          <w:szCs w:val="22"/>
          <w:lang w:val="ru-RU"/>
        </w:rPr>
        <w:t xml:space="preserve"> 56 </w:t>
      </w:r>
      <w:r w:rsidR="00E33B19">
        <w:rPr>
          <w:kern w:val="22"/>
          <w:szCs w:val="22"/>
          <w:lang w:val="ru-RU"/>
        </w:rPr>
        <w:t>респондентов</w:t>
      </w:r>
      <w:r w:rsidR="00E33B19" w:rsidRPr="00E33B19">
        <w:rPr>
          <w:kern w:val="22"/>
          <w:szCs w:val="22"/>
          <w:lang w:val="ru-RU"/>
        </w:rPr>
        <w:t xml:space="preserve"> </w:t>
      </w:r>
      <w:r w:rsidR="003C418D">
        <w:rPr>
          <w:kern w:val="22"/>
          <w:szCs w:val="22"/>
          <w:lang w:val="ru-RU"/>
        </w:rPr>
        <w:t>приняли участие в</w:t>
      </w:r>
      <w:r w:rsidR="00E33B19" w:rsidRPr="00E33B19">
        <w:rPr>
          <w:kern w:val="22"/>
          <w:szCs w:val="22"/>
          <w:lang w:val="ru-RU"/>
        </w:rPr>
        <w:t xml:space="preserve"> </w:t>
      </w:r>
      <w:r w:rsidR="003C418D">
        <w:rPr>
          <w:kern w:val="22"/>
          <w:szCs w:val="22"/>
          <w:lang w:val="ru-RU"/>
        </w:rPr>
        <w:t>Обследовании</w:t>
      </w:r>
      <w:r w:rsidR="00E33B19" w:rsidRPr="00E33B19">
        <w:rPr>
          <w:kern w:val="22"/>
          <w:szCs w:val="22"/>
          <w:lang w:val="ru-RU"/>
        </w:rPr>
        <w:t xml:space="preserve"> </w:t>
      </w:r>
      <w:r w:rsidR="00E33B19">
        <w:rPr>
          <w:kern w:val="22"/>
          <w:szCs w:val="22"/>
          <w:lang w:val="ru-RU"/>
        </w:rPr>
        <w:t>по</w:t>
      </w:r>
      <w:r w:rsidR="00E33B19" w:rsidRPr="00E33B19">
        <w:rPr>
          <w:kern w:val="22"/>
          <w:szCs w:val="22"/>
          <w:lang w:val="ru-RU"/>
        </w:rPr>
        <w:t xml:space="preserve"> </w:t>
      </w:r>
      <w:r w:rsidR="00E33B19">
        <w:rPr>
          <w:kern w:val="22"/>
          <w:szCs w:val="22"/>
          <w:lang w:val="ru-RU"/>
        </w:rPr>
        <w:t>программе</w:t>
      </w:r>
      <w:r w:rsidR="00E33B19" w:rsidRPr="00E33B19">
        <w:rPr>
          <w:kern w:val="22"/>
          <w:szCs w:val="22"/>
          <w:lang w:val="ru-RU"/>
        </w:rPr>
        <w:t xml:space="preserve"> </w:t>
      </w:r>
      <w:r w:rsidR="00E33B19">
        <w:rPr>
          <w:kern w:val="22"/>
          <w:szCs w:val="22"/>
          <w:lang w:val="ru-RU"/>
        </w:rPr>
        <w:t>работы</w:t>
      </w:r>
      <w:r w:rsidR="004569FB" w:rsidRPr="00E33B19">
        <w:rPr>
          <w:kern w:val="22"/>
          <w:szCs w:val="22"/>
          <w:lang w:val="ru-RU"/>
        </w:rPr>
        <w:t xml:space="preserve">, 38 </w:t>
      </w:r>
      <w:r w:rsidR="00E33B19">
        <w:rPr>
          <w:kern w:val="22"/>
          <w:szCs w:val="22"/>
          <w:lang w:val="ru-RU"/>
        </w:rPr>
        <w:t xml:space="preserve">из которых были национальными координационными центрами </w:t>
      </w:r>
      <w:r w:rsidR="003C418D">
        <w:rPr>
          <w:kern w:val="22"/>
          <w:szCs w:val="22"/>
          <w:lang w:val="ru-RU"/>
        </w:rPr>
        <w:t>по Протоколу</w:t>
      </w:r>
      <w:r w:rsidR="00E33B19">
        <w:rPr>
          <w:kern w:val="22"/>
          <w:szCs w:val="22"/>
          <w:lang w:val="ru-RU"/>
        </w:rPr>
        <w:t xml:space="preserve"> или </w:t>
      </w:r>
      <w:proofErr w:type="spellStart"/>
      <w:r w:rsidR="00E33B19">
        <w:rPr>
          <w:kern w:val="22"/>
          <w:szCs w:val="22"/>
          <w:lang w:val="ru-RU"/>
        </w:rPr>
        <w:t>МПБ</w:t>
      </w:r>
      <w:proofErr w:type="spellEnd"/>
      <w:r w:rsidR="004569FB" w:rsidRPr="00E33B19">
        <w:rPr>
          <w:kern w:val="22"/>
          <w:szCs w:val="22"/>
          <w:lang w:val="ru-RU"/>
        </w:rPr>
        <w:t xml:space="preserve">. </w:t>
      </w:r>
      <w:r w:rsidR="00E33B19">
        <w:rPr>
          <w:kern w:val="22"/>
          <w:szCs w:val="22"/>
          <w:lang w:val="ru-RU"/>
        </w:rPr>
        <w:t>Информация</w:t>
      </w:r>
      <w:r w:rsidR="00E33B19" w:rsidRPr="00E33B19">
        <w:rPr>
          <w:kern w:val="22"/>
          <w:szCs w:val="22"/>
          <w:lang w:val="ru-RU"/>
        </w:rPr>
        <w:t xml:space="preserve">, </w:t>
      </w:r>
      <w:r w:rsidR="00E33B19">
        <w:rPr>
          <w:kern w:val="22"/>
          <w:szCs w:val="22"/>
          <w:lang w:val="ru-RU"/>
        </w:rPr>
        <w:t>представленная</w:t>
      </w:r>
      <w:r w:rsidR="00E33B19" w:rsidRPr="00E33B19">
        <w:rPr>
          <w:kern w:val="22"/>
          <w:szCs w:val="22"/>
          <w:lang w:val="ru-RU"/>
        </w:rPr>
        <w:t xml:space="preserve"> </w:t>
      </w:r>
      <w:r w:rsidR="00E33B19">
        <w:rPr>
          <w:kern w:val="22"/>
          <w:szCs w:val="22"/>
          <w:lang w:val="ru-RU"/>
        </w:rPr>
        <w:t>этими</w:t>
      </w:r>
      <w:r w:rsidR="00E33B19" w:rsidRPr="00E33B19">
        <w:rPr>
          <w:kern w:val="22"/>
          <w:szCs w:val="22"/>
          <w:lang w:val="ru-RU"/>
        </w:rPr>
        <w:t xml:space="preserve"> </w:t>
      </w:r>
      <w:r w:rsidR="00E33B19">
        <w:rPr>
          <w:kern w:val="22"/>
          <w:szCs w:val="22"/>
          <w:lang w:val="ru-RU"/>
        </w:rPr>
        <w:t>Сторонами</w:t>
      </w:r>
      <w:r w:rsidR="00E33B19" w:rsidRPr="00E33B19">
        <w:rPr>
          <w:kern w:val="22"/>
          <w:szCs w:val="22"/>
          <w:lang w:val="ru-RU"/>
        </w:rPr>
        <w:t xml:space="preserve">, </w:t>
      </w:r>
      <w:r w:rsidR="00E33B19">
        <w:rPr>
          <w:kern w:val="22"/>
          <w:szCs w:val="22"/>
          <w:lang w:val="ru-RU"/>
        </w:rPr>
        <w:t>отражена</w:t>
      </w:r>
      <w:r w:rsidR="00E33B19" w:rsidRPr="00E33B19">
        <w:rPr>
          <w:kern w:val="22"/>
          <w:szCs w:val="22"/>
          <w:lang w:val="ru-RU"/>
        </w:rPr>
        <w:t xml:space="preserve"> </w:t>
      </w:r>
      <w:r w:rsidR="00E33B19">
        <w:rPr>
          <w:kern w:val="22"/>
          <w:szCs w:val="22"/>
          <w:lang w:val="ru-RU"/>
        </w:rPr>
        <w:t>в</w:t>
      </w:r>
      <w:r w:rsidR="00E33B19" w:rsidRPr="00E33B19">
        <w:rPr>
          <w:kern w:val="22"/>
          <w:szCs w:val="22"/>
          <w:lang w:val="ru-RU"/>
        </w:rPr>
        <w:t xml:space="preserve"> </w:t>
      </w:r>
      <w:r w:rsidR="00E33B19">
        <w:rPr>
          <w:kern w:val="22"/>
          <w:szCs w:val="22"/>
          <w:lang w:val="ru-RU"/>
        </w:rPr>
        <w:t>подразделах</w:t>
      </w:r>
      <w:r w:rsidR="00E33B19" w:rsidRPr="00E33B19">
        <w:rPr>
          <w:kern w:val="22"/>
          <w:szCs w:val="22"/>
          <w:lang w:val="ru-RU"/>
        </w:rPr>
        <w:t xml:space="preserve"> </w:t>
      </w:r>
      <w:r w:rsidR="004569FB" w:rsidRPr="00DB5643">
        <w:rPr>
          <w:kern w:val="22"/>
          <w:szCs w:val="22"/>
        </w:rPr>
        <w:t>K</w:t>
      </w:r>
      <w:r w:rsidR="004569FB" w:rsidRPr="00E33B19">
        <w:rPr>
          <w:kern w:val="22"/>
          <w:szCs w:val="22"/>
          <w:lang w:val="ru-RU"/>
        </w:rPr>
        <w:t xml:space="preserve"> </w:t>
      </w:r>
      <w:r w:rsidR="00E33B19">
        <w:rPr>
          <w:kern w:val="22"/>
          <w:szCs w:val="22"/>
          <w:lang w:val="ru-RU"/>
        </w:rPr>
        <w:t>и</w:t>
      </w:r>
      <w:r w:rsidR="004569FB" w:rsidRPr="00E33B19">
        <w:rPr>
          <w:kern w:val="22"/>
          <w:szCs w:val="22"/>
          <w:lang w:val="ru-RU"/>
        </w:rPr>
        <w:t xml:space="preserve"> </w:t>
      </w:r>
      <w:r w:rsidR="004569FB" w:rsidRPr="00DB5643">
        <w:rPr>
          <w:kern w:val="22"/>
          <w:szCs w:val="22"/>
        </w:rPr>
        <w:t>L</w:t>
      </w:r>
      <w:r w:rsidR="004569FB" w:rsidRPr="00E33B19">
        <w:rPr>
          <w:kern w:val="22"/>
          <w:szCs w:val="22"/>
          <w:lang w:val="ru-RU"/>
        </w:rPr>
        <w:t xml:space="preserve"> </w:t>
      </w:r>
      <w:r w:rsidR="00E33B19">
        <w:rPr>
          <w:kern w:val="22"/>
          <w:szCs w:val="22"/>
          <w:lang w:val="ru-RU"/>
        </w:rPr>
        <w:t>настоящего документа</w:t>
      </w:r>
      <w:r w:rsidR="004569FB" w:rsidRPr="00E33B19">
        <w:rPr>
          <w:kern w:val="22"/>
          <w:szCs w:val="22"/>
          <w:lang w:val="ru-RU"/>
        </w:rPr>
        <w:t xml:space="preserve">. </w:t>
      </w:r>
    </w:p>
    <w:p w14:paraId="7E68BCA8" w14:textId="132D8C56" w:rsidR="004569FB" w:rsidRPr="003926D8" w:rsidRDefault="006E0230" w:rsidP="000A5388">
      <w:pPr>
        <w:keepNext/>
        <w:suppressLineNumbers/>
        <w:suppressAutoHyphens/>
        <w:spacing w:before="120" w:after="120"/>
        <w:textAlignment w:val="baseline"/>
        <w:outlineLvl w:val="2"/>
        <w:rPr>
          <w:b/>
          <w:iCs/>
          <w:snapToGrid w:val="0"/>
          <w:kern w:val="22"/>
          <w:szCs w:val="22"/>
          <w:lang w:val="ru-RU"/>
        </w:rPr>
      </w:pPr>
      <w:r>
        <w:rPr>
          <w:b/>
          <w:iCs/>
          <w:snapToGrid w:val="0"/>
          <w:kern w:val="22"/>
          <w:szCs w:val="22"/>
          <w:lang w:val="ru-RU"/>
        </w:rPr>
        <w:t>Оперативная</w:t>
      </w:r>
      <w:r w:rsidRPr="003926D8">
        <w:rPr>
          <w:b/>
          <w:iCs/>
          <w:snapToGrid w:val="0"/>
          <w:kern w:val="22"/>
          <w:szCs w:val="22"/>
          <w:lang w:val="ru-RU"/>
        </w:rPr>
        <w:t xml:space="preserve"> </w:t>
      </w:r>
      <w:r>
        <w:rPr>
          <w:b/>
          <w:iCs/>
          <w:snapToGrid w:val="0"/>
          <w:kern w:val="22"/>
          <w:szCs w:val="22"/>
          <w:lang w:val="ru-RU"/>
        </w:rPr>
        <w:t>цель</w:t>
      </w:r>
      <w:r w:rsidR="004569FB" w:rsidRPr="003926D8">
        <w:rPr>
          <w:b/>
          <w:iCs/>
          <w:snapToGrid w:val="0"/>
          <w:kern w:val="22"/>
          <w:szCs w:val="22"/>
          <w:lang w:val="ru-RU"/>
        </w:rPr>
        <w:t xml:space="preserve"> 2.5</w:t>
      </w:r>
      <w:r w:rsidRPr="003926D8">
        <w:rPr>
          <w:b/>
          <w:iCs/>
          <w:snapToGrid w:val="0"/>
          <w:kern w:val="22"/>
          <w:szCs w:val="22"/>
          <w:lang w:val="ru-RU"/>
        </w:rPr>
        <w:t>.</w:t>
      </w:r>
      <w:r w:rsidR="004569FB" w:rsidRPr="003926D8">
        <w:rPr>
          <w:b/>
          <w:iCs/>
          <w:snapToGrid w:val="0"/>
          <w:kern w:val="22"/>
          <w:szCs w:val="22"/>
          <w:lang w:val="ru-RU"/>
        </w:rPr>
        <w:t xml:space="preserve"> </w:t>
      </w:r>
      <w:r w:rsidRPr="006E0230">
        <w:rPr>
          <w:b/>
          <w:iCs/>
          <w:snapToGrid w:val="0"/>
          <w:kern w:val="22"/>
          <w:szCs w:val="22"/>
          <w:lang w:val="ru-RU"/>
        </w:rPr>
        <w:t>Осведомленность, просвещение и участие общественности</w:t>
      </w:r>
    </w:p>
    <w:p w14:paraId="131A75B7" w14:textId="07E185A4" w:rsidR="004569FB" w:rsidRPr="00162417" w:rsidRDefault="00162417"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162417">
        <w:rPr>
          <w:snapToGrid w:val="0"/>
          <w:kern w:val="22"/>
          <w:szCs w:val="22"/>
          <w:lang w:val="ru-RU"/>
        </w:rPr>
        <w:t xml:space="preserve">Оперативная цель 2.5 предусматривает расширение возможностей Сторон </w:t>
      </w:r>
      <w:r>
        <w:rPr>
          <w:snapToGrid w:val="0"/>
          <w:kern w:val="22"/>
          <w:szCs w:val="22"/>
          <w:lang w:val="ru-RU"/>
        </w:rPr>
        <w:t xml:space="preserve">по </w:t>
      </w:r>
      <w:r w:rsidRPr="00162417">
        <w:rPr>
          <w:snapToGrid w:val="0"/>
          <w:kern w:val="22"/>
          <w:szCs w:val="22"/>
          <w:lang w:val="ru-RU"/>
        </w:rPr>
        <w:t>повыш</w:t>
      </w:r>
      <w:r>
        <w:rPr>
          <w:snapToGrid w:val="0"/>
          <w:kern w:val="22"/>
          <w:szCs w:val="22"/>
          <w:lang w:val="ru-RU"/>
        </w:rPr>
        <w:t>ению</w:t>
      </w:r>
      <w:r w:rsidRPr="00162417">
        <w:rPr>
          <w:snapToGrid w:val="0"/>
          <w:kern w:val="22"/>
          <w:szCs w:val="22"/>
          <w:lang w:val="ru-RU"/>
        </w:rPr>
        <w:t xml:space="preserve"> осведомленност</w:t>
      </w:r>
      <w:r>
        <w:rPr>
          <w:snapToGrid w:val="0"/>
          <w:kern w:val="22"/>
          <w:szCs w:val="22"/>
          <w:lang w:val="ru-RU"/>
        </w:rPr>
        <w:t>и</w:t>
      </w:r>
      <w:r w:rsidRPr="00162417">
        <w:rPr>
          <w:snapToGrid w:val="0"/>
          <w:kern w:val="22"/>
          <w:szCs w:val="22"/>
          <w:lang w:val="ru-RU"/>
        </w:rPr>
        <w:t xml:space="preserve"> общественности и стимулирова</w:t>
      </w:r>
      <w:r>
        <w:rPr>
          <w:snapToGrid w:val="0"/>
          <w:kern w:val="22"/>
          <w:szCs w:val="22"/>
          <w:lang w:val="ru-RU"/>
        </w:rPr>
        <w:t>нию</w:t>
      </w:r>
      <w:r w:rsidRPr="00162417">
        <w:rPr>
          <w:snapToGrid w:val="0"/>
          <w:kern w:val="22"/>
          <w:szCs w:val="22"/>
          <w:lang w:val="ru-RU"/>
        </w:rPr>
        <w:t xml:space="preserve"> просвещени</w:t>
      </w:r>
      <w:r>
        <w:rPr>
          <w:snapToGrid w:val="0"/>
          <w:kern w:val="22"/>
          <w:szCs w:val="22"/>
          <w:lang w:val="ru-RU"/>
        </w:rPr>
        <w:t>я</w:t>
      </w:r>
      <w:r w:rsidRPr="00162417">
        <w:rPr>
          <w:snapToGrid w:val="0"/>
          <w:kern w:val="22"/>
          <w:szCs w:val="22"/>
          <w:lang w:val="ru-RU"/>
        </w:rPr>
        <w:t xml:space="preserve"> и участи</w:t>
      </w:r>
      <w:r>
        <w:rPr>
          <w:snapToGrid w:val="0"/>
          <w:kern w:val="22"/>
          <w:szCs w:val="22"/>
          <w:lang w:val="ru-RU"/>
        </w:rPr>
        <w:t>я</w:t>
      </w:r>
      <w:r w:rsidRPr="00162417">
        <w:rPr>
          <w:snapToGrid w:val="0"/>
          <w:kern w:val="22"/>
          <w:szCs w:val="22"/>
          <w:lang w:val="ru-RU"/>
        </w:rPr>
        <w:t xml:space="preserve"> общественности в области безопасной передачи, обработки и использования </w:t>
      </w:r>
      <w:proofErr w:type="spellStart"/>
      <w:r w:rsidRPr="00162417">
        <w:rPr>
          <w:snapToGrid w:val="0"/>
          <w:kern w:val="22"/>
          <w:szCs w:val="22"/>
          <w:lang w:val="ru-RU"/>
        </w:rPr>
        <w:t>ЖИО</w:t>
      </w:r>
      <w:proofErr w:type="spellEnd"/>
      <w:r w:rsidRPr="00162417">
        <w:rPr>
          <w:snapToGrid w:val="0"/>
          <w:kern w:val="22"/>
          <w:szCs w:val="22"/>
          <w:lang w:val="ru-RU"/>
        </w:rPr>
        <w:t>. Было установлено три индикатора для оценки достигнутых результатов выполнения данной цели</w:t>
      </w:r>
      <w:r w:rsidR="004569FB" w:rsidRPr="00162417">
        <w:rPr>
          <w:snapToGrid w:val="0"/>
          <w:kern w:val="22"/>
          <w:szCs w:val="22"/>
          <w:lang w:val="ru-RU"/>
        </w:rPr>
        <w:t>.</w:t>
      </w:r>
    </w:p>
    <w:p w14:paraId="7922AA8B" w14:textId="6BA1DBA0" w:rsidR="004569FB" w:rsidRPr="00162417" w:rsidRDefault="00162417" w:rsidP="004569FB">
      <w:pPr>
        <w:pStyle w:val="Para1"/>
        <w:numPr>
          <w:ilvl w:val="0"/>
          <w:numId w:val="9"/>
        </w:numPr>
        <w:tabs>
          <w:tab w:val="clear" w:pos="3240"/>
        </w:tabs>
        <w:spacing w:before="120"/>
        <w:ind w:left="0" w:firstLine="0"/>
        <w:rPr>
          <w:iCs/>
          <w:kern w:val="22"/>
          <w:szCs w:val="22"/>
          <w:lang w:val="ru-RU"/>
        </w:rPr>
      </w:pPr>
      <w:r>
        <w:rPr>
          <w:kern w:val="22"/>
          <w:szCs w:val="22"/>
          <w:lang w:val="ru-RU"/>
        </w:rPr>
        <w:t>В</w:t>
      </w:r>
      <w:r w:rsidRPr="00162417">
        <w:rPr>
          <w:kern w:val="22"/>
          <w:szCs w:val="22"/>
          <w:lang w:val="ru-RU"/>
        </w:rPr>
        <w:t xml:space="preserve"> </w:t>
      </w:r>
      <w:r>
        <w:rPr>
          <w:kern w:val="22"/>
          <w:szCs w:val="22"/>
          <w:lang w:val="ru-RU"/>
        </w:rPr>
        <w:t>отношении</w:t>
      </w:r>
      <w:r w:rsidR="004569FB" w:rsidRPr="00162417">
        <w:rPr>
          <w:kern w:val="22"/>
          <w:szCs w:val="22"/>
          <w:lang w:val="ru-RU"/>
        </w:rPr>
        <w:t xml:space="preserve"> </w:t>
      </w:r>
      <w:r>
        <w:rPr>
          <w:b/>
          <w:kern w:val="22"/>
          <w:szCs w:val="22"/>
          <w:lang w:val="ru-RU"/>
        </w:rPr>
        <w:t>индикатора</w:t>
      </w:r>
      <w:r w:rsidR="004569FB" w:rsidRPr="00162417">
        <w:rPr>
          <w:b/>
          <w:kern w:val="22"/>
          <w:szCs w:val="22"/>
          <w:lang w:val="ru-RU"/>
        </w:rPr>
        <w:t xml:space="preserve"> 2.5.1</w:t>
      </w:r>
      <w:r w:rsidR="004569FB" w:rsidRPr="00162417">
        <w:rPr>
          <w:kern w:val="22"/>
          <w:szCs w:val="22"/>
          <w:lang w:val="ru-RU"/>
        </w:rPr>
        <w:t xml:space="preserve"> </w:t>
      </w:r>
      <w:r w:rsidR="004569FB" w:rsidRPr="00162417">
        <w:rPr>
          <w:iCs/>
          <w:kern w:val="22"/>
          <w:szCs w:val="22"/>
          <w:lang w:val="ru-RU"/>
        </w:rPr>
        <w:t>(</w:t>
      </w:r>
      <w:r>
        <w:rPr>
          <w:iCs/>
          <w:kern w:val="22"/>
          <w:szCs w:val="22"/>
          <w:lang w:val="ru-RU"/>
        </w:rPr>
        <w:t>п</w:t>
      </w:r>
      <w:r w:rsidRPr="00162417">
        <w:rPr>
          <w:iCs/>
          <w:kern w:val="22"/>
          <w:szCs w:val="22"/>
          <w:lang w:val="ru-RU"/>
        </w:rPr>
        <w:t xml:space="preserve">роцентная доля Сторон, внедривших механизмы для обеспечения участия общественности в процессах принятия решений о </w:t>
      </w:r>
      <w:proofErr w:type="spellStart"/>
      <w:r w:rsidRPr="00162417">
        <w:rPr>
          <w:iCs/>
          <w:kern w:val="22"/>
          <w:szCs w:val="22"/>
          <w:lang w:val="ru-RU"/>
        </w:rPr>
        <w:t>ЖИО</w:t>
      </w:r>
      <w:proofErr w:type="spellEnd"/>
      <w:r w:rsidRPr="00162417">
        <w:rPr>
          <w:iCs/>
          <w:kern w:val="22"/>
          <w:szCs w:val="22"/>
          <w:lang w:val="ru-RU"/>
        </w:rPr>
        <w:t xml:space="preserve"> не</w:t>
      </w:r>
      <w:r>
        <w:rPr>
          <w:iCs/>
          <w:kern w:val="22"/>
          <w:szCs w:val="22"/>
          <w:lang w:val="ru-RU"/>
        </w:rPr>
        <w:t xml:space="preserve"> позднее чем через </w:t>
      </w:r>
      <w:r w:rsidR="00DD6B97">
        <w:rPr>
          <w:iCs/>
          <w:kern w:val="22"/>
          <w:szCs w:val="22"/>
          <w:lang w:val="ru-RU"/>
        </w:rPr>
        <w:t>шесть</w:t>
      </w:r>
      <w:r>
        <w:rPr>
          <w:iCs/>
          <w:kern w:val="22"/>
          <w:szCs w:val="22"/>
          <w:lang w:val="ru-RU"/>
        </w:rPr>
        <w:t xml:space="preserve"> лет после присоединения к Протоколу</w:t>
      </w:r>
      <w:r w:rsidRPr="00162417">
        <w:rPr>
          <w:iCs/>
          <w:kern w:val="22"/>
          <w:szCs w:val="22"/>
          <w:lang w:val="ru-RU"/>
        </w:rPr>
        <w:t>/ратификации Протокола</w:t>
      </w:r>
      <w:r>
        <w:rPr>
          <w:iCs/>
          <w:kern w:val="22"/>
          <w:szCs w:val="22"/>
          <w:lang w:val="ru-RU"/>
        </w:rPr>
        <w:t>)</w:t>
      </w:r>
      <w:r w:rsidR="004569FB" w:rsidRPr="00162417">
        <w:rPr>
          <w:iCs/>
          <w:kern w:val="22"/>
          <w:szCs w:val="22"/>
          <w:lang w:val="ru-RU"/>
        </w:rPr>
        <w:t xml:space="preserve"> 62</w:t>
      </w:r>
      <w:r>
        <w:rPr>
          <w:iCs/>
          <w:kern w:val="22"/>
          <w:szCs w:val="22"/>
          <w:lang w:val="ru-RU"/>
        </w:rPr>
        <w:t> </w:t>
      </w:r>
      <w:r w:rsidR="004569FB" w:rsidRPr="00162417">
        <w:rPr>
          <w:iCs/>
          <w:kern w:val="22"/>
          <w:szCs w:val="22"/>
          <w:lang w:val="ru-RU"/>
        </w:rPr>
        <w:t xml:space="preserve">% </w:t>
      </w:r>
      <w:r>
        <w:rPr>
          <w:iCs/>
          <w:kern w:val="22"/>
          <w:szCs w:val="22"/>
          <w:lang w:val="ru-RU"/>
        </w:rPr>
        <w:t>Сторон</w:t>
      </w:r>
      <w:r w:rsidR="00383744" w:rsidRPr="00162417">
        <w:rPr>
          <w:iCs/>
          <w:kern w:val="22"/>
          <w:szCs w:val="22"/>
          <w:lang w:val="ru-RU"/>
        </w:rPr>
        <w:t xml:space="preserve"> (58 </w:t>
      </w:r>
      <w:r>
        <w:rPr>
          <w:iCs/>
          <w:kern w:val="22"/>
          <w:szCs w:val="22"/>
          <w:lang w:val="ru-RU"/>
        </w:rPr>
        <w:t>Сторон</w:t>
      </w:r>
      <w:r w:rsidR="00383744" w:rsidRPr="00162417">
        <w:rPr>
          <w:iCs/>
          <w:kern w:val="22"/>
          <w:szCs w:val="22"/>
          <w:lang w:val="ru-RU"/>
        </w:rPr>
        <w:t>)</w:t>
      </w:r>
      <w:r w:rsidR="004569FB" w:rsidRPr="00162417">
        <w:rPr>
          <w:iCs/>
          <w:kern w:val="22"/>
          <w:szCs w:val="22"/>
          <w:lang w:val="ru-RU"/>
        </w:rPr>
        <w:t xml:space="preserve"> </w:t>
      </w:r>
      <w:r>
        <w:rPr>
          <w:iCs/>
          <w:kern w:val="22"/>
          <w:szCs w:val="22"/>
          <w:lang w:val="ru-RU"/>
        </w:rPr>
        <w:t xml:space="preserve">сообщили о внедрении механизма </w:t>
      </w:r>
      <w:r w:rsidRPr="00162417">
        <w:rPr>
          <w:iCs/>
          <w:kern w:val="22"/>
          <w:szCs w:val="22"/>
          <w:lang w:val="ru-RU"/>
        </w:rPr>
        <w:t xml:space="preserve">консультирования с общественностью в процессе принятия решений о </w:t>
      </w:r>
      <w:proofErr w:type="spellStart"/>
      <w:r w:rsidRPr="00162417">
        <w:rPr>
          <w:iCs/>
          <w:kern w:val="22"/>
          <w:szCs w:val="22"/>
          <w:lang w:val="ru-RU"/>
        </w:rPr>
        <w:t>ЖИО</w:t>
      </w:r>
      <w:proofErr w:type="spellEnd"/>
      <w:r w:rsidRPr="00162417">
        <w:rPr>
          <w:iCs/>
          <w:kern w:val="22"/>
          <w:szCs w:val="22"/>
          <w:lang w:val="ru-RU"/>
        </w:rPr>
        <w:t xml:space="preserve"> </w:t>
      </w:r>
      <w:r w:rsidR="0010058A" w:rsidRPr="00162417">
        <w:rPr>
          <w:iCs/>
          <w:kern w:val="22"/>
          <w:szCs w:val="22"/>
          <w:lang w:val="ru-RU"/>
        </w:rPr>
        <w:t>(+5</w:t>
      </w:r>
      <w:r>
        <w:rPr>
          <w:iCs/>
          <w:kern w:val="22"/>
          <w:szCs w:val="22"/>
          <w:lang w:val="ru-RU"/>
        </w:rPr>
        <w:t> </w:t>
      </w:r>
      <w:r w:rsidR="0010058A" w:rsidRPr="00162417">
        <w:rPr>
          <w:iCs/>
          <w:kern w:val="22"/>
          <w:szCs w:val="22"/>
          <w:lang w:val="ru-RU"/>
        </w:rPr>
        <w:t>%)</w:t>
      </w:r>
      <w:r w:rsidR="004569FB" w:rsidRPr="00162417">
        <w:rPr>
          <w:iCs/>
          <w:kern w:val="22"/>
          <w:szCs w:val="22"/>
          <w:lang w:val="ru-RU"/>
        </w:rPr>
        <w:t xml:space="preserve">. </w:t>
      </w:r>
      <w:r>
        <w:rPr>
          <w:iCs/>
          <w:kern w:val="22"/>
          <w:szCs w:val="22"/>
          <w:lang w:val="ru-RU"/>
        </w:rPr>
        <w:t>Кроме</w:t>
      </w:r>
      <w:r w:rsidRPr="00162417">
        <w:rPr>
          <w:iCs/>
          <w:kern w:val="22"/>
          <w:szCs w:val="22"/>
          <w:lang w:val="ru-RU"/>
        </w:rPr>
        <w:t xml:space="preserve"> </w:t>
      </w:r>
      <w:r>
        <w:rPr>
          <w:iCs/>
          <w:kern w:val="22"/>
          <w:szCs w:val="22"/>
          <w:lang w:val="ru-RU"/>
        </w:rPr>
        <w:t>того</w:t>
      </w:r>
      <w:r w:rsidR="004569FB" w:rsidRPr="00162417">
        <w:rPr>
          <w:iCs/>
          <w:kern w:val="22"/>
          <w:szCs w:val="22"/>
          <w:lang w:val="ru-RU"/>
        </w:rPr>
        <w:t>, 16</w:t>
      </w:r>
      <w:r w:rsidRPr="00162417">
        <w:rPr>
          <w:iCs/>
          <w:kern w:val="22"/>
          <w:szCs w:val="22"/>
          <w:lang w:val="en-US"/>
        </w:rPr>
        <w:t> </w:t>
      </w:r>
      <w:r w:rsidR="004569FB" w:rsidRPr="00162417">
        <w:rPr>
          <w:iCs/>
          <w:kern w:val="22"/>
          <w:szCs w:val="22"/>
          <w:lang w:val="ru-RU"/>
        </w:rPr>
        <w:t xml:space="preserve">% </w:t>
      </w:r>
      <w:r>
        <w:rPr>
          <w:iCs/>
          <w:kern w:val="22"/>
          <w:szCs w:val="22"/>
          <w:lang w:val="ru-RU"/>
        </w:rPr>
        <w:t>Сторон</w:t>
      </w:r>
      <w:r w:rsidRPr="00162417">
        <w:rPr>
          <w:iCs/>
          <w:kern w:val="22"/>
          <w:szCs w:val="22"/>
          <w:lang w:val="ru-RU"/>
        </w:rPr>
        <w:t xml:space="preserve"> </w:t>
      </w:r>
      <w:r>
        <w:rPr>
          <w:iCs/>
          <w:kern w:val="22"/>
          <w:szCs w:val="22"/>
          <w:lang w:val="ru-RU"/>
        </w:rPr>
        <w:t>сообщили о внедрении такого механизма в некоторой степени</w:t>
      </w:r>
      <w:r w:rsidR="0010058A" w:rsidRPr="00162417">
        <w:rPr>
          <w:iCs/>
          <w:kern w:val="22"/>
          <w:szCs w:val="22"/>
          <w:lang w:val="ru-RU"/>
        </w:rPr>
        <w:t xml:space="preserve"> (-1</w:t>
      </w:r>
      <w:r>
        <w:rPr>
          <w:iCs/>
          <w:kern w:val="22"/>
          <w:szCs w:val="22"/>
          <w:lang w:val="ru-RU"/>
        </w:rPr>
        <w:t> </w:t>
      </w:r>
      <w:r w:rsidR="0010058A" w:rsidRPr="00162417">
        <w:rPr>
          <w:iCs/>
          <w:kern w:val="22"/>
          <w:szCs w:val="22"/>
          <w:lang w:val="ru-RU"/>
        </w:rPr>
        <w:t>%)</w:t>
      </w:r>
      <w:r w:rsidR="004569FB" w:rsidRPr="00162417">
        <w:rPr>
          <w:iCs/>
          <w:kern w:val="22"/>
          <w:szCs w:val="22"/>
          <w:lang w:val="ru-RU"/>
        </w:rPr>
        <w:t xml:space="preserve">. </w:t>
      </w:r>
      <w:r>
        <w:rPr>
          <w:iCs/>
          <w:kern w:val="22"/>
          <w:szCs w:val="22"/>
          <w:lang w:val="ru-RU"/>
        </w:rPr>
        <w:t>На</w:t>
      </w:r>
      <w:r w:rsidRPr="00162417">
        <w:rPr>
          <w:iCs/>
          <w:kern w:val="22"/>
          <w:szCs w:val="22"/>
          <w:lang w:val="ru-RU"/>
        </w:rPr>
        <w:t xml:space="preserve"> </w:t>
      </w:r>
      <w:r>
        <w:rPr>
          <w:iCs/>
          <w:kern w:val="22"/>
          <w:szCs w:val="22"/>
          <w:lang w:val="ru-RU"/>
        </w:rPr>
        <w:t>региональном</w:t>
      </w:r>
      <w:r w:rsidRPr="00162417">
        <w:rPr>
          <w:iCs/>
          <w:kern w:val="22"/>
          <w:szCs w:val="22"/>
          <w:lang w:val="ru-RU"/>
        </w:rPr>
        <w:t xml:space="preserve"> </w:t>
      </w:r>
      <w:r>
        <w:rPr>
          <w:iCs/>
          <w:kern w:val="22"/>
          <w:szCs w:val="22"/>
          <w:lang w:val="ru-RU"/>
        </w:rPr>
        <w:t>уровне</w:t>
      </w:r>
      <w:r w:rsidRPr="00162417">
        <w:rPr>
          <w:iCs/>
          <w:kern w:val="22"/>
          <w:szCs w:val="22"/>
          <w:lang w:val="ru-RU"/>
        </w:rPr>
        <w:t xml:space="preserve"> </w:t>
      </w:r>
      <w:r w:rsidR="00DD6B97">
        <w:rPr>
          <w:iCs/>
          <w:kern w:val="22"/>
          <w:szCs w:val="22"/>
          <w:lang w:val="ru-RU"/>
        </w:rPr>
        <w:t xml:space="preserve">наблюдаются </w:t>
      </w:r>
      <w:r w:rsidR="00DD6B97">
        <w:rPr>
          <w:iCs/>
          <w:kern w:val="22"/>
          <w:szCs w:val="22"/>
          <w:lang w:val="ru-RU"/>
        </w:rPr>
        <w:t>значительные</w:t>
      </w:r>
      <w:r w:rsidR="00DD6B97" w:rsidRPr="00162417">
        <w:rPr>
          <w:iCs/>
          <w:kern w:val="22"/>
          <w:szCs w:val="22"/>
          <w:lang w:val="ru-RU"/>
        </w:rPr>
        <w:t xml:space="preserve"> </w:t>
      </w:r>
      <w:r w:rsidR="00DD6B97">
        <w:rPr>
          <w:iCs/>
          <w:kern w:val="22"/>
          <w:szCs w:val="22"/>
          <w:lang w:val="ru-RU"/>
        </w:rPr>
        <w:t>колебания</w:t>
      </w:r>
      <w:r w:rsidR="00DD6B97">
        <w:rPr>
          <w:iCs/>
          <w:kern w:val="22"/>
          <w:szCs w:val="22"/>
          <w:lang w:val="ru-RU"/>
        </w:rPr>
        <w:t xml:space="preserve"> </w:t>
      </w:r>
      <w:r>
        <w:rPr>
          <w:iCs/>
          <w:kern w:val="22"/>
          <w:szCs w:val="22"/>
          <w:lang w:val="ru-RU"/>
        </w:rPr>
        <w:t>эти</w:t>
      </w:r>
      <w:r w:rsidR="00DD6B97">
        <w:rPr>
          <w:iCs/>
          <w:kern w:val="22"/>
          <w:szCs w:val="22"/>
          <w:lang w:val="ru-RU"/>
        </w:rPr>
        <w:t xml:space="preserve">х </w:t>
      </w:r>
      <w:r>
        <w:rPr>
          <w:iCs/>
          <w:kern w:val="22"/>
          <w:szCs w:val="22"/>
          <w:lang w:val="ru-RU"/>
        </w:rPr>
        <w:t>процентны</w:t>
      </w:r>
      <w:r w:rsidR="00DD6B97">
        <w:rPr>
          <w:iCs/>
          <w:kern w:val="22"/>
          <w:szCs w:val="22"/>
          <w:lang w:val="ru-RU"/>
        </w:rPr>
        <w:t>х</w:t>
      </w:r>
      <w:r w:rsidRPr="00162417">
        <w:rPr>
          <w:iCs/>
          <w:kern w:val="22"/>
          <w:szCs w:val="22"/>
          <w:lang w:val="ru-RU"/>
        </w:rPr>
        <w:t xml:space="preserve"> </w:t>
      </w:r>
      <w:r w:rsidR="00DD6B97">
        <w:rPr>
          <w:iCs/>
          <w:kern w:val="22"/>
          <w:szCs w:val="22"/>
          <w:lang w:val="ru-RU"/>
        </w:rPr>
        <w:t>величин</w:t>
      </w:r>
      <w:r w:rsidR="004569FB" w:rsidRPr="00162417">
        <w:rPr>
          <w:iCs/>
          <w:kern w:val="22"/>
          <w:szCs w:val="22"/>
          <w:lang w:val="ru-RU"/>
        </w:rPr>
        <w:t xml:space="preserve">: </w:t>
      </w:r>
      <w:r>
        <w:rPr>
          <w:iCs/>
          <w:kern w:val="22"/>
          <w:szCs w:val="22"/>
          <w:lang w:val="ru-RU"/>
        </w:rPr>
        <w:t>Африка</w:t>
      </w:r>
      <w:r w:rsidR="004569FB" w:rsidRPr="00162417">
        <w:rPr>
          <w:iCs/>
          <w:kern w:val="22"/>
          <w:szCs w:val="22"/>
          <w:lang w:val="ru-RU"/>
        </w:rPr>
        <w:t xml:space="preserve">: </w:t>
      </w:r>
      <w:r w:rsidR="00CA5EBD" w:rsidRPr="00162417">
        <w:rPr>
          <w:iCs/>
          <w:kern w:val="22"/>
          <w:szCs w:val="22"/>
          <w:lang w:val="ru-RU"/>
        </w:rPr>
        <w:t>50</w:t>
      </w:r>
      <w:r>
        <w:rPr>
          <w:iCs/>
          <w:kern w:val="22"/>
          <w:szCs w:val="22"/>
          <w:lang w:val="ru-RU"/>
        </w:rPr>
        <w:t> </w:t>
      </w:r>
      <w:r w:rsidR="004569FB" w:rsidRPr="00162417">
        <w:rPr>
          <w:iCs/>
          <w:kern w:val="22"/>
          <w:szCs w:val="22"/>
          <w:lang w:val="ru-RU"/>
        </w:rPr>
        <w:t>% (+</w:t>
      </w:r>
      <w:r w:rsidR="00CA5EBD" w:rsidRPr="00162417">
        <w:rPr>
          <w:iCs/>
          <w:kern w:val="22"/>
          <w:szCs w:val="22"/>
          <w:lang w:val="ru-RU"/>
        </w:rPr>
        <w:t>10</w:t>
      </w:r>
      <w:r>
        <w:rPr>
          <w:iCs/>
          <w:kern w:val="22"/>
          <w:szCs w:val="22"/>
          <w:lang w:val="ru-RU"/>
        </w:rPr>
        <w:t> </w:t>
      </w:r>
      <w:r w:rsidR="004569FB" w:rsidRPr="00162417">
        <w:rPr>
          <w:iCs/>
          <w:kern w:val="22"/>
          <w:szCs w:val="22"/>
          <w:lang w:val="ru-RU"/>
        </w:rPr>
        <w:t xml:space="preserve">%); </w:t>
      </w:r>
      <w:r>
        <w:rPr>
          <w:iCs/>
          <w:kern w:val="22"/>
          <w:szCs w:val="22"/>
          <w:lang w:val="ru-RU"/>
        </w:rPr>
        <w:t>Азиатско-Тихоокеанский регион:</w:t>
      </w:r>
      <w:r w:rsidR="004569FB" w:rsidRPr="00162417">
        <w:rPr>
          <w:iCs/>
          <w:kern w:val="22"/>
          <w:szCs w:val="22"/>
          <w:lang w:val="ru-RU"/>
        </w:rPr>
        <w:t xml:space="preserve"> </w:t>
      </w:r>
      <w:r w:rsidR="00CA5EBD" w:rsidRPr="00162417">
        <w:rPr>
          <w:iCs/>
          <w:kern w:val="22"/>
          <w:szCs w:val="22"/>
          <w:lang w:val="ru-RU"/>
        </w:rPr>
        <w:t>56</w:t>
      </w:r>
      <w:r>
        <w:rPr>
          <w:iCs/>
          <w:kern w:val="22"/>
          <w:szCs w:val="22"/>
          <w:lang w:val="ru-RU"/>
        </w:rPr>
        <w:t> </w:t>
      </w:r>
      <w:r w:rsidR="004569FB" w:rsidRPr="00162417">
        <w:rPr>
          <w:iCs/>
          <w:kern w:val="22"/>
          <w:szCs w:val="22"/>
          <w:lang w:val="ru-RU"/>
        </w:rPr>
        <w:t>% (</w:t>
      </w:r>
      <w:r w:rsidRPr="00DB5643">
        <w:rPr>
          <w:kern w:val="22"/>
          <w:szCs w:val="22"/>
          <w:lang w:val="ru-RU"/>
        </w:rPr>
        <w:t>без изменений по отношению к исходному уровню</w:t>
      </w:r>
      <w:r w:rsidR="004569FB" w:rsidRPr="00162417">
        <w:rPr>
          <w:iCs/>
          <w:kern w:val="22"/>
          <w:szCs w:val="22"/>
          <w:lang w:val="ru-RU"/>
        </w:rPr>
        <w:t xml:space="preserve">); </w:t>
      </w:r>
      <w:proofErr w:type="spellStart"/>
      <w:r w:rsidR="004569FB" w:rsidRPr="00DB5643">
        <w:rPr>
          <w:iCs/>
          <w:kern w:val="22"/>
          <w:szCs w:val="22"/>
        </w:rPr>
        <w:t>CEE</w:t>
      </w:r>
      <w:proofErr w:type="spellEnd"/>
      <w:r>
        <w:rPr>
          <w:iCs/>
          <w:kern w:val="22"/>
          <w:szCs w:val="22"/>
          <w:lang w:val="ru-RU"/>
        </w:rPr>
        <w:t>:</w:t>
      </w:r>
      <w:r w:rsidR="004569FB" w:rsidRPr="00162417">
        <w:rPr>
          <w:iCs/>
          <w:kern w:val="22"/>
          <w:szCs w:val="22"/>
          <w:lang w:val="ru-RU"/>
        </w:rPr>
        <w:t xml:space="preserve"> </w:t>
      </w:r>
      <w:r w:rsidR="00CA5EBD" w:rsidRPr="00162417">
        <w:rPr>
          <w:iCs/>
          <w:kern w:val="22"/>
          <w:szCs w:val="22"/>
          <w:lang w:val="ru-RU"/>
        </w:rPr>
        <w:t>88</w:t>
      </w:r>
      <w:r>
        <w:rPr>
          <w:iCs/>
          <w:kern w:val="22"/>
          <w:szCs w:val="22"/>
          <w:lang w:val="ru-RU"/>
        </w:rPr>
        <w:t> </w:t>
      </w:r>
      <w:r w:rsidR="004569FB" w:rsidRPr="00162417">
        <w:rPr>
          <w:iCs/>
          <w:kern w:val="22"/>
          <w:szCs w:val="22"/>
          <w:lang w:val="ru-RU"/>
        </w:rPr>
        <w:t>% (</w:t>
      </w:r>
      <w:r w:rsidR="00CA5EBD" w:rsidRPr="00162417">
        <w:rPr>
          <w:iCs/>
          <w:kern w:val="22"/>
          <w:szCs w:val="22"/>
          <w:lang w:val="ru-RU"/>
        </w:rPr>
        <w:t>+7</w:t>
      </w:r>
      <w:r>
        <w:rPr>
          <w:iCs/>
          <w:kern w:val="22"/>
          <w:szCs w:val="22"/>
          <w:lang w:val="ru-RU"/>
        </w:rPr>
        <w:t> </w:t>
      </w:r>
      <w:r w:rsidR="00CA5EBD" w:rsidRPr="00162417">
        <w:rPr>
          <w:iCs/>
          <w:kern w:val="22"/>
          <w:szCs w:val="22"/>
          <w:lang w:val="ru-RU"/>
        </w:rPr>
        <w:t>%</w:t>
      </w:r>
      <w:r w:rsidR="004569FB" w:rsidRPr="00162417">
        <w:rPr>
          <w:iCs/>
          <w:kern w:val="22"/>
          <w:szCs w:val="22"/>
          <w:lang w:val="ru-RU"/>
        </w:rPr>
        <w:t xml:space="preserve">); </w:t>
      </w:r>
      <w:proofErr w:type="spellStart"/>
      <w:r>
        <w:rPr>
          <w:iCs/>
          <w:kern w:val="22"/>
          <w:szCs w:val="22"/>
          <w:lang w:val="ru-RU"/>
        </w:rPr>
        <w:t>ГРУЛАК</w:t>
      </w:r>
      <w:proofErr w:type="spellEnd"/>
      <w:r>
        <w:rPr>
          <w:iCs/>
          <w:kern w:val="22"/>
          <w:szCs w:val="22"/>
          <w:lang w:val="ru-RU"/>
        </w:rPr>
        <w:t>:</w:t>
      </w:r>
      <w:r w:rsidR="004569FB" w:rsidRPr="00162417">
        <w:rPr>
          <w:iCs/>
          <w:kern w:val="22"/>
          <w:szCs w:val="22"/>
          <w:lang w:val="ru-RU"/>
        </w:rPr>
        <w:t xml:space="preserve"> </w:t>
      </w:r>
      <w:r w:rsidR="00CA5EBD" w:rsidRPr="00162417">
        <w:rPr>
          <w:iCs/>
          <w:kern w:val="22"/>
          <w:szCs w:val="22"/>
          <w:lang w:val="ru-RU"/>
        </w:rPr>
        <w:t>23</w:t>
      </w:r>
      <w:r>
        <w:rPr>
          <w:iCs/>
          <w:kern w:val="22"/>
          <w:szCs w:val="22"/>
          <w:lang w:val="ru-RU"/>
        </w:rPr>
        <w:t> </w:t>
      </w:r>
      <w:r w:rsidR="004569FB" w:rsidRPr="00162417">
        <w:rPr>
          <w:iCs/>
          <w:kern w:val="22"/>
          <w:szCs w:val="22"/>
          <w:lang w:val="ru-RU"/>
        </w:rPr>
        <w:t>% (+</w:t>
      </w:r>
      <w:r w:rsidR="00CA5EBD" w:rsidRPr="00162417">
        <w:rPr>
          <w:iCs/>
          <w:kern w:val="22"/>
          <w:szCs w:val="22"/>
          <w:lang w:val="ru-RU"/>
        </w:rPr>
        <w:t>15</w:t>
      </w:r>
      <w:r>
        <w:rPr>
          <w:iCs/>
          <w:kern w:val="22"/>
          <w:szCs w:val="22"/>
          <w:lang w:val="ru-RU"/>
        </w:rPr>
        <w:t> </w:t>
      </w:r>
      <w:r w:rsidR="004569FB" w:rsidRPr="00162417">
        <w:rPr>
          <w:iCs/>
          <w:kern w:val="22"/>
          <w:szCs w:val="22"/>
          <w:lang w:val="ru-RU"/>
        </w:rPr>
        <w:t xml:space="preserve">%); </w:t>
      </w:r>
      <w:proofErr w:type="spellStart"/>
      <w:r w:rsidR="004569FB" w:rsidRPr="00DB5643">
        <w:rPr>
          <w:iCs/>
          <w:kern w:val="22"/>
          <w:szCs w:val="22"/>
        </w:rPr>
        <w:t>WEOG</w:t>
      </w:r>
      <w:proofErr w:type="spellEnd"/>
      <w:r>
        <w:rPr>
          <w:iCs/>
          <w:kern w:val="22"/>
          <w:szCs w:val="22"/>
          <w:lang w:val="ru-RU"/>
        </w:rPr>
        <w:t>:</w:t>
      </w:r>
      <w:r w:rsidR="004569FB" w:rsidRPr="00162417">
        <w:rPr>
          <w:iCs/>
          <w:kern w:val="22"/>
          <w:szCs w:val="22"/>
          <w:lang w:val="ru-RU"/>
        </w:rPr>
        <w:t xml:space="preserve"> 94</w:t>
      </w:r>
      <w:r>
        <w:rPr>
          <w:iCs/>
          <w:kern w:val="22"/>
          <w:szCs w:val="22"/>
          <w:lang w:val="ru-RU"/>
        </w:rPr>
        <w:t> </w:t>
      </w:r>
      <w:r w:rsidR="004569FB" w:rsidRPr="00162417">
        <w:rPr>
          <w:iCs/>
          <w:kern w:val="22"/>
          <w:szCs w:val="22"/>
          <w:lang w:val="ru-RU"/>
        </w:rPr>
        <w:t>% (-6</w:t>
      </w:r>
      <w:r>
        <w:rPr>
          <w:iCs/>
          <w:kern w:val="22"/>
          <w:szCs w:val="22"/>
          <w:lang w:val="ru-RU"/>
        </w:rPr>
        <w:t> </w:t>
      </w:r>
      <w:r w:rsidR="004569FB" w:rsidRPr="00162417">
        <w:rPr>
          <w:iCs/>
          <w:kern w:val="22"/>
          <w:szCs w:val="22"/>
          <w:lang w:val="ru-RU"/>
        </w:rPr>
        <w:t xml:space="preserve">%)). </w:t>
      </w:r>
    </w:p>
    <w:p w14:paraId="41F5981F" w14:textId="7FD0C8ED" w:rsidR="004569FB" w:rsidRPr="001D6CBE" w:rsidRDefault="00162417"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18"/>
          <w:lang w:val="ru-RU"/>
        </w:rPr>
      </w:pPr>
      <w:r>
        <w:rPr>
          <w:iCs/>
          <w:snapToGrid w:val="0"/>
          <w:kern w:val="22"/>
          <w:szCs w:val="18"/>
          <w:lang w:val="ru-RU"/>
        </w:rPr>
        <w:t>В</w:t>
      </w:r>
      <w:r w:rsidRPr="001D6CBE">
        <w:rPr>
          <w:iCs/>
          <w:snapToGrid w:val="0"/>
          <w:kern w:val="22"/>
          <w:szCs w:val="18"/>
          <w:lang w:val="ru-RU"/>
        </w:rPr>
        <w:t xml:space="preserve"> </w:t>
      </w:r>
      <w:r>
        <w:rPr>
          <w:iCs/>
          <w:snapToGrid w:val="0"/>
          <w:kern w:val="22"/>
          <w:szCs w:val="18"/>
          <w:lang w:val="ru-RU"/>
        </w:rPr>
        <w:t>своих</w:t>
      </w:r>
      <w:r w:rsidRPr="001D6CBE">
        <w:rPr>
          <w:iCs/>
          <w:snapToGrid w:val="0"/>
          <w:kern w:val="22"/>
          <w:szCs w:val="18"/>
          <w:lang w:val="ru-RU"/>
        </w:rPr>
        <w:t xml:space="preserve"> </w:t>
      </w:r>
      <w:r>
        <w:rPr>
          <w:iCs/>
          <w:snapToGrid w:val="0"/>
          <w:kern w:val="22"/>
          <w:szCs w:val="18"/>
          <w:lang w:val="ru-RU"/>
        </w:rPr>
        <w:t>письменных</w:t>
      </w:r>
      <w:r w:rsidRPr="001D6CBE">
        <w:rPr>
          <w:iCs/>
          <w:snapToGrid w:val="0"/>
          <w:kern w:val="22"/>
          <w:szCs w:val="18"/>
          <w:lang w:val="ru-RU"/>
        </w:rPr>
        <w:t xml:space="preserve"> </w:t>
      </w:r>
      <w:r>
        <w:rPr>
          <w:iCs/>
          <w:snapToGrid w:val="0"/>
          <w:kern w:val="22"/>
          <w:szCs w:val="18"/>
          <w:lang w:val="ru-RU"/>
        </w:rPr>
        <w:t>материалах</w:t>
      </w:r>
      <w:r w:rsidR="001D6CBE" w:rsidRPr="001D6CBE">
        <w:rPr>
          <w:iCs/>
          <w:snapToGrid w:val="0"/>
          <w:kern w:val="22"/>
          <w:szCs w:val="18"/>
          <w:lang w:val="ru-RU"/>
        </w:rPr>
        <w:t xml:space="preserve"> </w:t>
      </w:r>
      <w:r w:rsidR="001D6CBE">
        <w:rPr>
          <w:iCs/>
          <w:snapToGrid w:val="0"/>
          <w:kern w:val="22"/>
          <w:szCs w:val="18"/>
          <w:lang w:val="ru-RU"/>
        </w:rPr>
        <w:t>некоторые</w:t>
      </w:r>
      <w:r w:rsidR="001D6CBE" w:rsidRPr="001D6CBE">
        <w:rPr>
          <w:iCs/>
          <w:snapToGrid w:val="0"/>
          <w:kern w:val="22"/>
          <w:szCs w:val="18"/>
          <w:lang w:val="ru-RU"/>
        </w:rPr>
        <w:t xml:space="preserve"> </w:t>
      </w:r>
      <w:r w:rsidR="001D6CBE">
        <w:rPr>
          <w:iCs/>
          <w:snapToGrid w:val="0"/>
          <w:kern w:val="22"/>
          <w:szCs w:val="18"/>
          <w:lang w:val="ru-RU"/>
        </w:rPr>
        <w:t>Стороны</w:t>
      </w:r>
      <w:r w:rsidR="001D6CBE" w:rsidRPr="001D6CBE">
        <w:rPr>
          <w:iCs/>
          <w:snapToGrid w:val="0"/>
          <w:kern w:val="22"/>
          <w:szCs w:val="18"/>
          <w:lang w:val="ru-RU"/>
        </w:rPr>
        <w:t xml:space="preserve"> </w:t>
      </w:r>
      <w:r w:rsidR="001D6CBE">
        <w:rPr>
          <w:iCs/>
          <w:snapToGrid w:val="0"/>
          <w:kern w:val="22"/>
          <w:szCs w:val="18"/>
          <w:lang w:val="ru-RU"/>
        </w:rPr>
        <w:t>пояснили</w:t>
      </w:r>
      <w:r w:rsidR="001D6CBE" w:rsidRPr="001D6CBE">
        <w:rPr>
          <w:iCs/>
          <w:snapToGrid w:val="0"/>
          <w:kern w:val="22"/>
          <w:szCs w:val="18"/>
          <w:lang w:val="ru-RU"/>
        </w:rPr>
        <w:t xml:space="preserve">, </w:t>
      </w:r>
      <w:r w:rsidR="001D6CBE">
        <w:rPr>
          <w:iCs/>
          <w:snapToGrid w:val="0"/>
          <w:kern w:val="22"/>
          <w:szCs w:val="18"/>
          <w:lang w:val="ru-RU"/>
        </w:rPr>
        <w:t>что</w:t>
      </w:r>
      <w:r w:rsidR="001D6CBE" w:rsidRPr="001D6CBE">
        <w:rPr>
          <w:iCs/>
          <w:snapToGrid w:val="0"/>
          <w:kern w:val="22"/>
          <w:szCs w:val="18"/>
          <w:lang w:val="ru-RU"/>
        </w:rPr>
        <w:t xml:space="preserve"> </w:t>
      </w:r>
      <w:r w:rsidR="001D6CBE">
        <w:rPr>
          <w:iCs/>
          <w:snapToGrid w:val="0"/>
          <w:kern w:val="22"/>
          <w:szCs w:val="18"/>
          <w:lang w:val="ru-RU"/>
        </w:rPr>
        <w:t>их</w:t>
      </w:r>
      <w:r w:rsidR="001D6CBE" w:rsidRPr="001D6CBE">
        <w:rPr>
          <w:iCs/>
          <w:snapToGrid w:val="0"/>
          <w:kern w:val="22"/>
          <w:szCs w:val="18"/>
          <w:lang w:val="ru-RU"/>
        </w:rPr>
        <w:t xml:space="preserve"> </w:t>
      </w:r>
      <w:r w:rsidR="001D6CBE">
        <w:rPr>
          <w:iCs/>
          <w:snapToGrid w:val="0"/>
          <w:kern w:val="22"/>
          <w:szCs w:val="18"/>
          <w:lang w:val="ru-RU"/>
        </w:rPr>
        <w:t>процесс</w:t>
      </w:r>
      <w:r w:rsidR="001D6CBE" w:rsidRPr="001D6CBE">
        <w:rPr>
          <w:iCs/>
          <w:snapToGrid w:val="0"/>
          <w:kern w:val="22"/>
          <w:szCs w:val="18"/>
          <w:lang w:val="ru-RU"/>
        </w:rPr>
        <w:t xml:space="preserve"> </w:t>
      </w:r>
      <w:r w:rsidR="001D6CBE">
        <w:rPr>
          <w:iCs/>
          <w:snapToGrid w:val="0"/>
          <w:kern w:val="22"/>
          <w:szCs w:val="18"/>
          <w:lang w:val="ru-RU"/>
        </w:rPr>
        <w:t>участия</w:t>
      </w:r>
      <w:r w:rsidR="001D6CBE" w:rsidRPr="001D6CBE">
        <w:rPr>
          <w:iCs/>
          <w:snapToGrid w:val="0"/>
          <w:kern w:val="22"/>
          <w:szCs w:val="18"/>
          <w:lang w:val="ru-RU"/>
        </w:rPr>
        <w:t xml:space="preserve"> </w:t>
      </w:r>
      <w:r w:rsidR="001D6CBE">
        <w:rPr>
          <w:iCs/>
          <w:snapToGrid w:val="0"/>
          <w:kern w:val="22"/>
          <w:szCs w:val="18"/>
          <w:lang w:val="ru-RU"/>
        </w:rPr>
        <w:t>общественности</w:t>
      </w:r>
      <w:r w:rsidR="001D6CBE" w:rsidRPr="001D6CBE">
        <w:rPr>
          <w:iCs/>
          <w:snapToGrid w:val="0"/>
          <w:kern w:val="22"/>
          <w:szCs w:val="18"/>
          <w:lang w:val="ru-RU"/>
        </w:rPr>
        <w:t xml:space="preserve"> </w:t>
      </w:r>
      <w:r w:rsidR="001D6CBE">
        <w:rPr>
          <w:iCs/>
          <w:snapToGrid w:val="0"/>
          <w:kern w:val="22"/>
          <w:szCs w:val="18"/>
          <w:lang w:val="ru-RU"/>
        </w:rPr>
        <w:t>включает</w:t>
      </w:r>
      <w:r w:rsidR="001D6CBE" w:rsidRPr="001D6CBE">
        <w:rPr>
          <w:iCs/>
          <w:snapToGrid w:val="0"/>
          <w:kern w:val="22"/>
          <w:szCs w:val="18"/>
          <w:lang w:val="ru-RU"/>
        </w:rPr>
        <w:t xml:space="preserve">, </w:t>
      </w:r>
      <w:r w:rsidR="001D6CBE">
        <w:rPr>
          <w:iCs/>
          <w:snapToGrid w:val="0"/>
          <w:kern w:val="22"/>
          <w:szCs w:val="18"/>
          <w:lang w:val="ru-RU"/>
        </w:rPr>
        <w:t>помимо</w:t>
      </w:r>
      <w:r w:rsidR="001D6CBE" w:rsidRPr="001D6CBE">
        <w:rPr>
          <w:iCs/>
          <w:snapToGrid w:val="0"/>
          <w:kern w:val="22"/>
          <w:szCs w:val="18"/>
          <w:lang w:val="ru-RU"/>
        </w:rPr>
        <w:t xml:space="preserve"> </w:t>
      </w:r>
      <w:r w:rsidR="001D6CBE">
        <w:rPr>
          <w:iCs/>
          <w:snapToGrid w:val="0"/>
          <w:kern w:val="22"/>
          <w:szCs w:val="18"/>
          <w:lang w:val="ru-RU"/>
        </w:rPr>
        <w:t>прочего</w:t>
      </w:r>
      <w:r w:rsidR="001D6CBE" w:rsidRPr="001D6CBE">
        <w:rPr>
          <w:iCs/>
          <w:snapToGrid w:val="0"/>
          <w:kern w:val="22"/>
          <w:szCs w:val="18"/>
          <w:lang w:val="ru-RU"/>
        </w:rPr>
        <w:t xml:space="preserve">, </w:t>
      </w:r>
      <w:r w:rsidR="001D6CBE">
        <w:rPr>
          <w:iCs/>
          <w:snapToGrid w:val="0"/>
          <w:kern w:val="22"/>
          <w:szCs w:val="18"/>
          <w:lang w:val="ru-RU"/>
        </w:rPr>
        <w:t>общественные слушания, национальны</w:t>
      </w:r>
      <w:r w:rsidR="00DD6B97">
        <w:rPr>
          <w:iCs/>
          <w:snapToGrid w:val="0"/>
          <w:kern w:val="22"/>
          <w:szCs w:val="18"/>
          <w:lang w:val="ru-RU"/>
        </w:rPr>
        <w:t>е</w:t>
      </w:r>
      <w:r w:rsidR="001D6CBE">
        <w:rPr>
          <w:iCs/>
          <w:snapToGrid w:val="0"/>
          <w:kern w:val="22"/>
          <w:szCs w:val="18"/>
          <w:lang w:val="ru-RU"/>
        </w:rPr>
        <w:t xml:space="preserve"> совещательны</w:t>
      </w:r>
      <w:r w:rsidR="00DD6B97">
        <w:rPr>
          <w:iCs/>
          <w:snapToGrid w:val="0"/>
          <w:kern w:val="22"/>
          <w:szCs w:val="18"/>
          <w:lang w:val="ru-RU"/>
        </w:rPr>
        <w:t>е</w:t>
      </w:r>
      <w:r w:rsidR="001D6CBE">
        <w:rPr>
          <w:iCs/>
          <w:snapToGrid w:val="0"/>
          <w:kern w:val="22"/>
          <w:szCs w:val="18"/>
          <w:lang w:val="ru-RU"/>
        </w:rPr>
        <w:t xml:space="preserve"> орган</w:t>
      </w:r>
      <w:r w:rsidR="00DD6B97">
        <w:rPr>
          <w:iCs/>
          <w:snapToGrid w:val="0"/>
          <w:kern w:val="22"/>
          <w:szCs w:val="18"/>
          <w:lang w:val="ru-RU"/>
        </w:rPr>
        <w:t>ы</w:t>
      </w:r>
      <w:r w:rsidR="001D6CBE">
        <w:rPr>
          <w:iCs/>
          <w:snapToGrid w:val="0"/>
          <w:kern w:val="22"/>
          <w:szCs w:val="18"/>
          <w:lang w:val="ru-RU"/>
        </w:rPr>
        <w:t xml:space="preserve"> и публикацию информации на веб-сайтах и в СМИ</w:t>
      </w:r>
      <w:r w:rsidR="004569FB" w:rsidRPr="001D6CBE">
        <w:rPr>
          <w:iCs/>
          <w:snapToGrid w:val="0"/>
          <w:kern w:val="22"/>
          <w:szCs w:val="18"/>
          <w:lang w:val="ru-RU"/>
        </w:rPr>
        <w:t xml:space="preserve">. </w:t>
      </w:r>
      <w:r w:rsidR="001D6CBE">
        <w:rPr>
          <w:iCs/>
          <w:snapToGrid w:val="0"/>
          <w:kern w:val="22"/>
          <w:szCs w:val="18"/>
          <w:lang w:val="ru-RU"/>
        </w:rPr>
        <w:t>Несколько</w:t>
      </w:r>
      <w:r w:rsidR="001D6CBE" w:rsidRPr="001D6CBE">
        <w:rPr>
          <w:iCs/>
          <w:snapToGrid w:val="0"/>
          <w:kern w:val="22"/>
          <w:szCs w:val="18"/>
          <w:lang w:val="ru-RU"/>
        </w:rPr>
        <w:t xml:space="preserve"> </w:t>
      </w:r>
      <w:r w:rsidR="001D6CBE">
        <w:rPr>
          <w:iCs/>
          <w:snapToGrid w:val="0"/>
          <w:kern w:val="22"/>
          <w:szCs w:val="18"/>
          <w:lang w:val="ru-RU"/>
        </w:rPr>
        <w:t>Сторон</w:t>
      </w:r>
      <w:r w:rsidR="001D6CBE" w:rsidRPr="001D6CBE">
        <w:rPr>
          <w:iCs/>
          <w:snapToGrid w:val="0"/>
          <w:kern w:val="22"/>
          <w:szCs w:val="18"/>
          <w:lang w:val="ru-RU"/>
        </w:rPr>
        <w:t xml:space="preserve"> </w:t>
      </w:r>
      <w:r w:rsidR="001D6CBE">
        <w:rPr>
          <w:iCs/>
          <w:snapToGrid w:val="0"/>
          <w:kern w:val="22"/>
          <w:szCs w:val="18"/>
          <w:lang w:val="ru-RU"/>
        </w:rPr>
        <w:t>из</w:t>
      </w:r>
      <w:r w:rsidR="001D6CBE" w:rsidRPr="001D6CBE">
        <w:rPr>
          <w:iCs/>
          <w:snapToGrid w:val="0"/>
          <w:kern w:val="22"/>
          <w:szCs w:val="18"/>
          <w:lang w:val="ru-RU"/>
        </w:rPr>
        <w:t xml:space="preserve"> </w:t>
      </w:r>
      <w:r w:rsidR="001D6CBE">
        <w:rPr>
          <w:iCs/>
          <w:snapToGrid w:val="0"/>
          <w:kern w:val="22"/>
          <w:szCs w:val="18"/>
          <w:lang w:val="ru-RU"/>
        </w:rPr>
        <w:t>регионов</w:t>
      </w:r>
      <w:r w:rsidR="004569FB" w:rsidRPr="001D6CBE">
        <w:rPr>
          <w:iCs/>
          <w:snapToGrid w:val="0"/>
          <w:kern w:val="22"/>
          <w:szCs w:val="18"/>
          <w:lang w:val="ru-RU"/>
        </w:rPr>
        <w:t xml:space="preserve"> </w:t>
      </w:r>
      <w:proofErr w:type="spellStart"/>
      <w:r w:rsidR="004569FB" w:rsidRPr="00DB5643">
        <w:rPr>
          <w:iCs/>
          <w:snapToGrid w:val="0"/>
          <w:kern w:val="22"/>
          <w:szCs w:val="18"/>
        </w:rPr>
        <w:t>CEE</w:t>
      </w:r>
      <w:proofErr w:type="spellEnd"/>
      <w:r w:rsidR="004569FB" w:rsidRPr="001D6CBE">
        <w:rPr>
          <w:iCs/>
          <w:snapToGrid w:val="0"/>
          <w:kern w:val="22"/>
          <w:szCs w:val="18"/>
          <w:lang w:val="ru-RU"/>
        </w:rPr>
        <w:t xml:space="preserve"> </w:t>
      </w:r>
      <w:r w:rsidR="001D6CBE">
        <w:rPr>
          <w:iCs/>
          <w:snapToGrid w:val="0"/>
          <w:kern w:val="22"/>
          <w:szCs w:val="18"/>
          <w:lang w:val="ru-RU"/>
        </w:rPr>
        <w:t>и</w:t>
      </w:r>
      <w:r w:rsidR="004569FB" w:rsidRPr="001D6CBE">
        <w:rPr>
          <w:iCs/>
          <w:snapToGrid w:val="0"/>
          <w:kern w:val="22"/>
          <w:szCs w:val="18"/>
          <w:lang w:val="ru-RU"/>
        </w:rPr>
        <w:t xml:space="preserve"> </w:t>
      </w:r>
      <w:proofErr w:type="spellStart"/>
      <w:r w:rsidR="004569FB" w:rsidRPr="00DB5643">
        <w:rPr>
          <w:iCs/>
          <w:snapToGrid w:val="0"/>
          <w:kern w:val="22"/>
          <w:szCs w:val="18"/>
        </w:rPr>
        <w:t>WEOG</w:t>
      </w:r>
      <w:proofErr w:type="spellEnd"/>
      <w:r w:rsidR="004569FB" w:rsidRPr="001D6CBE">
        <w:rPr>
          <w:iCs/>
          <w:snapToGrid w:val="0"/>
          <w:kern w:val="22"/>
          <w:szCs w:val="18"/>
          <w:lang w:val="ru-RU"/>
        </w:rPr>
        <w:t xml:space="preserve"> </w:t>
      </w:r>
      <w:r w:rsidR="001D6CBE">
        <w:rPr>
          <w:iCs/>
          <w:snapToGrid w:val="0"/>
          <w:kern w:val="22"/>
          <w:szCs w:val="18"/>
          <w:lang w:val="ru-RU"/>
        </w:rPr>
        <w:t>отметили</w:t>
      </w:r>
      <w:r w:rsidR="001D6CBE" w:rsidRPr="001D6CBE">
        <w:rPr>
          <w:iCs/>
          <w:snapToGrid w:val="0"/>
          <w:kern w:val="22"/>
          <w:szCs w:val="18"/>
          <w:lang w:val="ru-RU"/>
        </w:rPr>
        <w:t xml:space="preserve">, </w:t>
      </w:r>
      <w:r w:rsidR="001D6CBE">
        <w:rPr>
          <w:iCs/>
          <w:snapToGrid w:val="0"/>
          <w:kern w:val="22"/>
          <w:szCs w:val="18"/>
          <w:lang w:val="ru-RU"/>
        </w:rPr>
        <w:t>что</w:t>
      </w:r>
      <w:r w:rsidR="001D6CBE" w:rsidRPr="001D6CBE">
        <w:rPr>
          <w:iCs/>
          <w:snapToGrid w:val="0"/>
          <w:kern w:val="22"/>
          <w:szCs w:val="18"/>
          <w:lang w:val="ru-RU"/>
        </w:rPr>
        <w:t xml:space="preserve"> </w:t>
      </w:r>
      <w:r w:rsidR="001D6CBE">
        <w:rPr>
          <w:iCs/>
          <w:snapToGrid w:val="0"/>
          <w:kern w:val="22"/>
          <w:szCs w:val="18"/>
          <w:lang w:val="ru-RU"/>
        </w:rPr>
        <w:t>они</w:t>
      </w:r>
      <w:r w:rsidR="001D6CBE" w:rsidRPr="001D6CBE">
        <w:rPr>
          <w:iCs/>
          <w:snapToGrid w:val="0"/>
          <w:kern w:val="22"/>
          <w:szCs w:val="18"/>
          <w:lang w:val="ru-RU"/>
        </w:rPr>
        <w:t xml:space="preserve"> </w:t>
      </w:r>
      <w:r w:rsidR="001D6CBE">
        <w:rPr>
          <w:iCs/>
          <w:snapToGrid w:val="0"/>
          <w:kern w:val="22"/>
          <w:szCs w:val="18"/>
          <w:lang w:val="ru-RU"/>
        </w:rPr>
        <w:t>внедряют</w:t>
      </w:r>
      <w:r w:rsidR="001D6CBE" w:rsidRPr="001D6CBE">
        <w:rPr>
          <w:iCs/>
          <w:snapToGrid w:val="0"/>
          <w:kern w:val="22"/>
          <w:szCs w:val="18"/>
          <w:lang w:val="ru-RU"/>
        </w:rPr>
        <w:t xml:space="preserve"> </w:t>
      </w:r>
      <w:r w:rsidR="001D6CBE">
        <w:rPr>
          <w:iCs/>
          <w:snapToGrid w:val="0"/>
          <w:kern w:val="22"/>
          <w:szCs w:val="18"/>
          <w:lang w:val="ru-RU"/>
        </w:rPr>
        <w:t>механизмы</w:t>
      </w:r>
      <w:r w:rsidR="004569FB" w:rsidRPr="001D6CBE">
        <w:rPr>
          <w:iCs/>
          <w:snapToGrid w:val="0"/>
          <w:kern w:val="22"/>
          <w:szCs w:val="18"/>
          <w:lang w:val="ru-RU"/>
        </w:rPr>
        <w:t xml:space="preserve"> </w:t>
      </w:r>
      <w:r w:rsidR="001D6CBE">
        <w:rPr>
          <w:iCs/>
          <w:snapToGrid w:val="0"/>
          <w:kern w:val="22"/>
          <w:szCs w:val="18"/>
          <w:lang w:val="ru-RU"/>
        </w:rPr>
        <w:t>участия</w:t>
      </w:r>
      <w:r w:rsidR="001D6CBE" w:rsidRPr="001D6CBE">
        <w:rPr>
          <w:iCs/>
          <w:snapToGrid w:val="0"/>
          <w:kern w:val="22"/>
          <w:szCs w:val="18"/>
          <w:lang w:val="ru-RU"/>
        </w:rPr>
        <w:t xml:space="preserve"> </w:t>
      </w:r>
      <w:r w:rsidR="001D6CBE">
        <w:rPr>
          <w:iCs/>
          <w:snapToGrid w:val="0"/>
          <w:kern w:val="22"/>
          <w:szCs w:val="18"/>
          <w:lang w:val="ru-RU"/>
        </w:rPr>
        <w:t>общественности</w:t>
      </w:r>
      <w:r w:rsidR="001D6CBE" w:rsidRPr="001D6CBE">
        <w:rPr>
          <w:iCs/>
          <w:snapToGrid w:val="0"/>
          <w:kern w:val="22"/>
          <w:szCs w:val="18"/>
          <w:lang w:val="ru-RU"/>
        </w:rPr>
        <w:t xml:space="preserve"> </w:t>
      </w:r>
      <w:r w:rsidR="001D6CBE">
        <w:rPr>
          <w:iCs/>
          <w:snapToGrid w:val="0"/>
          <w:kern w:val="22"/>
          <w:szCs w:val="18"/>
          <w:lang w:val="ru-RU"/>
        </w:rPr>
        <w:t>на</w:t>
      </w:r>
      <w:r w:rsidR="001D6CBE" w:rsidRPr="001D6CBE">
        <w:rPr>
          <w:iCs/>
          <w:snapToGrid w:val="0"/>
          <w:kern w:val="22"/>
          <w:szCs w:val="18"/>
          <w:lang w:val="ru-RU"/>
        </w:rPr>
        <w:t xml:space="preserve"> </w:t>
      </w:r>
      <w:r w:rsidR="001D6CBE">
        <w:rPr>
          <w:iCs/>
          <w:snapToGrid w:val="0"/>
          <w:kern w:val="22"/>
          <w:szCs w:val="18"/>
          <w:lang w:val="ru-RU"/>
        </w:rPr>
        <w:lastRenderedPageBreak/>
        <w:t>основе</w:t>
      </w:r>
      <w:r w:rsidR="001D6CBE" w:rsidRPr="001D6CBE">
        <w:rPr>
          <w:iCs/>
          <w:snapToGrid w:val="0"/>
          <w:kern w:val="22"/>
          <w:szCs w:val="18"/>
          <w:lang w:val="ru-RU"/>
        </w:rPr>
        <w:t xml:space="preserve"> </w:t>
      </w:r>
      <w:r w:rsidR="001D6CBE">
        <w:rPr>
          <w:iCs/>
          <w:snapToGrid w:val="0"/>
          <w:kern w:val="22"/>
          <w:szCs w:val="18"/>
          <w:lang w:val="ru-RU"/>
        </w:rPr>
        <w:t>положений</w:t>
      </w:r>
      <w:r w:rsidR="001D6CBE" w:rsidRPr="001D6CBE">
        <w:rPr>
          <w:lang w:val="ru-RU"/>
        </w:rPr>
        <w:t xml:space="preserve"> </w:t>
      </w:r>
      <w:r w:rsidR="001D6CBE" w:rsidRPr="001D6CBE">
        <w:rPr>
          <w:iCs/>
          <w:snapToGrid w:val="0"/>
          <w:kern w:val="22"/>
          <w:szCs w:val="18"/>
          <w:lang w:val="ru-RU"/>
        </w:rPr>
        <w:t>Конвенци</w:t>
      </w:r>
      <w:r w:rsidR="001D6CBE">
        <w:rPr>
          <w:iCs/>
          <w:snapToGrid w:val="0"/>
          <w:kern w:val="22"/>
          <w:szCs w:val="18"/>
          <w:lang w:val="ru-RU"/>
        </w:rPr>
        <w:t>и</w:t>
      </w:r>
      <w:r w:rsidR="001D6CBE" w:rsidRPr="001D6CBE">
        <w:rPr>
          <w:iCs/>
          <w:snapToGrid w:val="0"/>
          <w:kern w:val="22"/>
          <w:szCs w:val="18"/>
          <w:lang w:val="ru-RU"/>
        </w:rPr>
        <w:t xml:space="preserve"> о доступе к информации, участии общественности в процессе принятия решений и доступе к правосудию по вопросам, касающимся окружающей среды</w:t>
      </w:r>
      <w:r w:rsidR="001D6CBE">
        <w:rPr>
          <w:iCs/>
          <w:snapToGrid w:val="0"/>
          <w:kern w:val="22"/>
          <w:szCs w:val="18"/>
          <w:lang w:val="ru-RU"/>
        </w:rPr>
        <w:t xml:space="preserve"> </w:t>
      </w:r>
      <w:r w:rsidR="004569FB" w:rsidRPr="001D6CBE">
        <w:rPr>
          <w:iCs/>
          <w:snapToGrid w:val="0"/>
          <w:kern w:val="22"/>
          <w:szCs w:val="18"/>
          <w:lang w:val="ru-RU"/>
        </w:rPr>
        <w:t>(</w:t>
      </w:r>
      <w:proofErr w:type="spellStart"/>
      <w:r w:rsidR="001D6CBE">
        <w:rPr>
          <w:iCs/>
          <w:snapToGrid w:val="0"/>
          <w:kern w:val="22"/>
          <w:szCs w:val="18"/>
          <w:lang w:val="ru-RU"/>
        </w:rPr>
        <w:t>Орхусская</w:t>
      </w:r>
      <w:proofErr w:type="spellEnd"/>
      <w:r w:rsidR="001D6CBE">
        <w:rPr>
          <w:iCs/>
          <w:snapToGrid w:val="0"/>
          <w:kern w:val="22"/>
          <w:szCs w:val="18"/>
          <w:lang w:val="ru-RU"/>
        </w:rPr>
        <w:t xml:space="preserve"> конвенция</w:t>
      </w:r>
      <w:r w:rsidR="004569FB" w:rsidRPr="001D6CBE">
        <w:rPr>
          <w:iCs/>
          <w:snapToGrid w:val="0"/>
          <w:kern w:val="22"/>
          <w:szCs w:val="18"/>
          <w:lang w:val="ru-RU"/>
        </w:rPr>
        <w:t xml:space="preserve">). </w:t>
      </w:r>
    </w:p>
    <w:p w14:paraId="05D9C065" w14:textId="4D2AE06C" w:rsidR="004569FB" w:rsidRPr="00787F0C" w:rsidRDefault="008D1BCA"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18"/>
          <w:lang w:val="ru-RU"/>
        </w:rPr>
      </w:pPr>
      <w:r>
        <w:rPr>
          <w:iCs/>
          <w:snapToGrid w:val="0"/>
          <w:kern w:val="22"/>
          <w:szCs w:val="18"/>
          <w:lang w:val="ru-RU"/>
        </w:rPr>
        <w:t>В</w:t>
      </w:r>
      <w:r w:rsidRPr="008D1BCA">
        <w:rPr>
          <w:iCs/>
          <w:snapToGrid w:val="0"/>
          <w:kern w:val="22"/>
          <w:szCs w:val="18"/>
          <w:lang w:val="ru-RU"/>
        </w:rPr>
        <w:t xml:space="preserve"> </w:t>
      </w:r>
      <w:r>
        <w:rPr>
          <w:iCs/>
          <w:snapToGrid w:val="0"/>
          <w:kern w:val="22"/>
          <w:szCs w:val="18"/>
          <w:lang w:val="ru-RU"/>
        </w:rPr>
        <w:t>обследовании</w:t>
      </w:r>
      <w:r w:rsidRPr="008D1BCA">
        <w:rPr>
          <w:iCs/>
          <w:snapToGrid w:val="0"/>
          <w:kern w:val="22"/>
          <w:szCs w:val="18"/>
          <w:lang w:val="ru-RU"/>
        </w:rPr>
        <w:t xml:space="preserve"> </w:t>
      </w:r>
      <w:r>
        <w:rPr>
          <w:iCs/>
          <w:snapToGrid w:val="0"/>
          <w:kern w:val="22"/>
          <w:szCs w:val="18"/>
          <w:lang w:val="ru-RU"/>
        </w:rPr>
        <w:t>по</w:t>
      </w:r>
      <w:r w:rsidRPr="008D1BCA">
        <w:rPr>
          <w:iCs/>
          <w:snapToGrid w:val="0"/>
          <w:kern w:val="22"/>
          <w:szCs w:val="18"/>
          <w:lang w:val="ru-RU"/>
        </w:rPr>
        <w:t xml:space="preserve"> </w:t>
      </w:r>
      <w:r>
        <w:rPr>
          <w:iCs/>
          <w:snapToGrid w:val="0"/>
          <w:kern w:val="22"/>
          <w:szCs w:val="18"/>
          <w:lang w:val="ru-RU"/>
        </w:rPr>
        <w:t>программе</w:t>
      </w:r>
      <w:r w:rsidRPr="008D1BCA">
        <w:rPr>
          <w:iCs/>
          <w:snapToGrid w:val="0"/>
          <w:kern w:val="22"/>
          <w:szCs w:val="18"/>
          <w:lang w:val="ru-RU"/>
        </w:rPr>
        <w:t xml:space="preserve"> </w:t>
      </w:r>
      <w:r>
        <w:rPr>
          <w:iCs/>
          <w:snapToGrid w:val="0"/>
          <w:kern w:val="22"/>
          <w:szCs w:val="18"/>
          <w:lang w:val="ru-RU"/>
        </w:rPr>
        <w:t>работы</w:t>
      </w:r>
      <w:r w:rsidRPr="008D1BCA">
        <w:rPr>
          <w:iCs/>
          <w:snapToGrid w:val="0"/>
          <w:kern w:val="22"/>
          <w:szCs w:val="18"/>
          <w:lang w:val="ru-RU"/>
        </w:rPr>
        <w:t xml:space="preserve"> </w:t>
      </w:r>
      <w:r>
        <w:rPr>
          <w:iCs/>
          <w:snapToGrid w:val="0"/>
          <w:kern w:val="22"/>
          <w:szCs w:val="18"/>
          <w:lang w:val="ru-RU"/>
        </w:rPr>
        <w:t>по</w:t>
      </w:r>
      <w:r w:rsidRPr="008D1BCA">
        <w:rPr>
          <w:iCs/>
          <w:snapToGrid w:val="0"/>
          <w:kern w:val="22"/>
          <w:szCs w:val="18"/>
          <w:lang w:val="ru-RU"/>
        </w:rPr>
        <w:t xml:space="preserve"> </w:t>
      </w:r>
      <w:r>
        <w:rPr>
          <w:iCs/>
          <w:snapToGrid w:val="0"/>
          <w:kern w:val="22"/>
          <w:szCs w:val="18"/>
          <w:lang w:val="ru-RU"/>
        </w:rPr>
        <w:t>статье</w:t>
      </w:r>
      <w:r w:rsidR="004569FB" w:rsidRPr="008D1BCA">
        <w:rPr>
          <w:iCs/>
          <w:snapToGrid w:val="0"/>
          <w:kern w:val="22"/>
          <w:szCs w:val="18"/>
          <w:lang w:val="ru-RU"/>
        </w:rPr>
        <w:t xml:space="preserve"> 23</w:t>
      </w:r>
      <w:r w:rsidRPr="008D1BCA">
        <w:rPr>
          <w:iCs/>
          <w:snapToGrid w:val="0"/>
          <w:kern w:val="22"/>
          <w:szCs w:val="18"/>
          <w:lang w:val="ru-RU"/>
        </w:rPr>
        <w:t xml:space="preserve"> </w:t>
      </w:r>
      <w:r>
        <w:rPr>
          <w:iCs/>
          <w:snapToGrid w:val="0"/>
          <w:kern w:val="22"/>
          <w:szCs w:val="18"/>
          <w:lang w:val="ru-RU"/>
        </w:rPr>
        <w:t>большинство</w:t>
      </w:r>
      <w:r w:rsidRPr="008D1BCA">
        <w:rPr>
          <w:iCs/>
          <w:snapToGrid w:val="0"/>
          <w:kern w:val="22"/>
          <w:szCs w:val="18"/>
          <w:lang w:val="ru-RU"/>
        </w:rPr>
        <w:t xml:space="preserve"> </w:t>
      </w:r>
      <w:r>
        <w:rPr>
          <w:iCs/>
          <w:snapToGrid w:val="0"/>
          <w:kern w:val="22"/>
          <w:szCs w:val="18"/>
          <w:lang w:val="ru-RU"/>
        </w:rPr>
        <w:t>респондентов</w:t>
      </w:r>
      <w:r w:rsidRPr="008D1BCA">
        <w:rPr>
          <w:iCs/>
          <w:snapToGrid w:val="0"/>
          <w:kern w:val="22"/>
          <w:szCs w:val="18"/>
          <w:lang w:val="ru-RU"/>
        </w:rPr>
        <w:t xml:space="preserve"> </w:t>
      </w:r>
      <w:r>
        <w:rPr>
          <w:iCs/>
          <w:snapToGrid w:val="0"/>
          <w:kern w:val="22"/>
          <w:szCs w:val="18"/>
          <w:lang w:val="ru-RU"/>
        </w:rPr>
        <w:t>отметили</w:t>
      </w:r>
      <w:r w:rsidR="004569FB" w:rsidRPr="008D1BCA">
        <w:rPr>
          <w:iCs/>
          <w:snapToGrid w:val="0"/>
          <w:kern w:val="22"/>
          <w:szCs w:val="18"/>
          <w:lang w:val="ru-RU"/>
        </w:rPr>
        <w:t xml:space="preserve">, </w:t>
      </w:r>
      <w:r>
        <w:rPr>
          <w:iCs/>
          <w:snapToGrid w:val="0"/>
          <w:kern w:val="22"/>
          <w:szCs w:val="18"/>
          <w:lang w:val="ru-RU"/>
        </w:rPr>
        <w:t>что</w:t>
      </w:r>
      <w:r w:rsidRPr="008D1BCA">
        <w:rPr>
          <w:iCs/>
          <w:snapToGrid w:val="0"/>
          <w:kern w:val="22"/>
          <w:szCs w:val="18"/>
          <w:lang w:val="ru-RU"/>
        </w:rPr>
        <w:t xml:space="preserve"> </w:t>
      </w:r>
      <w:r>
        <w:rPr>
          <w:iCs/>
          <w:snapToGrid w:val="0"/>
          <w:kern w:val="22"/>
          <w:szCs w:val="18"/>
          <w:lang w:val="ru-RU"/>
        </w:rPr>
        <w:t>результаты</w:t>
      </w:r>
      <w:r w:rsidRPr="008D1BCA">
        <w:rPr>
          <w:iCs/>
          <w:snapToGrid w:val="0"/>
          <w:kern w:val="22"/>
          <w:szCs w:val="18"/>
          <w:lang w:val="ru-RU"/>
        </w:rPr>
        <w:t xml:space="preserve"> </w:t>
      </w:r>
      <w:r>
        <w:rPr>
          <w:iCs/>
          <w:snapToGrid w:val="0"/>
          <w:kern w:val="22"/>
          <w:szCs w:val="18"/>
          <w:lang w:val="ru-RU"/>
        </w:rPr>
        <w:t>процессов</w:t>
      </w:r>
      <w:r w:rsidRPr="008D1BCA">
        <w:rPr>
          <w:iCs/>
          <w:snapToGrid w:val="0"/>
          <w:kern w:val="22"/>
          <w:szCs w:val="18"/>
          <w:lang w:val="ru-RU"/>
        </w:rPr>
        <w:t xml:space="preserve"> </w:t>
      </w:r>
      <w:r>
        <w:rPr>
          <w:iCs/>
          <w:snapToGrid w:val="0"/>
          <w:kern w:val="22"/>
          <w:szCs w:val="18"/>
          <w:lang w:val="ru-RU"/>
        </w:rPr>
        <w:t>консультаций</w:t>
      </w:r>
      <w:r w:rsidRPr="008D1BCA">
        <w:rPr>
          <w:iCs/>
          <w:snapToGrid w:val="0"/>
          <w:kern w:val="22"/>
          <w:szCs w:val="18"/>
          <w:lang w:val="ru-RU"/>
        </w:rPr>
        <w:t xml:space="preserve"> </w:t>
      </w:r>
      <w:r>
        <w:rPr>
          <w:iCs/>
          <w:snapToGrid w:val="0"/>
          <w:kern w:val="22"/>
          <w:szCs w:val="18"/>
          <w:lang w:val="ru-RU"/>
        </w:rPr>
        <w:t>с</w:t>
      </w:r>
      <w:r w:rsidRPr="008D1BCA">
        <w:rPr>
          <w:iCs/>
          <w:snapToGrid w:val="0"/>
          <w:kern w:val="22"/>
          <w:szCs w:val="18"/>
          <w:lang w:val="ru-RU"/>
        </w:rPr>
        <w:t xml:space="preserve"> </w:t>
      </w:r>
      <w:r>
        <w:rPr>
          <w:iCs/>
          <w:snapToGrid w:val="0"/>
          <w:kern w:val="22"/>
          <w:szCs w:val="18"/>
          <w:lang w:val="ru-RU"/>
        </w:rPr>
        <w:t>общественностью</w:t>
      </w:r>
      <w:r w:rsidRPr="008D1BCA">
        <w:rPr>
          <w:iCs/>
          <w:snapToGrid w:val="0"/>
          <w:kern w:val="22"/>
          <w:szCs w:val="18"/>
          <w:lang w:val="ru-RU"/>
        </w:rPr>
        <w:t xml:space="preserve">, </w:t>
      </w:r>
      <w:r>
        <w:rPr>
          <w:iCs/>
          <w:snapToGrid w:val="0"/>
          <w:kern w:val="22"/>
          <w:szCs w:val="18"/>
          <w:lang w:val="ru-RU"/>
        </w:rPr>
        <w:t>которые</w:t>
      </w:r>
      <w:r w:rsidRPr="008D1BCA">
        <w:rPr>
          <w:iCs/>
          <w:snapToGrid w:val="0"/>
          <w:kern w:val="22"/>
          <w:szCs w:val="18"/>
          <w:lang w:val="ru-RU"/>
        </w:rPr>
        <w:t xml:space="preserve"> </w:t>
      </w:r>
      <w:r>
        <w:rPr>
          <w:iCs/>
          <w:snapToGrid w:val="0"/>
          <w:kern w:val="22"/>
          <w:szCs w:val="18"/>
          <w:lang w:val="ru-RU"/>
        </w:rPr>
        <w:t>проходили</w:t>
      </w:r>
      <w:r w:rsidRPr="008D1BCA">
        <w:rPr>
          <w:iCs/>
          <w:snapToGrid w:val="0"/>
          <w:kern w:val="22"/>
          <w:szCs w:val="18"/>
          <w:lang w:val="ru-RU"/>
        </w:rPr>
        <w:t xml:space="preserve"> </w:t>
      </w:r>
      <w:r>
        <w:rPr>
          <w:iCs/>
          <w:snapToGrid w:val="0"/>
          <w:kern w:val="22"/>
          <w:szCs w:val="18"/>
          <w:lang w:val="ru-RU"/>
        </w:rPr>
        <w:t>в</w:t>
      </w:r>
      <w:r w:rsidRPr="008D1BCA">
        <w:rPr>
          <w:iCs/>
          <w:snapToGrid w:val="0"/>
          <w:kern w:val="22"/>
          <w:szCs w:val="18"/>
          <w:lang w:val="ru-RU"/>
        </w:rPr>
        <w:t xml:space="preserve"> </w:t>
      </w:r>
      <w:r>
        <w:rPr>
          <w:iCs/>
          <w:snapToGrid w:val="0"/>
          <w:kern w:val="22"/>
          <w:szCs w:val="18"/>
          <w:lang w:val="ru-RU"/>
        </w:rPr>
        <w:t>период</w:t>
      </w:r>
      <w:r w:rsidR="004569FB" w:rsidRPr="008D1BCA">
        <w:rPr>
          <w:iCs/>
          <w:snapToGrid w:val="0"/>
          <w:kern w:val="22"/>
          <w:szCs w:val="18"/>
          <w:lang w:val="ru-RU"/>
        </w:rPr>
        <w:t xml:space="preserve"> 2016-2019</w:t>
      </w:r>
      <w:r>
        <w:rPr>
          <w:iCs/>
          <w:snapToGrid w:val="0"/>
          <w:kern w:val="22"/>
          <w:szCs w:val="18"/>
          <w:lang w:val="ru-RU"/>
        </w:rPr>
        <w:t xml:space="preserve"> годов,</w:t>
      </w:r>
      <w:r w:rsidR="004569FB" w:rsidRPr="008D1BCA">
        <w:rPr>
          <w:iCs/>
          <w:snapToGrid w:val="0"/>
          <w:kern w:val="22"/>
          <w:szCs w:val="18"/>
          <w:lang w:val="ru-RU"/>
        </w:rPr>
        <w:t xml:space="preserve"> </w:t>
      </w:r>
      <w:r w:rsidR="00EA27B4">
        <w:rPr>
          <w:iCs/>
          <w:snapToGrid w:val="0"/>
          <w:kern w:val="22"/>
          <w:szCs w:val="18"/>
          <w:lang w:val="ru-RU"/>
        </w:rPr>
        <w:t>были приняты во внимание</w:t>
      </w:r>
      <w:r w:rsidR="00EA27B4" w:rsidRPr="00EA27B4">
        <w:rPr>
          <w:iCs/>
          <w:snapToGrid w:val="0"/>
          <w:kern w:val="22"/>
          <w:szCs w:val="18"/>
          <w:lang w:val="ru-RU"/>
        </w:rPr>
        <w:t xml:space="preserve"> </w:t>
      </w:r>
      <w:r w:rsidR="00EA27B4">
        <w:rPr>
          <w:iCs/>
          <w:snapToGrid w:val="0"/>
          <w:kern w:val="22"/>
          <w:szCs w:val="18"/>
          <w:lang w:val="ru-RU"/>
        </w:rPr>
        <w:t>или</w:t>
      </w:r>
      <w:r w:rsidR="00EA27B4" w:rsidRPr="00EA27B4">
        <w:rPr>
          <w:iCs/>
          <w:snapToGrid w:val="0"/>
          <w:kern w:val="22"/>
          <w:szCs w:val="18"/>
          <w:lang w:val="ru-RU"/>
        </w:rPr>
        <w:t xml:space="preserve"> </w:t>
      </w:r>
      <w:r w:rsidR="00EA27B4">
        <w:rPr>
          <w:iCs/>
          <w:snapToGrid w:val="0"/>
          <w:kern w:val="22"/>
          <w:szCs w:val="18"/>
          <w:lang w:val="ru-RU"/>
        </w:rPr>
        <w:t>были приняты во внимание</w:t>
      </w:r>
      <w:r w:rsidR="00EA27B4" w:rsidRPr="00EA27B4">
        <w:rPr>
          <w:iCs/>
          <w:snapToGrid w:val="0"/>
          <w:kern w:val="22"/>
          <w:szCs w:val="18"/>
          <w:lang w:val="ru-RU"/>
        </w:rPr>
        <w:t xml:space="preserve"> </w:t>
      </w:r>
      <w:r w:rsidR="00EA27B4">
        <w:rPr>
          <w:iCs/>
          <w:snapToGrid w:val="0"/>
          <w:kern w:val="22"/>
          <w:szCs w:val="18"/>
          <w:lang w:val="ru-RU"/>
        </w:rPr>
        <w:t>в некоторой степени  в процесс</w:t>
      </w:r>
      <w:r w:rsidR="00DD6B97">
        <w:rPr>
          <w:iCs/>
          <w:snapToGrid w:val="0"/>
          <w:kern w:val="22"/>
          <w:szCs w:val="18"/>
          <w:lang w:val="ru-RU"/>
        </w:rPr>
        <w:t xml:space="preserve">ах </w:t>
      </w:r>
      <w:r w:rsidR="00EA27B4">
        <w:rPr>
          <w:iCs/>
          <w:snapToGrid w:val="0"/>
          <w:kern w:val="22"/>
          <w:szCs w:val="18"/>
          <w:lang w:val="ru-RU"/>
        </w:rPr>
        <w:t xml:space="preserve">принятия решений о </w:t>
      </w:r>
      <w:proofErr w:type="spellStart"/>
      <w:r w:rsidR="00EA27B4">
        <w:rPr>
          <w:iCs/>
          <w:snapToGrid w:val="0"/>
          <w:kern w:val="22"/>
          <w:szCs w:val="18"/>
          <w:lang w:val="ru-RU"/>
        </w:rPr>
        <w:t>ЖИО</w:t>
      </w:r>
      <w:proofErr w:type="spellEnd"/>
      <w:r w:rsidR="004569FB" w:rsidRPr="008D1BCA">
        <w:rPr>
          <w:iCs/>
          <w:snapToGrid w:val="0"/>
          <w:kern w:val="22"/>
          <w:szCs w:val="18"/>
          <w:lang w:val="ru-RU"/>
        </w:rPr>
        <w:t xml:space="preserve">. </w:t>
      </w:r>
      <w:r w:rsidR="00EA27B4" w:rsidRPr="00DB5643">
        <w:rPr>
          <w:iCs/>
          <w:snapToGrid w:val="0"/>
          <w:kern w:val="22"/>
          <w:szCs w:val="22"/>
          <w:lang w:val="ru-RU"/>
        </w:rPr>
        <w:t>В</w:t>
      </w:r>
      <w:r w:rsidR="00EA27B4" w:rsidRPr="00787F0C">
        <w:rPr>
          <w:iCs/>
          <w:snapToGrid w:val="0"/>
          <w:kern w:val="22"/>
          <w:szCs w:val="22"/>
          <w:lang w:val="ru-RU"/>
        </w:rPr>
        <w:t xml:space="preserve"> </w:t>
      </w:r>
      <w:r w:rsidR="00EA27B4" w:rsidRPr="00DB5643">
        <w:rPr>
          <w:snapToGrid w:val="0"/>
          <w:kern w:val="22"/>
          <w:szCs w:val="22"/>
          <w:lang w:val="ru-RU"/>
        </w:rPr>
        <w:t>своих</w:t>
      </w:r>
      <w:r w:rsidR="00EA27B4" w:rsidRPr="00787F0C">
        <w:rPr>
          <w:snapToGrid w:val="0"/>
          <w:kern w:val="22"/>
          <w:szCs w:val="22"/>
          <w:lang w:val="ru-RU"/>
        </w:rPr>
        <w:t xml:space="preserve"> </w:t>
      </w:r>
      <w:r w:rsidR="00EA27B4">
        <w:rPr>
          <w:snapToGrid w:val="0"/>
          <w:kern w:val="22"/>
          <w:szCs w:val="22"/>
          <w:lang w:val="ru-RU"/>
        </w:rPr>
        <w:t>замечаниях</w:t>
      </w:r>
      <w:r w:rsidR="00EA27B4" w:rsidRPr="00787F0C">
        <w:rPr>
          <w:snapToGrid w:val="0"/>
          <w:kern w:val="22"/>
          <w:szCs w:val="22"/>
          <w:lang w:val="ru-RU"/>
        </w:rPr>
        <w:t xml:space="preserve"> </w:t>
      </w:r>
      <w:r w:rsidR="00EA27B4" w:rsidRPr="00DB5643">
        <w:rPr>
          <w:snapToGrid w:val="0"/>
          <w:kern w:val="22"/>
          <w:szCs w:val="22"/>
          <w:lang w:val="ru-RU"/>
        </w:rPr>
        <w:t>в</w:t>
      </w:r>
      <w:r w:rsidR="00EA27B4" w:rsidRPr="00787F0C">
        <w:rPr>
          <w:snapToGrid w:val="0"/>
          <w:kern w:val="22"/>
          <w:szCs w:val="22"/>
          <w:lang w:val="ru-RU"/>
        </w:rPr>
        <w:t xml:space="preserve"> </w:t>
      </w:r>
      <w:r w:rsidR="00EA27B4" w:rsidRPr="00DB5643">
        <w:rPr>
          <w:snapToGrid w:val="0"/>
          <w:kern w:val="22"/>
          <w:szCs w:val="22"/>
          <w:lang w:val="ru-RU"/>
        </w:rPr>
        <w:t>развернутой</w:t>
      </w:r>
      <w:r w:rsidR="00EA27B4" w:rsidRPr="00787F0C">
        <w:rPr>
          <w:snapToGrid w:val="0"/>
          <w:kern w:val="22"/>
          <w:szCs w:val="22"/>
          <w:lang w:val="ru-RU"/>
        </w:rPr>
        <w:t xml:space="preserve"> </w:t>
      </w:r>
      <w:r w:rsidR="00EA27B4" w:rsidRPr="00DB5643">
        <w:rPr>
          <w:snapToGrid w:val="0"/>
          <w:kern w:val="22"/>
          <w:szCs w:val="22"/>
          <w:lang w:val="ru-RU"/>
        </w:rPr>
        <w:t>форме</w:t>
      </w:r>
      <w:r w:rsidR="00EA27B4" w:rsidRPr="00787F0C">
        <w:rPr>
          <w:snapToGrid w:val="0"/>
          <w:kern w:val="22"/>
          <w:szCs w:val="22"/>
          <w:lang w:val="ru-RU"/>
        </w:rPr>
        <w:t xml:space="preserve"> </w:t>
      </w:r>
      <w:r w:rsidR="00EA27B4">
        <w:rPr>
          <w:iCs/>
          <w:snapToGrid w:val="0"/>
          <w:kern w:val="22"/>
          <w:szCs w:val="18"/>
          <w:lang w:val="ru-RU"/>
        </w:rPr>
        <w:t>некоторые</w:t>
      </w:r>
      <w:r w:rsidR="00EA27B4" w:rsidRPr="00787F0C">
        <w:rPr>
          <w:iCs/>
          <w:snapToGrid w:val="0"/>
          <w:kern w:val="22"/>
          <w:szCs w:val="18"/>
          <w:lang w:val="ru-RU"/>
        </w:rPr>
        <w:t xml:space="preserve"> </w:t>
      </w:r>
      <w:r w:rsidR="00EA27B4">
        <w:rPr>
          <w:iCs/>
          <w:snapToGrid w:val="0"/>
          <w:kern w:val="22"/>
          <w:szCs w:val="18"/>
          <w:lang w:val="ru-RU"/>
        </w:rPr>
        <w:t>респонденты</w:t>
      </w:r>
      <w:r w:rsidR="00EA27B4" w:rsidRPr="00787F0C">
        <w:rPr>
          <w:iCs/>
          <w:snapToGrid w:val="0"/>
          <w:kern w:val="22"/>
          <w:szCs w:val="18"/>
          <w:lang w:val="ru-RU"/>
        </w:rPr>
        <w:t xml:space="preserve"> </w:t>
      </w:r>
      <w:r w:rsidR="00EA27B4">
        <w:rPr>
          <w:iCs/>
          <w:snapToGrid w:val="0"/>
          <w:kern w:val="22"/>
          <w:szCs w:val="18"/>
          <w:lang w:val="ru-RU"/>
        </w:rPr>
        <w:t>отметили</w:t>
      </w:r>
      <w:r w:rsidR="00EA27B4" w:rsidRPr="00787F0C">
        <w:rPr>
          <w:iCs/>
          <w:snapToGrid w:val="0"/>
          <w:kern w:val="22"/>
          <w:szCs w:val="18"/>
          <w:lang w:val="ru-RU"/>
        </w:rPr>
        <w:t xml:space="preserve">, </w:t>
      </w:r>
      <w:r w:rsidR="00EA27B4">
        <w:rPr>
          <w:iCs/>
          <w:snapToGrid w:val="0"/>
          <w:kern w:val="22"/>
          <w:szCs w:val="18"/>
          <w:lang w:val="ru-RU"/>
        </w:rPr>
        <w:t>что</w:t>
      </w:r>
      <w:r w:rsidR="00EA27B4" w:rsidRPr="00787F0C">
        <w:rPr>
          <w:iCs/>
          <w:snapToGrid w:val="0"/>
          <w:kern w:val="22"/>
          <w:szCs w:val="18"/>
          <w:lang w:val="ru-RU"/>
        </w:rPr>
        <w:t xml:space="preserve"> </w:t>
      </w:r>
      <w:r w:rsidR="00DD6B97">
        <w:rPr>
          <w:iCs/>
          <w:snapToGrid w:val="0"/>
          <w:kern w:val="22"/>
          <w:szCs w:val="18"/>
          <w:lang w:val="ru-RU"/>
        </w:rPr>
        <w:t>некоторые</w:t>
      </w:r>
      <w:r w:rsidR="00EA27B4" w:rsidRPr="00787F0C">
        <w:rPr>
          <w:iCs/>
          <w:snapToGrid w:val="0"/>
          <w:kern w:val="22"/>
          <w:szCs w:val="18"/>
          <w:lang w:val="ru-RU"/>
        </w:rPr>
        <w:t xml:space="preserve"> </w:t>
      </w:r>
      <w:r w:rsidR="00EA27B4">
        <w:rPr>
          <w:iCs/>
          <w:snapToGrid w:val="0"/>
          <w:kern w:val="22"/>
          <w:szCs w:val="18"/>
          <w:lang w:val="ru-RU"/>
        </w:rPr>
        <w:t>процесс</w:t>
      </w:r>
      <w:r w:rsidR="00DD6B97">
        <w:rPr>
          <w:iCs/>
          <w:snapToGrid w:val="0"/>
          <w:kern w:val="22"/>
          <w:szCs w:val="18"/>
          <w:lang w:val="ru-RU"/>
        </w:rPr>
        <w:t>ы</w:t>
      </w:r>
      <w:r w:rsidR="004569FB" w:rsidRPr="00787F0C">
        <w:rPr>
          <w:iCs/>
          <w:snapToGrid w:val="0"/>
          <w:kern w:val="22"/>
          <w:szCs w:val="18"/>
          <w:lang w:val="ru-RU"/>
        </w:rPr>
        <w:t xml:space="preserve"> </w:t>
      </w:r>
      <w:r w:rsidR="00EA27B4">
        <w:rPr>
          <w:iCs/>
          <w:snapToGrid w:val="0"/>
          <w:kern w:val="22"/>
          <w:szCs w:val="18"/>
          <w:lang w:val="ru-RU"/>
        </w:rPr>
        <w:t>принятия</w:t>
      </w:r>
      <w:r w:rsidR="00EA27B4" w:rsidRPr="00787F0C">
        <w:rPr>
          <w:iCs/>
          <w:snapToGrid w:val="0"/>
          <w:kern w:val="22"/>
          <w:szCs w:val="18"/>
          <w:lang w:val="ru-RU"/>
        </w:rPr>
        <w:t xml:space="preserve"> </w:t>
      </w:r>
      <w:r w:rsidR="00EA27B4">
        <w:rPr>
          <w:iCs/>
          <w:snapToGrid w:val="0"/>
          <w:kern w:val="22"/>
          <w:szCs w:val="18"/>
          <w:lang w:val="ru-RU"/>
        </w:rPr>
        <w:t>решений</w:t>
      </w:r>
      <w:r w:rsidR="00787F0C" w:rsidRPr="00787F0C">
        <w:rPr>
          <w:iCs/>
          <w:snapToGrid w:val="0"/>
          <w:kern w:val="22"/>
          <w:szCs w:val="18"/>
          <w:lang w:val="ru-RU"/>
        </w:rPr>
        <w:t xml:space="preserve"> </w:t>
      </w:r>
      <w:r w:rsidR="00787F0C">
        <w:rPr>
          <w:iCs/>
          <w:snapToGrid w:val="0"/>
          <w:kern w:val="22"/>
          <w:szCs w:val="18"/>
          <w:lang w:val="ru-RU"/>
        </w:rPr>
        <w:t>не</w:t>
      </w:r>
      <w:r w:rsidR="00787F0C" w:rsidRPr="00787F0C">
        <w:rPr>
          <w:iCs/>
          <w:snapToGrid w:val="0"/>
          <w:kern w:val="22"/>
          <w:szCs w:val="18"/>
          <w:lang w:val="ru-RU"/>
        </w:rPr>
        <w:t xml:space="preserve"> </w:t>
      </w:r>
      <w:r w:rsidR="00787F0C">
        <w:rPr>
          <w:iCs/>
          <w:snapToGrid w:val="0"/>
          <w:kern w:val="22"/>
          <w:szCs w:val="18"/>
          <w:lang w:val="ru-RU"/>
        </w:rPr>
        <w:t>были</w:t>
      </w:r>
      <w:r w:rsidR="00787F0C" w:rsidRPr="00787F0C">
        <w:rPr>
          <w:iCs/>
          <w:snapToGrid w:val="0"/>
          <w:kern w:val="22"/>
          <w:szCs w:val="18"/>
          <w:lang w:val="ru-RU"/>
        </w:rPr>
        <w:t xml:space="preserve"> </w:t>
      </w:r>
      <w:r w:rsidR="00DD6B97">
        <w:rPr>
          <w:iCs/>
          <w:snapToGrid w:val="0"/>
          <w:kern w:val="22"/>
          <w:szCs w:val="18"/>
          <w:lang w:val="ru-RU"/>
        </w:rPr>
        <w:t>окончательно оформлены</w:t>
      </w:r>
      <w:r w:rsidR="00787F0C" w:rsidRPr="00787F0C">
        <w:rPr>
          <w:iCs/>
          <w:snapToGrid w:val="0"/>
          <w:kern w:val="22"/>
          <w:szCs w:val="18"/>
          <w:lang w:val="ru-RU"/>
        </w:rPr>
        <w:t xml:space="preserve">, </w:t>
      </w:r>
      <w:r w:rsidR="00787F0C">
        <w:rPr>
          <w:iCs/>
          <w:snapToGrid w:val="0"/>
          <w:kern w:val="22"/>
          <w:szCs w:val="18"/>
          <w:lang w:val="ru-RU"/>
        </w:rPr>
        <w:t>тогда</w:t>
      </w:r>
      <w:r w:rsidR="00787F0C" w:rsidRPr="00787F0C">
        <w:rPr>
          <w:iCs/>
          <w:snapToGrid w:val="0"/>
          <w:kern w:val="22"/>
          <w:szCs w:val="18"/>
          <w:lang w:val="ru-RU"/>
        </w:rPr>
        <w:t xml:space="preserve"> </w:t>
      </w:r>
      <w:r w:rsidR="00787F0C">
        <w:rPr>
          <w:iCs/>
          <w:snapToGrid w:val="0"/>
          <w:kern w:val="22"/>
          <w:szCs w:val="18"/>
          <w:lang w:val="ru-RU"/>
        </w:rPr>
        <w:t>как</w:t>
      </w:r>
      <w:r w:rsidR="00787F0C" w:rsidRPr="00787F0C">
        <w:rPr>
          <w:iCs/>
          <w:snapToGrid w:val="0"/>
          <w:kern w:val="22"/>
          <w:szCs w:val="18"/>
          <w:lang w:val="ru-RU"/>
        </w:rPr>
        <w:t xml:space="preserve"> </w:t>
      </w:r>
      <w:r w:rsidR="00787F0C">
        <w:rPr>
          <w:iCs/>
          <w:snapToGrid w:val="0"/>
          <w:kern w:val="22"/>
          <w:szCs w:val="18"/>
          <w:lang w:val="ru-RU"/>
        </w:rPr>
        <w:t>другие</w:t>
      </w:r>
      <w:r w:rsidR="00787F0C" w:rsidRPr="00787F0C">
        <w:rPr>
          <w:iCs/>
          <w:snapToGrid w:val="0"/>
          <w:kern w:val="22"/>
          <w:szCs w:val="18"/>
          <w:lang w:val="ru-RU"/>
        </w:rPr>
        <w:t xml:space="preserve"> </w:t>
      </w:r>
      <w:r w:rsidR="00787F0C">
        <w:rPr>
          <w:iCs/>
          <w:snapToGrid w:val="0"/>
          <w:kern w:val="22"/>
          <w:szCs w:val="18"/>
          <w:lang w:val="ru-RU"/>
        </w:rPr>
        <w:t>отметили</w:t>
      </w:r>
      <w:r w:rsidR="00787F0C" w:rsidRPr="00787F0C">
        <w:rPr>
          <w:iCs/>
          <w:snapToGrid w:val="0"/>
          <w:kern w:val="22"/>
          <w:szCs w:val="18"/>
          <w:lang w:val="ru-RU"/>
        </w:rPr>
        <w:t xml:space="preserve">, </w:t>
      </w:r>
      <w:r w:rsidR="00787F0C">
        <w:rPr>
          <w:iCs/>
          <w:snapToGrid w:val="0"/>
          <w:kern w:val="22"/>
          <w:szCs w:val="18"/>
          <w:lang w:val="ru-RU"/>
        </w:rPr>
        <w:t>что</w:t>
      </w:r>
      <w:r w:rsidR="00787F0C" w:rsidRPr="00787F0C">
        <w:rPr>
          <w:iCs/>
          <w:snapToGrid w:val="0"/>
          <w:kern w:val="22"/>
          <w:szCs w:val="18"/>
          <w:lang w:val="ru-RU"/>
        </w:rPr>
        <w:t xml:space="preserve"> </w:t>
      </w:r>
      <w:r w:rsidR="00787F0C">
        <w:rPr>
          <w:iCs/>
          <w:snapToGrid w:val="0"/>
          <w:kern w:val="22"/>
          <w:szCs w:val="18"/>
          <w:lang w:val="ru-RU"/>
        </w:rPr>
        <w:t>разрабатывается нормативно-правовая база для учета результатов</w:t>
      </w:r>
      <w:r w:rsidR="004569FB" w:rsidRPr="00787F0C">
        <w:rPr>
          <w:iCs/>
          <w:snapToGrid w:val="0"/>
          <w:kern w:val="22"/>
          <w:szCs w:val="18"/>
          <w:lang w:val="ru-RU"/>
        </w:rPr>
        <w:t xml:space="preserve">. </w:t>
      </w:r>
    </w:p>
    <w:p w14:paraId="0DB6A216" w14:textId="7760D724" w:rsidR="004569FB" w:rsidRPr="00420881" w:rsidRDefault="00787F0C"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Pr>
          <w:snapToGrid w:val="0"/>
          <w:kern w:val="22"/>
          <w:szCs w:val="22"/>
          <w:lang w:val="ru-RU"/>
        </w:rPr>
        <w:t>В</w:t>
      </w:r>
      <w:r w:rsidRPr="00DC56FD">
        <w:rPr>
          <w:snapToGrid w:val="0"/>
          <w:kern w:val="22"/>
          <w:szCs w:val="22"/>
          <w:lang w:val="ru-RU"/>
        </w:rPr>
        <w:t xml:space="preserve"> </w:t>
      </w:r>
      <w:r>
        <w:rPr>
          <w:snapToGrid w:val="0"/>
          <w:kern w:val="22"/>
          <w:szCs w:val="22"/>
          <w:lang w:val="ru-RU"/>
        </w:rPr>
        <w:t>отношении</w:t>
      </w:r>
      <w:r w:rsidR="004569FB" w:rsidRPr="00DC56FD">
        <w:rPr>
          <w:snapToGrid w:val="0"/>
          <w:kern w:val="22"/>
          <w:szCs w:val="22"/>
          <w:lang w:val="ru-RU"/>
        </w:rPr>
        <w:t xml:space="preserve"> </w:t>
      </w:r>
      <w:r>
        <w:rPr>
          <w:b/>
          <w:snapToGrid w:val="0"/>
          <w:kern w:val="22"/>
          <w:szCs w:val="22"/>
          <w:lang w:val="ru-RU"/>
        </w:rPr>
        <w:t>индикатора</w:t>
      </w:r>
      <w:r w:rsidR="004569FB" w:rsidRPr="00DC56FD">
        <w:rPr>
          <w:b/>
          <w:snapToGrid w:val="0"/>
          <w:kern w:val="22"/>
          <w:szCs w:val="22"/>
          <w:lang w:val="ru-RU"/>
        </w:rPr>
        <w:t xml:space="preserve"> </w:t>
      </w:r>
      <w:r w:rsidR="004569FB" w:rsidRPr="00DC56FD">
        <w:rPr>
          <w:b/>
          <w:bCs/>
          <w:iCs/>
          <w:snapToGrid w:val="0"/>
          <w:kern w:val="22"/>
          <w:szCs w:val="22"/>
          <w:lang w:val="ru-RU"/>
        </w:rPr>
        <w:t>2.5.2</w:t>
      </w:r>
      <w:r w:rsidR="004569FB" w:rsidRPr="00DC56FD">
        <w:rPr>
          <w:b/>
          <w:iCs/>
          <w:snapToGrid w:val="0"/>
          <w:kern w:val="22"/>
          <w:szCs w:val="22"/>
          <w:lang w:val="ru-RU"/>
        </w:rPr>
        <w:t xml:space="preserve"> </w:t>
      </w:r>
      <w:r w:rsidR="004569FB" w:rsidRPr="00DC56FD">
        <w:rPr>
          <w:iCs/>
          <w:snapToGrid w:val="0"/>
          <w:kern w:val="22"/>
          <w:szCs w:val="22"/>
          <w:lang w:val="ru-RU"/>
        </w:rPr>
        <w:t>(</w:t>
      </w:r>
      <w:r w:rsidR="00DC56FD">
        <w:rPr>
          <w:iCs/>
          <w:snapToGrid w:val="0"/>
          <w:kern w:val="22"/>
          <w:szCs w:val="22"/>
          <w:lang w:val="ru-RU"/>
        </w:rPr>
        <w:t>п</w:t>
      </w:r>
      <w:r w:rsidR="00DC56FD" w:rsidRPr="00DC56FD">
        <w:rPr>
          <w:iCs/>
          <w:snapToGrid w:val="0"/>
          <w:kern w:val="22"/>
          <w:szCs w:val="22"/>
          <w:lang w:val="ru-RU"/>
        </w:rPr>
        <w:t>роцентная доля Сторон, которые информируют свою общественность о существующих условиях участия)</w:t>
      </w:r>
      <w:r w:rsidR="004569FB" w:rsidRPr="00DC56FD">
        <w:rPr>
          <w:iCs/>
          <w:snapToGrid w:val="0"/>
          <w:kern w:val="22"/>
          <w:szCs w:val="22"/>
          <w:lang w:val="ru-RU"/>
        </w:rPr>
        <w:t xml:space="preserve"> </w:t>
      </w:r>
      <w:bookmarkStart w:id="29" w:name="_Hlk33714434"/>
      <w:r w:rsidR="004569FB" w:rsidRPr="00DC56FD">
        <w:rPr>
          <w:iCs/>
          <w:snapToGrid w:val="0"/>
          <w:kern w:val="22"/>
          <w:szCs w:val="22"/>
          <w:lang w:val="ru-RU"/>
        </w:rPr>
        <w:t>69</w:t>
      </w:r>
      <w:r w:rsidR="00DC56FD" w:rsidRPr="00DC56FD">
        <w:rPr>
          <w:iCs/>
          <w:snapToGrid w:val="0"/>
          <w:kern w:val="22"/>
          <w:szCs w:val="22"/>
          <w:lang w:val="en-US"/>
        </w:rPr>
        <w:t> </w:t>
      </w:r>
      <w:r w:rsidR="004569FB" w:rsidRPr="00DC56FD">
        <w:rPr>
          <w:iCs/>
          <w:snapToGrid w:val="0"/>
          <w:kern w:val="22"/>
          <w:szCs w:val="22"/>
          <w:lang w:val="ru-RU"/>
        </w:rPr>
        <w:t xml:space="preserve">% </w:t>
      </w:r>
      <w:r w:rsidR="00DC56FD">
        <w:rPr>
          <w:iCs/>
          <w:snapToGrid w:val="0"/>
          <w:kern w:val="22"/>
          <w:szCs w:val="22"/>
          <w:lang w:val="ru-RU"/>
        </w:rPr>
        <w:t xml:space="preserve">Сторон </w:t>
      </w:r>
      <w:r w:rsidR="00383744" w:rsidRPr="00DC56FD">
        <w:rPr>
          <w:iCs/>
          <w:snapToGrid w:val="0"/>
          <w:kern w:val="22"/>
          <w:szCs w:val="22"/>
          <w:lang w:val="ru-RU"/>
        </w:rPr>
        <w:t xml:space="preserve">(49 </w:t>
      </w:r>
      <w:r w:rsidR="00DC56FD">
        <w:rPr>
          <w:iCs/>
          <w:snapToGrid w:val="0"/>
          <w:kern w:val="22"/>
          <w:szCs w:val="22"/>
          <w:lang w:val="ru-RU"/>
        </w:rPr>
        <w:t>Сторон</w:t>
      </w:r>
      <w:r w:rsidR="00383744" w:rsidRPr="00DC56FD">
        <w:rPr>
          <w:iCs/>
          <w:snapToGrid w:val="0"/>
          <w:kern w:val="22"/>
          <w:szCs w:val="22"/>
          <w:lang w:val="ru-RU"/>
        </w:rPr>
        <w:t>)</w:t>
      </w:r>
      <w:r w:rsidR="004569FB" w:rsidRPr="00DC56FD">
        <w:rPr>
          <w:iCs/>
          <w:snapToGrid w:val="0"/>
          <w:kern w:val="22"/>
          <w:szCs w:val="22"/>
          <w:lang w:val="ru-RU"/>
        </w:rPr>
        <w:t xml:space="preserve"> </w:t>
      </w:r>
      <w:r w:rsidR="00DC56FD">
        <w:rPr>
          <w:iCs/>
          <w:snapToGrid w:val="0"/>
          <w:kern w:val="22"/>
          <w:szCs w:val="22"/>
          <w:lang w:val="ru-RU"/>
        </w:rPr>
        <w:t xml:space="preserve">сообщили о том, что они информируют общественность </w:t>
      </w:r>
      <w:r w:rsidR="00DC56FD" w:rsidRPr="00DC56FD">
        <w:rPr>
          <w:iCs/>
          <w:snapToGrid w:val="0"/>
          <w:kern w:val="22"/>
          <w:szCs w:val="22"/>
          <w:lang w:val="ru-RU"/>
        </w:rPr>
        <w:t xml:space="preserve">о существующих условиях </w:t>
      </w:r>
      <w:r w:rsidR="00DC56FD">
        <w:rPr>
          <w:iCs/>
          <w:snapToGrid w:val="0"/>
          <w:kern w:val="22"/>
          <w:szCs w:val="22"/>
          <w:lang w:val="ru-RU"/>
        </w:rPr>
        <w:t xml:space="preserve">общественного </w:t>
      </w:r>
      <w:r w:rsidR="00DC56FD" w:rsidRPr="00DC56FD">
        <w:rPr>
          <w:iCs/>
          <w:snapToGrid w:val="0"/>
          <w:kern w:val="22"/>
          <w:szCs w:val="22"/>
          <w:lang w:val="ru-RU"/>
        </w:rPr>
        <w:t xml:space="preserve">участия </w:t>
      </w:r>
      <w:r w:rsidR="00DC56FD">
        <w:rPr>
          <w:iCs/>
          <w:snapToGrid w:val="0"/>
          <w:kern w:val="22"/>
          <w:szCs w:val="22"/>
          <w:lang w:val="ru-RU"/>
        </w:rPr>
        <w:t xml:space="preserve">в процессе принятия решений о </w:t>
      </w:r>
      <w:proofErr w:type="spellStart"/>
      <w:r w:rsidR="00DC56FD">
        <w:rPr>
          <w:iCs/>
          <w:snapToGrid w:val="0"/>
          <w:kern w:val="22"/>
          <w:szCs w:val="22"/>
          <w:lang w:val="ru-RU"/>
        </w:rPr>
        <w:t>ЖИО</w:t>
      </w:r>
      <w:proofErr w:type="spellEnd"/>
      <w:r w:rsidR="004569FB" w:rsidRPr="00DC56FD">
        <w:rPr>
          <w:iCs/>
          <w:snapToGrid w:val="0"/>
          <w:kern w:val="22"/>
          <w:szCs w:val="22"/>
          <w:lang w:val="ru-RU"/>
        </w:rPr>
        <w:t xml:space="preserve"> </w:t>
      </w:r>
      <w:r w:rsidR="00442936" w:rsidRPr="00DC56FD">
        <w:rPr>
          <w:iCs/>
          <w:snapToGrid w:val="0"/>
          <w:kern w:val="22"/>
          <w:szCs w:val="22"/>
          <w:lang w:val="ru-RU"/>
        </w:rPr>
        <w:t>(-16</w:t>
      </w:r>
      <w:r w:rsidR="00DC56FD">
        <w:rPr>
          <w:iCs/>
          <w:snapToGrid w:val="0"/>
          <w:kern w:val="22"/>
          <w:szCs w:val="22"/>
          <w:lang w:val="ru-RU"/>
        </w:rPr>
        <w:t> </w:t>
      </w:r>
      <w:r w:rsidR="00442936" w:rsidRPr="00DC56FD">
        <w:rPr>
          <w:iCs/>
          <w:snapToGrid w:val="0"/>
          <w:kern w:val="22"/>
          <w:szCs w:val="22"/>
          <w:lang w:val="ru-RU"/>
        </w:rPr>
        <w:t>%)</w:t>
      </w:r>
      <w:r w:rsidR="004569FB" w:rsidRPr="00DC56FD">
        <w:rPr>
          <w:iCs/>
          <w:snapToGrid w:val="0"/>
          <w:kern w:val="22"/>
          <w:szCs w:val="22"/>
          <w:lang w:val="ru-RU"/>
        </w:rPr>
        <w:t xml:space="preserve">. </w:t>
      </w:r>
      <w:bookmarkEnd w:id="29"/>
      <w:r w:rsidR="00DC56FD">
        <w:rPr>
          <w:iCs/>
          <w:snapToGrid w:val="0"/>
          <w:kern w:val="22"/>
          <w:szCs w:val="22"/>
          <w:lang w:val="ru-RU"/>
        </w:rPr>
        <w:t>Еще</w:t>
      </w:r>
      <w:r w:rsidR="00DC56FD" w:rsidRPr="00DC56FD">
        <w:rPr>
          <w:iCs/>
          <w:snapToGrid w:val="0"/>
          <w:kern w:val="22"/>
          <w:szCs w:val="22"/>
          <w:lang w:val="ru-RU"/>
        </w:rPr>
        <w:t xml:space="preserve"> </w:t>
      </w:r>
      <w:r w:rsidR="004569FB" w:rsidRPr="00DC56FD">
        <w:rPr>
          <w:iCs/>
          <w:snapToGrid w:val="0"/>
          <w:kern w:val="22"/>
          <w:szCs w:val="22"/>
          <w:lang w:val="ru-RU"/>
        </w:rPr>
        <w:t>11</w:t>
      </w:r>
      <w:r w:rsidR="00DC56FD" w:rsidRPr="00DC56FD">
        <w:rPr>
          <w:iCs/>
          <w:snapToGrid w:val="0"/>
          <w:kern w:val="22"/>
          <w:szCs w:val="22"/>
          <w:lang w:val="en-US"/>
        </w:rPr>
        <w:t> </w:t>
      </w:r>
      <w:r w:rsidR="004569FB" w:rsidRPr="00DC56FD">
        <w:rPr>
          <w:iCs/>
          <w:snapToGrid w:val="0"/>
          <w:kern w:val="22"/>
          <w:szCs w:val="22"/>
          <w:lang w:val="ru-RU"/>
        </w:rPr>
        <w:t xml:space="preserve">% </w:t>
      </w:r>
      <w:r w:rsidR="00DC56FD">
        <w:rPr>
          <w:iCs/>
          <w:snapToGrid w:val="0"/>
          <w:kern w:val="22"/>
          <w:szCs w:val="22"/>
          <w:lang w:val="ru-RU"/>
        </w:rPr>
        <w:t>Сторон</w:t>
      </w:r>
      <w:r w:rsidR="00DC56FD" w:rsidRPr="00DC56FD">
        <w:rPr>
          <w:iCs/>
          <w:snapToGrid w:val="0"/>
          <w:kern w:val="22"/>
          <w:szCs w:val="22"/>
          <w:lang w:val="ru-RU"/>
        </w:rPr>
        <w:t xml:space="preserve"> </w:t>
      </w:r>
      <w:r w:rsidR="00BB7067" w:rsidRPr="00DC56FD">
        <w:rPr>
          <w:iCs/>
          <w:snapToGrid w:val="0"/>
          <w:kern w:val="22"/>
          <w:szCs w:val="22"/>
          <w:lang w:val="ru-RU"/>
        </w:rPr>
        <w:t>(8</w:t>
      </w:r>
      <w:r w:rsidR="00353DA3" w:rsidRPr="00DB5643">
        <w:rPr>
          <w:iCs/>
          <w:snapToGrid w:val="0"/>
          <w:kern w:val="22"/>
          <w:szCs w:val="22"/>
        </w:rPr>
        <w:t> </w:t>
      </w:r>
      <w:r w:rsidR="00DC56FD">
        <w:rPr>
          <w:iCs/>
          <w:snapToGrid w:val="0"/>
          <w:kern w:val="22"/>
          <w:szCs w:val="22"/>
          <w:lang w:val="ru-RU"/>
        </w:rPr>
        <w:t>Сторон</w:t>
      </w:r>
      <w:r w:rsidR="00BB7067" w:rsidRPr="00DC56FD">
        <w:rPr>
          <w:iCs/>
          <w:snapToGrid w:val="0"/>
          <w:kern w:val="22"/>
          <w:szCs w:val="22"/>
          <w:lang w:val="ru-RU"/>
        </w:rPr>
        <w:t>)</w:t>
      </w:r>
      <w:r w:rsidR="004569FB" w:rsidRPr="00DC56FD">
        <w:rPr>
          <w:iCs/>
          <w:snapToGrid w:val="0"/>
          <w:kern w:val="22"/>
          <w:szCs w:val="22"/>
          <w:lang w:val="ru-RU"/>
        </w:rPr>
        <w:t xml:space="preserve"> </w:t>
      </w:r>
      <w:r w:rsidR="00DC56FD">
        <w:rPr>
          <w:iCs/>
          <w:snapToGrid w:val="0"/>
          <w:kern w:val="22"/>
          <w:szCs w:val="22"/>
          <w:lang w:val="ru-RU"/>
        </w:rPr>
        <w:t>сообщили</w:t>
      </w:r>
      <w:r w:rsidR="00DC56FD" w:rsidRPr="00DC56FD">
        <w:rPr>
          <w:iCs/>
          <w:snapToGrid w:val="0"/>
          <w:kern w:val="22"/>
          <w:szCs w:val="22"/>
          <w:lang w:val="ru-RU"/>
        </w:rPr>
        <w:t xml:space="preserve"> </w:t>
      </w:r>
      <w:r w:rsidR="00DC56FD">
        <w:rPr>
          <w:iCs/>
          <w:snapToGrid w:val="0"/>
          <w:kern w:val="22"/>
          <w:szCs w:val="22"/>
          <w:lang w:val="ru-RU"/>
        </w:rPr>
        <w:t>о так</w:t>
      </w:r>
      <w:r w:rsidR="00A97F3B">
        <w:rPr>
          <w:iCs/>
          <w:snapToGrid w:val="0"/>
          <w:kern w:val="22"/>
          <w:szCs w:val="22"/>
          <w:lang w:val="ru-RU"/>
        </w:rPr>
        <w:t>о</w:t>
      </w:r>
      <w:r w:rsidR="00DC56FD">
        <w:rPr>
          <w:iCs/>
          <w:snapToGrid w:val="0"/>
          <w:kern w:val="22"/>
          <w:szCs w:val="22"/>
          <w:lang w:val="ru-RU"/>
        </w:rPr>
        <w:t xml:space="preserve">м информировании в некоторой степени </w:t>
      </w:r>
      <w:r w:rsidR="00442936" w:rsidRPr="00DC56FD">
        <w:rPr>
          <w:iCs/>
          <w:snapToGrid w:val="0"/>
          <w:kern w:val="22"/>
          <w:szCs w:val="22"/>
          <w:lang w:val="ru-RU"/>
        </w:rPr>
        <w:t>(+11</w:t>
      </w:r>
      <w:r w:rsidR="00DC56FD">
        <w:rPr>
          <w:iCs/>
          <w:snapToGrid w:val="0"/>
          <w:kern w:val="22"/>
          <w:szCs w:val="22"/>
          <w:lang w:val="ru-RU"/>
        </w:rPr>
        <w:t> </w:t>
      </w:r>
      <w:r w:rsidR="00442936" w:rsidRPr="00DC56FD">
        <w:rPr>
          <w:iCs/>
          <w:snapToGrid w:val="0"/>
          <w:kern w:val="22"/>
          <w:szCs w:val="22"/>
          <w:lang w:val="ru-RU"/>
        </w:rPr>
        <w:t>%)</w:t>
      </w:r>
      <w:r w:rsidR="004569FB" w:rsidRPr="00DC56FD">
        <w:rPr>
          <w:iCs/>
          <w:snapToGrid w:val="0"/>
          <w:kern w:val="22"/>
          <w:szCs w:val="22"/>
          <w:lang w:val="ru-RU"/>
        </w:rPr>
        <w:t xml:space="preserve">. </w:t>
      </w:r>
      <w:r w:rsidR="00A97F3B">
        <w:rPr>
          <w:iCs/>
          <w:snapToGrid w:val="0"/>
          <w:kern w:val="22"/>
          <w:szCs w:val="22"/>
          <w:lang w:val="ru-RU"/>
        </w:rPr>
        <w:t>В</w:t>
      </w:r>
      <w:r w:rsidR="00A97F3B" w:rsidRPr="00A97F3B">
        <w:rPr>
          <w:iCs/>
          <w:snapToGrid w:val="0"/>
          <w:kern w:val="22"/>
          <w:szCs w:val="22"/>
          <w:lang w:val="ru-RU"/>
        </w:rPr>
        <w:t xml:space="preserve"> </w:t>
      </w:r>
      <w:r w:rsidR="00A97F3B">
        <w:rPr>
          <w:iCs/>
          <w:snapToGrid w:val="0"/>
          <w:kern w:val="22"/>
          <w:szCs w:val="22"/>
          <w:lang w:val="ru-RU"/>
        </w:rPr>
        <w:t>совокупности</w:t>
      </w:r>
      <w:r w:rsidR="004569FB" w:rsidRPr="00A97F3B">
        <w:rPr>
          <w:iCs/>
          <w:snapToGrid w:val="0"/>
          <w:kern w:val="22"/>
          <w:szCs w:val="22"/>
          <w:lang w:val="ru-RU"/>
        </w:rPr>
        <w:t xml:space="preserve"> 80</w:t>
      </w:r>
      <w:r w:rsidR="00A97F3B" w:rsidRPr="00A97F3B">
        <w:rPr>
          <w:iCs/>
          <w:snapToGrid w:val="0"/>
          <w:kern w:val="22"/>
          <w:szCs w:val="22"/>
          <w:lang w:val="en-US"/>
        </w:rPr>
        <w:t> </w:t>
      </w:r>
      <w:r w:rsidR="004569FB" w:rsidRPr="00A97F3B">
        <w:rPr>
          <w:iCs/>
          <w:snapToGrid w:val="0"/>
          <w:kern w:val="22"/>
          <w:szCs w:val="22"/>
          <w:lang w:val="ru-RU"/>
        </w:rPr>
        <w:t xml:space="preserve">% </w:t>
      </w:r>
      <w:r w:rsidR="00A97F3B">
        <w:rPr>
          <w:iCs/>
          <w:snapToGrid w:val="0"/>
          <w:kern w:val="22"/>
          <w:szCs w:val="22"/>
          <w:lang w:val="ru-RU"/>
        </w:rPr>
        <w:t>Сторон</w:t>
      </w:r>
      <w:r w:rsidR="00A97F3B" w:rsidRPr="00A97F3B">
        <w:rPr>
          <w:iCs/>
          <w:snapToGrid w:val="0"/>
          <w:kern w:val="22"/>
          <w:szCs w:val="22"/>
          <w:lang w:val="ru-RU"/>
        </w:rPr>
        <w:t xml:space="preserve"> </w:t>
      </w:r>
      <w:r w:rsidR="00A97F3B">
        <w:rPr>
          <w:iCs/>
          <w:snapToGrid w:val="0"/>
          <w:kern w:val="22"/>
          <w:szCs w:val="22"/>
          <w:lang w:val="ru-RU"/>
        </w:rPr>
        <w:t>сообщили</w:t>
      </w:r>
      <w:r w:rsidR="00A97F3B" w:rsidRPr="00A97F3B">
        <w:rPr>
          <w:iCs/>
          <w:snapToGrid w:val="0"/>
          <w:kern w:val="22"/>
          <w:szCs w:val="22"/>
          <w:lang w:val="ru-RU"/>
        </w:rPr>
        <w:t xml:space="preserve"> </w:t>
      </w:r>
      <w:r w:rsidR="00A97F3B">
        <w:rPr>
          <w:iCs/>
          <w:snapToGrid w:val="0"/>
          <w:kern w:val="22"/>
          <w:szCs w:val="22"/>
          <w:lang w:val="ru-RU"/>
        </w:rPr>
        <w:t>о</w:t>
      </w:r>
      <w:r w:rsidR="00A97F3B" w:rsidRPr="00A97F3B">
        <w:rPr>
          <w:iCs/>
          <w:snapToGrid w:val="0"/>
          <w:kern w:val="22"/>
          <w:szCs w:val="22"/>
          <w:lang w:val="ru-RU"/>
        </w:rPr>
        <w:t xml:space="preserve"> </w:t>
      </w:r>
      <w:r w:rsidR="00A97F3B">
        <w:rPr>
          <w:iCs/>
          <w:snapToGrid w:val="0"/>
          <w:kern w:val="22"/>
          <w:szCs w:val="22"/>
          <w:lang w:val="ru-RU"/>
        </w:rPr>
        <w:t>соответствующем</w:t>
      </w:r>
      <w:r w:rsidR="00A97F3B" w:rsidRPr="00A97F3B">
        <w:rPr>
          <w:iCs/>
          <w:snapToGrid w:val="0"/>
          <w:kern w:val="22"/>
          <w:szCs w:val="22"/>
          <w:lang w:val="ru-RU"/>
        </w:rPr>
        <w:t xml:space="preserve"> </w:t>
      </w:r>
      <w:r w:rsidR="00A97F3B">
        <w:rPr>
          <w:iCs/>
          <w:snapToGrid w:val="0"/>
          <w:kern w:val="22"/>
          <w:szCs w:val="22"/>
          <w:lang w:val="ru-RU"/>
        </w:rPr>
        <w:t>информировании</w:t>
      </w:r>
      <w:r w:rsidR="00A97F3B" w:rsidRPr="00A97F3B">
        <w:rPr>
          <w:iCs/>
          <w:snapToGrid w:val="0"/>
          <w:kern w:val="22"/>
          <w:szCs w:val="22"/>
          <w:lang w:val="ru-RU"/>
        </w:rPr>
        <w:t xml:space="preserve"> </w:t>
      </w:r>
      <w:proofErr w:type="gramStart"/>
      <w:r w:rsidR="00A97F3B">
        <w:rPr>
          <w:iCs/>
          <w:snapToGrid w:val="0"/>
          <w:kern w:val="22"/>
          <w:szCs w:val="22"/>
          <w:lang w:val="ru-RU"/>
        </w:rPr>
        <w:t>общественности</w:t>
      </w:r>
      <w:proofErr w:type="gramEnd"/>
      <w:r w:rsidR="00A97F3B" w:rsidRPr="00A97F3B">
        <w:rPr>
          <w:iCs/>
          <w:snapToGrid w:val="0"/>
          <w:kern w:val="22"/>
          <w:szCs w:val="22"/>
          <w:lang w:val="ru-RU"/>
        </w:rPr>
        <w:t xml:space="preserve"> </w:t>
      </w:r>
      <w:r w:rsidR="00A97F3B">
        <w:rPr>
          <w:iCs/>
          <w:snapToGrid w:val="0"/>
          <w:kern w:val="22"/>
          <w:szCs w:val="22"/>
          <w:lang w:val="ru-RU"/>
        </w:rPr>
        <w:t>по</w:t>
      </w:r>
      <w:r w:rsidR="00A97F3B" w:rsidRPr="00A97F3B">
        <w:rPr>
          <w:iCs/>
          <w:snapToGrid w:val="0"/>
          <w:kern w:val="22"/>
          <w:szCs w:val="22"/>
          <w:lang w:val="ru-RU"/>
        </w:rPr>
        <w:t xml:space="preserve"> </w:t>
      </w:r>
      <w:r w:rsidR="00A97F3B">
        <w:rPr>
          <w:iCs/>
          <w:snapToGrid w:val="0"/>
          <w:kern w:val="22"/>
          <w:szCs w:val="22"/>
          <w:lang w:val="ru-RU"/>
        </w:rPr>
        <w:t>крайней</w:t>
      </w:r>
      <w:r w:rsidR="00A97F3B" w:rsidRPr="00A97F3B">
        <w:rPr>
          <w:iCs/>
          <w:snapToGrid w:val="0"/>
          <w:kern w:val="22"/>
          <w:szCs w:val="22"/>
          <w:lang w:val="ru-RU"/>
        </w:rPr>
        <w:t xml:space="preserve"> </w:t>
      </w:r>
      <w:r w:rsidR="00A97F3B">
        <w:rPr>
          <w:iCs/>
          <w:snapToGrid w:val="0"/>
          <w:kern w:val="22"/>
          <w:szCs w:val="22"/>
          <w:lang w:val="ru-RU"/>
        </w:rPr>
        <w:t>мере в</w:t>
      </w:r>
      <w:r w:rsidR="00A97F3B" w:rsidRPr="00A97F3B">
        <w:rPr>
          <w:iCs/>
          <w:snapToGrid w:val="0"/>
          <w:kern w:val="22"/>
          <w:szCs w:val="22"/>
          <w:lang w:val="ru-RU"/>
        </w:rPr>
        <w:t xml:space="preserve"> </w:t>
      </w:r>
      <w:r w:rsidR="00A97F3B">
        <w:rPr>
          <w:iCs/>
          <w:snapToGrid w:val="0"/>
          <w:kern w:val="22"/>
          <w:szCs w:val="22"/>
          <w:lang w:val="ru-RU"/>
        </w:rPr>
        <w:t>некоторой</w:t>
      </w:r>
      <w:r w:rsidR="00A97F3B" w:rsidRPr="00A97F3B">
        <w:rPr>
          <w:iCs/>
          <w:snapToGrid w:val="0"/>
          <w:kern w:val="22"/>
          <w:szCs w:val="22"/>
          <w:lang w:val="ru-RU"/>
        </w:rPr>
        <w:t xml:space="preserve"> </w:t>
      </w:r>
      <w:r w:rsidR="00A97F3B">
        <w:rPr>
          <w:iCs/>
          <w:snapToGrid w:val="0"/>
          <w:kern w:val="22"/>
          <w:szCs w:val="22"/>
          <w:lang w:val="ru-RU"/>
        </w:rPr>
        <w:t>степени</w:t>
      </w:r>
      <w:r w:rsidR="004569FB" w:rsidRPr="00A97F3B">
        <w:rPr>
          <w:iCs/>
          <w:snapToGrid w:val="0"/>
          <w:kern w:val="22"/>
          <w:szCs w:val="22"/>
          <w:lang w:val="ru-RU"/>
        </w:rPr>
        <w:t xml:space="preserve">, </w:t>
      </w:r>
      <w:r w:rsidR="00A97F3B">
        <w:rPr>
          <w:iCs/>
          <w:snapToGrid w:val="0"/>
          <w:kern w:val="22"/>
          <w:szCs w:val="22"/>
          <w:lang w:val="ru-RU"/>
        </w:rPr>
        <w:t>что соответствует уменьшению на</w:t>
      </w:r>
      <w:r w:rsidR="004569FB" w:rsidRPr="00A97F3B">
        <w:rPr>
          <w:iCs/>
          <w:snapToGrid w:val="0"/>
          <w:kern w:val="22"/>
          <w:szCs w:val="22"/>
          <w:lang w:val="ru-RU"/>
        </w:rPr>
        <w:t xml:space="preserve"> </w:t>
      </w:r>
      <w:r w:rsidR="00BB7067" w:rsidRPr="00A97F3B">
        <w:rPr>
          <w:iCs/>
          <w:snapToGrid w:val="0"/>
          <w:kern w:val="22"/>
          <w:szCs w:val="22"/>
          <w:lang w:val="ru-RU"/>
        </w:rPr>
        <w:t>4</w:t>
      </w:r>
      <w:r w:rsidR="00A97F3B">
        <w:rPr>
          <w:iCs/>
          <w:snapToGrid w:val="0"/>
          <w:kern w:val="22"/>
          <w:szCs w:val="22"/>
          <w:lang w:val="ru-RU"/>
        </w:rPr>
        <w:t> </w:t>
      </w:r>
      <w:r w:rsidR="004569FB" w:rsidRPr="00A97F3B">
        <w:rPr>
          <w:iCs/>
          <w:snapToGrid w:val="0"/>
          <w:kern w:val="22"/>
          <w:szCs w:val="22"/>
          <w:lang w:val="ru-RU"/>
        </w:rPr>
        <w:t xml:space="preserve">% </w:t>
      </w:r>
      <w:r w:rsidR="00A97F3B">
        <w:rPr>
          <w:iCs/>
          <w:snapToGrid w:val="0"/>
          <w:kern w:val="22"/>
          <w:szCs w:val="22"/>
          <w:lang w:val="ru-RU"/>
        </w:rPr>
        <w:t>по сравнению с исходным уровнем</w:t>
      </w:r>
      <w:r w:rsidR="00BE4937" w:rsidRPr="00DB5643">
        <w:rPr>
          <w:rStyle w:val="ac"/>
          <w:iCs/>
          <w:snapToGrid w:val="0"/>
          <w:kern w:val="22"/>
          <w:szCs w:val="22"/>
        </w:rPr>
        <w:footnoteReference w:id="62"/>
      </w:r>
      <w:r w:rsidR="00A97F3B">
        <w:rPr>
          <w:iCs/>
          <w:snapToGrid w:val="0"/>
          <w:kern w:val="22"/>
          <w:szCs w:val="22"/>
          <w:lang w:val="ru-RU"/>
        </w:rPr>
        <w:t>.</w:t>
      </w:r>
      <w:r w:rsidR="004569FB" w:rsidRPr="00A97F3B">
        <w:rPr>
          <w:iCs/>
          <w:snapToGrid w:val="0"/>
          <w:kern w:val="22"/>
          <w:szCs w:val="22"/>
          <w:lang w:val="ru-RU"/>
        </w:rPr>
        <w:t xml:space="preserve"> </w:t>
      </w:r>
      <w:bookmarkStart w:id="30" w:name="_Hlk30519355"/>
      <w:r w:rsidR="00A97F3B">
        <w:rPr>
          <w:iCs/>
          <w:snapToGrid w:val="0"/>
          <w:kern w:val="22"/>
          <w:szCs w:val="22"/>
          <w:lang w:val="ru-RU"/>
        </w:rPr>
        <w:t>На</w:t>
      </w:r>
      <w:r w:rsidR="00A97F3B" w:rsidRPr="00A97F3B">
        <w:rPr>
          <w:iCs/>
          <w:snapToGrid w:val="0"/>
          <w:kern w:val="22"/>
          <w:szCs w:val="22"/>
          <w:lang w:val="en-US"/>
        </w:rPr>
        <w:t xml:space="preserve"> </w:t>
      </w:r>
      <w:r w:rsidR="00A97F3B">
        <w:rPr>
          <w:iCs/>
          <w:snapToGrid w:val="0"/>
          <w:kern w:val="22"/>
          <w:szCs w:val="22"/>
          <w:lang w:val="ru-RU"/>
        </w:rPr>
        <w:t>региональном</w:t>
      </w:r>
      <w:r w:rsidR="00A97F3B" w:rsidRPr="00A97F3B">
        <w:rPr>
          <w:iCs/>
          <w:snapToGrid w:val="0"/>
          <w:kern w:val="22"/>
          <w:szCs w:val="22"/>
          <w:lang w:val="en-US"/>
        </w:rPr>
        <w:t xml:space="preserve"> </w:t>
      </w:r>
      <w:r w:rsidR="00A97F3B">
        <w:rPr>
          <w:iCs/>
          <w:snapToGrid w:val="0"/>
          <w:kern w:val="22"/>
          <w:szCs w:val="22"/>
          <w:lang w:val="ru-RU"/>
        </w:rPr>
        <w:t>уровне</w:t>
      </w:r>
      <w:r w:rsidR="00A97F3B" w:rsidRPr="00A97F3B">
        <w:rPr>
          <w:iCs/>
          <w:snapToGrid w:val="0"/>
          <w:kern w:val="22"/>
          <w:szCs w:val="22"/>
          <w:lang w:val="en-US"/>
        </w:rPr>
        <w:t xml:space="preserve"> </w:t>
      </w:r>
      <w:r w:rsidR="00A97F3B">
        <w:rPr>
          <w:iCs/>
          <w:snapToGrid w:val="0"/>
          <w:kern w:val="22"/>
          <w:szCs w:val="22"/>
          <w:lang w:val="ru-RU"/>
        </w:rPr>
        <w:t>представлены</w:t>
      </w:r>
      <w:r w:rsidR="00A97F3B" w:rsidRPr="00A97F3B">
        <w:rPr>
          <w:iCs/>
          <w:snapToGrid w:val="0"/>
          <w:kern w:val="22"/>
          <w:szCs w:val="22"/>
          <w:lang w:val="en-US"/>
        </w:rPr>
        <w:t xml:space="preserve"> </w:t>
      </w:r>
      <w:r w:rsidR="00A97F3B">
        <w:rPr>
          <w:iCs/>
          <w:snapToGrid w:val="0"/>
          <w:kern w:val="22"/>
          <w:szCs w:val="22"/>
          <w:lang w:val="ru-RU"/>
        </w:rPr>
        <w:t>следующие</w:t>
      </w:r>
      <w:r w:rsidR="00A97F3B" w:rsidRPr="00A97F3B">
        <w:rPr>
          <w:iCs/>
          <w:snapToGrid w:val="0"/>
          <w:kern w:val="22"/>
          <w:szCs w:val="22"/>
          <w:lang w:val="en-US"/>
        </w:rPr>
        <w:t xml:space="preserve"> </w:t>
      </w:r>
      <w:r w:rsidR="00A97F3B">
        <w:rPr>
          <w:iCs/>
          <w:snapToGrid w:val="0"/>
          <w:kern w:val="22"/>
          <w:szCs w:val="22"/>
          <w:lang w:val="ru-RU"/>
        </w:rPr>
        <w:t>совокупные</w:t>
      </w:r>
      <w:r w:rsidR="00A97F3B" w:rsidRPr="00A97F3B">
        <w:rPr>
          <w:iCs/>
          <w:snapToGrid w:val="0"/>
          <w:kern w:val="22"/>
          <w:szCs w:val="22"/>
          <w:lang w:val="en-US"/>
        </w:rPr>
        <w:t xml:space="preserve"> </w:t>
      </w:r>
      <w:r w:rsidR="00A97F3B">
        <w:rPr>
          <w:iCs/>
          <w:snapToGrid w:val="0"/>
          <w:kern w:val="22"/>
          <w:szCs w:val="22"/>
          <w:lang w:val="ru-RU"/>
        </w:rPr>
        <w:t>данные</w:t>
      </w:r>
      <w:r w:rsidR="00A97F3B" w:rsidRPr="00A97F3B">
        <w:rPr>
          <w:iCs/>
          <w:snapToGrid w:val="0"/>
          <w:kern w:val="22"/>
          <w:szCs w:val="22"/>
          <w:lang w:val="en-US"/>
        </w:rPr>
        <w:t xml:space="preserve">. </w:t>
      </w:r>
      <w:r w:rsidR="00A97F3B">
        <w:rPr>
          <w:iCs/>
          <w:snapToGrid w:val="0"/>
          <w:kern w:val="22"/>
          <w:szCs w:val="22"/>
          <w:lang w:val="ru-RU"/>
        </w:rPr>
        <w:t>Сообщено</w:t>
      </w:r>
      <w:r w:rsidR="00A97F3B" w:rsidRPr="003926D8">
        <w:rPr>
          <w:iCs/>
          <w:snapToGrid w:val="0"/>
          <w:kern w:val="22"/>
          <w:szCs w:val="22"/>
          <w:lang w:val="ru-RU"/>
        </w:rPr>
        <w:t xml:space="preserve"> </w:t>
      </w:r>
      <w:r w:rsidR="00A97F3B">
        <w:rPr>
          <w:iCs/>
          <w:snapToGrid w:val="0"/>
          <w:kern w:val="22"/>
          <w:szCs w:val="22"/>
          <w:lang w:val="ru-RU"/>
        </w:rPr>
        <w:t>об</w:t>
      </w:r>
      <w:r w:rsidR="00A97F3B" w:rsidRPr="003926D8">
        <w:rPr>
          <w:iCs/>
          <w:snapToGrid w:val="0"/>
          <w:kern w:val="22"/>
          <w:szCs w:val="22"/>
          <w:lang w:val="ru-RU"/>
        </w:rPr>
        <w:t xml:space="preserve"> </w:t>
      </w:r>
      <w:r w:rsidR="00A97F3B">
        <w:rPr>
          <w:iCs/>
          <w:snapToGrid w:val="0"/>
          <w:kern w:val="22"/>
          <w:szCs w:val="22"/>
          <w:lang w:val="ru-RU"/>
        </w:rPr>
        <w:t>уменьшении</w:t>
      </w:r>
      <w:r w:rsidR="00A97F3B" w:rsidRPr="003926D8">
        <w:rPr>
          <w:iCs/>
          <w:snapToGrid w:val="0"/>
          <w:kern w:val="22"/>
          <w:szCs w:val="22"/>
          <w:lang w:val="ru-RU"/>
        </w:rPr>
        <w:t xml:space="preserve"> </w:t>
      </w:r>
      <w:r w:rsidR="00A97F3B">
        <w:rPr>
          <w:iCs/>
          <w:snapToGrid w:val="0"/>
          <w:kern w:val="22"/>
          <w:szCs w:val="22"/>
          <w:lang w:val="ru-RU"/>
        </w:rPr>
        <w:t>в</w:t>
      </w:r>
      <w:r w:rsidR="00A97F3B" w:rsidRPr="003926D8">
        <w:rPr>
          <w:iCs/>
          <w:snapToGrid w:val="0"/>
          <w:kern w:val="22"/>
          <w:szCs w:val="22"/>
          <w:lang w:val="ru-RU"/>
        </w:rPr>
        <w:t xml:space="preserve"> </w:t>
      </w:r>
      <w:r w:rsidR="00A97F3B">
        <w:rPr>
          <w:iCs/>
          <w:snapToGrid w:val="0"/>
          <w:kern w:val="22"/>
          <w:szCs w:val="22"/>
          <w:lang w:val="ru-RU"/>
        </w:rPr>
        <w:t>трех</w:t>
      </w:r>
      <w:r w:rsidR="00A97F3B" w:rsidRPr="003926D8">
        <w:rPr>
          <w:iCs/>
          <w:snapToGrid w:val="0"/>
          <w:kern w:val="22"/>
          <w:szCs w:val="22"/>
          <w:lang w:val="ru-RU"/>
        </w:rPr>
        <w:t xml:space="preserve"> </w:t>
      </w:r>
      <w:r w:rsidR="00A97F3B">
        <w:rPr>
          <w:iCs/>
          <w:snapToGrid w:val="0"/>
          <w:kern w:val="22"/>
          <w:szCs w:val="22"/>
          <w:lang w:val="ru-RU"/>
        </w:rPr>
        <w:t>регионах</w:t>
      </w:r>
      <w:r w:rsidR="004569FB" w:rsidRPr="003926D8">
        <w:rPr>
          <w:iCs/>
          <w:snapToGrid w:val="0"/>
          <w:kern w:val="22"/>
          <w:szCs w:val="22"/>
          <w:lang w:val="ru-RU"/>
        </w:rPr>
        <w:t xml:space="preserve">: </w:t>
      </w:r>
      <w:r w:rsidR="00A97F3B">
        <w:rPr>
          <w:iCs/>
          <w:snapToGrid w:val="0"/>
          <w:kern w:val="22"/>
          <w:szCs w:val="22"/>
          <w:lang w:val="ru-RU"/>
        </w:rPr>
        <w:t>Африка</w:t>
      </w:r>
      <w:r w:rsidR="004569FB" w:rsidRPr="003926D8">
        <w:rPr>
          <w:iCs/>
          <w:snapToGrid w:val="0"/>
          <w:kern w:val="22"/>
          <w:szCs w:val="22"/>
          <w:lang w:val="ru-RU"/>
        </w:rPr>
        <w:t>: 7</w:t>
      </w:r>
      <w:r w:rsidR="00BB7067" w:rsidRPr="003926D8">
        <w:rPr>
          <w:iCs/>
          <w:snapToGrid w:val="0"/>
          <w:kern w:val="22"/>
          <w:szCs w:val="22"/>
          <w:lang w:val="ru-RU"/>
        </w:rPr>
        <w:t>4</w:t>
      </w:r>
      <w:r w:rsidR="00A97F3B" w:rsidRPr="00A97F3B">
        <w:rPr>
          <w:iCs/>
          <w:snapToGrid w:val="0"/>
          <w:kern w:val="22"/>
          <w:szCs w:val="22"/>
          <w:lang w:val="en-US"/>
        </w:rPr>
        <w:t> </w:t>
      </w:r>
      <w:r w:rsidR="004569FB" w:rsidRPr="003926D8">
        <w:rPr>
          <w:iCs/>
          <w:snapToGrid w:val="0"/>
          <w:kern w:val="22"/>
          <w:szCs w:val="22"/>
          <w:lang w:val="ru-RU"/>
        </w:rPr>
        <w:t>% (-1</w:t>
      </w:r>
      <w:r w:rsidR="00BB7067" w:rsidRPr="003926D8">
        <w:rPr>
          <w:iCs/>
          <w:snapToGrid w:val="0"/>
          <w:kern w:val="22"/>
          <w:szCs w:val="22"/>
          <w:lang w:val="ru-RU"/>
        </w:rPr>
        <w:t>6</w:t>
      </w:r>
      <w:r w:rsidR="00A97F3B" w:rsidRPr="00A97F3B">
        <w:rPr>
          <w:iCs/>
          <w:snapToGrid w:val="0"/>
          <w:kern w:val="22"/>
          <w:szCs w:val="22"/>
          <w:lang w:val="en-US"/>
        </w:rPr>
        <w:t> </w:t>
      </w:r>
      <w:r w:rsidR="004569FB" w:rsidRPr="003926D8">
        <w:rPr>
          <w:iCs/>
          <w:snapToGrid w:val="0"/>
          <w:kern w:val="22"/>
          <w:szCs w:val="22"/>
          <w:lang w:val="ru-RU"/>
        </w:rPr>
        <w:t xml:space="preserve">%); </w:t>
      </w:r>
      <w:proofErr w:type="spellStart"/>
      <w:r w:rsidR="00A97F3B">
        <w:rPr>
          <w:iCs/>
          <w:snapToGrid w:val="0"/>
          <w:kern w:val="22"/>
          <w:szCs w:val="22"/>
          <w:lang w:val="ru-RU"/>
        </w:rPr>
        <w:t>ГРУЛАК</w:t>
      </w:r>
      <w:proofErr w:type="spellEnd"/>
      <w:r w:rsidR="004569FB" w:rsidRPr="003926D8">
        <w:rPr>
          <w:iCs/>
          <w:snapToGrid w:val="0"/>
          <w:kern w:val="22"/>
          <w:szCs w:val="22"/>
          <w:lang w:val="ru-RU"/>
        </w:rPr>
        <w:t>: 54</w:t>
      </w:r>
      <w:r w:rsidR="00A97F3B" w:rsidRPr="00A97F3B">
        <w:rPr>
          <w:iCs/>
          <w:snapToGrid w:val="0"/>
          <w:kern w:val="22"/>
          <w:szCs w:val="22"/>
          <w:lang w:val="en-US"/>
        </w:rPr>
        <w:t> </w:t>
      </w:r>
      <w:r w:rsidR="004569FB" w:rsidRPr="003926D8">
        <w:rPr>
          <w:iCs/>
          <w:snapToGrid w:val="0"/>
          <w:kern w:val="22"/>
          <w:szCs w:val="22"/>
          <w:lang w:val="ru-RU"/>
        </w:rPr>
        <w:t>% (-8</w:t>
      </w:r>
      <w:r w:rsidR="00A97F3B" w:rsidRPr="00A97F3B">
        <w:rPr>
          <w:iCs/>
          <w:snapToGrid w:val="0"/>
          <w:kern w:val="22"/>
          <w:szCs w:val="22"/>
          <w:lang w:val="en-US"/>
        </w:rPr>
        <w:t> </w:t>
      </w:r>
      <w:r w:rsidR="004569FB" w:rsidRPr="003926D8">
        <w:rPr>
          <w:iCs/>
          <w:snapToGrid w:val="0"/>
          <w:kern w:val="22"/>
          <w:szCs w:val="22"/>
          <w:lang w:val="ru-RU"/>
        </w:rPr>
        <w:t xml:space="preserve">%); </w:t>
      </w:r>
      <w:proofErr w:type="spellStart"/>
      <w:r w:rsidR="004569FB" w:rsidRPr="00DB5643">
        <w:rPr>
          <w:iCs/>
          <w:snapToGrid w:val="0"/>
          <w:kern w:val="22"/>
          <w:szCs w:val="22"/>
        </w:rPr>
        <w:t>WEOG</w:t>
      </w:r>
      <w:proofErr w:type="spellEnd"/>
      <w:r w:rsidR="004569FB" w:rsidRPr="003926D8">
        <w:rPr>
          <w:iCs/>
          <w:snapToGrid w:val="0"/>
          <w:kern w:val="22"/>
          <w:szCs w:val="22"/>
          <w:lang w:val="ru-RU"/>
        </w:rPr>
        <w:t>: 94</w:t>
      </w:r>
      <w:r w:rsidR="00A97F3B" w:rsidRPr="00A97F3B">
        <w:rPr>
          <w:iCs/>
          <w:snapToGrid w:val="0"/>
          <w:kern w:val="22"/>
          <w:szCs w:val="22"/>
          <w:lang w:val="en-US"/>
        </w:rPr>
        <w:t> </w:t>
      </w:r>
      <w:r w:rsidR="004569FB" w:rsidRPr="003926D8">
        <w:rPr>
          <w:iCs/>
          <w:snapToGrid w:val="0"/>
          <w:kern w:val="22"/>
          <w:szCs w:val="22"/>
          <w:lang w:val="ru-RU"/>
        </w:rPr>
        <w:t>% (-6</w:t>
      </w:r>
      <w:r w:rsidR="00A97F3B" w:rsidRPr="00A97F3B">
        <w:rPr>
          <w:iCs/>
          <w:snapToGrid w:val="0"/>
          <w:kern w:val="22"/>
          <w:szCs w:val="22"/>
          <w:lang w:val="en-US"/>
        </w:rPr>
        <w:t> </w:t>
      </w:r>
      <w:r w:rsidR="004569FB" w:rsidRPr="003926D8">
        <w:rPr>
          <w:iCs/>
          <w:snapToGrid w:val="0"/>
          <w:kern w:val="22"/>
          <w:szCs w:val="22"/>
          <w:lang w:val="ru-RU"/>
        </w:rPr>
        <w:t xml:space="preserve">%). </w:t>
      </w:r>
      <w:r w:rsidR="00A97F3B">
        <w:rPr>
          <w:iCs/>
          <w:snapToGrid w:val="0"/>
          <w:kern w:val="22"/>
          <w:szCs w:val="22"/>
          <w:lang w:val="ru-RU"/>
        </w:rPr>
        <w:t>Сообщено</w:t>
      </w:r>
      <w:r w:rsidR="00A97F3B" w:rsidRPr="003926D8">
        <w:rPr>
          <w:iCs/>
          <w:snapToGrid w:val="0"/>
          <w:kern w:val="22"/>
          <w:szCs w:val="22"/>
          <w:lang w:val="ru-RU"/>
        </w:rPr>
        <w:t xml:space="preserve"> </w:t>
      </w:r>
      <w:r w:rsidR="00A97F3B">
        <w:rPr>
          <w:iCs/>
          <w:snapToGrid w:val="0"/>
          <w:kern w:val="22"/>
          <w:szCs w:val="22"/>
          <w:lang w:val="ru-RU"/>
        </w:rPr>
        <w:t>об</w:t>
      </w:r>
      <w:r w:rsidR="00A97F3B" w:rsidRPr="003926D8">
        <w:rPr>
          <w:iCs/>
          <w:snapToGrid w:val="0"/>
          <w:kern w:val="22"/>
          <w:szCs w:val="22"/>
          <w:lang w:val="ru-RU"/>
        </w:rPr>
        <w:t xml:space="preserve"> </w:t>
      </w:r>
      <w:r w:rsidR="00A97F3B">
        <w:rPr>
          <w:iCs/>
          <w:snapToGrid w:val="0"/>
          <w:kern w:val="22"/>
          <w:szCs w:val="22"/>
          <w:lang w:val="ru-RU"/>
        </w:rPr>
        <w:t>увеличении</w:t>
      </w:r>
      <w:r w:rsidR="00A97F3B" w:rsidRPr="003926D8">
        <w:rPr>
          <w:iCs/>
          <w:snapToGrid w:val="0"/>
          <w:kern w:val="22"/>
          <w:szCs w:val="22"/>
          <w:lang w:val="ru-RU"/>
        </w:rPr>
        <w:t xml:space="preserve"> </w:t>
      </w:r>
      <w:r w:rsidR="00A97F3B">
        <w:rPr>
          <w:iCs/>
          <w:snapToGrid w:val="0"/>
          <w:kern w:val="22"/>
          <w:szCs w:val="22"/>
          <w:lang w:val="ru-RU"/>
        </w:rPr>
        <w:t>в</w:t>
      </w:r>
      <w:r w:rsidR="00A97F3B" w:rsidRPr="003926D8">
        <w:rPr>
          <w:iCs/>
          <w:snapToGrid w:val="0"/>
          <w:kern w:val="22"/>
          <w:szCs w:val="22"/>
          <w:lang w:val="ru-RU"/>
        </w:rPr>
        <w:t xml:space="preserve"> </w:t>
      </w:r>
      <w:r w:rsidR="00A97F3B">
        <w:rPr>
          <w:iCs/>
          <w:snapToGrid w:val="0"/>
          <w:kern w:val="22"/>
          <w:szCs w:val="22"/>
          <w:lang w:val="ru-RU"/>
        </w:rPr>
        <w:t>Азиатско</w:t>
      </w:r>
      <w:r w:rsidR="00A97F3B" w:rsidRPr="003926D8">
        <w:rPr>
          <w:iCs/>
          <w:snapToGrid w:val="0"/>
          <w:kern w:val="22"/>
          <w:szCs w:val="22"/>
          <w:lang w:val="ru-RU"/>
        </w:rPr>
        <w:t>-</w:t>
      </w:r>
      <w:r w:rsidR="00A97F3B">
        <w:rPr>
          <w:iCs/>
          <w:snapToGrid w:val="0"/>
          <w:kern w:val="22"/>
          <w:szCs w:val="22"/>
          <w:lang w:val="ru-RU"/>
        </w:rPr>
        <w:t>Тихоокеанском</w:t>
      </w:r>
      <w:r w:rsidR="00A97F3B" w:rsidRPr="003926D8">
        <w:rPr>
          <w:iCs/>
          <w:snapToGrid w:val="0"/>
          <w:kern w:val="22"/>
          <w:szCs w:val="22"/>
          <w:lang w:val="ru-RU"/>
        </w:rPr>
        <w:t xml:space="preserve"> </w:t>
      </w:r>
      <w:r w:rsidR="00A97F3B">
        <w:rPr>
          <w:iCs/>
          <w:snapToGrid w:val="0"/>
          <w:kern w:val="22"/>
          <w:szCs w:val="22"/>
          <w:lang w:val="ru-RU"/>
        </w:rPr>
        <w:t>регионе</w:t>
      </w:r>
      <w:r w:rsidR="004569FB" w:rsidRPr="003926D8">
        <w:rPr>
          <w:iCs/>
          <w:snapToGrid w:val="0"/>
          <w:kern w:val="22"/>
          <w:szCs w:val="22"/>
          <w:lang w:val="ru-RU"/>
        </w:rPr>
        <w:t>: 89</w:t>
      </w:r>
      <w:r w:rsidR="00A97F3B" w:rsidRPr="00A97F3B">
        <w:rPr>
          <w:iCs/>
          <w:snapToGrid w:val="0"/>
          <w:kern w:val="22"/>
          <w:szCs w:val="22"/>
          <w:lang w:val="en-US"/>
        </w:rPr>
        <w:t> </w:t>
      </w:r>
      <w:r w:rsidR="004569FB" w:rsidRPr="003926D8">
        <w:rPr>
          <w:iCs/>
          <w:snapToGrid w:val="0"/>
          <w:kern w:val="22"/>
          <w:szCs w:val="22"/>
          <w:lang w:val="ru-RU"/>
        </w:rPr>
        <w:t>% (+22</w:t>
      </w:r>
      <w:r w:rsidR="00A97F3B" w:rsidRPr="00A97F3B">
        <w:rPr>
          <w:iCs/>
          <w:snapToGrid w:val="0"/>
          <w:kern w:val="22"/>
          <w:szCs w:val="22"/>
          <w:lang w:val="en-US"/>
        </w:rPr>
        <w:t> </w:t>
      </w:r>
      <w:r w:rsidR="00A97F3B" w:rsidRPr="003926D8">
        <w:rPr>
          <w:iCs/>
          <w:snapToGrid w:val="0"/>
          <w:kern w:val="22"/>
          <w:szCs w:val="22"/>
          <w:lang w:val="ru-RU"/>
        </w:rPr>
        <w:t xml:space="preserve">%). </w:t>
      </w:r>
      <w:r w:rsidR="00A97F3B">
        <w:rPr>
          <w:iCs/>
          <w:snapToGrid w:val="0"/>
          <w:kern w:val="22"/>
          <w:szCs w:val="22"/>
          <w:lang w:val="ru-RU"/>
        </w:rPr>
        <w:t>Сообщено</w:t>
      </w:r>
      <w:r w:rsidR="00A97F3B" w:rsidRPr="00A97F3B">
        <w:rPr>
          <w:iCs/>
          <w:snapToGrid w:val="0"/>
          <w:kern w:val="22"/>
          <w:szCs w:val="22"/>
          <w:lang w:val="ru-RU"/>
        </w:rPr>
        <w:t xml:space="preserve"> </w:t>
      </w:r>
      <w:r w:rsidR="00A97F3B">
        <w:rPr>
          <w:iCs/>
          <w:snapToGrid w:val="0"/>
          <w:kern w:val="22"/>
          <w:szCs w:val="22"/>
          <w:lang w:val="ru-RU"/>
        </w:rPr>
        <w:t>об</w:t>
      </w:r>
      <w:r w:rsidR="00A97F3B" w:rsidRPr="00A97F3B">
        <w:rPr>
          <w:iCs/>
          <w:snapToGrid w:val="0"/>
          <w:kern w:val="22"/>
          <w:szCs w:val="22"/>
          <w:lang w:val="ru-RU"/>
        </w:rPr>
        <w:t xml:space="preserve"> </w:t>
      </w:r>
      <w:r w:rsidR="00A97F3B">
        <w:rPr>
          <w:iCs/>
          <w:snapToGrid w:val="0"/>
          <w:kern w:val="22"/>
          <w:szCs w:val="22"/>
          <w:lang w:val="ru-RU"/>
        </w:rPr>
        <w:t>отсутствии</w:t>
      </w:r>
      <w:r w:rsidR="00A97F3B" w:rsidRPr="00A97F3B">
        <w:rPr>
          <w:iCs/>
          <w:snapToGrid w:val="0"/>
          <w:kern w:val="22"/>
          <w:szCs w:val="22"/>
          <w:lang w:val="ru-RU"/>
        </w:rPr>
        <w:t xml:space="preserve"> </w:t>
      </w:r>
      <w:r w:rsidR="00A97F3B">
        <w:rPr>
          <w:iCs/>
          <w:snapToGrid w:val="0"/>
          <w:kern w:val="22"/>
          <w:szCs w:val="22"/>
          <w:lang w:val="ru-RU"/>
        </w:rPr>
        <w:t>изменений</w:t>
      </w:r>
      <w:r w:rsidR="00A97F3B" w:rsidRPr="00A97F3B">
        <w:rPr>
          <w:iCs/>
          <w:snapToGrid w:val="0"/>
          <w:kern w:val="22"/>
          <w:szCs w:val="22"/>
          <w:lang w:val="ru-RU"/>
        </w:rPr>
        <w:t xml:space="preserve"> </w:t>
      </w:r>
      <w:r w:rsidR="00A97F3B">
        <w:rPr>
          <w:iCs/>
          <w:snapToGrid w:val="0"/>
          <w:kern w:val="22"/>
          <w:szCs w:val="22"/>
          <w:lang w:val="ru-RU"/>
        </w:rPr>
        <w:t>в</w:t>
      </w:r>
      <w:r w:rsidR="00A97F3B" w:rsidRPr="00A97F3B">
        <w:rPr>
          <w:iCs/>
          <w:snapToGrid w:val="0"/>
          <w:kern w:val="22"/>
          <w:szCs w:val="22"/>
          <w:lang w:val="ru-RU"/>
        </w:rPr>
        <w:t xml:space="preserve"> </w:t>
      </w:r>
      <w:r w:rsidR="00A97F3B">
        <w:rPr>
          <w:iCs/>
          <w:snapToGrid w:val="0"/>
          <w:kern w:val="22"/>
          <w:szCs w:val="22"/>
          <w:lang w:val="ru-RU"/>
        </w:rPr>
        <w:t>регионе</w:t>
      </w:r>
      <w:r w:rsidR="004569FB" w:rsidRPr="00A97F3B">
        <w:rPr>
          <w:iCs/>
          <w:snapToGrid w:val="0"/>
          <w:kern w:val="22"/>
          <w:szCs w:val="22"/>
          <w:lang w:val="ru-RU"/>
        </w:rPr>
        <w:t xml:space="preserve"> </w:t>
      </w:r>
      <w:proofErr w:type="spellStart"/>
      <w:r w:rsidR="004569FB" w:rsidRPr="00DB5643">
        <w:rPr>
          <w:iCs/>
          <w:snapToGrid w:val="0"/>
          <w:kern w:val="22"/>
          <w:szCs w:val="22"/>
        </w:rPr>
        <w:t>CEE</w:t>
      </w:r>
      <w:proofErr w:type="spellEnd"/>
      <w:r w:rsidR="004569FB" w:rsidRPr="00A97F3B">
        <w:rPr>
          <w:iCs/>
          <w:snapToGrid w:val="0"/>
          <w:kern w:val="22"/>
          <w:szCs w:val="22"/>
          <w:lang w:val="ru-RU"/>
        </w:rPr>
        <w:t xml:space="preserve">, </w:t>
      </w:r>
      <w:r w:rsidR="00A97F3B">
        <w:rPr>
          <w:iCs/>
          <w:snapToGrid w:val="0"/>
          <w:kern w:val="22"/>
          <w:szCs w:val="22"/>
          <w:lang w:val="ru-RU"/>
        </w:rPr>
        <w:t>где</w:t>
      </w:r>
      <w:r w:rsidR="00A97F3B" w:rsidRPr="00A97F3B">
        <w:rPr>
          <w:iCs/>
          <w:snapToGrid w:val="0"/>
          <w:kern w:val="22"/>
          <w:szCs w:val="22"/>
          <w:lang w:val="ru-RU"/>
        </w:rPr>
        <w:t xml:space="preserve"> </w:t>
      </w:r>
      <w:r w:rsidR="00A97F3B">
        <w:rPr>
          <w:iCs/>
          <w:snapToGrid w:val="0"/>
          <w:kern w:val="22"/>
          <w:szCs w:val="22"/>
          <w:lang w:val="ru-RU"/>
        </w:rPr>
        <w:t>совокупная</w:t>
      </w:r>
      <w:r w:rsidR="00A97F3B" w:rsidRPr="00A97F3B">
        <w:rPr>
          <w:iCs/>
          <w:snapToGrid w:val="0"/>
          <w:kern w:val="22"/>
          <w:szCs w:val="22"/>
          <w:lang w:val="ru-RU"/>
        </w:rPr>
        <w:t xml:space="preserve"> </w:t>
      </w:r>
      <w:r w:rsidR="00A97F3B">
        <w:rPr>
          <w:iCs/>
          <w:snapToGrid w:val="0"/>
          <w:kern w:val="22"/>
          <w:szCs w:val="22"/>
          <w:lang w:val="ru-RU"/>
        </w:rPr>
        <w:t>процентная</w:t>
      </w:r>
      <w:r w:rsidR="00A97F3B" w:rsidRPr="00A97F3B">
        <w:rPr>
          <w:iCs/>
          <w:snapToGrid w:val="0"/>
          <w:kern w:val="22"/>
          <w:szCs w:val="22"/>
          <w:lang w:val="ru-RU"/>
        </w:rPr>
        <w:t xml:space="preserve"> </w:t>
      </w:r>
      <w:r w:rsidR="00A97F3B">
        <w:rPr>
          <w:iCs/>
          <w:snapToGrid w:val="0"/>
          <w:kern w:val="22"/>
          <w:szCs w:val="22"/>
          <w:lang w:val="ru-RU"/>
        </w:rPr>
        <w:t>доля</w:t>
      </w:r>
      <w:r w:rsidR="00A97F3B" w:rsidRPr="00A97F3B">
        <w:rPr>
          <w:iCs/>
          <w:snapToGrid w:val="0"/>
          <w:kern w:val="22"/>
          <w:szCs w:val="22"/>
          <w:lang w:val="ru-RU"/>
        </w:rPr>
        <w:t xml:space="preserve"> </w:t>
      </w:r>
      <w:r w:rsidR="00A97F3B">
        <w:rPr>
          <w:iCs/>
          <w:snapToGrid w:val="0"/>
          <w:kern w:val="22"/>
          <w:szCs w:val="22"/>
          <w:lang w:val="ru-RU"/>
        </w:rPr>
        <w:t>Сторон</w:t>
      </w:r>
      <w:r w:rsidR="00A97F3B" w:rsidRPr="00A97F3B">
        <w:rPr>
          <w:iCs/>
          <w:snapToGrid w:val="0"/>
          <w:kern w:val="22"/>
          <w:szCs w:val="22"/>
          <w:lang w:val="ru-RU"/>
        </w:rPr>
        <w:t xml:space="preserve">, </w:t>
      </w:r>
      <w:r w:rsidR="00A97F3B">
        <w:rPr>
          <w:iCs/>
          <w:snapToGrid w:val="0"/>
          <w:kern w:val="22"/>
          <w:szCs w:val="22"/>
          <w:lang w:val="ru-RU"/>
        </w:rPr>
        <w:t>информирующих</w:t>
      </w:r>
      <w:r w:rsidR="00A97F3B" w:rsidRPr="00A97F3B">
        <w:rPr>
          <w:iCs/>
          <w:snapToGrid w:val="0"/>
          <w:kern w:val="22"/>
          <w:szCs w:val="22"/>
          <w:lang w:val="ru-RU"/>
        </w:rPr>
        <w:t xml:space="preserve"> </w:t>
      </w:r>
      <w:r w:rsidR="00A97F3B">
        <w:rPr>
          <w:iCs/>
          <w:snapToGrid w:val="0"/>
          <w:kern w:val="22"/>
          <w:szCs w:val="22"/>
          <w:lang w:val="ru-RU"/>
        </w:rPr>
        <w:t>свою</w:t>
      </w:r>
      <w:r w:rsidR="00A97F3B" w:rsidRPr="00A97F3B">
        <w:rPr>
          <w:iCs/>
          <w:snapToGrid w:val="0"/>
          <w:kern w:val="22"/>
          <w:szCs w:val="22"/>
          <w:lang w:val="ru-RU"/>
        </w:rPr>
        <w:t xml:space="preserve"> </w:t>
      </w:r>
      <w:proofErr w:type="gramStart"/>
      <w:r w:rsidR="00A97F3B">
        <w:rPr>
          <w:iCs/>
          <w:snapToGrid w:val="0"/>
          <w:kern w:val="22"/>
          <w:szCs w:val="22"/>
          <w:lang w:val="ru-RU"/>
        </w:rPr>
        <w:t>общественность</w:t>
      </w:r>
      <w:proofErr w:type="gramEnd"/>
      <w:r w:rsidR="00A97F3B" w:rsidRPr="00A97F3B">
        <w:rPr>
          <w:iCs/>
          <w:snapToGrid w:val="0"/>
          <w:kern w:val="22"/>
          <w:szCs w:val="22"/>
          <w:lang w:val="ru-RU"/>
        </w:rPr>
        <w:t xml:space="preserve"> </w:t>
      </w:r>
      <w:r w:rsidR="00A97F3B">
        <w:rPr>
          <w:iCs/>
          <w:snapToGrid w:val="0"/>
          <w:kern w:val="22"/>
          <w:szCs w:val="22"/>
          <w:lang w:val="ru-RU"/>
        </w:rPr>
        <w:t>по</w:t>
      </w:r>
      <w:r w:rsidR="00A97F3B" w:rsidRPr="00A97F3B">
        <w:rPr>
          <w:iCs/>
          <w:snapToGrid w:val="0"/>
          <w:kern w:val="22"/>
          <w:szCs w:val="22"/>
          <w:lang w:val="ru-RU"/>
        </w:rPr>
        <w:t xml:space="preserve"> </w:t>
      </w:r>
      <w:r w:rsidR="00A97F3B">
        <w:rPr>
          <w:iCs/>
          <w:snapToGrid w:val="0"/>
          <w:kern w:val="22"/>
          <w:szCs w:val="22"/>
          <w:lang w:val="ru-RU"/>
        </w:rPr>
        <w:t>крайней</w:t>
      </w:r>
      <w:r w:rsidR="00A97F3B" w:rsidRPr="00A97F3B">
        <w:rPr>
          <w:iCs/>
          <w:snapToGrid w:val="0"/>
          <w:kern w:val="22"/>
          <w:szCs w:val="22"/>
          <w:lang w:val="ru-RU"/>
        </w:rPr>
        <w:t xml:space="preserve"> </w:t>
      </w:r>
      <w:r w:rsidR="00A97F3B">
        <w:rPr>
          <w:iCs/>
          <w:snapToGrid w:val="0"/>
          <w:kern w:val="22"/>
          <w:szCs w:val="22"/>
          <w:lang w:val="ru-RU"/>
        </w:rPr>
        <w:t>мере</w:t>
      </w:r>
      <w:r w:rsidR="00A97F3B" w:rsidRPr="00A97F3B">
        <w:rPr>
          <w:iCs/>
          <w:snapToGrid w:val="0"/>
          <w:kern w:val="22"/>
          <w:szCs w:val="22"/>
          <w:lang w:val="ru-RU"/>
        </w:rPr>
        <w:t xml:space="preserve"> </w:t>
      </w:r>
      <w:r w:rsidR="00A97F3B">
        <w:rPr>
          <w:iCs/>
          <w:snapToGrid w:val="0"/>
          <w:kern w:val="22"/>
          <w:szCs w:val="22"/>
          <w:lang w:val="ru-RU"/>
        </w:rPr>
        <w:t>в</w:t>
      </w:r>
      <w:r w:rsidR="00A97F3B" w:rsidRPr="00A97F3B">
        <w:rPr>
          <w:iCs/>
          <w:snapToGrid w:val="0"/>
          <w:kern w:val="22"/>
          <w:szCs w:val="22"/>
          <w:lang w:val="ru-RU"/>
        </w:rPr>
        <w:t xml:space="preserve"> </w:t>
      </w:r>
      <w:r w:rsidR="00A97F3B">
        <w:rPr>
          <w:iCs/>
          <w:snapToGrid w:val="0"/>
          <w:kern w:val="22"/>
          <w:szCs w:val="22"/>
          <w:lang w:val="ru-RU"/>
        </w:rPr>
        <w:t>некоторой</w:t>
      </w:r>
      <w:r w:rsidR="00A97F3B" w:rsidRPr="00A97F3B">
        <w:rPr>
          <w:iCs/>
          <w:snapToGrid w:val="0"/>
          <w:kern w:val="22"/>
          <w:szCs w:val="22"/>
          <w:lang w:val="ru-RU"/>
        </w:rPr>
        <w:t xml:space="preserve"> </w:t>
      </w:r>
      <w:r w:rsidR="00A97F3B">
        <w:rPr>
          <w:iCs/>
          <w:snapToGrid w:val="0"/>
          <w:kern w:val="22"/>
          <w:szCs w:val="22"/>
          <w:lang w:val="ru-RU"/>
        </w:rPr>
        <w:t>степени</w:t>
      </w:r>
      <w:r w:rsidR="00A97F3B" w:rsidRPr="00A97F3B">
        <w:rPr>
          <w:iCs/>
          <w:snapToGrid w:val="0"/>
          <w:kern w:val="22"/>
          <w:szCs w:val="22"/>
          <w:lang w:val="ru-RU"/>
        </w:rPr>
        <w:t xml:space="preserve">, </w:t>
      </w:r>
      <w:r w:rsidR="00A97F3B">
        <w:rPr>
          <w:iCs/>
          <w:snapToGrid w:val="0"/>
          <w:kern w:val="22"/>
          <w:szCs w:val="22"/>
          <w:lang w:val="ru-RU"/>
        </w:rPr>
        <w:t>осталась</w:t>
      </w:r>
      <w:r w:rsidR="00A97F3B" w:rsidRPr="00A97F3B">
        <w:rPr>
          <w:iCs/>
          <w:snapToGrid w:val="0"/>
          <w:kern w:val="22"/>
          <w:szCs w:val="22"/>
          <w:lang w:val="ru-RU"/>
        </w:rPr>
        <w:t xml:space="preserve"> </w:t>
      </w:r>
      <w:r w:rsidR="00A97F3B">
        <w:rPr>
          <w:iCs/>
          <w:snapToGrid w:val="0"/>
          <w:kern w:val="22"/>
          <w:szCs w:val="22"/>
          <w:lang w:val="ru-RU"/>
        </w:rPr>
        <w:t>на</w:t>
      </w:r>
      <w:r w:rsidR="00A97F3B" w:rsidRPr="00A97F3B">
        <w:rPr>
          <w:iCs/>
          <w:snapToGrid w:val="0"/>
          <w:kern w:val="22"/>
          <w:szCs w:val="22"/>
          <w:lang w:val="ru-RU"/>
        </w:rPr>
        <w:t xml:space="preserve"> </w:t>
      </w:r>
      <w:r w:rsidR="00A97F3B">
        <w:rPr>
          <w:iCs/>
          <w:snapToGrid w:val="0"/>
          <w:kern w:val="22"/>
          <w:szCs w:val="22"/>
          <w:lang w:val="ru-RU"/>
        </w:rPr>
        <w:t>уровне</w:t>
      </w:r>
      <w:r w:rsidR="00A97F3B" w:rsidRPr="00A97F3B">
        <w:rPr>
          <w:iCs/>
          <w:snapToGrid w:val="0"/>
          <w:kern w:val="22"/>
          <w:szCs w:val="22"/>
          <w:lang w:val="ru-RU"/>
        </w:rPr>
        <w:t xml:space="preserve"> </w:t>
      </w:r>
      <w:r w:rsidR="004569FB" w:rsidRPr="00A97F3B">
        <w:rPr>
          <w:iCs/>
          <w:snapToGrid w:val="0"/>
          <w:kern w:val="22"/>
          <w:szCs w:val="22"/>
          <w:lang w:val="ru-RU"/>
        </w:rPr>
        <w:t>93</w:t>
      </w:r>
      <w:r w:rsidR="00A97F3B">
        <w:rPr>
          <w:iCs/>
          <w:snapToGrid w:val="0"/>
          <w:kern w:val="22"/>
          <w:szCs w:val="22"/>
          <w:lang w:val="ru-RU"/>
        </w:rPr>
        <w:t> </w:t>
      </w:r>
      <w:r w:rsidR="004569FB" w:rsidRPr="00A97F3B">
        <w:rPr>
          <w:iCs/>
          <w:snapToGrid w:val="0"/>
          <w:kern w:val="22"/>
          <w:szCs w:val="22"/>
          <w:lang w:val="ru-RU"/>
        </w:rPr>
        <w:t>%.</w:t>
      </w:r>
      <w:bookmarkEnd w:id="30"/>
      <w:r w:rsidR="004569FB" w:rsidRPr="00A97F3B">
        <w:rPr>
          <w:iCs/>
          <w:snapToGrid w:val="0"/>
          <w:kern w:val="22"/>
          <w:szCs w:val="22"/>
          <w:lang w:val="ru-RU"/>
        </w:rPr>
        <w:t xml:space="preserve"> </w:t>
      </w:r>
      <w:r w:rsidR="00A97F3B">
        <w:rPr>
          <w:iCs/>
          <w:snapToGrid w:val="0"/>
          <w:kern w:val="22"/>
          <w:szCs w:val="22"/>
          <w:lang w:val="ru-RU"/>
        </w:rPr>
        <w:t>Из</w:t>
      </w:r>
      <w:r w:rsidR="00A97F3B" w:rsidRPr="00420881">
        <w:rPr>
          <w:iCs/>
          <w:snapToGrid w:val="0"/>
          <w:kern w:val="22"/>
          <w:szCs w:val="22"/>
          <w:lang w:val="ru-RU"/>
        </w:rPr>
        <w:t xml:space="preserve"> </w:t>
      </w:r>
      <w:r w:rsidR="00A97F3B">
        <w:rPr>
          <w:iCs/>
          <w:snapToGrid w:val="0"/>
          <w:kern w:val="22"/>
          <w:szCs w:val="22"/>
          <w:lang w:val="ru-RU"/>
        </w:rPr>
        <w:t>числа</w:t>
      </w:r>
      <w:r w:rsidR="00A97F3B" w:rsidRPr="00420881">
        <w:rPr>
          <w:iCs/>
          <w:snapToGrid w:val="0"/>
          <w:kern w:val="22"/>
          <w:szCs w:val="22"/>
          <w:lang w:val="ru-RU"/>
        </w:rPr>
        <w:t xml:space="preserve"> </w:t>
      </w:r>
      <w:r w:rsidR="00A97F3B">
        <w:rPr>
          <w:iCs/>
          <w:snapToGrid w:val="0"/>
          <w:kern w:val="22"/>
          <w:szCs w:val="22"/>
          <w:lang w:val="ru-RU"/>
        </w:rPr>
        <w:t>Сторон</w:t>
      </w:r>
      <w:r w:rsidR="00A97F3B" w:rsidRPr="00420881">
        <w:rPr>
          <w:iCs/>
          <w:snapToGrid w:val="0"/>
          <w:kern w:val="22"/>
          <w:szCs w:val="22"/>
          <w:lang w:val="ru-RU"/>
        </w:rPr>
        <w:t xml:space="preserve">, </w:t>
      </w:r>
      <w:r w:rsidR="00A97F3B">
        <w:rPr>
          <w:iCs/>
          <w:snapToGrid w:val="0"/>
          <w:kern w:val="22"/>
          <w:szCs w:val="22"/>
          <w:lang w:val="ru-RU"/>
        </w:rPr>
        <w:t>сообщивших</w:t>
      </w:r>
      <w:r w:rsidR="00A97F3B" w:rsidRPr="00420881">
        <w:rPr>
          <w:iCs/>
          <w:snapToGrid w:val="0"/>
          <w:kern w:val="22"/>
          <w:szCs w:val="22"/>
          <w:lang w:val="ru-RU"/>
        </w:rPr>
        <w:t xml:space="preserve"> </w:t>
      </w:r>
      <w:r w:rsidR="00A97F3B">
        <w:rPr>
          <w:iCs/>
          <w:snapToGrid w:val="0"/>
          <w:kern w:val="22"/>
          <w:szCs w:val="22"/>
          <w:lang w:val="ru-RU"/>
        </w:rPr>
        <w:t>об</w:t>
      </w:r>
      <w:r w:rsidR="00A97F3B" w:rsidRPr="00420881">
        <w:rPr>
          <w:iCs/>
          <w:snapToGrid w:val="0"/>
          <w:kern w:val="22"/>
          <w:szCs w:val="22"/>
          <w:lang w:val="ru-RU"/>
        </w:rPr>
        <w:t xml:space="preserve"> </w:t>
      </w:r>
      <w:r w:rsidR="00A97F3B">
        <w:rPr>
          <w:iCs/>
          <w:snapToGrid w:val="0"/>
          <w:kern w:val="22"/>
          <w:szCs w:val="22"/>
          <w:lang w:val="ru-RU"/>
        </w:rPr>
        <w:t>информировании</w:t>
      </w:r>
      <w:r w:rsidR="00A97F3B" w:rsidRPr="00420881">
        <w:rPr>
          <w:iCs/>
          <w:snapToGrid w:val="0"/>
          <w:kern w:val="22"/>
          <w:szCs w:val="22"/>
          <w:lang w:val="ru-RU"/>
        </w:rPr>
        <w:t xml:space="preserve"> </w:t>
      </w:r>
      <w:r w:rsidR="00A97F3B" w:rsidRPr="00DC56FD">
        <w:rPr>
          <w:iCs/>
          <w:snapToGrid w:val="0"/>
          <w:kern w:val="22"/>
          <w:szCs w:val="22"/>
          <w:lang w:val="ru-RU"/>
        </w:rPr>
        <w:t>сво</w:t>
      </w:r>
      <w:r w:rsidR="00A97F3B">
        <w:rPr>
          <w:iCs/>
          <w:snapToGrid w:val="0"/>
          <w:kern w:val="22"/>
          <w:szCs w:val="22"/>
          <w:lang w:val="ru-RU"/>
        </w:rPr>
        <w:t>ей</w:t>
      </w:r>
      <w:r w:rsidR="00A97F3B" w:rsidRPr="00420881">
        <w:rPr>
          <w:iCs/>
          <w:snapToGrid w:val="0"/>
          <w:kern w:val="22"/>
          <w:szCs w:val="22"/>
          <w:lang w:val="ru-RU"/>
        </w:rPr>
        <w:t xml:space="preserve"> </w:t>
      </w:r>
      <w:r w:rsidR="00A97F3B" w:rsidRPr="00DC56FD">
        <w:rPr>
          <w:iCs/>
          <w:snapToGrid w:val="0"/>
          <w:kern w:val="22"/>
          <w:szCs w:val="22"/>
          <w:lang w:val="ru-RU"/>
        </w:rPr>
        <w:t>общественност</w:t>
      </w:r>
      <w:r w:rsidR="00A97F3B">
        <w:rPr>
          <w:iCs/>
          <w:snapToGrid w:val="0"/>
          <w:kern w:val="22"/>
          <w:szCs w:val="22"/>
          <w:lang w:val="ru-RU"/>
        </w:rPr>
        <w:t>и</w:t>
      </w:r>
      <w:r w:rsidR="00A97F3B" w:rsidRPr="00420881">
        <w:rPr>
          <w:iCs/>
          <w:snapToGrid w:val="0"/>
          <w:kern w:val="22"/>
          <w:szCs w:val="22"/>
          <w:lang w:val="ru-RU"/>
        </w:rPr>
        <w:t xml:space="preserve"> </w:t>
      </w:r>
      <w:r w:rsidR="00A97F3B" w:rsidRPr="00DC56FD">
        <w:rPr>
          <w:iCs/>
          <w:snapToGrid w:val="0"/>
          <w:kern w:val="22"/>
          <w:szCs w:val="22"/>
          <w:lang w:val="ru-RU"/>
        </w:rPr>
        <w:t>о</w:t>
      </w:r>
      <w:r w:rsidR="00A97F3B" w:rsidRPr="00420881">
        <w:rPr>
          <w:iCs/>
          <w:snapToGrid w:val="0"/>
          <w:kern w:val="22"/>
          <w:szCs w:val="22"/>
          <w:lang w:val="ru-RU"/>
        </w:rPr>
        <w:t xml:space="preserve"> </w:t>
      </w:r>
      <w:r w:rsidR="00A97F3B" w:rsidRPr="00DC56FD">
        <w:rPr>
          <w:iCs/>
          <w:snapToGrid w:val="0"/>
          <w:kern w:val="22"/>
          <w:szCs w:val="22"/>
          <w:lang w:val="ru-RU"/>
        </w:rPr>
        <w:t>существующих</w:t>
      </w:r>
      <w:r w:rsidR="00A97F3B" w:rsidRPr="00420881">
        <w:rPr>
          <w:iCs/>
          <w:snapToGrid w:val="0"/>
          <w:kern w:val="22"/>
          <w:szCs w:val="22"/>
          <w:lang w:val="ru-RU"/>
        </w:rPr>
        <w:t xml:space="preserve"> </w:t>
      </w:r>
      <w:r w:rsidR="00A97F3B" w:rsidRPr="00DC56FD">
        <w:rPr>
          <w:iCs/>
          <w:snapToGrid w:val="0"/>
          <w:kern w:val="22"/>
          <w:szCs w:val="22"/>
          <w:lang w:val="ru-RU"/>
        </w:rPr>
        <w:t>условиях</w:t>
      </w:r>
      <w:r w:rsidR="00A97F3B" w:rsidRPr="00420881">
        <w:rPr>
          <w:iCs/>
          <w:snapToGrid w:val="0"/>
          <w:kern w:val="22"/>
          <w:szCs w:val="22"/>
          <w:lang w:val="ru-RU"/>
        </w:rPr>
        <w:t xml:space="preserve"> </w:t>
      </w:r>
      <w:r w:rsidR="00A97F3B" w:rsidRPr="00DC56FD">
        <w:rPr>
          <w:iCs/>
          <w:snapToGrid w:val="0"/>
          <w:kern w:val="22"/>
          <w:szCs w:val="22"/>
          <w:lang w:val="ru-RU"/>
        </w:rPr>
        <w:t>участия</w:t>
      </w:r>
      <w:r w:rsidR="00A97F3B" w:rsidRPr="00420881">
        <w:rPr>
          <w:iCs/>
          <w:snapToGrid w:val="0"/>
          <w:kern w:val="22"/>
          <w:szCs w:val="22"/>
          <w:lang w:val="ru-RU"/>
        </w:rPr>
        <w:t xml:space="preserve">, </w:t>
      </w:r>
      <w:r w:rsidR="00A97F3B">
        <w:rPr>
          <w:iCs/>
          <w:snapToGrid w:val="0"/>
          <w:kern w:val="22"/>
          <w:szCs w:val="22"/>
          <w:lang w:val="ru-RU"/>
        </w:rPr>
        <w:t>большинство</w:t>
      </w:r>
      <w:r w:rsidR="00A97F3B" w:rsidRPr="00420881">
        <w:rPr>
          <w:iCs/>
          <w:snapToGrid w:val="0"/>
          <w:kern w:val="22"/>
          <w:szCs w:val="22"/>
          <w:lang w:val="ru-RU"/>
        </w:rPr>
        <w:t xml:space="preserve"> </w:t>
      </w:r>
      <w:r w:rsidR="00A97F3B">
        <w:rPr>
          <w:iCs/>
          <w:snapToGrid w:val="0"/>
          <w:kern w:val="22"/>
          <w:szCs w:val="22"/>
          <w:lang w:val="ru-RU"/>
        </w:rPr>
        <w:t>сообщило</w:t>
      </w:r>
      <w:r w:rsidR="00420881" w:rsidRPr="00420881">
        <w:rPr>
          <w:iCs/>
          <w:snapToGrid w:val="0"/>
          <w:kern w:val="22"/>
          <w:szCs w:val="22"/>
          <w:lang w:val="ru-RU"/>
        </w:rPr>
        <w:t xml:space="preserve"> </w:t>
      </w:r>
      <w:r w:rsidR="00420881">
        <w:rPr>
          <w:iCs/>
          <w:snapToGrid w:val="0"/>
          <w:kern w:val="22"/>
          <w:szCs w:val="22"/>
          <w:lang w:val="ru-RU"/>
        </w:rPr>
        <w:t>об</w:t>
      </w:r>
      <w:r w:rsidR="00420881" w:rsidRPr="00420881">
        <w:rPr>
          <w:iCs/>
          <w:snapToGrid w:val="0"/>
          <w:kern w:val="22"/>
          <w:szCs w:val="22"/>
          <w:lang w:val="ru-RU"/>
        </w:rPr>
        <w:t xml:space="preserve"> </w:t>
      </w:r>
      <w:r w:rsidR="00420881">
        <w:rPr>
          <w:iCs/>
          <w:snapToGrid w:val="0"/>
          <w:kern w:val="22"/>
          <w:szCs w:val="22"/>
          <w:lang w:val="ru-RU"/>
        </w:rPr>
        <w:t>информировании</w:t>
      </w:r>
      <w:r w:rsidR="00420881" w:rsidRPr="00420881">
        <w:rPr>
          <w:iCs/>
          <w:snapToGrid w:val="0"/>
          <w:kern w:val="22"/>
          <w:szCs w:val="22"/>
          <w:lang w:val="ru-RU"/>
        </w:rPr>
        <w:t xml:space="preserve"> </w:t>
      </w:r>
      <w:r w:rsidR="00420881">
        <w:rPr>
          <w:iCs/>
          <w:snapToGrid w:val="0"/>
          <w:kern w:val="22"/>
          <w:szCs w:val="22"/>
          <w:lang w:val="ru-RU"/>
        </w:rPr>
        <w:t>через</w:t>
      </w:r>
      <w:r w:rsidR="00420881" w:rsidRPr="00420881">
        <w:rPr>
          <w:iCs/>
          <w:snapToGrid w:val="0"/>
          <w:kern w:val="22"/>
          <w:szCs w:val="22"/>
          <w:lang w:val="ru-RU"/>
        </w:rPr>
        <w:t xml:space="preserve"> </w:t>
      </w:r>
      <w:r w:rsidR="00420881">
        <w:rPr>
          <w:iCs/>
          <w:snapToGrid w:val="0"/>
          <w:kern w:val="22"/>
          <w:szCs w:val="22"/>
          <w:lang w:val="ru-RU"/>
        </w:rPr>
        <w:t>веб</w:t>
      </w:r>
      <w:r w:rsidR="00420881" w:rsidRPr="00420881">
        <w:rPr>
          <w:iCs/>
          <w:snapToGrid w:val="0"/>
          <w:kern w:val="22"/>
          <w:szCs w:val="22"/>
          <w:lang w:val="ru-RU"/>
        </w:rPr>
        <w:t>-</w:t>
      </w:r>
      <w:r w:rsidR="00420881">
        <w:rPr>
          <w:iCs/>
          <w:snapToGrid w:val="0"/>
          <w:kern w:val="22"/>
          <w:szCs w:val="22"/>
          <w:lang w:val="ru-RU"/>
        </w:rPr>
        <w:t>сайты</w:t>
      </w:r>
      <w:r w:rsidR="00A97F3B" w:rsidRPr="00420881">
        <w:rPr>
          <w:iCs/>
          <w:snapToGrid w:val="0"/>
          <w:kern w:val="22"/>
          <w:szCs w:val="22"/>
          <w:lang w:val="ru-RU"/>
        </w:rPr>
        <w:t xml:space="preserve"> </w:t>
      </w:r>
      <w:r w:rsidR="004569FB" w:rsidRPr="00420881">
        <w:rPr>
          <w:iCs/>
          <w:snapToGrid w:val="0"/>
          <w:kern w:val="22"/>
          <w:szCs w:val="22"/>
          <w:lang w:val="ru-RU"/>
        </w:rPr>
        <w:t>(29</w:t>
      </w:r>
      <w:r w:rsidR="00420881">
        <w:rPr>
          <w:iCs/>
          <w:snapToGrid w:val="0"/>
          <w:kern w:val="22"/>
          <w:szCs w:val="22"/>
          <w:lang w:val="ru-RU"/>
        </w:rPr>
        <w:t> </w:t>
      </w:r>
      <w:r w:rsidR="004569FB" w:rsidRPr="00420881">
        <w:rPr>
          <w:iCs/>
          <w:snapToGrid w:val="0"/>
          <w:kern w:val="22"/>
          <w:szCs w:val="22"/>
          <w:lang w:val="ru-RU"/>
        </w:rPr>
        <w:t xml:space="preserve">%), </w:t>
      </w:r>
      <w:r w:rsidR="00420881">
        <w:rPr>
          <w:iCs/>
          <w:snapToGrid w:val="0"/>
          <w:kern w:val="22"/>
          <w:szCs w:val="22"/>
          <w:lang w:val="ru-RU"/>
        </w:rPr>
        <w:t>за которыми следуют газеты</w:t>
      </w:r>
      <w:r w:rsidR="004569FB" w:rsidRPr="00420881">
        <w:rPr>
          <w:iCs/>
          <w:snapToGrid w:val="0"/>
          <w:kern w:val="22"/>
          <w:szCs w:val="22"/>
          <w:lang w:val="ru-RU"/>
        </w:rPr>
        <w:t xml:space="preserve"> (17</w:t>
      </w:r>
      <w:r w:rsidR="00420881">
        <w:rPr>
          <w:iCs/>
          <w:snapToGrid w:val="0"/>
          <w:kern w:val="22"/>
          <w:szCs w:val="22"/>
          <w:lang w:val="ru-RU"/>
        </w:rPr>
        <w:t> </w:t>
      </w:r>
      <w:r w:rsidR="004569FB" w:rsidRPr="00420881">
        <w:rPr>
          <w:iCs/>
          <w:snapToGrid w:val="0"/>
          <w:kern w:val="22"/>
          <w:szCs w:val="22"/>
          <w:lang w:val="ru-RU"/>
        </w:rPr>
        <w:t>%)</w:t>
      </w:r>
      <w:r w:rsidR="00420881">
        <w:rPr>
          <w:iCs/>
          <w:snapToGrid w:val="0"/>
          <w:kern w:val="22"/>
          <w:szCs w:val="22"/>
          <w:lang w:val="ru-RU"/>
        </w:rPr>
        <w:t xml:space="preserve"> и</w:t>
      </w:r>
      <w:r w:rsidR="00420881" w:rsidRPr="00420881">
        <w:rPr>
          <w:iCs/>
          <w:snapToGrid w:val="0"/>
          <w:kern w:val="22"/>
          <w:szCs w:val="18"/>
          <w:lang w:val="ru-RU"/>
        </w:rPr>
        <w:t xml:space="preserve"> </w:t>
      </w:r>
      <w:r w:rsidR="00420881">
        <w:rPr>
          <w:iCs/>
          <w:snapToGrid w:val="0"/>
          <w:kern w:val="22"/>
          <w:szCs w:val="18"/>
          <w:lang w:val="ru-RU"/>
        </w:rPr>
        <w:t>общественные слушания</w:t>
      </w:r>
      <w:r w:rsidR="004569FB" w:rsidRPr="00420881">
        <w:rPr>
          <w:iCs/>
          <w:snapToGrid w:val="0"/>
          <w:kern w:val="22"/>
          <w:szCs w:val="22"/>
          <w:lang w:val="ru-RU"/>
        </w:rPr>
        <w:t xml:space="preserve"> (15</w:t>
      </w:r>
      <w:r w:rsidR="00420881">
        <w:rPr>
          <w:iCs/>
          <w:snapToGrid w:val="0"/>
          <w:kern w:val="22"/>
          <w:szCs w:val="22"/>
          <w:lang w:val="ru-RU"/>
        </w:rPr>
        <w:t> </w:t>
      </w:r>
      <w:r w:rsidR="004569FB" w:rsidRPr="00420881">
        <w:rPr>
          <w:iCs/>
          <w:snapToGrid w:val="0"/>
          <w:kern w:val="22"/>
          <w:szCs w:val="22"/>
          <w:lang w:val="ru-RU"/>
        </w:rPr>
        <w:t xml:space="preserve">%). </w:t>
      </w:r>
    </w:p>
    <w:p w14:paraId="3274CCBB" w14:textId="65E55518" w:rsidR="004569FB" w:rsidRPr="000460ED" w:rsidRDefault="000460ED"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bookmarkStart w:id="31" w:name="_Hlk30519164"/>
      <w:r w:rsidRPr="00DB5643">
        <w:rPr>
          <w:iCs/>
          <w:snapToGrid w:val="0"/>
          <w:kern w:val="22"/>
          <w:szCs w:val="22"/>
          <w:lang w:val="ru-RU"/>
        </w:rPr>
        <w:t>В</w:t>
      </w:r>
      <w:r w:rsidRPr="000460ED">
        <w:rPr>
          <w:iCs/>
          <w:snapToGrid w:val="0"/>
          <w:kern w:val="22"/>
          <w:szCs w:val="22"/>
          <w:lang w:val="ru-RU"/>
        </w:rPr>
        <w:t xml:space="preserve"> </w:t>
      </w:r>
      <w:r w:rsidRPr="00DB5643">
        <w:rPr>
          <w:snapToGrid w:val="0"/>
          <w:kern w:val="22"/>
          <w:szCs w:val="22"/>
          <w:lang w:val="ru-RU"/>
        </w:rPr>
        <w:t>своих</w:t>
      </w:r>
      <w:r w:rsidRPr="000460ED">
        <w:rPr>
          <w:snapToGrid w:val="0"/>
          <w:kern w:val="22"/>
          <w:szCs w:val="22"/>
          <w:lang w:val="ru-RU"/>
        </w:rPr>
        <w:t xml:space="preserve"> </w:t>
      </w:r>
      <w:r w:rsidRPr="00DB5643">
        <w:rPr>
          <w:snapToGrid w:val="0"/>
          <w:kern w:val="22"/>
          <w:szCs w:val="22"/>
          <w:lang w:val="ru-RU"/>
        </w:rPr>
        <w:t>ответах</w:t>
      </w:r>
      <w:r w:rsidRPr="000460ED">
        <w:rPr>
          <w:snapToGrid w:val="0"/>
          <w:kern w:val="22"/>
          <w:szCs w:val="22"/>
          <w:lang w:val="ru-RU"/>
        </w:rPr>
        <w:t xml:space="preserve"> </w:t>
      </w:r>
      <w:r w:rsidRPr="00DB5643">
        <w:rPr>
          <w:snapToGrid w:val="0"/>
          <w:kern w:val="22"/>
          <w:szCs w:val="22"/>
          <w:lang w:val="ru-RU"/>
        </w:rPr>
        <w:t>в</w:t>
      </w:r>
      <w:r w:rsidRPr="000460ED">
        <w:rPr>
          <w:snapToGrid w:val="0"/>
          <w:kern w:val="22"/>
          <w:szCs w:val="22"/>
          <w:lang w:val="ru-RU"/>
        </w:rPr>
        <w:t xml:space="preserve"> </w:t>
      </w:r>
      <w:r w:rsidRPr="00DB5643">
        <w:rPr>
          <w:snapToGrid w:val="0"/>
          <w:kern w:val="22"/>
          <w:szCs w:val="22"/>
          <w:lang w:val="ru-RU"/>
        </w:rPr>
        <w:t>развернутой</w:t>
      </w:r>
      <w:r w:rsidRPr="000460ED">
        <w:rPr>
          <w:snapToGrid w:val="0"/>
          <w:kern w:val="22"/>
          <w:szCs w:val="22"/>
          <w:lang w:val="ru-RU"/>
        </w:rPr>
        <w:t xml:space="preserve"> </w:t>
      </w:r>
      <w:r w:rsidRPr="00DB5643">
        <w:rPr>
          <w:snapToGrid w:val="0"/>
          <w:kern w:val="22"/>
          <w:szCs w:val="22"/>
          <w:lang w:val="ru-RU"/>
        </w:rPr>
        <w:t>форме</w:t>
      </w:r>
      <w:r w:rsidRPr="000460ED">
        <w:rPr>
          <w:snapToGrid w:val="0"/>
          <w:kern w:val="22"/>
          <w:szCs w:val="22"/>
          <w:lang w:val="ru-RU"/>
        </w:rPr>
        <w:t xml:space="preserve"> </w:t>
      </w:r>
      <w:r>
        <w:rPr>
          <w:snapToGrid w:val="0"/>
          <w:kern w:val="22"/>
          <w:szCs w:val="22"/>
          <w:lang w:val="ru-RU"/>
        </w:rPr>
        <w:t>некоторые</w:t>
      </w:r>
      <w:r w:rsidRPr="000460ED">
        <w:rPr>
          <w:snapToGrid w:val="0"/>
          <w:kern w:val="22"/>
          <w:szCs w:val="22"/>
          <w:lang w:val="ru-RU"/>
        </w:rPr>
        <w:t xml:space="preserve"> </w:t>
      </w:r>
      <w:r>
        <w:rPr>
          <w:snapToGrid w:val="0"/>
          <w:kern w:val="22"/>
          <w:szCs w:val="22"/>
          <w:lang w:val="ru-RU"/>
        </w:rPr>
        <w:t>Стороны</w:t>
      </w:r>
      <w:r w:rsidRPr="000460ED">
        <w:rPr>
          <w:snapToGrid w:val="0"/>
          <w:kern w:val="22"/>
          <w:szCs w:val="22"/>
          <w:lang w:val="ru-RU"/>
        </w:rPr>
        <w:t xml:space="preserve"> </w:t>
      </w:r>
      <w:r>
        <w:rPr>
          <w:iCs/>
          <w:snapToGrid w:val="0"/>
          <w:kern w:val="22"/>
          <w:szCs w:val="22"/>
          <w:lang w:val="ru-RU"/>
        </w:rPr>
        <w:t>отметили</w:t>
      </w:r>
      <w:r w:rsidRPr="000460ED">
        <w:rPr>
          <w:iCs/>
          <w:snapToGrid w:val="0"/>
          <w:kern w:val="22"/>
          <w:szCs w:val="22"/>
          <w:lang w:val="ru-RU"/>
        </w:rPr>
        <w:t xml:space="preserve">, </w:t>
      </w:r>
      <w:r>
        <w:rPr>
          <w:iCs/>
          <w:snapToGrid w:val="0"/>
          <w:kern w:val="22"/>
          <w:szCs w:val="22"/>
          <w:lang w:val="ru-RU"/>
        </w:rPr>
        <w:t>что</w:t>
      </w:r>
      <w:r w:rsidRPr="000460ED">
        <w:rPr>
          <w:iCs/>
          <w:snapToGrid w:val="0"/>
          <w:kern w:val="22"/>
          <w:szCs w:val="22"/>
          <w:lang w:val="ru-RU"/>
        </w:rPr>
        <w:t xml:space="preserve"> </w:t>
      </w:r>
      <w:r>
        <w:rPr>
          <w:iCs/>
          <w:snapToGrid w:val="0"/>
          <w:kern w:val="22"/>
          <w:szCs w:val="22"/>
          <w:lang w:val="ru-RU"/>
        </w:rPr>
        <w:t>в число используемых газет входит официальный правительственный бюллетень</w:t>
      </w:r>
      <w:r w:rsidR="004569FB" w:rsidRPr="000460ED">
        <w:rPr>
          <w:iCs/>
          <w:snapToGrid w:val="0"/>
          <w:kern w:val="22"/>
          <w:szCs w:val="22"/>
          <w:lang w:val="ru-RU"/>
        </w:rPr>
        <w:t xml:space="preserve">. </w:t>
      </w:r>
      <w:r>
        <w:rPr>
          <w:iCs/>
          <w:snapToGrid w:val="0"/>
          <w:kern w:val="22"/>
          <w:szCs w:val="22"/>
          <w:lang w:val="ru-RU"/>
        </w:rPr>
        <w:t>Несколько Сторон отметили, что другими средствами</w:t>
      </w:r>
      <w:r w:rsidRPr="000460ED">
        <w:rPr>
          <w:iCs/>
          <w:snapToGrid w:val="0"/>
          <w:kern w:val="22"/>
          <w:szCs w:val="22"/>
          <w:lang w:val="ru-RU"/>
        </w:rPr>
        <w:t xml:space="preserve"> </w:t>
      </w:r>
      <w:r>
        <w:rPr>
          <w:iCs/>
          <w:snapToGrid w:val="0"/>
          <w:kern w:val="22"/>
          <w:szCs w:val="22"/>
          <w:lang w:val="ru-RU"/>
        </w:rPr>
        <w:t>информирования</w:t>
      </w:r>
      <w:r w:rsidRPr="00420881">
        <w:rPr>
          <w:iCs/>
          <w:snapToGrid w:val="0"/>
          <w:kern w:val="22"/>
          <w:szCs w:val="22"/>
          <w:lang w:val="ru-RU"/>
        </w:rPr>
        <w:t xml:space="preserve"> </w:t>
      </w:r>
      <w:r w:rsidRPr="00DC56FD">
        <w:rPr>
          <w:iCs/>
          <w:snapToGrid w:val="0"/>
          <w:kern w:val="22"/>
          <w:szCs w:val="22"/>
          <w:lang w:val="ru-RU"/>
        </w:rPr>
        <w:t>общественност</w:t>
      </w:r>
      <w:r>
        <w:rPr>
          <w:iCs/>
          <w:snapToGrid w:val="0"/>
          <w:kern w:val="22"/>
          <w:szCs w:val="22"/>
          <w:lang w:val="ru-RU"/>
        </w:rPr>
        <w:t>и</w:t>
      </w:r>
      <w:r w:rsidRPr="00420881">
        <w:rPr>
          <w:iCs/>
          <w:snapToGrid w:val="0"/>
          <w:kern w:val="22"/>
          <w:szCs w:val="22"/>
          <w:lang w:val="ru-RU"/>
        </w:rPr>
        <w:t xml:space="preserve"> </w:t>
      </w:r>
      <w:r w:rsidRPr="00DC56FD">
        <w:rPr>
          <w:iCs/>
          <w:snapToGrid w:val="0"/>
          <w:kern w:val="22"/>
          <w:szCs w:val="22"/>
          <w:lang w:val="ru-RU"/>
        </w:rPr>
        <w:t>о</w:t>
      </w:r>
      <w:r w:rsidRPr="00420881">
        <w:rPr>
          <w:iCs/>
          <w:snapToGrid w:val="0"/>
          <w:kern w:val="22"/>
          <w:szCs w:val="22"/>
          <w:lang w:val="ru-RU"/>
        </w:rPr>
        <w:t xml:space="preserve"> </w:t>
      </w:r>
      <w:r w:rsidRPr="00DC56FD">
        <w:rPr>
          <w:iCs/>
          <w:snapToGrid w:val="0"/>
          <w:kern w:val="22"/>
          <w:szCs w:val="22"/>
          <w:lang w:val="ru-RU"/>
        </w:rPr>
        <w:t>существующих</w:t>
      </w:r>
      <w:r w:rsidRPr="00420881">
        <w:rPr>
          <w:iCs/>
          <w:snapToGrid w:val="0"/>
          <w:kern w:val="22"/>
          <w:szCs w:val="22"/>
          <w:lang w:val="ru-RU"/>
        </w:rPr>
        <w:t xml:space="preserve"> </w:t>
      </w:r>
      <w:r w:rsidRPr="00DC56FD">
        <w:rPr>
          <w:iCs/>
          <w:snapToGrid w:val="0"/>
          <w:kern w:val="22"/>
          <w:szCs w:val="22"/>
          <w:lang w:val="ru-RU"/>
        </w:rPr>
        <w:t>условиях</w:t>
      </w:r>
      <w:r w:rsidRPr="00420881">
        <w:rPr>
          <w:iCs/>
          <w:snapToGrid w:val="0"/>
          <w:kern w:val="22"/>
          <w:szCs w:val="22"/>
          <w:lang w:val="ru-RU"/>
        </w:rPr>
        <w:t xml:space="preserve"> </w:t>
      </w:r>
      <w:r w:rsidRPr="00DC56FD">
        <w:rPr>
          <w:iCs/>
          <w:snapToGrid w:val="0"/>
          <w:kern w:val="22"/>
          <w:szCs w:val="22"/>
          <w:lang w:val="ru-RU"/>
        </w:rPr>
        <w:t>участия</w:t>
      </w:r>
      <w:r>
        <w:rPr>
          <w:iCs/>
          <w:snapToGrid w:val="0"/>
          <w:kern w:val="22"/>
          <w:szCs w:val="22"/>
          <w:lang w:val="ru-RU"/>
        </w:rPr>
        <w:t xml:space="preserve"> являются учебные курсы и совещания по повышению осведомленности</w:t>
      </w:r>
      <w:r w:rsidR="004569FB" w:rsidRPr="000460ED">
        <w:rPr>
          <w:iCs/>
          <w:snapToGrid w:val="0"/>
          <w:kern w:val="22"/>
          <w:szCs w:val="22"/>
          <w:lang w:val="ru-RU"/>
        </w:rPr>
        <w:t>.</w:t>
      </w:r>
    </w:p>
    <w:bookmarkEnd w:id="31"/>
    <w:p w14:paraId="45DEF840" w14:textId="79F4C7CA" w:rsidR="004569FB" w:rsidRPr="00AB2D17" w:rsidRDefault="000460ED" w:rsidP="004569FB">
      <w:pPr>
        <w:pStyle w:val="a3"/>
        <w:numPr>
          <w:ilvl w:val="0"/>
          <w:numId w:val="9"/>
        </w:numPr>
        <w:suppressLineNumbers/>
        <w:tabs>
          <w:tab w:val="clear" w:pos="3240"/>
        </w:tabs>
        <w:suppressAutoHyphens/>
        <w:snapToGrid w:val="0"/>
        <w:spacing w:before="120" w:after="120"/>
        <w:ind w:left="0" w:firstLine="0"/>
        <w:contextualSpacing w:val="0"/>
        <w:rPr>
          <w:bCs/>
          <w:i/>
          <w:iCs/>
          <w:snapToGrid w:val="0"/>
          <w:kern w:val="22"/>
          <w:szCs w:val="22"/>
          <w:lang w:val="ru-RU"/>
        </w:rPr>
      </w:pPr>
      <w:r>
        <w:rPr>
          <w:snapToGrid w:val="0"/>
          <w:kern w:val="22"/>
          <w:szCs w:val="22"/>
          <w:lang w:val="ru-RU"/>
        </w:rPr>
        <w:t>В</w:t>
      </w:r>
      <w:r w:rsidRPr="00AB2D17">
        <w:rPr>
          <w:snapToGrid w:val="0"/>
          <w:kern w:val="22"/>
          <w:szCs w:val="22"/>
          <w:lang w:val="ru-RU"/>
        </w:rPr>
        <w:t xml:space="preserve"> </w:t>
      </w:r>
      <w:r>
        <w:rPr>
          <w:snapToGrid w:val="0"/>
          <w:kern w:val="22"/>
          <w:szCs w:val="22"/>
          <w:lang w:val="ru-RU"/>
        </w:rPr>
        <w:t>отношении</w:t>
      </w:r>
      <w:r w:rsidR="004569FB" w:rsidRPr="00AB2D17">
        <w:rPr>
          <w:snapToGrid w:val="0"/>
          <w:kern w:val="22"/>
          <w:szCs w:val="22"/>
          <w:lang w:val="ru-RU"/>
        </w:rPr>
        <w:t xml:space="preserve"> </w:t>
      </w:r>
      <w:r>
        <w:rPr>
          <w:b/>
          <w:snapToGrid w:val="0"/>
          <w:kern w:val="22"/>
          <w:szCs w:val="22"/>
          <w:lang w:val="ru-RU"/>
        </w:rPr>
        <w:t>индикатора</w:t>
      </w:r>
      <w:r w:rsidR="004569FB" w:rsidRPr="00AB2D17">
        <w:rPr>
          <w:b/>
          <w:snapToGrid w:val="0"/>
          <w:kern w:val="22"/>
          <w:szCs w:val="22"/>
          <w:lang w:val="ru-RU"/>
        </w:rPr>
        <w:t xml:space="preserve"> 2.5.3</w:t>
      </w:r>
      <w:r w:rsidR="004569FB" w:rsidRPr="00AB2D17">
        <w:rPr>
          <w:snapToGrid w:val="0"/>
          <w:kern w:val="22"/>
          <w:szCs w:val="22"/>
          <w:lang w:val="ru-RU"/>
        </w:rPr>
        <w:t xml:space="preserve"> </w:t>
      </w:r>
      <w:r w:rsidR="004569FB" w:rsidRPr="00AB2D17">
        <w:rPr>
          <w:iCs/>
          <w:snapToGrid w:val="0"/>
          <w:kern w:val="22"/>
          <w:szCs w:val="22"/>
          <w:lang w:val="ru-RU"/>
        </w:rPr>
        <w:t>(</w:t>
      </w:r>
      <w:r w:rsidR="00AB2D17">
        <w:rPr>
          <w:iCs/>
          <w:snapToGrid w:val="0"/>
          <w:kern w:val="22"/>
          <w:szCs w:val="22"/>
          <w:lang w:val="ru-RU"/>
        </w:rPr>
        <w:t>ч</w:t>
      </w:r>
      <w:r w:rsidR="00AB2D17" w:rsidRPr="00AB2D17">
        <w:rPr>
          <w:iCs/>
          <w:snapToGrid w:val="0"/>
          <w:kern w:val="22"/>
          <w:szCs w:val="22"/>
          <w:lang w:val="ru-RU"/>
        </w:rPr>
        <w:t>исло Сторон, располагающих национальными веб-сайтами и поисковыми архивами, национальными центрами информационных материалов или секциями в существующих национальных библиотеках, посвященными просветительским материалам по биобезопасности</w:t>
      </w:r>
      <w:r w:rsidR="00AB2D17">
        <w:rPr>
          <w:iCs/>
          <w:snapToGrid w:val="0"/>
          <w:kern w:val="22"/>
          <w:szCs w:val="22"/>
          <w:lang w:val="ru-RU"/>
        </w:rPr>
        <w:t>)</w:t>
      </w:r>
      <w:r w:rsidR="004569FB" w:rsidRPr="00AB2D17">
        <w:rPr>
          <w:iCs/>
          <w:snapToGrid w:val="0"/>
          <w:kern w:val="22"/>
          <w:szCs w:val="22"/>
          <w:lang w:val="ru-RU"/>
        </w:rPr>
        <w:t xml:space="preserve"> 68</w:t>
      </w:r>
      <w:r w:rsidR="00AB2D17">
        <w:rPr>
          <w:iCs/>
          <w:snapToGrid w:val="0"/>
          <w:kern w:val="22"/>
          <w:szCs w:val="22"/>
          <w:lang w:val="ru-RU"/>
        </w:rPr>
        <w:t> </w:t>
      </w:r>
      <w:r w:rsidR="004569FB" w:rsidRPr="00AB2D17">
        <w:rPr>
          <w:iCs/>
          <w:snapToGrid w:val="0"/>
          <w:kern w:val="22"/>
          <w:szCs w:val="22"/>
          <w:lang w:val="ru-RU"/>
        </w:rPr>
        <w:t xml:space="preserve">% </w:t>
      </w:r>
      <w:r w:rsidR="00AB2D17">
        <w:rPr>
          <w:iCs/>
          <w:snapToGrid w:val="0"/>
          <w:kern w:val="22"/>
          <w:szCs w:val="22"/>
          <w:lang w:val="ru-RU"/>
        </w:rPr>
        <w:t>Сторон</w:t>
      </w:r>
      <w:r w:rsidR="004569FB" w:rsidRPr="00AB2D17">
        <w:rPr>
          <w:iCs/>
          <w:snapToGrid w:val="0"/>
          <w:kern w:val="22"/>
          <w:szCs w:val="22"/>
          <w:lang w:val="ru-RU"/>
        </w:rPr>
        <w:t xml:space="preserve"> (63 </w:t>
      </w:r>
      <w:r w:rsidR="00AB2D17">
        <w:rPr>
          <w:iCs/>
          <w:snapToGrid w:val="0"/>
          <w:kern w:val="22"/>
          <w:szCs w:val="22"/>
          <w:lang w:val="ru-RU"/>
        </w:rPr>
        <w:t>Стороны</w:t>
      </w:r>
      <w:r w:rsidR="004569FB" w:rsidRPr="00AB2D17">
        <w:rPr>
          <w:iCs/>
          <w:snapToGrid w:val="0"/>
          <w:kern w:val="22"/>
          <w:szCs w:val="22"/>
          <w:lang w:val="ru-RU"/>
        </w:rPr>
        <w:t xml:space="preserve">) </w:t>
      </w:r>
      <w:r w:rsidR="00AB2D17">
        <w:rPr>
          <w:iCs/>
          <w:snapToGrid w:val="0"/>
          <w:kern w:val="22"/>
          <w:szCs w:val="22"/>
          <w:lang w:val="ru-RU"/>
        </w:rPr>
        <w:t>сообщили</w:t>
      </w:r>
      <w:r w:rsidR="004569FB" w:rsidRPr="00AB2D17">
        <w:rPr>
          <w:iCs/>
          <w:snapToGrid w:val="0"/>
          <w:kern w:val="22"/>
          <w:szCs w:val="22"/>
          <w:lang w:val="ru-RU"/>
        </w:rPr>
        <w:t xml:space="preserve"> </w:t>
      </w:r>
      <w:r w:rsidR="00AB2D17">
        <w:rPr>
          <w:iCs/>
          <w:snapToGrid w:val="0"/>
          <w:kern w:val="22"/>
          <w:szCs w:val="22"/>
          <w:lang w:val="ru-RU"/>
        </w:rPr>
        <w:t>о наличии национального веб-сайта по биобезопасности, что соответствует увеличению</w:t>
      </w:r>
      <w:r w:rsidR="004569FB" w:rsidRPr="00AB2D17">
        <w:rPr>
          <w:iCs/>
          <w:snapToGrid w:val="0"/>
          <w:kern w:val="22"/>
          <w:szCs w:val="22"/>
          <w:lang w:val="ru-RU"/>
        </w:rPr>
        <w:t xml:space="preserve"> </w:t>
      </w:r>
      <w:r w:rsidR="00AB2D17">
        <w:rPr>
          <w:iCs/>
          <w:snapToGrid w:val="0"/>
          <w:kern w:val="22"/>
          <w:szCs w:val="22"/>
          <w:lang w:val="ru-RU"/>
        </w:rPr>
        <w:t>на</w:t>
      </w:r>
      <w:r w:rsidR="004569FB" w:rsidRPr="00AB2D17">
        <w:rPr>
          <w:iCs/>
          <w:snapToGrid w:val="0"/>
          <w:kern w:val="22"/>
          <w:szCs w:val="22"/>
          <w:lang w:val="ru-RU"/>
        </w:rPr>
        <w:t xml:space="preserve"> 1</w:t>
      </w:r>
      <w:r w:rsidR="00AB2D17">
        <w:rPr>
          <w:iCs/>
          <w:snapToGrid w:val="0"/>
          <w:kern w:val="22"/>
          <w:szCs w:val="22"/>
          <w:lang w:val="ru-RU"/>
        </w:rPr>
        <w:t> </w:t>
      </w:r>
      <w:r w:rsidR="004569FB" w:rsidRPr="00AB2D17">
        <w:rPr>
          <w:iCs/>
          <w:snapToGrid w:val="0"/>
          <w:kern w:val="22"/>
          <w:szCs w:val="22"/>
          <w:lang w:val="ru-RU"/>
        </w:rPr>
        <w:t xml:space="preserve">% </w:t>
      </w:r>
      <w:r w:rsidR="00AB2D17">
        <w:rPr>
          <w:iCs/>
          <w:snapToGrid w:val="0"/>
          <w:kern w:val="22"/>
          <w:szCs w:val="22"/>
          <w:lang w:val="ru-RU"/>
        </w:rPr>
        <w:t>по сравнению с исходным уровнем</w:t>
      </w:r>
      <w:r w:rsidR="004569FB" w:rsidRPr="00AB2D17">
        <w:rPr>
          <w:iCs/>
          <w:snapToGrid w:val="0"/>
          <w:kern w:val="22"/>
          <w:szCs w:val="22"/>
          <w:lang w:val="ru-RU"/>
        </w:rPr>
        <w:t>.</w:t>
      </w:r>
      <w:r w:rsidR="00AB2D17">
        <w:rPr>
          <w:iCs/>
          <w:snapToGrid w:val="0"/>
          <w:kern w:val="22"/>
          <w:szCs w:val="22"/>
          <w:lang w:val="ru-RU"/>
        </w:rPr>
        <w:t xml:space="preserve"> Было</w:t>
      </w:r>
      <w:r w:rsidR="00AB2D17" w:rsidRPr="00AB2D17">
        <w:rPr>
          <w:iCs/>
          <w:snapToGrid w:val="0"/>
          <w:kern w:val="22"/>
          <w:szCs w:val="22"/>
          <w:lang w:val="ru-RU"/>
        </w:rPr>
        <w:t xml:space="preserve"> </w:t>
      </w:r>
      <w:r w:rsidR="00AB2D17">
        <w:rPr>
          <w:iCs/>
          <w:snapToGrid w:val="0"/>
          <w:kern w:val="22"/>
          <w:szCs w:val="22"/>
          <w:lang w:val="ru-RU"/>
        </w:rPr>
        <w:t>сообщено</w:t>
      </w:r>
      <w:r w:rsidR="00AB2D17" w:rsidRPr="00AB2D17">
        <w:rPr>
          <w:iCs/>
          <w:snapToGrid w:val="0"/>
          <w:kern w:val="22"/>
          <w:szCs w:val="22"/>
          <w:lang w:val="ru-RU"/>
        </w:rPr>
        <w:t xml:space="preserve"> </w:t>
      </w:r>
      <w:r w:rsidR="00AB2D17">
        <w:rPr>
          <w:iCs/>
          <w:snapToGrid w:val="0"/>
          <w:kern w:val="22"/>
          <w:szCs w:val="22"/>
          <w:lang w:val="ru-RU"/>
        </w:rPr>
        <w:t>о</w:t>
      </w:r>
      <w:r w:rsidR="00AB2D17" w:rsidRPr="00AB2D17">
        <w:rPr>
          <w:iCs/>
          <w:snapToGrid w:val="0"/>
          <w:kern w:val="22"/>
          <w:szCs w:val="22"/>
          <w:lang w:val="ru-RU"/>
        </w:rPr>
        <w:t xml:space="preserve"> </w:t>
      </w:r>
      <w:r w:rsidR="00AB2D17">
        <w:rPr>
          <w:iCs/>
          <w:snapToGrid w:val="0"/>
          <w:kern w:val="22"/>
          <w:szCs w:val="22"/>
          <w:lang w:val="ru-RU"/>
        </w:rPr>
        <w:t>различиях</w:t>
      </w:r>
      <w:r w:rsidR="00AB2D17" w:rsidRPr="00AB2D17">
        <w:rPr>
          <w:iCs/>
          <w:snapToGrid w:val="0"/>
          <w:kern w:val="22"/>
          <w:szCs w:val="22"/>
          <w:lang w:val="ru-RU"/>
        </w:rPr>
        <w:t xml:space="preserve"> </w:t>
      </w:r>
      <w:r w:rsidR="00AB2D17">
        <w:rPr>
          <w:iCs/>
          <w:snapToGrid w:val="0"/>
          <w:kern w:val="22"/>
          <w:szCs w:val="22"/>
          <w:lang w:val="ru-RU"/>
        </w:rPr>
        <w:t>между</w:t>
      </w:r>
      <w:r w:rsidR="00AB2D17" w:rsidRPr="00AB2D17">
        <w:rPr>
          <w:iCs/>
          <w:snapToGrid w:val="0"/>
          <w:kern w:val="22"/>
          <w:szCs w:val="22"/>
          <w:lang w:val="ru-RU"/>
        </w:rPr>
        <w:t xml:space="preserve"> </w:t>
      </w:r>
      <w:r w:rsidR="00AB2D17">
        <w:rPr>
          <w:iCs/>
          <w:snapToGrid w:val="0"/>
          <w:kern w:val="22"/>
          <w:szCs w:val="22"/>
          <w:lang w:val="ru-RU"/>
        </w:rPr>
        <w:t xml:space="preserve">регионами, </w:t>
      </w:r>
      <w:r w:rsidR="00AB2D17" w:rsidRPr="00DB5643">
        <w:rPr>
          <w:snapToGrid w:val="0"/>
          <w:kern w:val="22"/>
          <w:szCs w:val="22"/>
          <w:lang w:val="ru-RU"/>
        </w:rPr>
        <w:t>как в абсолютных числах, так и в изменениях по отношению к исходному уровню</w:t>
      </w:r>
      <w:r w:rsidR="004569FB" w:rsidRPr="00AB2D17">
        <w:rPr>
          <w:iCs/>
          <w:snapToGrid w:val="0"/>
          <w:kern w:val="22"/>
          <w:szCs w:val="22"/>
          <w:lang w:val="ru-RU"/>
        </w:rPr>
        <w:t xml:space="preserve">. </w:t>
      </w:r>
      <w:r w:rsidR="00AB2D17">
        <w:rPr>
          <w:iCs/>
          <w:snapToGrid w:val="0"/>
          <w:kern w:val="22"/>
          <w:szCs w:val="22"/>
          <w:lang w:val="ru-RU"/>
        </w:rPr>
        <w:t>Было</w:t>
      </w:r>
      <w:r w:rsidR="00AB2D17" w:rsidRPr="00F253D4">
        <w:rPr>
          <w:iCs/>
          <w:snapToGrid w:val="0"/>
          <w:kern w:val="22"/>
          <w:szCs w:val="22"/>
          <w:lang w:val="ru-RU"/>
        </w:rPr>
        <w:t xml:space="preserve"> </w:t>
      </w:r>
      <w:r w:rsidR="00AB2D17">
        <w:rPr>
          <w:iCs/>
          <w:snapToGrid w:val="0"/>
          <w:kern w:val="22"/>
          <w:szCs w:val="22"/>
          <w:lang w:val="ru-RU"/>
        </w:rPr>
        <w:t>сообщено</w:t>
      </w:r>
      <w:r w:rsidR="00AB2D17" w:rsidRPr="00F253D4">
        <w:rPr>
          <w:iCs/>
          <w:snapToGrid w:val="0"/>
          <w:kern w:val="22"/>
          <w:szCs w:val="22"/>
          <w:lang w:val="ru-RU"/>
        </w:rPr>
        <w:t xml:space="preserve"> </w:t>
      </w:r>
      <w:r w:rsidR="00AB2D17">
        <w:rPr>
          <w:iCs/>
          <w:snapToGrid w:val="0"/>
          <w:kern w:val="22"/>
          <w:szCs w:val="22"/>
          <w:lang w:val="ru-RU"/>
        </w:rPr>
        <w:t>об</w:t>
      </w:r>
      <w:r w:rsidR="00AB2D17" w:rsidRPr="00F253D4">
        <w:rPr>
          <w:iCs/>
          <w:snapToGrid w:val="0"/>
          <w:kern w:val="22"/>
          <w:szCs w:val="22"/>
          <w:lang w:val="ru-RU"/>
        </w:rPr>
        <w:t xml:space="preserve"> </w:t>
      </w:r>
      <w:r w:rsidR="00AB2D17">
        <w:rPr>
          <w:iCs/>
          <w:snapToGrid w:val="0"/>
          <w:kern w:val="22"/>
          <w:szCs w:val="22"/>
          <w:lang w:val="ru-RU"/>
        </w:rPr>
        <w:t>увеличении</w:t>
      </w:r>
      <w:r w:rsidR="00AB2D17" w:rsidRPr="00F253D4">
        <w:rPr>
          <w:iCs/>
          <w:snapToGrid w:val="0"/>
          <w:kern w:val="22"/>
          <w:szCs w:val="22"/>
          <w:lang w:val="ru-RU"/>
        </w:rPr>
        <w:t xml:space="preserve"> </w:t>
      </w:r>
      <w:r w:rsidR="00AB2D17">
        <w:rPr>
          <w:iCs/>
          <w:snapToGrid w:val="0"/>
          <w:kern w:val="22"/>
          <w:szCs w:val="22"/>
          <w:lang w:val="ru-RU"/>
        </w:rPr>
        <w:t>в</w:t>
      </w:r>
      <w:r w:rsidR="004569FB" w:rsidRPr="00F253D4">
        <w:rPr>
          <w:iCs/>
          <w:snapToGrid w:val="0"/>
          <w:kern w:val="22"/>
          <w:szCs w:val="22"/>
          <w:lang w:val="ru-RU"/>
        </w:rPr>
        <w:t xml:space="preserve"> </w:t>
      </w:r>
      <w:proofErr w:type="spellStart"/>
      <w:r w:rsidR="00AB2D17">
        <w:rPr>
          <w:iCs/>
          <w:snapToGrid w:val="0"/>
          <w:kern w:val="22"/>
          <w:szCs w:val="22"/>
          <w:lang w:val="ru-RU"/>
        </w:rPr>
        <w:t>ГРУЛАК</w:t>
      </w:r>
      <w:proofErr w:type="spellEnd"/>
      <w:r w:rsidR="00F253D4">
        <w:rPr>
          <w:iCs/>
          <w:snapToGrid w:val="0"/>
          <w:kern w:val="22"/>
          <w:szCs w:val="22"/>
          <w:lang w:val="ru-RU"/>
        </w:rPr>
        <w:t xml:space="preserve"> на</w:t>
      </w:r>
      <w:r w:rsidR="004569FB" w:rsidRPr="00F253D4">
        <w:rPr>
          <w:iCs/>
          <w:snapToGrid w:val="0"/>
          <w:kern w:val="22"/>
          <w:szCs w:val="22"/>
          <w:lang w:val="ru-RU"/>
        </w:rPr>
        <w:t xml:space="preserve"> 69</w:t>
      </w:r>
      <w:r w:rsidR="00AB2D17" w:rsidRPr="00AB2D17">
        <w:rPr>
          <w:iCs/>
          <w:snapToGrid w:val="0"/>
          <w:kern w:val="22"/>
          <w:szCs w:val="22"/>
          <w:lang w:val="en-US"/>
        </w:rPr>
        <w:t> </w:t>
      </w:r>
      <w:r w:rsidR="004569FB" w:rsidRPr="00F253D4">
        <w:rPr>
          <w:iCs/>
          <w:snapToGrid w:val="0"/>
          <w:kern w:val="22"/>
          <w:szCs w:val="22"/>
          <w:lang w:val="ru-RU"/>
        </w:rPr>
        <w:t>% (+15</w:t>
      </w:r>
      <w:r w:rsidR="00AB2D17" w:rsidRPr="00AB2D17">
        <w:rPr>
          <w:iCs/>
          <w:snapToGrid w:val="0"/>
          <w:kern w:val="22"/>
          <w:szCs w:val="22"/>
          <w:lang w:val="en-US"/>
        </w:rPr>
        <w:t> </w:t>
      </w:r>
      <w:r w:rsidR="004569FB" w:rsidRPr="00F253D4">
        <w:rPr>
          <w:iCs/>
          <w:snapToGrid w:val="0"/>
          <w:kern w:val="22"/>
          <w:szCs w:val="22"/>
          <w:lang w:val="ru-RU"/>
        </w:rPr>
        <w:t>%)</w:t>
      </w:r>
      <w:r w:rsidR="00AB2D17" w:rsidRPr="00F253D4">
        <w:rPr>
          <w:iCs/>
          <w:snapToGrid w:val="0"/>
          <w:kern w:val="22"/>
          <w:szCs w:val="22"/>
          <w:lang w:val="ru-RU"/>
        </w:rPr>
        <w:t xml:space="preserve"> </w:t>
      </w:r>
      <w:r w:rsidR="00AB2D17">
        <w:rPr>
          <w:iCs/>
          <w:snapToGrid w:val="0"/>
          <w:kern w:val="22"/>
          <w:szCs w:val="22"/>
          <w:lang w:val="ru-RU"/>
        </w:rPr>
        <w:t>и</w:t>
      </w:r>
      <w:r w:rsidR="00AB2D17" w:rsidRPr="00F253D4">
        <w:rPr>
          <w:iCs/>
          <w:snapToGrid w:val="0"/>
          <w:kern w:val="22"/>
          <w:szCs w:val="22"/>
          <w:lang w:val="ru-RU"/>
        </w:rPr>
        <w:t xml:space="preserve"> </w:t>
      </w:r>
      <w:r w:rsidR="00AB2D17">
        <w:rPr>
          <w:iCs/>
          <w:snapToGrid w:val="0"/>
          <w:kern w:val="22"/>
          <w:szCs w:val="22"/>
          <w:lang w:val="ru-RU"/>
        </w:rPr>
        <w:t>в</w:t>
      </w:r>
      <w:r w:rsidR="00AB2D17" w:rsidRPr="00F253D4">
        <w:rPr>
          <w:iCs/>
          <w:snapToGrid w:val="0"/>
          <w:kern w:val="22"/>
          <w:szCs w:val="22"/>
          <w:lang w:val="ru-RU"/>
        </w:rPr>
        <w:t xml:space="preserve"> </w:t>
      </w:r>
      <w:r w:rsidR="00AB2D17">
        <w:rPr>
          <w:iCs/>
          <w:snapToGrid w:val="0"/>
          <w:kern w:val="22"/>
          <w:szCs w:val="22"/>
          <w:lang w:val="ru-RU"/>
        </w:rPr>
        <w:t>Африке</w:t>
      </w:r>
      <w:r w:rsidR="00F253D4">
        <w:rPr>
          <w:iCs/>
          <w:snapToGrid w:val="0"/>
          <w:kern w:val="22"/>
          <w:szCs w:val="22"/>
          <w:lang w:val="ru-RU"/>
        </w:rPr>
        <w:t xml:space="preserve"> на</w:t>
      </w:r>
      <w:r w:rsidR="004569FB" w:rsidRPr="00F253D4">
        <w:rPr>
          <w:iCs/>
          <w:snapToGrid w:val="0"/>
          <w:kern w:val="22"/>
          <w:szCs w:val="22"/>
          <w:lang w:val="ru-RU"/>
        </w:rPr>
        <w:t xml:space="preserve"> 45</w:t>
      </w:r>
      <w:r w:rsidR="00367B6A">
        <w:rPr>
          <w:iCs/>
          <w:snapToGrid w:val="0"/>
          <w:kern w:val="22"/>
          <w:szCs w:val="22"/>
          <w:lang w:val="ru-RU"/>
        </w:rPr>
        <w:t> </w:t>
      </w:r>
      <w:r w:rsidR="004569FB" w:rsidRPr="00F253D4">
        <w:rPr>
          <w:iCs/>
          <w:snapToGrid w:val="0"/>
          <w:kern w:val="22"/>
          <w:szCs w:val="22"/>
          <w:lang w:val="ru-RU"/>
        </w:rPr>
        <w:t>% (+</w:t>
      </w:r>
      <w:r w:rsidR="00BB7067" w:rsidRPr="00F253D4">
        <w:rPr>
          <w:iCs/>
          <w:snapToGrid w:val="0"/>
          <w:kern w:val="22"/>
          <w:szCs w:val="22"/>
          <w:lang w:val="ru-RU"/>
        </w:rPr>
        <w:t>3</w:t>
      </w:r>
      <w:r w:rsidR="00AB2D17" w:rsidRPr="00AB2D17">
        <w:rPr>
          <w:iCs/>
          <w:snapToGrid w:val="0"/>
          <w:kern w:val="22"/>
          <w:szCs w:val="22"/>
          <w:lang w:val="en-US"/>
        </w:rPr>
        <w:t> </w:t>
      </w:r>
      <w:r w:rsidR="004569FB" w:rsidRPr="00F253D4">
        <w:rPr>
          <w:iCs/>
          <w:snapToGrid w:val="0"/>
          <w:kern w:val="22"/>
          <w:szCs w:val="22"/>
          <w:lang w:val="ru-RU"/>
        </w:rPr>
        <w:t xml:space="preserve">%). </w:t>
      </w:r>
      <w:r w:rsidR="00AB2D17">
        <w:rPr>
          <w:iCs/>
          <w:snapToGrid w:val="0"/>
          <w:kern w:val="22"/>
          <w:szCs w:val="22"/>
          <w:lang w:val="ru-RU"/>
        </w:rPr>
        <w:t>Было</w:t>
      </w:r>
      <w:r w:rsidR="00AB2D17" w:rsidRPr="00AB2D17">
        <w:rPr>
          <w:iCs/>
          <w:snapToGrid w:val="0"/>
          <w:kern w:val="22"/>
          <w:szCs w:val="22"/>
          <w:lang w:val="ru-RU"/>
        </w:rPr>
        <w:t xml:space="preserve"> </w:t>
      </w:r>
      <w:r w:rsidR="00AB2D17">
        <w:rPr>
          <w:iCs/>
          <w:snapToGrid w:val="0"/>
          <w:kern w:val="22"/>
          <w:szCs w:val="22"/>
          <w:lang w:val="ru-RU"/>
        </w:rPr>
        <w:t>сообщено</w:t>
      </w:r>
      <w:r w:rsidR="00AB2D17" w:rsidRPr="00AB2D17">
        <w:rPr>
          <w:iCs/>
          <w:snapToGrid w:val="0"/>
          <w:kern w:val="22"/>
          <w:szCs w:val="22"/>
          <w:lang w:val="ru-RU"/>
        </w:rPr>
        <w:t xml:space="preserve"> </w:t>
      </w:r>
      <w:r w:rsidR="00AB2D17">
        <w:rPr>
          <w:iCs/>
          <w:snapToGrid w:val="0"/>
          <w:kern w:val="22"/>
          <w:szCs w:val="22"/>
          <w:lang w:val="ru-RU"/>
        </w:rPr>
        <w:t>об</w:t>
      </w:r>
      <w:r w:rsidR="00AB2D17" w:rsidRPr="00AB2D17">
        <w:rPr>
          <w:iCs/>
          <w:snapToGrid w:val="0"/>
          <w:kern w:val="22"/>
          <w:szCs w:val="22"/>
          <w:lang w:val="ru-RU"/>
        </w:rPr>
        <w:t xml:space="preserve"> </w:t>
      </w:r>
      <w:r w:rsidR="00AB2D17">
        <w:rPr>
          <w:iCs/>
          <w:snapToGrid w:val="0"/>
          <w:kern w:val="22"/>
          <w:szCs w:val="22"/>
          <w:lang w:val="ru-RU"/>
        </w:rPr>
        <w:t>уменьшении</w:t>
      </w:r>
      <w:r w:rsidR="00AB2D17" w:rsidRPr="00AB2D17">
        <w:rPr>
          <w:iCs/>
          <w:snapToGrid w:val="0"/>
          <w:kern w:val="22"/>
          <w:szCs w:val="22"/>
          <w:lang w:val="ru-RU"/>
        </w:rPr>
        <w:t xml:space="preserve"> </w:t>
      </w:r>
      <w:r w:rsidR="00AB2D17">
        <w:rPr>
          <w:iCs/>
          <w:snapToGrid w:val="0"/>
          <w:kern w:val="22"/>
          <w:szCs w:val="22"/>
          <w:lang w:val="ru-RU"/>
        </w:rPr>
        <w:t>в</w:t>
      </w:r>
      <w:r w:rsidR="00AB2D17" w:rsidRPr="00AB2D17">
        <w:rPr>
          <w:iCs/>
          <w:snapToGrid w:val="0"/>
          <w:kern w:val="22"/>
          <w:szCs w:val="22"/>
          <w:lang w:val="ru-RU"/>
        </w:rPr>
        <w:t xml:space="preserve"> </w:t>
      </w:r>
      <w:proofErr w:type="spellStart"/>
      <w:r w:rsidR="004569FB" w:rsidRPr="00DB5643">
        <w:rPr>
          <w:iCs/>
          <w:snapToGrid w:val="0"/>
          <w:kern w:val="22"/>
          <w:szCs w:val="22"/>
        </w:rPr>
        <w:t>CEE</w:t>
      </w:r>
      <w:proofErr w:type="spellEnd"/>
      <w:r w:rsidR="00F253D4">
        <w:rPr>
          <w:iCs/>
          <w:snapToGrid w:val="0"/>
          <w:kern w:val="22"/>
          <w:szCs w:val="22"/>
          <w:lang w:val="ru-RU"/>
        </w:rPr>
        <w:t xml:space="preserve"> на</w:t>
      </w:r>
      <w:r w:rsidR="004569FB" w:rsidRPr="00AB2D17">
        <w:rPr>
          <w:iCs/>
          <w:snapToGrid w:val="0"/>
          <w:kern w:val="22"/>
          <w:szCs w:val="22"/>
          <w:lang w:val="ru-RU"/>
        </w:rPr>
        <w:t xml:space="preserve"> 69</w:t>
      </w:r>
      <w:r w:rsidR="00AB2D17" w:rsidRPr="00AB2D17">
        <w:rPr>
          <w:iCs/>
          <w:snapToGrid w:val="0"/>
          <w:kern w:val="22"/>
          <w:szCs w:val="22"/>
          <w:lang w:val="en-US"/>
        </w:rPr>
        <w:t> </w:t>
      </w:r>
      <w:r w:rsidR="004569FB" w:rsidRPr="00AB2D17">
        <w:rPr>
          <w:iCs/>
          <w:snapToGrid w:val="0"/>
          <w:kern w:val="22"/>
          <w:szCs w:val="22"/>
          <w:lang w:val="ru-RU"/>
        </w:rPr>
        <w:t>% (-12</w:t>
      </w:r>
      <w:r w:rsidR="00AB2D17" w:rsidRPr="00AB2D17">
        <w:rPr>
          <w:iCs/>
          <w:snapToGrid w:val="0"/>
          <w:kern w:val="22"/>
          <w:szCs w:val="22"/>
          <w:lang w:val="en-US"/>
        </w:rPr>
        <w:t> </w:t>
      </w:r>
      <w:r w:rsidR="00AB2D17" w:rsidRPr="00AB2D17">
        <w:rPr>
          <w:iCs/>
          <w:snapToGrid w:val="0"/>
          <w:kern w:val="22"/>
          <w:szCs w:val="22"/>
          <w:lang w:val="ru-RU"/>
        </w:rPr>
        <w:t xml:space="preserve">%) </w:t>
      </w:r>
      <w:r w:rsidR="00AB2D17">
        <w:rPr>
          <w:iCs/>
          <w:snapToGrid w:val="0"/>
          <w:kern w:val="22"/>
          <w:szCs w:val="22"/>
          <w:lang w:val="ru-RU"/>
        </w:rPr>
        <w:t>и</w:t>
      </w:r>
      <w:r w:rsidR="00AB2D17" w:rsidRPr="00AB2D17">
        <w:rPr>
          <w:iCs/>
          <w:snapToGrid w:val="0"/>
          <w:kern w:val="22"/>
          <w:szCs w:val="22"/>
          <w:lang w:val="ru-RU"/>
        </w:rPr>
        <w:t xml:space="preserve"> </w:t>
      </w:r>
      <w:r w:rsidR="00AB2D17">
        <w:rPr>
          <w:iCs/>
          <w:snapToGrid w:val="0"/>
          <w:kern w:val="22"/>
          <w:szCs w:val="22"/>
          <w:lang w:val="ru-RU"/>
        </w:rPr>
        <w:t>об</w:t>
      </w:r>
      <w:r w:rsidR="00AB2D17" w:rsidRPr="00AB2D17">
        <w:rPr>
          <w:iCs/>
          <w:snapToGrid w:val="0"/>
          <w:kern w:val="22"/>
          <w:szCs w:val="22"/>
          <w:lang w:val="ru-RU"/>
        </w:rPr>
        <w:t xml:space="preserve"> </w:t>
      </w:r>
      <w:r w:rsidR="00AB2D17">
        <w:rPr>
          <w:iCs/>
          <w:snapToGrid w:val="0"/>
          <w:kern w:val="22"/>
          <w:szCs w:val="22"/>
          <w:lang w:val="ru-RU"/>
        </w:rPr>
        <w:t>отсутствии</w:t>
      </w:r>
      <w:r w:rsidR="00AB2D17" w:rsidRPr="00AB2D17">
        <w:rPr>
          <w:iCs/>
          <w:snapToGrid w:val="0"/>
          <w:kern w:val="22"/>
          <w:szCs w:val="22"/>
          <w:lang w:val="ru-RU"/>
        </w:rPr>
        <w:t xml:space="preserve"> </w:t>
      </w:r>
      <w:r w:rsidR="00AB2D17">
        <w:rPr>
          <w:iCs/>
          <w:snapToGrid w:val="0"/>
          <w:kern w:val="22"/>
          <w:szCs w:val="22"/>
          <w:lang w:val="ru-RU"/>
        </w:rPr>
        <w:t>изменений</w:t>
      </w:r>
      <w:r w:rsidR="00AB2D17" w:rsidRPr="00AB2D17">
        <w:rPr>
          <w:iCs/>
          <w:snapToGrid w:val="0"/>
          <w:kern w:val="22"/>
          <w:szCs w:val="22"/>
          <w:lang w:val="ru-RU"/>
        </w:rPr>
        <w:t xml:space="preserve"> </w:t>
      </w:r>
      <w:r w:rsidR="00AB2D17">
        <w:rPr>
          <w:iCs/>
          <w:snapToGrid w:val="0"/>
          <w:kern w:val="22"/>
          <w:szCs w:val="22"/>
          <w:lang w:val="ru-RU"/>
        </w:rPr>
        <w:t>в</w:t>
      </w:r>
      <w:r w:rsidR="00AB2D17" w:rsidRPr="00AB2D17">
        <w:rPr>
          <w:iCs/>
          <w:snapToGrid w:val="0"/>
          <w:kern w:val="22"/>
          <w:szCs w:val="22"/>
          <w:lang w:val="ru-RU"/>
        </w:rPr>
        <w:t xml:space="preserve"> </w:t>
      </w:r>
      <w:r w:rsidR="00AB2D17">
        <w:rPr>
          <w:iCs/>
          <w:snapToGrid w:val="0"/>
          <w:kern w:val="22"/>
          <w:szCs w:val="22"/>
          <w:lang w:val="ru-RU"/>
        </w:rPr>
        <w:t>Азиатско</w:t>
      </w:r>
      <w:r w:rsidR="00AB2D17" w:rsidRPr="00AB2D17">
        <w:rPr>
          <w:iCs/>
          <w:snapToGrid w:val="0"/>
          <w:kern w:val="22"/>
          <w:szCs w:val="22"/>
          <w:lang w:val="ru-RU"/>
        </w:rPr>
        <w:t>-</w:t>
      </w:r>
      <w:r w:rsidR="00AB2D17">
        <w:rPr>
          <w:iCs/>
          <w:snapToGrid w:val="0"/>
          <w:kern w:val="22"/>
          <w:szCs w:val="22"/>
          <w:lang w:val="ru-RU"/>
        </w:rPr>
        <w:t>Тихоокеанском</w:t>
      </w:r>
      <w:r w:rsidR="00AB2D17" w:rsidRPr="00AB2D17">
        <w:rPr>
          <w:iCs/>
          <w:snapToGrid w:val="0"/>
          <w:kern w:val="22"/>
          <w:szCs w:val="22"/>
          <w:lang w:val="ru-RU"/>
        </w:rPr>
        <w:t xml:space="preserve"> </w:t>
      </w:r>
      <w:r w:rsidR="00AB2D17">
        <w:rPr>
          <w:iCs/>
          <w:snapToGrid w:val="0"/>
          <w:kern w:val="22"/>
          <w:szCs w:val="22"/>
          <w:lang w:val="ru-RU"/>
        </w:rPr>
        <w:t>регионе</w:t>
      </w:r>
      <w:r w:rsidR="004569FB" w:rsidRPr="00AB2D17">
        <w:rPr>
          <w:iCs/>
          <w:snapToGrid w:val="0"/>
          <w:kern w:val="22"/>
          <w:szCs w:val="22"/>
          <w:lang w:val="ru-RU"/>
        </w:rPr>
        <w:t xml:space="preserve"> (88</w:t>
      </w:r>
      <w:r w:rsidR="00AB2D17">
        <w:rPr>
          <w:iCs/>
          <w:snapToGrid w:val="0"/>
          <w:kern w:val="22"/>
          <w:szCs w:val="22"/>
          <w:lang w:val="ru-RU"/>
        </w:rPr>
        <w:t> </w:t>
      </w:r>
      <w:r w:rsidR="004569FB" w:rsidRPr="00AB2D17">
        <w:rPr>
          <w:iCs/>
          <w:snapToGrid w:val="0"/>
          <w:kern w:val="22"/>
          <w:szCs w:val="22"/>
          <w:lang w:val="ru-RU"/>
        </w:rPr>
        <w:t>%)</w:t>
      </w:r>
      <w:r w:rsidR="00AB2D17">
        <w:rPr>
          <w:iCs/>
          <w:snapToGrid w:val="0"/>
          <w:kern w:val="22"/>
          <w:szCs w:val="22"/>
          <w:lang w:val="ru-RU"/>
        </w:rPr>
        <w:t xml:space="preserve"> и </w:t>
      </w:r>
      <w:proofErr w:type="spellStart"/>
      <w:r w:rsidR="004569FB" w:rsidRPr="00DB5643">
        <w:rPr>
          <w:iCs/>
          <w:snapToGrid w:val="0"/>
          <w:kern w:val="22"/>
          <w:szCs w:val="22"/>
        </w:rPr>
        <w:t>WEOG</w:t>
      </w:r>
      <w:proofErr w:type="spellEnd"/>
      <w:r w:rsidR="004569FB" w:rsidRPr="00AB2D17">
        <w:rPr>
          <w:iCs/>
          <w:snapToGrid w:val="0"/>
          <w:kern w:val="22"/>
          <w:szCs w:val="22"/>
          <w:lang w:val="ru-RU"/>
        </w:rPr>
        <w:t xml:space="preserve"> (89</w:t>
      </w:r>
      <w:r w:rsidR="00AB2D17">
        <w:rPr>
          <w:iCs/>
          <w:snapToGrid w:val="0"/>
          <w:kern w:val="22"/>
          <w:szCs w:val="22"/>
          <w:lang w:val="ru-RU"/>
        </w:rPr>
        <w:t> </w:t>
      </w:r>
      <w:r w:rsidR="004569FB" w:rsidRPr="00AB2D17">
        <w:rPr>
          <w:iCs/>
          <w:snapToGrid w:val="0"/>
          <w:kern w:val="22"/>
          <w:szCs w:val="22"/>
          <w:lang w:val="ru-RU"/>
        </w:rPr>
        <w:t xml:space="preserve">%) </w:t>
      </w:r>
      <w:bookmarkStart w:id="32" w:name="_Hlk30520852"/>
      <w:r w:rsidR="004569FB" w:rsidRPr="00AB2D17">
        <w:rPr>
          <w:iCs/>
          <w:snapToGrid w:val="0"/>
          <w:kern w:val="22"/>
          <w:szCs w:val="22"/>
          <w:lang w:val="ru-RU"/>
        </w:rPr>
        <w:t>(</w:t>
      </w:r>
      <w:r w:rsidR="00AB2D17">
        <w:rPr>
          <w:iCs/>
          <w:snapToGrid w:val="0"/>
          <w:kern w:val="22"/>
          <w:szCs w:val="22"/>
          <w:lang w:val="ru-RU"/>
        </w:rPr>
        <w:t>см. также</w:t>
      </w:r>
      <w:r w:rsidR="004569FB" w:rsidRPr="00AB2D17">
        <w:rPr>
          <w:iCs/>
          <w:snapToGrid w:val="0"/>
          <w:kern w:val="22"/>
          <w:szCs w:val="22"/>
          <w:lang w:val="ru-RU"/>
        </w:rPr>
        <w:t xml:space="preserve"> </w:t>
      </w:r>
      <w:r w:rsidR="00AB2D17">
        <w:rPr>
          <w:b/>
          <w:iCs/>
          <w:snapToGrid w:val="0"/>
          <w:kern w:val="22"/>
          <w:szCs w:val="22"/>
          <w:lang w:val="ru-RU"/>
        </w:rPr>
        <w:t>индикатор</w:t>
      </w:r>
      <w:r w:rsidR="004569FB" w:rsidRPr="00AB2D17">
        <w:rPr>
          <w:b/>
          <w:iCs/>
          <w:snapToGrid w:val="0"/>
          <w:kern w:val="22"/>
          <w:szCs w:val="22"/>
          <w:lang w:val="ru-RU"/>
        </w:rPr>
        <w:t xml:space="preserve"> 5.3.3 </w:t>
      </w:r>
      <w:r w:rsidR="00AB2D17">
        <w:rPr>
          <w:iCs/>
          <w:snapToGrid w:val="0"/>
          <w:kern w:val="22"/>
          <w:szCs w:val="22"/>
          <w:lang w:val="ru-RU"/>
        </w:rPr>
        <w:t>ниже</w:t>
      </w:r>
      <w:r w:rsidR="004569FB" w:rsidRPr="00AB2D17">
        <w:rPr>
          <w:bCs/>
          <w:iCs/>
          <w:snapToGrid w:val="0"/>
          <w:kern w:val="22"/>
          <w:szCs w:val="22"/>
          <w:lang w:val="ru-RU"/>
        </w:rPr>
        <w:t>)</w:t>
      </w:r>
      <w:r w:rsidR="00885278" w:rsidRPr="00AB2D17">
        <w:rPr>
          <w:bCs/>
          <w:iCs/>
          <w:snapToGrid w:val="0"/>
          <w:kern w:val="22"/>
          <w:szCs w:val="22"/>
          <w:lang w:val="ru-RU"/>
        </w:rPr>
        <w:t>.</w:t>
      </w:r>
    </w:p>
    <w:bookmarkEnd w:id="32"/>
    <w:p w14:paraId="15E692AF" w14:textId="41E203AA" w:rsidR="004569FB" w:rsidRPr="00367B6A" w:rsidRDefault="00F3245F"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sidRPr="00DB5643">
        <w:rPr>
          <w:iCs/>
          <w:snapToGrid w:val="0"/>
          <w:kern w:val="22"/>
          <w:szCs w:val="22"/>
          <w:lang w:val="ru-RU"/>
        </w:rPr>
        <w:t>В</w:t>
      </w:r>
      <w:r w:rsidRPr="00F3245F">
        <w:rPr>
          <w:iCs/>
          <w:snapToGrid w:val="0"/>
          <w:kern w:val="22"/>
          <w:szCs w:val="22"/>
          <w:lang w:val="ru-RU"/>
        </w:rPr>
        <w:t xml:space="preserve"> </w:t>
      </w:r>
      <w:r w:rsidRPr="00DB5643">
        <w:rPr>
          <w:snapToGrid w:val="0"/>
          <w:kern w:val="22"/>
          <w:szCs w:val="22"/>
          <w:lang w:val="ru-RU"/>
        </w:rPr>
        <w:t>своих</w:t>
      </w:r>
      <w:r w:rsidRPr="00F3245F">
        <w:rPr>
          <w:snapToGrid w:val="0"/>
          <w:kern w:val="22"/>
          <w:szCs w:val="22"/>
          <w:lang w:val="ru-RU"/>
        </w:rPr>
        <w:t xml:space="preserve"> </w:t>
      </w:r>
      <w:r w:rsidRPr="00DB5643">
        <w:rPr>
          <w:snapToGrid w:val="0"/>
          <w:kern w:val="22"/>
          <w:szCs w:val="22"/>
          <w:lang w:val="ru-RU"/>
        </w:rPr>
        <w:t>ответах</w:t>
      </w:r>
      <w:r w:rsidRPr="00F3245F">
        <w:rPr>
          <w:snapToGrid w:val="0"/>
          <w:kern w:val="22"/>
          <w:szCs w:val="22"/>
          <w:lang w:val="ru-RU"/>
        </w:rPr>
        <w:t xml:space="preserve"> </w:t>
      </w:r>
      <w:r w:rsidRPr="00DB5643">
        <w:rPr>
          <w:snapToGrid w:val="0"/>
          <w:kern w:val="22"/>
          <w:szCs w:val="22"/>
          <w:lang w:val="ru-RU"/>
        </w:rPr>
        <w:t>в</w:t>
      </w:r>
      <w:r w:rsidRPr="00F3245F">
        <w:rPr>
          <w:snapToGrid w:val="0"/>
          <w:kern w:val="22"/>
          <w:szCs w:val="22"/>
          <w:lang w:val="ru-RU"/>
        </w:rPr>
        <w:t xml:space="preserve"> </w:t>
      </w:r>
      <w:r w:rsidRPr="00DB5643">
        <w:rPr>
          <w:snapToGrid w:val="0"/>
          <w:kern w:val="22"/>
          <w:szCs w:val="22"/>
          <w:lang w:val="ru-RU"/>
        </w:rPr>
        <w:t>развернутой</w:t>
      </w:r>
      <w:r w:rsidRPr="00F3245F">
        <w:rPr>
          <w:snapToGrid w:val="0"/>
          <w:kern w:val="22"/>
          <w:szCs w:val="22"/>
          <w:lang w:val="ru-RU"/>
        </w:rPr>
        <w:t xml:space="preserve"> </w:t>
      </w:r>
      <w:r w:rsidRPr="00DB5643">
        <w:rPr>
          <w:snapToGrid w:val="0"/>
          <w:kern w:val="22"/>
          <w:szCs w:val="22"/>
          <w:lang w:val="ru-RU"/>
        </w:rPr>
        <w:t>форме</w:t>
      </w:r>
      <w:r w:rsidRPr="00F3245F">
        <w:rPr>
          <w:snapToGrid w:val="0"/>
          <w:kern w:val="22"/>
          <w:szCs w:val="22"/>
          <w:lang w:val="ru-RU"/>
        </w:rPr>
        <w:t xml:space="preserve"> </w:t>
      </w:r>
      <w:r>
        <w:rPr>
          <w:iCs/>
          <w:snapToGrid w:val="0"/>
          <w:kern w:val="22"/>
          <w:szCs w:val="18"/>
          <w:lang w:val="ru-RU"/>
        </w:rPr>
        <w:t>несколько</w:t>
      </w:r>
      <w:r w:rsidRPr="00F3245F">
        <w:rPr>
          <w:iCs/>
          <w:snapToGrid w:val="0"/>
          <w:kern w:val="22"/>
          <w:szCs w:val="18"/>
          <w:lang w:val="ru-RU"/>
        </w:rPr>
        <w:t xml:space="preserve"> </w:t>
      </w:r>
      <w:r>
        <w:rPr>
          <w:iCs/>
          <w:snapToGrid w:val="0"/>
          <w:kern w:val="22"/>
          <w:szCs w:val="18"/>
          <w:lang w:val="ru-RU"/>
        </w:rPr>
        <w:t>Сторон</w:t>
      </w:r>
      <w:r w:rsidRPr="00F3245F">
        <w:rPr>
          <w:iCs/>
          <w:snapToGrid w:val="0"/>
          <w:kern w:val="22"/>
          <w:szCs w:val="18"/>
          <w:lang w:val="ru-RU"/>
        </w:rPr>
        <w:t xml:space="preserve"> </w:t>
      </w:r>
      <w:r>
        <w:rPr>
          <w:iCs/>
          <w:snapToGrid w:val="0"/>
          <w:kern w:val="22"/>
          <w:szCs w:val="18"/>
          <w:lang w:val="ru-RU"/>
        </w:rPr>
        <w:t>отметили</w:t>
      </w:r>
      <w:r w:rsidRPr="00F3245F">
        <w:rPr>
          <w:iCs/>
          <w:snapToGrid w:val="0"/>
          <w:kern w:val="22"/>
          <w:szCs w:val="18"/>
          <w:lang w:val="ru-RU"/>
        </w:rPr>
        <w:t xml:space="preserve">, </w:t>
      </w:r>
      <w:r>
        <w:rPr>
          <w:iCs/>
          <w:snapToGrid w:val="0"/>
          <w:kern w:val="22"/>
          <w:szCs w:val="18"/>
          <w:lang w:val="ru-RU"/>
        </w:rPr>
        <w:t>что</w:t>
      </w:r>
      <w:r w:rsidRPr="00F3245F">
        <w:rPr>
          <w:iCs/>
          <w:snapToGrid w:val="0"/>
          <w:kern w:val="22"/>
          <w:szCs w:val="18"/>
          <w:lang w:val="ru-RU"/>
        </w:rPr>
        <w:t xml:space="preserve"> </w:t>
      </w:r>
      <w:r>
        <w:rPr>
          <w:iCs/>
          <w:snapToGrid w:val="0"/>
          <w:kern w:val="22"/>
          <w:szCs w:val="18"/>
          <w:lang w:val="ru-RU"/>
        </w:rPr>
        <w:t>они</w:t>
      </w:r>
      <w:r w:rsidRPr="00F3245F">
        <w:rPr>
          <w:iCs/>
          <w:snapToGrid w:val="0"/>
          <w:kern w:val="22"/>
          <w:szCs w:val="18"/>
          <w:lang w:val="ru-RU"/>
        </w:rPr>
        <w:t xml:space="preserve"> </w:t>
      </w:r>
      <w:r>
        <w:rPr>
          <w:iCs/>
          <w:snapToGrid w:val="0"/>
          <w:kern w:val="22"/>
          <w:szCs w:val="18"/>
          <w:lang w:val="ru-RU"/>
        </w:rPr>
        <w:t>располагают</w:t>
      </w:r>
      <w:r w:rsidRPr="00F3245F">
        <w:rPr>
          <w:iCs/>
          <w:snapToGrid w:val="0"/>
          <w:kern w:val="22"/>
          <w:szCs w:val="18"/>
          <w:lang w:val="ru-RU"/>
        </w:rPr>
        <w:t xml:space="preserve"> </w:t>
      </w:r>
      <w:r>
        <w:rPr>
          <w:iCs/>
          <w:snapToGrid w:val="0"/>
          <w:kern w:val="22"/>
          <w:szCs w:val="18"/>
          <w:lang w:val="ru-RU"/>
        </w:rPr>
        <w:t>веб</w:t>
      </w:r>
      <w:r w:rsidRPr="00F3245F">
        <w:rPr>
          <w:iCs/>
          <w:snapToGrid w:val="0"/>
          <w:kern w:val="22"/>
          <w:szCs w:val="18"/>
          <w:lang w:val="ru-RU"/>
        </w:rPr>
        <w:t>-</w:t>
      </w:r>
      <w:r>
        <w:rPr>
          <w:iCs/>
          <w:snapToGrid w:val="0"/>
          <w:kern w:val="22"/>
          <w:szCs w:val="18"/>
          <w:lang w:val="ru-RU"/>
        </w:rPr>
        <w:t>сайтом</w:t>
      </w:r>
      <w:r w:rsidRPr="00F3245F">
        <w:rPr>
          <w:iCs/>
          <w:snapToGrid w:val="0"/>
          <w:kern w:val="22"/>
          <w:szCs w:val="18"/>
          <w:lang w:val="ru-RU"/>
        </w:rPr>
        <w:t xml:space="preserve"> </w:t>
      </w:r>
      <w:r>
        <w:rPr>
          <w:iCs/>
          <w:snapToGrid w:val="0"/>
          <w:kern w:val="22"/>
          <w:szCs w:val="18"/>
          <w:lang w:val="ru-RU"/>
        </w:rPr>
        <w:t>для</w:t>
      </w:r>
      <w:r w:rsidRPr="00F3245F">
        <w:rPr>
          <w:iCs/>
          <w:snapToGrid w:val="0"/>
          <w:kern w:val="22"/>
          <w:szCs w:val="18"/>
          <w:lang w:val="ru-RU"/>
        </w:rPr>
        <w:t xml:space="preserve"> облегч</w:t>
      </w:r>
      <w:r>
        <w:rPr>
          <w:iCs/>
          <w:snapToGrid w:val="0"/>
          <w:kern w:val="22"/>
          <w:szCs w:val="18"/>
          <w:lang w:val="ru-RU"/>
        </w:rPr>
        <w:t>ения осведомления</w:t>
      </w:r>
      <w:r w:rsidRPr="00F3245F">
        <w:rPr>
          <w:iCs/>
          <w:snapToGrid w:val="0"/>
          <w:kern w:val="22"/>
          <w:szCs w:val="18"/>
          <w:lang w:val="ru-RU"/>
        </w:rPr>
        <w:t>, просвещени</w:t>
      </w:r>
      <w:r>
        <w:rPr>
          <w:iCs/>
          <w:snapToGrid w:val="0"/>
          <w:kern w:val="22"/>
          <w:szCs w:val="18"/>
          <w:lang w:val="ru-RU"/>
        </w:rPr>
        <w:t>я</w:t>
      </w:r>
      <w:r w:rsidRPr="00F3245F">
        <w:rPr>
          <w:iCs/>
          <w:snapToGrid w:val="0"/>
          <w:kern w:val="22"/>
          <w:szCs w:val="18"/>
          <w:lang w:val="ru-RU"/>
        </w:rPr>
        <w:t xml:space="preserve"> и участи</w:t>
      </w:r>
      <w:r>
        <w:rPr>
          <w:iCs/>
          <w:snapToGrid w:val="0"/>
          <w:kern w:val="22"/>
          <w:szCs w:val="18"/>
          <w:lang w:val="ru-RU"/>
        </w:rPr>
        <w:t>я</w:t>
      </w:r>
      <w:r w:rsidRPr="00F3245F">
        <w:rPr>
          <w:iCs/>
          <w:snapToGrid w:val="0"/>
          <w:kern w:val="22"/>
          <w:szCs w:val="18"/>
          <w:lang w:val="ru-RU"/>
        </w:rPr>
        <w:t xml:space="preserve"> общественности</w:t>
      </w:r>
      <w:r w:rsidR="004569FB" w:rsidRPr="00F3245F">
        <w:rPr>
          <w:iCs/>
          <w:snapToGrid w:val="0"/>
          <w:kern w:val="22"/>
          <w:szCs w:val="18"/>
          <w:lang w:val="ru-RU"/>
        </w:rPr>
        <w:t xml:space="preserve">, </w:t>
      </w:r>
      <w:r>
        <w:rPr>
          <w:iCs/>
          <w:snapToGrid w:val="0"/>
          <w:kern w:val="22"/>
          <w:szCs w:val="18"/>
          <w:lang w:val="ru-RU"/>
        </w:rPr>
        <w:t>включая практику доступа к информации</w:t>
      </w:r>
      <w:r w:rsidR="004569FB" w:rsidRPr="00F3245F">
        <w:rPr>
          <w:iCs/>
          <w:snapToGrid w:val="0"/>
          <w:kern w:val="22"/>
          <w:szCs w:val="18"/>
          <w:lang w:val="ru-RU"/>
        </w:rPr>
        <w:t xml:space="preserve">. </w:t>
      </w:r>
      <w:r>
        <w:rPr>
          <w:iCs/>
          <w:snapToGrid w:val="0"/>
          <w:kern w:val="22"/>
          <w:szCs w:val="18"/>
          <w:lang w:val="ru-RU"/>
        </w:rPr>
        <w:t>Несколько</w:t>
      </w:r>
      <w:r w:rsidRPr="00F3245F">
        <w:rPr>
          <w:iCs/>
          <w:snapToGrid w:val="0"/>
          <w:kern w:val="22"/>
          <w:szCs w:val="18"/>
          <w:lang w:val="ru-RU"/>
        </w:rPr>
        <w:t xml:space="preserve"> </w:t>
      </w:r>
      <w:r>
        <w:rPr>
          <w:iCs/>
          <w:snapToGrid w:val="0"/>
          <w:kern w:val="22"/>
          <w:szCs w:val="18"/>
          <w:lang w:val="ru-RU"/>
        </w:rPr>
        <w:t>Сторон</w:t>
      </w:r>
      <w:r w:rsidRPr="00F3245F">
        <w:rPr>
          <w:iCs/>
          <w:snapToGrid w:val="0"/>
          <w:kern w:val="22"/>
          <w:szCs w:val="18"/>
          <w:lang w:val="ru-RU"/>
        </w:rPr>
        <w:t xml:space="preserve"> </w:t>
      </w:r>
      <w:r>
        <w:rPr>
          <w:iCs/>
          <w:snapToGrid w:val="0"/>
          <w:kern w:val="22"/>
          <w:szCs w:val="18"/>
          <w:lang w:val="ru-RU"/>
        </w:rPr>
        <w:t>сообщили</w:t>
      </w:r>
      <w:r w:rsidRPr="00F3245F">
        <w:rPr>
          <w:iCs/>
          <w:snapToGrid w:val="0"/>
          <w:kern w:val="22"/>
          <w:szCs w:val="18"/>
          <w:lang w:val="ru-RU"/>
        </w:rPr>
        <w:t xml:space="preserve">, </w:t>
      </w:r>
      <w:r>
        <w:rPr>
          <w:iCs/>
          <w:snapToGrid w:val="0"/>
          <w:kern w:val="22"/>
          <w:szCs w:val="18"/>
          <w:lang w:val="ru-RU"/>
        </w:rPr>
        <w:t>что</w:t>
      </w:r>
      <w:r w:rsidRPr="00F3245F">
        <w:rPr>
          <w:iCs/>
          <w:snapToGrid w:val="0"/>
          <w:kern w:val="22"/>
          <w:szCs w:val="18"/>
          <w:lang w:val="ru-RU"/>
        </w:rPr>
        <w:t xml:space="preserve"> </w:t>
      </w:r>
      <w:r>
        <w:rPr>
          <w:iCs/>
          <w:snapToGrid w:val="0"/>
          <w:kern w:val="22"/>
          <w:szCs w:val="18"/>
          <w:lang w:val="ru-RU"/>
        </w:rPr>
        <w:t>их</w:t>
      </w:r>
      <w:r w:rsidRPr="00F3245F">
        <w:rPr>
          <w:iCs/>
          <w:snapToGrid w:val="0"/>
          <w:kern w:val="22"/>
          <w:szCs w:val="18"/>
          <w:lang w:val="ru-RU"/>
        </w:rPr>
        <w:t xml:space="preserve"> </w:t>
      </w:r>
      <w:r>
        <w:rPr>
          <w:iCs/>
          <w:snapToGrid w:val="0"/>
          <w:kern w:val="22"/>
          <w:szCs w:val="18"/>
          <w:lang w:val="ru-RU"/>
        </w:rPr>
        <w:t>национальные</w:t>
      </w:r>
      <w:r w:rsidRPr="00F3245F">
        <w:rPr>
          <w:iCs/>
          <w:snapToGrid w:val="0"/>
          <w:kern w:val="22"/>
          <w:szCs w:val="18"/>
          <w:lang w:val="ru-RU"/>
        </w:rPr>
        <w:t xml:space="preserve"> </w:t>
      </w:r>
      <w:r>
        <w:rPr>
          <w:iCs/>
          <w:snapToGrid w:val="0"/>
          <w:kern w:val="22"/>
          <w:szCs w:val="18"/>
          <w:lang w:val="ru-RU"/>
        </w:rPr>
        <w:t>веб</w:t>
      </w:r>
      <w:r w:rsidRPr="00F3245F">
        <w:rPr>
          <w:iCs/>
          <w:snapToGrid w:val="0"/>
          <w:kern w:val="22"/>
          <w:szCs w:val="18"/>
          <w:lang w:val="ru-RU"/>
        </w:rPr>
        <w:t>-</w:t>
      </w:r>
      <w:r>
        <w:rPr>
          <w:iCs/>
          <w:snapToGrid w:val="0"/>
          <w:kern w:val="22"/>
          <w:szCs w:val="18"/>
          <w:lang w:val="ru-RU"/>
        </w:rPr>
        <w:t>сайты</w:t>
      </w:r>
      <w:r w:rsidRPr="00F3245F">
        <w:rPr>
          <w:iCs/>
          <w:snapToGrid w:val="0"/>
          <w:kern w:val="22"/>
          <w:szCs w:val="18"/>
          <w:lang w:val="ru-RU"/>
        </w:rPr>
        <w:t xml:space="preserve"> </w:t>
      </w:r>
      <w:r>
        <w:rPr>
          <w:iCs/>
          <w:snapToGrid w:val="0"/>
          <w:kern w:val="22"/>
          <w:szCs w:val="18"/>
          <w:lang w:val="ru-RU"/>
        </w:rPr>
        <w:t>по</w:t>
      </w:r>
      <w:r w:rsidRPr="00F3245F">
        <w:rPr>
          <w:iCs/>
          <w:snapToGrid w:val="0"/>
          <w:kern w:val="22"/>
          <w:szCs w:val="18"/>
          <w:lang w:val="ru-RU"/>
        </w:rPr>
        <w:t xml:space="preserve"> </w:t>
      </w:r>
      <w:r>
        <w:rPr>
          <w:iCs/>
          <w:snapToGrid w:val="0"/>
          <w:kern w:val="22"/>
          <w:szCs w:val="18"/>
          <w:lang w:val="ru-RU"/>
        </w:rPr>
        <w:t>биобезопасности</w:t>
      </w:r>
      <w:r w:rsidRPr="00F3245F">
        <w:rPr>
          <w:iCs/>
          <w:snapToGrid w:val="0"/>
          <w:kern w:val="22"/>
          <w:szCs w:val="18"/>
          <w:lang w:val="ru-RU"/>
        </w:rPr>
        <w:t xml:space="preserve"> </w:t>
      </w:r>
      <w:r>
        <w:rPr>
          <w:iCs/>
          <w:snapToGrid w:val="0"/>
          <w:kern w:val="22"/>
          <w:szCs w:val="18"/>
          <w:lang w:val="ru-RU"/>
        </w:rPr>
        <w:t>функционируют в качестве национальных механизмов посредничества по биобезопасности</w:t>
      </w:r>
      <w:r w:rsidR="004569FB" w:rsidRPr="00F3245F">
        <w:rPr>
          <w:iCs/>
          <w:snapToGrid w:val="0"/>
          <w:kern w:val="22"/>
          <w:szCs w:val="18"/>
          <w:lang w:val="ru-RU"/>
        </w:rPr>
        <w:t xml:space="preserve">. </w:t>
      </w:r>
      <w:r w:rsidR="00367B6A" w:rsidRPr="00F253D4">
        <w:rPr>
          <w:iCs/>
          <w:snapToGrid w:val="0"/>
          <w:kern w:val="22"/>
          <w:szCs w:val="22"/>
          <w:lang w:val="ru-RU"/>
        </w:rPr>
        <w:t>В</w:t>
      </w:r>
      <w:r w:rsidR="00367B6A" w:rsidRPr="00367B6A">
        <w:rPr>
          <w:iCs/>
          <w:snapToGrid w:val="0"/>
          <w:kern w:val="22"/>
          <w:szCs w:val="22"/>
          <w:lang w:val="ru-RU"/>
        </w:rPr>
        <w:t xml:space="preserve"> </w:t>
      </w:r>
      <w:r w:rsidR="00367B6A" w:rsidRPr="00F253D4">
        <w:rPr>
          <w:iCs/>
          <w:snapToGrid w:val="0"/>
          <w:kern w:val="22"/>
          <w:szCs w:val="22"/>
          <w:lang w:val="ru-RU"/>
        </w:rPr>
        <w:t>обследовании</w:t>
      </w:r>
      <w:r w:rsidR="00367B6A" w:rsidRPr="00367B6A">
        <w:rPr>
          <w:iCs/>
          <w:snapToGrid w:val="0"/>
          <w:kern w:val="22"/>
          <w:szCs w:val="22"/>
          <w:lang w:val="ru-RU"/>
        </w:rPr>
        <w:t xml:space="preserve"> </w:t>
      </w:r>
      <w:r w:rsidR="00367B6A" w:rsidRPr="00F253D4">
        <w:rPr>
          <w:iCs/>
          <w:snapToGrid w:val="0"/>
          <w:kern w:val="22"/>
          <w:szCs w:val="22"/>
          <w:lang w:val="ru-RU"/>
        </w:rPr>
        <w:t>по</w:t>
      </w:r>
      <w:r w:rsidR="00367B6A" w:rsidRPr="00367B6A">
        <w:rPr>
          <w:iCs/>
          <w:snapToGrid w:val="0"/>
          <w:kern w:val="22"/>
          <w:szCs w:val="22"/>
          <w:lang w:val="ru-RU"/>
        </w:rPr>
        <w:t xml:space="preserve"> </w:t>
      </w:r>
      <w:r w:rsidR="00367B6A" w:rsidRPr="00F253D4">
        <w:rPr>
          <w:iCs/>
          <w:snapToGrid w:val="0"/>
          <w:kern w:val="22"/>
          <w:szCs w:val="22"/>
          <w:lang w:val="ru-RU"/>
        </w:rPr>
        <w:t>программе</w:t>
      </w:r>
      <w:r w:rsidR="00367B6A" w:rsidRPr="00367B6A">
        <w:rPr>
          <w:iCs/>
          <w:snapToGrid w:val="0"/>
          <w:kern w:val="22"/>
          <w:szCs w:val="22"/>
          <w:lang w:val="ru-RU"/>
        </w:rPr>
        <w:t xml:space="preserve"> </w:t>
      </w:r>
      <w:r w:rsidR="00367B6A" w:rsidRPr="00F253D4">
        <w:rPr>
          <w:iCs/>
          <w:snapToGrid w:val="0"/>
          <w:kern w:val="22"/>
          <w:szCs w:val="22"/>
          <w:lang w:val="ru-RU"/>
        </w:rPr>
        <w:t>работы</w:t>
      </w:r>
      <w:r w:rsidR="00367B6A" w:rsidRPr="00367B6A">
        <w:rPr>
          <w:iCs/>
          <w:snapToGrid w:val="0"/>
          <w:kern w:val="22"/>
          <w:szCs w:val="22"/>
          <w:lang w:val="ru-RU"/>
        </w:rPr>
        <w:t xml:space="preserve"> </w:t>
      </w:r>
      <w:r w:rsidR="00367B6A">
        <w:rPr>
          <w:iCs/>
          <w:snapToGrid w:val="0"/>
          <w:kern w:val="22"/>
          <w:szCs w:val="22"/>
          <w:lang w:val="ru-RU"/>
        </w:rPr>
        <w:t>некоторые</w:t>
      </w:r>
      <w:r w:rsidR="00367B6A" w:rsidRPr="00367B6A">
        <w:rPr>
          <w:iCs/>
          <w:snapToGrid w:val="0"/>
          <w:kern w:val="22"/>
          <w:szCs w:val="22"/>
          <w:lang w:val="ru-RU"/>
        </w:rPr>
        <w:t xml:space="preserve"> </w:t>
      </w:r>
      <w:r w:rsidR="00367B6A">
        <w:rPr>
          <w:iCs/>
          <w:snapToGrid w:val="0"/>
          <w:kern w:val="22"/>
          <w:szCs w:val="22"/>
          <w:lang w:val="ru-RU"/>
        </w:rPr>
        <w:t>Стороны</w:t>
      </w:r>
      <w:r w:rsidR="00367B6A" w:rsidRPr="00367B6A">
        <w:rPr>
          <w:iCs/>
          <w:snapToGrid w:val="0"/>
          <w:kern w:val="22"/>
          <w:szCs w:val="22"/>
          <w:lang w:val="ru-RU"/>
        </w:rPr>
        <w:t xml:space="preserve"> </w:t>
      </w:r>
      <w:r w:rsidR="00367B6A">
        <w:rPr>
          <w:iCs/>
          <w:snapToGrid w:val="0"/>
          <w:kern w:val="22"/>
          <w:szCs w:val="18"/>
          <w:lang w:val="ru-RU"/>
        </w:rPr>
        <w:t>отметили</w:t>
      </w:r>
      <w:r w:rsidR="00367B6A" w:rsidRPr="00367B6A">
        <w:rPr>
          <w:iCs/>
          <w:snapToGrid w:val="0"/>
          <w:kern w:val="22"/>
          <w:szCs w:val="18"/>
          <w:lang w:val="ru-RU"/>
        </w:rPr>
        <w:t xml:space="preserve">, </w:t>
      </w:r>
      <w:r w:rsidR="00367B6A">
        <w:rPr>
          <w:iCs/>
          <w:snapToGrid w:val="0"/>
          <w:kern w:val="22"/>
          <w:szCs w:val="18"/>
          <w:lang w:val="ru-RU"/>
        </w:rPr>
        <w:t xml:space="preserve">что недостаток ресурсов не позволили им создать </w:t>
      </w:r>
      <w:r w:rsidR="00367B6A">
        <w:rPr>
          <w:iCs/>
          <w:snapToGrid w:val="0"/>
          <w:kern w:val="22"/>
          <w:szCs w:val="18"/>
          <w:lang w:val="ru-RU"/>
        </w:rPr>
        <w:t>национальны</w:t>
      </w:r>
      <w:r w:rsidR="00367B6A">
        <w:rPr>
          <w:iCs/>
          <w:snapToGrid w:val="0"/>
          <w:kern w:val="22"/>
          <w:szCs w:val="18"/>
          <w:lang w:val="ru-RU"/>
        </w:rPr>
        <w:t>й</w:t>
      </w:r>
      <w:r w:rsidR="00367B6A" w:rsidRPr="00F3245F">
        <w:rPr>
          <w:iCs/>
          <w:snapToGrid w:val="0"/>
          <w:kern w:val="22"/>
          <w:szCs w:val="18"/>
          <w:lang w:val="ru-RU"/>
        </w:rPr>
        <w:t xml:space="preserve"> </w:t>
      </w:r>
      <w:r w:rsidR="00367B6A">
        <w:rPr>
          <w:iCs/>
          <w:snapToGrid w:val="0"/>
          <w:kern w:val="22"/>
          <w:szCs w:val="18"/>
          <w:lang w:val="ru-RU"/>
        </w:rPr>
        <w:t>веб</w:t>
      </w:r>
      <w:r w:rsidR="00367B6A" w:rsidRPr="00F3245F">
        <w:rPr>
          <w:iCs/>
          <w:snapToGrid w:val="0"/>
          <w:kern w:val="22"/>
          <w:szCs w:val="18"/>
          <w:lang w:val="ru-RU"/>
        </w:rPr>
        <w:t>-</w:t>
      </w:r>
      <w:r w:rsidR="00367B6A">
        <w:rPr>
          <w:iCs/>
          <w:snapToGrid w:val="0"/>
          <w:kern w:val="22"/>
          <w:szCs w:val="18"/>
          <w:lang w:val="ru-RU"/>
        </w:rPr>
        <w:t>сайт</w:t>
      </w:r>
      <w:r w:rsidR="00367B6A" w:rsidRPr="00F3245F">
        <w:rPr>
          <w:iCs/>
          <w:snapToGrid w:val="0"/>
          <w:kern w:val="22"/>
          <w:szCs w:val="18"/>
          <w:lang w:val="ru-RU"/>
        </w:rPr>
        <w:t xml:space="preserve"> </w:t>
      </w:r>
      <w:r w:rsidR="00367B6A">
        <w:rPr>
          <w:iCs/>
          <w:snapToGrid w:val="0"/>
          <w:kern w:val="22"/>
          <w:szCs w:val="18"/>
          <w:lang w:val="ru-RU"/>
        </w:rPr>
        <w:t>по</w:t>
      </w:r>
      <w:r w:rsidR="00367B6A" w:rsidRPr="00F3245F">
        <w:rPr>
          <w:iCs/>
          <w:snapToGrid w:val="0"/>
          <w:kern w:val="22"/>
          <w:szCs w:val="18"/>
          <w:lang w:val="ru-RU"/>
        </w:rPr>
        <w:t xml:space="preserve"> </w:t>
      </w:r>
      <w:r w:rsidR="00367B6A">
        <w:rPr>
          <w:iCs/>
          <w:snapToGrid w:val="0"/>
          <w:kern w:val="22"/>
          <w:szCs w:val="18"/>
          <w:lang w:val="ru-RU"/>
        </w:rPr>
        <w:t>биобезопасности</w:t>
      </w:r>
      <w:r w:rsidR="004569FB" w:rsidRPr="00367B6A">
        <w:rPr>
          <w:iCs/>
          <w:snapToGrid w:val="0"/>
          <w:kern w:val="22"/>
          <w:szCs w:val="18"/>
          <w:lang w:val="ru-RU"/>
        </w:rPr>
        <w:t xml:space="preserve">. </w:t>
      </w:r>
    </w:p>
    <w:p w14:paraId="4995F879" w14:textId="76C76E7C" w:rsidR="004569FB" w:rsidRPr="00F253D4" w:rsidRDefault="00F253D4"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sidRPr="00F253D4">
        <w:rPr>
          <w:iCs/>
          <w:snapToGrid w:val="0"/>
          <w:kern w:val="22"/>
          <w:szCs w:val="22"/>
          <w:lang w:val="ru-RU"/>
        </w:rPr>
        <w:t xml:space="preserve">В обследовании по программе работы </w:t>
      </w:r>
      <w:r w:rsidR="004569FB" w:rsidRPr="00F253D4">
        <w:rPr>
          <w:iCs/>
          <w:snapToGrid w:val="0"/>
          <w:kern w:val="22"/>
          <w:szCs w:val="22"/>
          <w:lang w:val="ru-RU"/>
        </w:rPr>
        <w:t>88</w:t>
      </w:r>
      <w:r w:rsidRPr="00F253D4">
        <w:rPr>
          <w:iCs/>
          <w:snapToGrid w:val="0"/>
          <w:kern w:val="22"/>
          <w:szCs w:val="22"/>
          <w:lang w:val="en-US"/>
        </w:rPr>
        <w:t> </w:t>
      </w:r>
      <w:r w:rsidR="004569FB" w:rsidRPr="00F253D4">
        <w:rPr>
          <w:iCs/>
          <w:snapToGrid w:val="0"/>
          <w:kern w:val="22"/>
          <w:szCs w:val="22"/>
          <w:lang w:val="ru-RU"/>
        </w:rPr>
        <w:t xml:space="preserve">% </w:t>
      </w:r>
      <w:r>
        <w:rPr>
          <w:iCs/>
          <w:snapToGrid w:val="0"/>
          <w:kern w:val="22"/>
          <w:szCs w:val="22"/>
          <w:lang w:val="ru-RU"/>
        </w:rPr>
        <w:t>респондентов</w:t>
      </w:r>
      <w:r w:rsidRPr="00F253D4">
        <w:rPr>
          <w:iCs/>
          <w:snapToGrid w:val="0"/>
          <w:kern w:val="22"/>
          <w:szCs w:val="22"/>
          <w:lang w:val="ru-RU"/>
        </w:rPr>
        <w:t xml:space="preserve"> </w:t>
      </w:r>
      <w:r>
        <w:rPr>
          <w:iCs/>
          <w:snapToGrid w:val="0"/>
          <w:kern w:val="22"/>
          <w:szCs w:val="22"/>
          <w:lang w:val="ru-RU"/>
        </w:rPr>
        <w:t>сообщили</w:t>
      </w:r>
      <w:r w:rsidRPr="00F253D4">
        <w:rPr>
          <w:iCs/>
          <w:snapToGrid w:val="0"/>
          <w:kern w:val="22"/>
          <w:szCs w:val="22"/>
          <w:lang w:val="ru-RU"/>
        </w:rPr>
        <w:t xml:space="preserve"> </w:t>
      </w:r>
      <w:r>
        <w:rPr>
          <w:iCs/>
          <w:snapToGrid w:val="0"/>
          <w:kern w:val="22"/>
          <w:szCs w:val="22"/>
          <w:lang w:val="ru-RU"/>
        </w:rPr>
        <w:t>о</w:t>
      </w:r>
      <w:r w:rsidRPr="00F253D4">
        <w:rPr>
          <w:iCs/>
          <w:snapToGrid w:val="0"/>
          <w:kern w:val="22"/>
          <w:szCs w:val="22"/>
          <w:lang w:val="ru-RU"/>
        </w:rPr>
        <w:t xml:space="preserve"> </w:t>
      </w:r>
      <w:r>
        <w:rPr>
          <w:iCs/>
          <w:snapToGrid w:val="0"/>
          <w:kern w:val="22"/>
          <w:szCs w:val="22"/>
          <w:lang w:val="ru-RU"/>
        </w:rPr>
        <w:t>наличии</w:t>
      </w:r>
      <w:r w:rsidRPr="00F253D4">
        <w:rPr>
          <w:iCs/>
          <w:snapToGrid w:val="0"/>
          <w:kern w:val="22"/>
          <w:szCs w:val="22"/>
          <w:lang w:val="ru-RU"/>
        </w:rPr>
        <w:t xml:space="preserve"> </w:t>
      </w:r>
      <w:r>
        <w:rPr>
          <w:iCs/>
          <w:snapToGrid w:val="0"/>
          <w:kern w:val="22"/>
          <w:szCs w:val="22"/>
          <w:lang w:val="ru-RU"/>
        </w:rPr>
        <w:t>процедуры</w:t>
      </w:r>
      <w:r w:rsidRPr="00F253D4">
        <w:rPr>
          <w:iCs/>
          <w:snapToGrid w:val="0"/>
          <w:kern w:val="22"/>
          <w:szCs w:val="22"/>
          <w:lang w:val="ru-RU"/>
        </w:rPr>
        <w:t xml:space="preserve"> </w:t>
      </w:r>
      <w:r>
        <w:rPr>
          <w:iCs/>
          <w:snapToGrid w:val="0"/>
          <w:kern w:val="22"/>
          <w:szCs w:val="22"/>
          <w:lang w:val="ru-RU"/>
        </w:rPr>
        <w:t>для</w:t>
      </w:r>
      <w:r w:rsidRPr="00F253D4">
        <w:rPr>
          <w:iCs/>
          <w:snapToGrid w:val="0"/>
          <w:kern w:val="22"/>
          <w:szCs w:val="22"/>
          <w:lang w:val="ru-RU"/>
        </w:rPr>
        <w:t xml:space="preserve"> </w:t>
      </w:r>
      <w:r>
        <w:rPr>
          <w:iCs/>
          <w:snapToGrid w:val="0"/>
          <w:kern w:val="22"/>
          <w:szCs w:val="22"/>
          <w:lang w:val="ru-RU"/>
        </w:rPr>
        <w:t>облегчения</w:t>
      </w:r>
      <w:r w:rsidRPr="00F253D4">
        <w:rPr>
          <w:iCs/>
          <w:snapToGrid w:val="0"/>
          <w:kern w:val="22"/>
          <w:szCs w:val="22"/>
          <w:lang w:val="ru-RU"/>
        </w:rPr>
        <w:t xml:space="preserve"> </w:t>
      </w:r>
      <w:r>
        <w:rPr>
          <w:iCs/>
          <w:snapToGrid w:val="0"/>
          <w:kern w:val="22"/>
          <w:szCs w:val="22"/>
          <w:lang w:val="ru-RU"/>
        </w:rPr>
        <w:t>публичного</w:t>
      </w:r>
      <w:r w:rsidRPr="00F253D4">
        <w:rPr>
          <w:iCs/>
          <w:snapToGrid w:val="0"/>
          <w:kern w:val="22"/>
          <w:szCs w:val="22"/>
          <w:lang w:val="ru-RU"/>
        </w:rPr>
        <w:t xml:space="preserve"> </w:t>
      </w:r>
      <w:r>
        <w:rPr>
          <w:iCs/>
          <w:snapToGrid w:val="0"/>
          <w:kern w:val="22"/>
          <w:szCs w:val="22"/>
          <w:lang w:val="ru-RU"/>
        </w:rPr>
        <w:t>доступа</w:t>
      </w:r>
      <w:r w:rsidRPr="00F253D4">
        <w:rPr>
          <w:iCs/>
          <w:snapToGrid w:val="0"/>
          <w:kern w:val="22"/>
          <w:szCs w:val="22"/>
          <w:lang w:val="ru-RU"/>
        </w:rPr>
        <w:t xml:space="preserve"> </w:t>
      </w:r>
      <w:r>
        <w:rPr>
          <w:iCs/>
          <w:snapToGrid w:val="0"/>
          <w:kern w:val="22"/>
          <w:szCs w:val="22"/>
          <w:lang w:val="ru-RU"/>
        </w:rPr>
        <w:t>к</w:t>
      </w:r>
      <w:r w:rsidRPr="00F253D4">
        <w:rPr>
          <w:iCs/>
          <w:snapToGrid w:val="0"/>
          <w:kern w:val="22"/>
          <w:szCs w:val="22"/>
          <w:lang w:val="ru-RU"/>
        </w:rPr>
        <w:t xml:space="preserve"> </w:t>
      </w:r>
      <w:r>
        <w:rPr>
          <w:iCs/>
          <w:snapToGrid w:val="0"/>
          <w:kern w:val="22"/>
          <w:szCs w:val="22"/>
          <w:lang w:val="ru-RU"/>
        </w:rPr>
        <w:t>информации</w:t>
      </w:r>
      <w:r w:rsidRPr="00F253D4">
        <w:rPr>
          <w:iCs/>
          <w:snapToGrid w:val="0"/>
          <w:kern w:val="22"/>
          <w:szCs w:val="22"/>
          <w:lang w:val="ru-RU"/>
        </w:rPr>
        <w:t xml:space="preserve"> </w:t>
      </w:r>
      <w:r>
        <w:rPr>
          <w:iCs/>
          <w:snapToGrid w:val="0"/>
          <w:kern w:val="22"/>
          <w:szCs w:val="22"/>
          <w:lang w:val="ru-RU"/>
        </w:rPr>
        <w:t>о</w:t>
      </w:r>
      <w:r w:rsidRPr="00F253D4">
        <w:rPr>
          <w:iCs/>
          <w:snapToGrid w:val="0"/>
          <w:kern w:val="22"/>
          <w:szCs w:val="22"/>
          <w:lang w:val="ru-RU"/>
        </w:rPr>
        <w:t xml:space="preserve"> </w:t>
      </w:r>
      <w:r>
        <w:rPr>
          <w:iCs/>
          <w:snapToGrid w:val="0"/>
          <w:kern w:val="22"/>
          <w:szCs w:val="22"/>
          <w:lang w:val="ru-RU"/>
        </w:rPr>
        <w:t>биобезопасности</w:t>
      </w:r>
      <w:r w:rsidR="004569FB" w:rsidRPr="00F253D4">
        <w:rPr>
          <w:iCs/>
          <w:snapToGrid w:val="0"/>
          <w:kern w:val="22"/>
          <w:szCs w:val="22"/>
          <w:lang w:val="ru-RU"/>
        </w:rPr>
        <w:t xml:space="preserve"> </w:t>
      </w:r>
      <w:r>
        <w:rPr>
          <w:iCs/>
          <w:snapToGrid w:val="0"/>
          <w:kern w:val="22"/>
          <w:szCs w:val="22"/>
          <w:lang w:val="ru-RU"/>
        </w:rPr>
        <w:t>или</w:t>
      </w:r>
      <w:r w:rsidRPr="00F253D4">
        <w:rPr>
          <w:iCs/>
          <w:snapToGrid w:val="0"/>
          <w:kern w:val="22"/>
          <w:szCs w:val="22"/>
          <w:lang w:val="ru-RU"/>
        </w:rPr>
        <w:t xml:space="preserve"> </w:t>
      </w:r>
      <w:r>
        <w:rPr>
          <w:iCs/>
          <w:snapToGrid w:val="0"/>
          <w:kern w:val="22"/>
          <w:szCs w:val="22"/>
          <w:lang w:val="ru-RU"/>
        </w:rPr>
        <w:t>о</w:t>
      </w:r>
      <w:r w:rsidRPr="00F253D4">
        <w:rPr>
          <w:iCs/>
          <w:snapToGrid w:val="0"/>
          <w:kern w:val="22"/>
          <w:szCs w:val="22"/>
          <w:lang w:val="ru-RU"/>
        </w:rPr>
        <w:t xml:space="preserve"> </w:t>
      </w:r>
      <w:r>
        <w:rPr>
          <w:iCs/>
          <w:snapToGrid w:val="0"/>
          <w:kern w:val="22"/>
          <w:szCs w:val="22"/>
          <w:lang w:val="ru-RU"/>
        </w:rPr>
        <w:t>внедрении</w:t>
      </w:r>
      <w:r w:rsidRPr="00F253D4">
        <w:rPr>
          <w:iCs/>
          <w:snapToGrid w:val="0"/>
          <w:kern w:val="22"/>
          <w:szCs w:val="22"/>
          <w:lang w:val="ru-RU"/>
        </w:rPr>
        <w:t xml:space="preserve"> </w:t>
      </w:r>
      <w:r>
        <w:rPr>
          <w:iCs/>
          <w:snapToGrid w:val="0"/>
          <w:kern w:val="22"/>
          <w:szCs w:val="22"/>
          <w:lang w:val="ru-RU"/>
        </w:rPr>
        <w:t>такой</w:t>
      </w:r>
      <w:r w:rsidRPr="00F253D4">
        <w:rPr>
          <w:iCs/>
          <w:snapToGrid w:val="0"/>
          <w:kern w:val="22"/>
          <w:szCs w:val="22"/>
          <w:lang w:val="ru-RU"/>
        </w:rPr>
        <w:t xml:space="preserve"> </w:t>
      </w:r>
      <w:r>
        <w:rPr>
          <w:iCs/>
          <w:snapToGrid w:val="0"/>
          <w:kern w:val="22"/>
          <w:szCs w:val="22"/>
          <w:lang w:val="ru-RU"/>
        </w:rPr>
        <w:lastRenderedPageBreak/>
        <w:t>процедуры</w:t>
      </w:r>
      <w:r w:rsidRPr="00F253D4">
        <w:rPr>
          <w:iCs/>
          <w:snapToGrid w:val="0"/>
          <w:kern w:val="22"/>
          <w:szCs w:val="22"/>
          <w:lang w:val="ru-RU"/>
        </w:rPr>
        <w:t xml:space="preserve"> </w:t>
      </w:r>
      <w:r>
        <w:rPr>
          <w:iCs/>
          <w:snapToGrid w:val="0"/>
          <w:kern w:val="22"/>
          <w:szCs w:val="22"/>
          <w:lang w:val="ru-RU"/>
        </w:rPr>
        <w:t>в</w:t>
      </w:r>
      <w:r w:rsidRPr="00F253D4">
        <w:rPr>
          <w:iCs/>
          <w:snapToGrid w:val="0"/>
          <w:kern w:val="22"/>
          <w:szCs w:val="22"/>
          <w:lang w:val="ru-RU"/>
        </w:rPr>
        <w:t xml:space="preserve"> </w:t>
      </w:r>
      <w:r>
        <w:rPr>
          <w:iCs/>
          <w:snapToGrid w:val="0"/>
          <w:kern w:val="22"/>
          <w:szCs w:val="22"/>
          <w:lang w:val="ru-RU"/>
        </w:rPr>
        <w:t>некоторой</w:t>
      </w:r>
      <w:r w:rsidRPr="00F253D4">
        <w:rPr>
          <w:iCs/>
          <w:snapToGrid w:val="0"/>
          <w:kern w:val="22"/>
          <w:szCs w:val="22"/>
          <w:lang w:val="ru-RU"/>
        </w:rPr>
        <w:t xml:space="preserve"> </w:t>
      </w:r>
      <w:r>
        <w:rPr>
          <w:iCs/>
          <w:snapToGrid w:val="0"/>
          <w:kern w:val="22"/>
          <w:szCs w:val="22"/>
          <w:lang w:val="ru-RU"/>
        </w:rPr>
        <w:t>степени</w:t>
      </w:r>
      <w:r w:rsidR="004569FB" w:rsidRPr="00F253D4">
        <w:rPr>
          <w:iCs/>
          <w:snapToGrid w:val="0"/>
          <w:kern w:val="22"/>
          <w:szCs w:val="22"/>
          <w:lang w:val="ru-RU"/>
        </w:rPr>
        <w:t xml:space="preserve">. </w:t>
      </w:r>
      <w:r>
        <w:rPr>
          <w:iCs/>
          <w:snapToGrid w:val="0"/>
          <w:kern w:val="22"/>
          <w:szCs w:val="22"/>
          <w:lang w:val="ru-RU"/>
        </w:rPr>
        <w:t xml:space="preserve">Респонденты уточнили, что эти процедуры связаны главным образом с </w:t>
      </w:r>
      <w:proofErr w:type="gramStart"/>
      <w:r>
        <w:rPr>
          <w:iCs/>
          <w:snapToGrid w:val="0"/>
          <w:kern w:val="22"/>
          <w:szCs w:val="22"/>
          <w:lang w:val="ru-RU"/>
        </w:rPr>
        <w:t>национальными</w:t>
      </w:r>
      <w:proofErr w:type="gramEnd"/>
      <w:r>
        <w:rPr>
          <w:iCs/>
          <w:snapToGrid w:val="0"/>
          <w:kern w:val="22"/>
          <w:szCs w:val="22"/>
          <w:lang w:val="ru-RU"/>
        </w:rPr>
        <w:t xml:space="preserve"> веб-сайтами</w:t>
      </w:r>
      <w:r w:rsidR="004569FB" w:rsidRPr="00F253D4">
        <w:rPr>
          <w:iCs/>
          <w:snapToGrid w:val="0"/>
          <w:kern w:val="22"/>
          <w:szCs w:val="22"/>
          <w:lang w:val="ru-RU"/>
        </w:rPr>
        <w:t xml:space="preserve">. </w:t>
      </w:r>
      <w:r>
        <w:rPr>
          <w:iCs/>
          <w:snapToGrid w:val="0"/>
          <w:kern w:val="22"/>
          <w:szCs w:val="22"/>
          <w:lang w:val="ru-RU"/>
        </w:rPr>
        <w:t>Некоторые</w:t>
      </w:r>
      <w:r w:rsidRPr="00F253D4">
        <w:rPr>
          <w:iCs/>
          <w:snapToGrid w:val="0"/>
          <w:kern w:val="22"/>
          <w:szCs w:val="22"/>
          <w:lang w:val="ru-RU"/>
        </w:rPr>
        <w:t xml:space="preserve"> </w:t>
      </w:r>
      <w:r>
        <w:rPr>
          <w:iCs/>
          <w:snapToGrid w:val="0"/>
          <w:kern w:val="22"/>
          <w:szCs w:val="22"/>
          <w:lang w:val="ru-RU"/>
        </w:rPr>
        <w:t>Стороны</w:t>
      </w:r>
      <w:r w:rsidRPr="00F253D4">
        <w:rPr>
          <w:iCs/>
          <w:snapToGrid w:val="0"/>
          <w:kern w:val="22"/>
          <w:szCs w:val="22"/>
          <w:lang w:val="ru-RU"/>
        </w:rPr>
        <w:t xml:space="preserve"> </w:t>
      </w:r>
      <w:r>
        <w:rPr>
          <w:iCs/>
          <w:snapToGrid w:val="0"/>
          <w:kern w:val="22"/>
          <w:szCs w:val="22"/>
          <w:lang w:val="ru-RU"/>
        </w:rPr>
        <w:t>также</w:t>
      </w:r>
      <w:r w:rsidRPr="00F253D4">
        <w:rPr>
          <w:iCs/>
          <w:snapToGrid w:val="0"/>
          <w:kern w:val="22"/>
          <w:szCs w:val="22"/>
          <w:lang w:val="ru-RU"/>
        </w:rPr>
        <w:t xml:space="preserve"> </w:t>
      </w:r>
      <w:r>
        <w:rPr>
          <w:iCs/>
          <w:snapToGrid w:val="0"/>
          <w:kern w:val="22"/>
          <w:szCs w:val="22"/>
          <w:lang w:val="ru-RU"/>
        </w:rPr>
        <w:t>освещали эти процедуры посредством СМИ, совещаний, семинаров и публикаций</w:t>
      </w:r>
      <w:r w:rsidR="004569FB" w:rsidRPr="00F253D4">
        <w:rPr>
          <w:iCs/>
          <w:snapToGrid w:val="0"/>
          <w:kern w:val="22"/>
          <w:szCs w:val="22"/>
          <w:lang w:val="ru-RU"/>
        </w:rPr>
        <w:t>.</w:t>
      </w:r>
    </w:p>
    <w:p w14:paraId="16E4FB02" w14:textId="3068D3CB" w:rsidR="004569FB" w:rsidRPr="003926D8" w:rsidRDefault="00830D03" w:rsidP="000A5388">
      <w:pPr>
        <w:suppressLineNumbers/>
        <w:suppressAutoHyphens/>
        <w:spacing w:before="120" w:after="120"/>
        <w:textAlignment w:val="baseline"/>
        <w:outlineLvl w:val="2"/>
        <w:rPr>
          <w:b/>
          <w:iCs/>
          <w:snapToGrid w:val="0"/>
          <w:kern w:val="22"/>
          <w:szCs w:val="22"/>
          <w:lang w:val="ru-RU"/>
        </w:rPr>
      </w:pPr>
      <w:r>
        <w:rPr>
          <w:b/>
          <w:iCs/>
          <w:snapToGrid w:val="0"/>
          <w:kern w:val="22"/>
          <w:szCs w:val="22"/>
          <w:lang w:val="ru-RU"/>
        </w:rPr>
        <w:t>Оперативная</w:t>
      </w:r>
      <w:r w:rsidRPr="003926D8">
        <w:rPr>
          <w:b/>
          <w:iCs/>
          <w:snapToGrid w:val="0"/>
          <w:kern w:val="22"/>
          <w:szCs w:val="22"/>
          <w:lang w:val="ru-RU"/>
        </w:rPr>
        <w:t xml:space="preserve"> </w:t>
      </w:r>
      <w:r>
        <w:rPr>
          <w:b/>
          <w:iCs/>
          <w:snapToGrid w:val="0"/>
          <w:kern w:val="22"/>
          <w:szCs w:val="22"/>
          <w:lang w:val="ru-RU"/>
        </w:rPr>
        <w:t>цель</w:t>
      </w:r>
      <w:r w:rsidR="004569FB" w:rsidRPr="003926D8">
        <w:rPr>
          <w:b/>
          <w:iCs/>
          <w:snapToGrid w:val="0"/>
          <w:kern w:val="22"/>
          <w:szCs w:val="22"/>
          <w:lang w:val="ru-RU"/>
        </w:rPr>
        <w:t xml:space="preserve"> 2.7</w:t>
      </w:r>
      <w:r w:rsidRPr="003926D8">
        <w:rPr>
          <w:b/>
          <w:iCs/>
          <w:snapToGrid w:val="0"/>
          <w:kern w:val="22"/>
          <w:szCs w:val="22"/>
          <w:lang w:val="ru-RU"/>
        </w:rPr>
        <w:t>.</w:t>
      </w:r>
      <w:r w:rsidR="004569FB" w:rsidRPr="003926D8">
        <w:rPr>
          <w:b/>
          <w:iCs/>
          <w:snapToGrid w:val="0"/>
          <w:kern w:val="22"/>
          <w:szCs w:val="22"/>
          <w:lang w:val="ru-RU"/>
        </w:rPr>
        <w:t xml:space="preserve"> </w:t>
      </w:r>
      <w:r w:rsidRPr="00830D03">
        <w:rPr>
          <w:b/>
          <w:iCs/>
          <w:snapToGrid w:val="0"/>
          <w:kern w:val="22"/>
          <w:szCs w:val="22"/>
          <w:lang w:val="ru-RU"/>
        </w:rPr>
        <w:t>Обучение</w:t>
      </w:r>
      <w:r w:rsidRPr="003926D8">
        <w:rPr>
          <w:b/>
          <w:iCs/>
          <w:snapToGrid w:val="0"/>
          <w:kern w:val="22"/>
          <w:szCs w:val="22"/>
          <w:lang w:val="ru-RU"/>
        </w:rPr>
        <w:t xml:space="preserve"> </w:t>
      </w:r>
      <w:r w:rsidRPr="00830D03">
        <w:rPr>
          <w:b/>
          <w:iCs/>
          <w:snapToGrid w:val="0"/>
          <w:kern w:val="22"/>
          <w:szCs w:val="22"/>
          <w:lang w:val="ru-RU"/>
        </w:rPr>
        <w:t>и</w:t>
      </w:r>
      <w:r w:rsidRPr="003926D8">
        <w:rPr>
          <w:b/>
          <w:iCs/>
          <w:snapToGrid w:val="0"/>
          <w:kern w:val="22"/>
          <w:szCs w:val="22"/>
          <w:lang w:val="ru-RU"/>
        </w:rPr>
        <w:t xml:space="preserve"> </w:t>
      </w:r>
      <w:r w:rsidRPr="00830D03">
        <w:rPr>
          <w:b/>
          <w:iCs/>
          <w:snapToGrid w:val="0"/>
          <w:kern w:val="22"/>
          <w:szCs w:val="22"/>
          <w:lang w:val="ru-RU"/>
        </w:rPr>
        <w:t>подготовка</w:t>
      </w:r>
      <w:r w:rsidRPr="003926D8">
        <w:rPr>
          <w:b/>
          <w:iCs/>
          <w:snapToGrid w:val="0"/>
          <w:kern w:val="22"/>
          <w:szCs w:val="22"/>
          <w:lang w:val="ru-RU"/>
        </w:rPr>
        <w:t xml:space="preserve"> </w:t>
      </w:r>
      <w:r w:rsidRPr="00830D03">
        <w:rPr>
          <w:b/>
          <w:iCs/>
          <w:snapToGrid w:val="0"/>
          <w:kern w:val="22"/>
          <w:szCs w:val="22"/>
          <w:lang w:val="ru-RU"/>
        </w:rPr>
        <w:t>специалистов</w:t>
      </w:r>
      <w:r w:rsidRPr="003926D8">
        <w:rPr>
          <w:b/>
          <w:iCs/>
          <w:snapToGrid w:val="0"/>
          <w:kern w:val="22"/>
          <w:szCs w:val="22"/>
          <w:lang w:val="ru-RU"/>
        </w:rPr>
        <w:t xml:space="preserve"> </w:t>
      </w:r>
      <w:r w:rsidRPr="00830D03">
        <w:rPr>
          <w:b/>
          <w:iCs/>
          <w:snapToGrid w:val="0"/>
          <w:kern w:val="22"/>
          <w:szCs w:val="22"/>
          <w:lang w:val="ru-RU"/>
        </w:rPr>
        <w:t>в</w:t>
      </w:r>
      <w:r w:rsidRPr="003926D8">
        <w:rPr>
          <w:b/>
          <w:iCs/>
          <w:snapToGrid w:val="0"/>
          <w:kern w:val="22"/>
          <w:szCs w:val="22"/>
          <w:lang w:val="ru-RU"/>
        </w:rPr>
        <w:t xml:space="preserve"> </w:t>
      </w:r>
      <w:r w:rsidRPr="00830D03">
        <w:rPr>
          <w:b/>
          <w:iCs/>
          <w:snapToGrid w:val="0"/>
          <w:kern w:val="22"/>
          <w:szCs w:val="22"/>
          <w:lang w:val="ru-RU"/>
        </w:rPr>
        <w:t>области</w:t>
      </w:r>
      <w:r w:rsidRPr="003926D8">
        <w:rPr>
          <w:b/>
          <w:iCs/>
          <w:snapToGrid w:val="0"/>
          <w:kern w:val="22"/>
          <w:szCs w:val="22"/>
          <w:lang w:val="ru-RU"/>
        </w:rPr>
        <w:t xml:space="preserve"> </w:t>
      </w:r>
      <w:r w:rsidRPr="00830D03">
        <w:rPr>
          <w:b/>
          <w:iCs/>
          <w:snapToGrid w:val="0"/>
          <w:kern w:val="22"/>
          <w:szCs w:val="22"/>
          <w:lang w:val="ru-RU"/>
        </w:rPr>
        <w:t>биобезопасности</w:t>
      </w:r>
    </w:p>
    <w:p w14:paraId="697E2AB4" w14:textId="236F6877" w:rsidR="004569FB" w:rsidRPr="004517B7" w:rsidRDefault="004517B7"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4517B7">
        <w:rPr>
          <w:snapToGrid w:val="0"/>
          <w:kern w:val="22"/>
          <w:szCs w:val="22"/>
          <w:lang w:val="ru-RU"/>
        </w:rPr>
        <w:t xml:space="preserve">Оперативная цель 2.7 предусматривает стимулирование </w:t>
      </w:r>
      <w:r>
        <w:rPr>
          <w:snapToGrid w:val="0"/>
          <w:kern w:val="22"/>
          <w:szCs w:val="22"/>
          <w:lang w:val="ru-RU"/>
        </w:rPr>
        <w:t>обучения</w:t>
      </w:r>
      <w:r w:rsidRPr="004517B7">
        <w:rPr>
          <w:snapToGrid w:val="0"/>
          <w:kern w:val="22"/>
          <w:szCs w:val="22"/>
          <w:lang w:val="ru-RU"/>
        </w:rPr>
        <w:t xml:space="preserve"> и профессиональной подготовки специалистов в области биобезопасности путем расширения координации и сотрудничества среди академических учреждений и соответствующих организаций</w:t>
      </w:r>
      <w:r w:rsidR="004569FB" w:rsidRPr="004517B7">
        <w:rPr>
          <w:snapToGrid w:val="0"/>
          <w:kern w:val="22"/>
          <w:szCs w:val="22"/>
          <w:lang w:val="ru-RU"/>
        </w:rPr>
        <w:t>.</w:t>
      </w:r>
    </w:p>
    <w:p w14:paraId="28393753" w14:textId="5E0C8268" w:rsidR="004569FB" w:rsidRPr="008331CD" w:rsidRDefault="004517B7"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В</w:t>
      </w:r>
      <w:r w:rsidRPr="004517B7">
        <w:rPr>
          <w:snapToGrid w:val="0"/>
          <w:kern w:val="22"/>
          <w:szCs w:val="22"/>
          <w:lang w:val="ru-RU"/>
        </w:rPr>
        <w:t xml:space="preserve"> </w:t>
      </w:r>
      <w:r>
        <w:rPr>
          <w:snapToGrid w:val="0"/>
          <w:kern w:val="22"/>
          <w:szCs w:val="22"/>
          <w:lang w:val="ru-RU"/>
        </w:rPr>
        <w:t>отношении</w:t>
      </w:r>
      <w:r w:rsidR="004569FB" w:rsidRPr="004517B7">
        <w:rPr>
          <w:snapToGrid w:val="0"/>
          <w:kern w:val="22"/>
          <w:szCs w:val="22"/>
          <w:lang w:val="ru-RU"/>
        </w:rPr>
        <w:t xml:space="preserve"> </w:t>
      </w:r>
      <w:r>
        <w:rPr>
          <w:b/>
          <w:bCs/>
          <w:snapToGrid w:val="0"/>
          <w:kern w:val="22"/>
          <w:szCs w:val="22"/>
          <w:lang w:val="ru-RU"/>
        </w:rPr>
        <w:t>индикатора</w:t>
      </w:r>
      <w:r w:rsidR="004569FB" w:rsidRPr="004517B7">
        <w:rPr>
          <w:b/>
          <w:snapToGrid w:val="0"/>
          <w:kern w:val="22"/>
          <w:szCs w:val="22"/>
          <w:lang w:val="ru-RU"/>
        </w:rPr>
        <w:t xml:space="preserve"> 2.7.1</w:t>
      </w:r>
      <w:r w:rsidR="004569FB" w:rsidRPr="004517B7">
        <w:rPr>
          <w:snapToGrid w:val="0"/>
          <w:kern w:val="22"/>
          <w:szCs w:val="22"/>
          <w:lang w:val="ru-RU"/>
        </w:rPr>
        <w:t xml:space="preserve"> (</w:t>
      </w:r>
      <w:r>
        <w:rPr>
          <w:snapToGrid w:val="0"/>
          <w:kern w:val="22"/>
          <w:szCs w:val="22"/>
          <w:lang w:val="ru-RU"/>
        </w:rPr>
        <w:t>ч</w:t>
      </w:r>
      <w:r w:rsidRPr="004517B7">
        <w:rPr>
          <w:snapToGrid w:val="0"/>
          <w:kern w:val="22"/>
          <w:szCs w:val="22"/>
          <w:lang w:val="ru-RU"/>
        </w:rPr>
        <w:t>исло академических учреждений по регионам, предлагающих курсы и программы образования и профессиональной подготовки в области биобезопасности</w:t>
      </w:r>
      <w:r w:rsidR="004569FB" w:rsidRPr="004517B7">
        <w:rPr>
          <w:snapToGrid w:val="0"/>
          <w:kern w:val="22"/>
          <w:szCs w:val="22"/>
          <w:lang w:val="ru-RU"/>
        </w:rPr>
        <w:t>) 86</w:t>
      </w:r>
      <w:r>
        <w:rPr>
          <w:snapToGrid w:val="0"/>
          <w:kern w:val="22"/>
          <w:szCs w:val="22"/>
          <w:lang w:val="ru-RU"/>
        </w:rPr>
        <w:t> </w:t>
      </w:r>
      <w:r w:rsidR="004569FB" w:rsidRPr="004517B7">
        <w:rPr>
          <w:snapToGrid w:val="0"/>
          <w:kern w:val="22"/>
          <w:szCs w:val="22"/>
          <w:lang w:val="ru-RU"/>
        </w:rPr>
        <w:t xml:space="preserve">% </w:t>
      </w:r>
      <w:r>
        <w:rPr>
          <w:snapToGrid w:val="0"/>
          <w:kern w:val="22"/>
          <w:szCs w:val="22"/>
          <w:lang w:val="ru-RU"/>
        </w:rPr>
        <w:t>Сторон</w:t>
      </w:r>
      <w:r w:rsidR="004569FB" w:rsidRPr="004517B7">
        <w:rPr>
          <w:snapToGrid w:val="0"/>
          <w:kern w:val="22"/>
          <w:szCs w:val="22"/>
          <w:lang w:val="ru-RU"/>
        </w:rPr>
        <w:t xml:space="preserve"> (61 </w:t>
      </w:r>
      <w:r>
        <w:rPr>
          <w:snapToGrid w:val="0"/>
          <w:kern w:val="22"/>
          <w:szCs w:val="22"/>
          <w:lang w:val="ru-RU"/>
        </w:rPr>
        <w:t>Сторон</w:t>
      </w:r>
      <w:r w:rsidR="004569FB" w:rsidRPr="004517B7">
        <w:rPr>
          <w:snapToGrid w:val="0"/>
          <w:kern w:val="22"/>
          <w:szCs w:val="22"/>
          <w:lang w:val="ru-RU"/>
        </w:rPr>
        <w:t>)</w:t>
      </w:r>
      <w:r>
        <w:rPr>
          <w:snapToGrid w:val="0"/>
          <w:kern w:val="22"/>
          <w:szCs w:val="22"/>
          <w:lang w:val="ru-RU"/>
        </w:rPr>
        <w:t xml:space="preserve"> сообщили</w:t>
      </w:r>
      <w:r w:rsidR="008331CD">
        <w:rPr>
          <w:snapToGrid w:val="0"/>
          <w:kern w:val="22"/>
          <w:szCs w:val="22"/>
          <w:lang w:val="ru-RU"/>
        </w:rPr>
        <w:t>, что</w:t>
      </w:r>
      <w:r w:rsidR="008331CD" w:rsidRPr="008331CD">
        <w:rPr>
          <w:snapToGrid w:val="0"/>
          <w:kern w:val="22"/>
          <w:szCs w:val="22"/>
          <w:lang w:val="ru-RU"/>
        </w:rPr>
        <w:t xml:space="preserve"> </w:t>
      </w:r>
      <w:r w:rsidR="008331CD" w:rsidRPr="004517B7">
        <w:rPr>
          <w:snapToGrid w:val="0"/>
          <w:kern w:val="22"/>
          <w:szCs w:val="22"/>
          <w:lang w:val="ru-RU"/>
        </w:rPr>
        <w:t>академически</w:t>
      </w:r>
      <w:r w:rsidR="008331CD">
        <w:rPr>
          <w:snapToGrid w:val="0"/>
          <w:kern w:val="22"/>
          <w:szCs w:val="22"/>
          <w:lang w:val="ru-RU"/>
        </w:rPr>
        <w:t>е</w:t>
      </w:r>
      <w:r w:rsidR="008331CD" w:rsidRPr="004517B7">
        <w:rPr>
          <w:snapToGrid w:val="0"/>
          <w:kern w:val="22"/>
          <w:szCs w:val="22"/>
          <w:lang w:val="ru-RU"/>
        </w:rPr>
        <w:t xml:space="preserve"> учреждени</w:t>
      </w:r>
      <w:r w:rsidR="008331CD">
        <w:rPr>
          <w:snapToGrid w:val="0"/>
          <w:kern w:val="22"/>
          <w:szCs w:val="22"/>
          <w:lang w:val="ru-RU"/>
        </w:rPr>
        <w:t>я в их странах</w:t>
      </w:r>
      <w:r w:rsidR="008331CD" w:rsidRPr="008331CD">
        <w:rPr>
          <w:snapToGrid w:val="0"/>
          <w:kern w:val="22"/>
          <w:szCs w:val="22"/>
          <w:lang w:val="ru-RU"/>
        </w:rPr>
        <w:t xml:space="preserve"> </w:t>
      </w:r>
      <w:r w:rsidR="008331CD" w:rsidRPr="004517B7">
        <w:rPr>
          <w:snapToGrid w:val="0"/>
          <w:kern w:val="22"/>
          <w:szCs w:val="22"/>
          <w:lang w:val="ru-RU"/>
        </w:rPr>
        <w:t>предлагаю</w:t>
      </w:r>
      <w:r w:rsidR="008331CD">
        <w:rPr>
          <w:snapToGrid w:val="0"/>
          <w:kern w:val="22"/>
          <w:szCs w:val="22"/>
          <w:lang w:val="ru-RU"/>
        </w:rPr>
        <w:t>т</w:t>
      </w:r>
      <w:r w:rsidR="008331CD" w:rsidRPr="004517B7">
        <w:rPr>
          <w:snapToGrid w:val="0"/>
          <w:kern w:val="22"/>
          <w:szCs w:val="22"/>
          <w:lang w:val="ru-RU"/>
        </w:rPr>
        <w:t xml:space="preserve"> курсы и программы образования и профессиональной подготовки в области биобезопасности</w:t>
      </w:r>
      <w:r w:rsidR="008331CD">
        <w:rPr>
          <w:snapToGrid w:val="0"/>
          <w:kern w:val="22"/>
          <w:szCs w:val="22"/>
          <w:lang w:val="ru-RU"/>
        </w:rPr>
        <w:t xml:space="preserve">, что соответствует увеличению на </w:t>
      </w:r>
      <w:r w:rsidR="004569FB" w:rsidRPr="004517B7">
        <w:rPr>
          <w:snapToGrid w:val="0"/>
          <w:kern w:val="22"/>
          <w:szCs w:val="22"/>
          <w:lang w:val="ru-RU"/>
        </w:rPr>
        <w:t>11</w:t>
      </w:r>
      <w:r w:rsidR="008331CD">
        <w:rPr>
          <w:snapToGrid w:val="0"/>
          <w:kern w:val="22"/>
          <w:szCs w:val="22"/>
          <w:lang w:val="ru-RU"/>
        </w:rPr>
        <w:t> </w:t>
      </w:r>
      <w:r w:rsidR="004569FB" w:rsidRPr="004517B7">
        <w:rPr>
          <w:snapToGrid w:val="0"/>
          <w:kern w:val="22"/>
          <w:szCs w:val="22"/>
          <w:lang w:val="ru-RU"/>
        </w:rPr>
        <w:t xml:space="preserve">% </w:t>
      </w:r>
      <w:r w:rsidR="008331CD">
        <w:rPr>
          <w:snapToGrid w:val="0"/>
          <w:kern w:val="22"/>
          <w:szCs w:val="22"/>
          <w:lang w:val="ru-RU"/>
        </w:rPr>
        <w:t xml:space="preserve">по сравнению с </w:t>
      </w:r>
      <w:r w:rsidR="00A3040F">
        <w:rPr>
          <w:snapToGrid w:val="0"/>
          <w:kern w:val="22"/>
          <w:szCs w:val="22"/>
          <w:lang w:val="ru-RU"/>
        </w:rPr>
        <w:t>исходным</w:t>
      </w:r>
      <w:r w:rsidR="008331CD">
        <w:rPr>
          <w:snapToGrid w:val="0"/>
          <w:kern w:val="22"/>
          <w:szCs w:val="22"/>
          <w:lang w:val="ru-RU"/>
        </w:rPr>
        <w:t xml:space="preserve"> уровнем</w:t>
      </w:r>
      <w:r w:rsidR="004569FB" w:rsidRPr="004517B7">
        <w:rPr>
          <w:snapToGrid w:val="0"/>
          <w:kern w:val="22"/>
          <w:szCs w:val="22"/>
          <w:lang w:val="ru-RU"/>
        </w:rPr>
        <w:t xml:space="preserve">. </w:t>
      </w:r>
      <w:r w:rsidR="008331CD">
        <w:rPr>
          <w:snapToGrid w:val="0"/>
          <w:kern w:val="22"/>
          <w:szCs w:val="22"/>
          <w:lang w:val="ru-RU"/>
        </w:rPr>
        <w:t>Процентные</w:t>
      </w:r>
      <w:r w:rsidR="008331CD" w:rsidRPr="008331CD">
        <w:rPr>
          <w:snapToGrid w:val="0"/>
          <w:kern w:val="22"/>
          <w:szCs w:val="22"/>
          <w:lang w:val="ru-RU"/>
        </w:rPr>
        <w:t xml:space="preserve"> </w:t>
      </w:r>
      <w:r w:rsidR="008331CD">
        <w:rPr>
          <w:snapToGrid w:val="0"/>
          <w:kern w:val="22"/>
          <w:szCs w:val="22"/>
          <w:lang w:val="ru-RU"/>
        </w:rPr>
        <w:t>доли</w:t>
      </w:r>
      <w:r w:rsidR="008331CD" w:rsidRPr="008331CD">
        <w:rPr>
          <w:snapToGrid w:val="0"/>
          <w:kern w:val="22"/>
          <w:szCs w:val="22"/>
          <w:lang w:val="ru-RU"/>
        </w:rPr>
        <w:t xml:space="preserve"> </w:t>
      </w:r>
      <w:r w:rsidR="008331CD">
        <w:rPr>
          <w:snapToGrid w:val="0"/>
          <w:kern w:val="22"/>
          <w:szCs w:val="22"/>
          <w:lang w:val="ru-RU"/>
        </w:rPr>
        <w:t>Сторон</w:t>
      </w:r>
      <w:r w:rsidR="008331CD" w:rsidRPr="008331CD">
        <w:rPr>
          <w:snapToGrid w:val="0"/>
          <w:kern w:val="22"/>
          <w:szCs w:val="22"/>
          <w:lang w:val="ru-RU"/>
        </w:rPr>
        <w:t xml:space="preserve">, </w:t>
      </w:r>
      <w:r w:rsidR="008331CD">
        <w:rPr>
          <w:snapToGrid w:val="0"/>
          <w:kern w:val="22"/>
          <w:szCs w:val="22"/>
          <w:lang w:val="ru-RU"/>
        </w:rPr>
        <w:t>сообщивших</w:t>
      </w:r>
      <w:r w:rsidR="008331CD" w:rsidRPr="008331CD">
        <w:rPr>
          <w:snapToGrid w:val="0"/>
          <w:kern w:val="22"/>
          <w:szCs w:val="22"/>
          <w:lang w:val="ru-RU"/>
        </w:rPr>
        <w:t xml:space="preserve"> </w:t>
      </w:r>
      <w:r w:rsidR="008331CD">
        <w:rPr>
          <w:snapToGrid w:val="0"/>
          <w:kern w:val="22"/>
          <w:szCs w:val="22"/>
          <w:lang w:val="ru-RU"/>
        </w:rPr>
        <w:t>о</w:t>
      </w:r>
      <w:r w:rsidR="008331CD" w:rsidRPr="008331CD">
        <w:rPr>
          <w:snapToGrid w:val="0"/>
          <w:kern w:val="22"/>
          <w:szCs w:val="22"/>
          <w:lang w:val="ru-RU"/>
        </w:rPr>
        <w:t xml:space="preserve"> </w:t>
      </w:r>
      <w:r w:rsidR="008331CD">
        <w:rPr>
          <w:snapToGrid w:val="0"/>
          <w:kern w:val="22"/>
          <w:szCs w:val="22"/>
          <w:lang w:val="ru-RU"/>
        </w:rPr>
        <w:t>том</w:t>
      </w:r>
      <w:r w:rsidR="008331CD" w:rsidRPr="008331CD">
        <w:rPr>
          <w:snapToGrid w:val="0"/>
          <w:kern w:val="22"/>
          <w:szCs w:val="22"/>
          <w:lang w:val="ru-RU"/>
        </w:rPr>
        <w:t xml:space="preserve">, </w:t>
      </w:r>
      <w:r w:rsidR="008331CD">
        <w:rPr>
          <w:snapToGrid w:val="0"/>
          <w:kern w:val="22"/>
          <w:szCs w:val="22"/>
          <w:lang w:val="ru-RU"/>
        </w:rPr>
        <w:t>что</w:t>
      </w:r>
      <w:r w:rsidR="008331CD" w:rsidRPr="008331CD">
        <w:rPr>
          <w:snapToGrid w:val="0"/>
          <w:kern w:val="22"/>
          <w:szCs w:val="22"/>
          <w:lang w:val="ru-RU"/>
        </w:rPr>
        <w:t xml:space="preserve"> </w:t>
      </w:r>
      <w:r w:rsidR="008331CD" w:rsidRPr="004517B7">
        <w:rPr>
          <w:snapToGrid w:val="0"/>
          <w:kern w:val="22"/>
          <w:szCs w:val="22"/>
          <w:lang w:val="ru-RU"/>
        </w:rPr>
        <w:t>академически</w:t>
      </w:r>
      <w:r w:rsidR="008331CD">
        <w:rPr>
          <w:snapToGrid w:val="0"/>
          <w:kern w:val="22"/>
          <w:szCs w:val="22"/>
          <w:lang w:val="ru-RU"/>
        </w:rPr>
        <w:t>е</w:t>
      </w:r>
      <w:r w:rsidR="008331CD" w:rsidRPr="008331CD">
        <w:rPr>
          <w:snapToGrid w:val="0"/>
          <w:kern w:val="22"/>
          <w:szCs w:val="22"/>
          <w:lang w:val="ru-RU"/>
        </w:rPr>
        <w:t xml:space="preserve"> </w:t>
      </w:r>
      <w:r w:rsidR="008331CD" w:rsidRPr="004517B7">
        <w:rPr>
          <w:snapToGrid w:val="0"/>
          <w:kern w:val="22"/>
          <w:szCs w:val="22"/>
          <w:lang w:val="ru-RU"/>
        </w:rPr>
        <w:t>учреждени</w:t>
      </w:r>
      <w:r w:rsidR="008331CD">
        <w:rPr>
          <w:snapToGrid w:val="0"/>
          <w:kern w:val="22"/>
          <w:szCs w:val="22"/>
          <w:lang w:val="ru-RU"/>
        </w:rPr>
        <w:t>я</w:t>
      </w:r>
      <w:r w:rsidR="008331CD" w:rsidRPr="008331CD">
        <w:rPr>
          <w:snapToGrid w:val="0"/>
          <w:kern w:val="22"/>
          <w:szCs w:val="22"/>
          <w:lang w:val="ru-RU"/>
        </w:rPr>
        <w:t xml:space="preserve"> </w:t>
      </w:r>
      <w:r w:rsidR="008331CD">
        <w:rPr>
          <w:snapToGrid w:val="0"/>
          <w:kern w:val="22"/>
          <w:szCs w:val="22"/>
          <w:lang w:val="ru-RU"/>
        </w:rPr>
        <w:t>в</w:t>
      </w:r>
      <w:r w:rsidR="008331CD" w:rsidRPr="008331CD">
        <w:rPr>
          <w:snapToGrid w:val="0"/>
          <w:kern w:val="22"/>
          <w:szCs w:val="22"/>
          <w:lang w:val="ru-RU"/>
        </w:rPr>
        <w:t xml:space="preserve"> </w:t>
      </w:r>
      <w:r w:rsidR="008331CD">
        <w:rPr>
          <w:snapToGrid w:val="0"/>
          <w:kern w:val="22"/>
          <w:szCs w:val="22"/>
          <w:lang w:val="ru-RU"/>
        </w:rPr>
        <w:t>их</w:t>
      </w:r>
      <w:r w:rsidR="008331CD" w:rsidRPr="008331CD">
        <w:rPr>
          <w:snapToGrid w:val="0"/>
          <w:kern w:val="22"/>
          <w:szCs w:val="22"/>
          <w:lang w:val="ru-RU"/>
        </w:rPr>
        <w:t xml:space="preserve"> </w:t>
      </w:r>
      <w:r w:rsidR="008331CD">
        <w:rPr>
          <w:snapToGrid w:val="0"/>
          <w:kern w:val="22"/>
          <w:szCs w:val="22"/>
          <w:lang w:val="ru-RU"/>
        </w:rPr>
        <w:t>странах</w:t>
      </w:r>
      <w:r w:rsidR="008331CD" w:rsidRPr="008331CD">
        <w:rPr>
          <w:snapToGrid w:val="0"/>
          <w:kern w:val="22"/>
          <w:szCs w:val="22"/>
          <w:lang w:val="ru-RU"/>
        </w:rPr>
        <w:t xml:space="preserve"> </w:t>
      </w:r>
      <w:r w:rsidR="008331CD" w:rsidRPr="004517B7">
        <w:rPr>
          <w:snapToGrid w:val="0"/>
          <w:kern w:val="22"/>
          <w:szCs w:val="22"/>
          <w:lang w:val="ru-RU"/>
        </w:rPr>
        <w:t>предлагаю</w:t>
      </w:r>
      <w:r w:rsidR="008331CD">
        <w:rPr>
          <w:snapToGrid w:val="0"/>
          <w:kern w:val="22"/>
          <w:szCs w:val="22"/>
          <w:lang w:val="ru-RU"/>
        </w:rPr>
        <w:t>т</w:t>
      </w:r>
      <w:r w:rsidR="008331CD" w:rsidRPr="008331CD">
        <w:rPr>
          <w:snapToGrid w:val="0"/>
          <w:kern w:val="22"/>
          <w:szCs w:val="22"/>
          <w:lang w:val="ru-RU"/>
        </w:rPr>
        <w:t xml:space="preserve"> </w:t>
      </w:r>
      <w:r w:rsidR="008331CD">
        <w:rPr>
          <w:snapToGrid w:val="0"/>
          <w:kern w:val="22"/>
          <w:szCs w:val="22"/>
          <w:lang w:val="ru-RU"/>
        </w:rPr>
        <w:t>такие</w:t>
      </w:r>
      <w:r w:rsidR="008331CD" w:rsidRPr="008331CD">
        <w:rPr>
          <w:snapToGrid w:val="0"/>
          <w:kern w:val="22"/>
          <w:szCs w:val="22"/>
          <w:lang w:val="ru-RU"/>
        </w:rPr>
        <w:t xml:space="preserve"> </w:t>
      </w:r>
      <w:r w:rsidR="008331CD" w:rsidRPr="004517B7">
        <w:rPr>
          <w:snapToGrid w:val="0"/>
          <w:kern w:val="22"/>
          <w:szCs w:val="22"/>
          <w:lang w:val="ru-RU"/>
        </w:rPr>
        <w:t>курсы</w:t>
      </w:r>
      <w:r w:rsidR="008331CD" w:rsidRPr="008331CD">
        <w:rPr>
          <w:snapToGrid w:val="0"/>
          <w:kern w:val="22"/>
          <w:szCs w:val="22"/>
          <w:lang w:val="ru-RU"/>
        </w:rPr>
        <w:t xml:space="preserve"> </w:t>
      </w:r>
      <w:r w:rsidR="008331CD" w:rsidRPr="004517B7">
        <w:rPr>
          <w:snapToGrid w:val="0"/>
          <w:kern w:val="22"/>
          <w:szCs w:val="22"/>
          <w:lang w:val="ru-RU"/>
        </w:rPr>
        <w:t>и</w:t>
      </w:r>
      <w:r w:rsidR="008331CD" w:rsidRPr="008331CD">
        <w:rPr>
          <w:snapToGrid w:val="0"/>
          <w:kern w:val="22"/>
          <w:szCs w:val="22"/>
          <w:lang w:val="ru-RU"/>
        </w:rPr>
        <w:t xml:space="preserve"> </w:t>
      </w:r>
      <w:r w:rsidR="008331CD" w:rsidRPr="004517B7">
        <w:rPr>
          <w:snapToGrid w:val="0"/>
          <w:kern w:val="22"/>
          <w:szCs w:val="22"/>
          <w:lang w:val="ru-RU"/>
        </w:rPr>
        <w:t>программы</w:t>
      </w:r>
      <w:r w:rsidR="008331CD" w:rsidRPr="008331CD">
        <w:rPr>
          <w:snapToGrid w:val="0"/>
          <w:kern w:val="22"/>
          <w:szCs w:val="22"/>
          <w:lang w:val="ru-RU"/>
        </w:rPr>
        <w:t xml:space="preserve">, </w:t>
      </w:r>
      <w:r w:rsidR="008331CD">
        <w:rPr>
          <w:snapToGrid w:val="0"/>
          <w:kern w:val="22"/>
          <w:szCs w:val="22"/>
          <w:lang w:val="ru-RU"/>
        </w:rPr>
        <w:t>высоки</w:t>
      </w:r>
      <w:r w:rsidR="008331CD" w:rsidRPr="008331CD">
        <w:rPr>
          <w:snapToGrid w:val="0"/>
          <w:kern w:val="22"/>
          <w:szCs w:val="22"/>
          <w:lang w:val="ru-RU"/>
        </w:rPr>
        <w:t xml:space="preserve"> </w:t>
      </w:r>
      <w:r w:rsidR="008331CD">
        <w:rPr>
          <w:snapToGrid w:val="0"/>
          <w:kern w:val="22"/>
          <w:szCs w:val="22"/>
          <w:lang w:val="ru-RU"/>
        </w:rPr>
        <w:t>в</w:t>
      </w:r>
      <w:r w:rsidR="008331CD" w:rsidRPr="008331CD">
        <w:rPr>
          <w:snapToGrid w:val="0"/>
          <w:kern w:val="22"/>
          <w:szCs w:val="22"/>
          <w:lang w:val="ru-RU"/>
        </w:rPr>
        <w:t xml:space="preserve"> </w:t>
      </w:r>
      <w:r w:rsidR="008331CD">
        <w:rPr>
          <w:snapToGrid w:val="0"/>
          <w:kern w:val="22"/>
          <w:szCs w:val="22"/>
          <w:lang w:val="ru-RU"/>
        </w:rPr>
        <w:t>большинстве</w:t>
      </w:r>
      <w:r w:rsidR="008331CD" w:rsidRPr="008331CD">
        <w:rPr>
          <w:snapToGrid w:val="0"/>
          <w:kern w:val="22"/>
          <w:szCs w:val="22"/>
          <w:lang w:val="ru-RU"/>
        </w:rPr>
        <w:t xml:space="preserve"> </w:t>
      </w:r>
      <w:r w:rsidR="008331CD">
        <w:rPr>
          <w:snapToGrid w:val="0"/>
          <w:kern w:val="22"/>
          <w:szCs w:val="22"/>
          <w:lang w:val="ru-RU"/>
        </w:rPr>
        <w:t>регионов</w:t>
      </w:r>
      <w:r w:rsidR="008331CD" w:rsidRPr="008331CD">
        <w:rPr>
          <w:snapToGrid w:val="0"/>
          <w:kern w:val="22"/>
          <w:szCs w:val="22"/>
          <w:lang w:val="ru-RU"/>
        </w:rPr>
        <w:t xml:space="preserve"> </w:t>
      </w:r>
      <w:r w:rsidR="004569FB" w:rsidRPr="008331CD">
        <w:rPr>
          <w:snapToGrid w:val="0"/>
          <w:kern w:val="22"/>
          <w:szCs w:val="22"/>
          <w:lang w:val="ru-RU"/>
        </w:rPr>
        <w:t>(</w:t>
      </w:r>
      <w:r w:rsidR="008331CD">
        <w:rPr>
          <w:snapToGrid w:val="0"/>
          <w:kern w:val="22"/>
          <w:szCs w:val="22"/>
          <w:lang w:val="ru-RU"/>
        </w:rPr>
        <w:t>от</w:t>
      </w:r>
      <w:r w:rsidR="004569FB" w:rsidRPr="008331CD">
        <w:rPr>
          <w:snapToGrid w:val="0"/>
          <w:kern w:val="22"/>
          <w:szCs w:val="22"/>
          <w:lang w:val="ru-RU"/>
        </w:rPr>
        <w:t xml:space="preserve"> </w:t>
      </w:r>
      <w:r w:rsidR="00D42189" w:rsidRPr="008331CD">
        <w:rPr>
          <w:snapToGrid w:val="0"/>
          <w:kern w:val="22"/>
          <w:szCs w:val="22"/>
          <w:lang w:val="ru-RU"/>
        </w:rPr>
        <w:t>89</w:t>
      </w:r>
      <w:r w:rsidR="008331CD" w:rsidRPr="008331CD">
        <w:rPr>
          <w:snapToGrid w:val="0"/>
          <w:kern w:val="22"/>
          <w:szCs w:val="22"/>
          <w:lang w:val="en-US"/>
        </w:rPr>
        <w:t> </w:t>
      </w:r>
      <w:r w:rsidR="00D42189" w:rsidRPr="008331CD">
        <w:rPr>
          <w:snapToGrid w:val="0"/>
          <w:kern w:val="22"/>
          <w:szCs w:val="22"/>
          <w:lang w:val="ru-RU"/>
        </w:rPr>
        <w:t xml:space="preserve">% </w:t>
      </w:r>
      <w:r w:rsidR="008331CD">
        <w:rPr>
          <w:snapToGrid w:val="0"/>
          <w:kern w:val="22"/>
          <w:szCs w:val="22"/>
          <w:lang w:val="ru-RU"/>
        </w:rPr>
        <w:t>до</w:t>
      </w:r>
      <w:r w:rsidR="00D42189" w:rsidRPr="008331CD">
        <w:rPr>
          <w:snapToGrid w:val="0"/>
          <w:kern w:val="22"/>
          <w:szCs w:val="22"/>
          <w:lang w:val="ru-RU"/>
        </w:rPr>
        <w:t xml:space="preserve"> </w:t>
      </w:r>
      <w:r w:rsidR="004569FB" w:rsidRPr="008331CD">
        <w:rPr>
          <w:snapToGrid w:val="0"/>
          <w:kern w:val="22"/>
          <w:szCs w:val="22"/>
          <w:lang w:val="ru-RU"/>
        </w:rPr>
        <w:t>100</w:t>
      </w:r>
      <w:r w:rsidR="008331CD">
        <w:rPr>
          <w:snapToGrid w:val="0"/>
          <w:kern w:val="22"/>
          <w:szCs w:val="22"/>
          <w:lang w:val="ru-RU"/>
        </w:rPr>
        <w:t> </w:t>
      </w:r>
      <w:r w:rsidR="004569FB" w:rsidRPr="008331CD">
        <w:rPr>
          <w:snapToGrid w:val="0"/>
          <w:kern w:val="22"/>
          <w:szCs w:val="22"/>
          <w:lang w:val="ru-RU"/>
        </w:rPr>
        <w:t xml:space="preserve">%), </w:t>
      </w:r>
      <w:r w:rsidR="008331CD">
        <w:rPr>
          <w:snapToGrid w:val="0"/>
          <w:kern w:val="22"/>
          <w:szCs w:val="22"/>
          <w:lang w:val="ru-RU"/>
        </w:rPr>
        <w:t>за исключением</w:t>
      </w:r>
      <w:r w:rsidR="004569FB" w:rsidRPr="008331CD">
        <w:rPr>
          <w:snapToGrid w:val="0"/>
          <w:kern w:val="22"/>
          <w:szCs w:val="22"/>
          <w:lang w:val="ru-RU"/>
        </w:rPr>
        <w:t xml:space="preserve"> </w:t>
      </w:r>
      <w:proofErr w:type="spellStart"/>
      <w:r w:rsidR="008331CD">
        <w:rPr>
          <w:snapToGrid w:val="0"/>
          <w:kern w:val="22"/>
          <w:szCs w:val="22"/>
          <w:lang w:val="ru-RU"/>
        </w:rPr>
        <w:t>ГРУЛАК</w:t>
      </w:r>
      <w:proofErr w:type="spellEnd"/>
      <w:r w:rsidR="004569FB" w:rsidRPr="008331CD">
        <w:rPr>
          <w:snapToGrid w:val="0"/>
          <w:kern w:val="22"/>
          <w:szCs w:val="22"/>
          <w:lang w:val="ru-RU"/>
        </w:rPr>
        <w:t xml:space="preserve">, </w:t>
      </w:r>
      <w:r w:rsidR="008331CD">
        <w:rPr>
          <w:snapToGrid w:val="0"/>
          <w:kern w:val="22"/>
          <w:szCs w:val="22"/>
          <w:lang w:val="ru-RU"/>
        </w:rPr>
        <w:t xml:space="preserve">где процентная доля </w:t>
      </w:r>
      <w:r w:rsidR="00A3040F">
        <w:rPr>
          <w:snapToGrid w:val="0"/>
          <w:kern w:val="22"/>
          <w:szCs w:val="22"/>
          <w:lang w:val="ru-RU"/>
        </w:rPr>
        <w:t xml:space="preserve">таких </w:t>
      </w:r>
      <w:r w:rsidR="008331CD">
        <w:rPr>
          <w:snapToGrid w:val="0"/>
          <w:kern w:val="22"/>
          <w:szCs w:val="22"/>
          <w:lang w:val="ru-RU"/>
        </w:rPr>
        <w:t xml:space="preserve">Сторон </w:t>
      </w:r>
      <w:r w:rsidR="00A3040F">
        <w:rPr>
          <w:snapToGrid w:val="0"/>
          <w:kern w:val="22"/>
          <w:szCs w:val="22"/>
          <w:lang w:val="ru-RU"/>
        </w:rPr>
        <w:t>была значительно меньше</w:t>
      </w:r>
      <w:r w:rsidR="004569FB" w:rsidRPr="008331CD">
        <w:rPr>
          <w:snapToGrid w:val="0"/>
          <w:kern w:val="22"/>
          <w:szCs w:val="22"/>
          <w:lang w:val="ru-RU"/>
        </w:rPr>
        <w:t xml:space="preserve"> (</w:t>
      </w:r>
      <w:r w:rsidR="00D42189" w:rsidRPr="008331CD">
        <w:rPr>
          <w:snapToGrid w:val="0"/>
          <w:kern w:val="22"/>
          <w:szCs w:val="22"/>
          <w:lang w:val="ru-RU"/>
        </w:rPr>
        <w:t>5</w:t>
      </w:r>
      <w:r w:rsidR="004569FB" w:rsidRPr="008331CD">
        <w:rPr>
          <w:snapToGrid w:val="0"/>
          <w:kern w:val="22"/>
          <w:szCs w:val="22"/>
          <w:lang w:val="ru-RU"/>
        </w:rPr>
        <w:t>4</w:t>
      </w:r>
      <w:r w:rsidR="00A3040F">
        <w:rPr>
          <w:snapToGrid w:val="0"/>
          <w:kern w:val="22"/>
          <w:szCs w:val="22"/>
          <w:lang w:val="ru-RU"/>
        </w:rPr>
        <w:t> </w:t>
      </w:r>
      <w:r w:rsidR="004569FB" w:rsidRPr="008331CD">
        <w:rPr>
          <w:snapToGrid w:val="0"/>
          <w:kern w:val="22"/>
          <w:szCs w:val="22"/>
          <w:lang w:val="ru-RU"/>
        </w:rPr>
        <w:t>%)</w:t>
      </w:r>
      <w:r w:rsidR="00A3040F">
        <w:rPr>
          <w:snapToGrid w:val="0"/>
          <w:kern w:val="22"/>
          <w:szCs w:val="22"/>
          <w:lang w:val="ru-RU"/>
        </w:rPr>
        <w:t xml:space="preserve"> и не было отмечено изменений</w:t>
      </w:r>
      <w:r w:rsidR="00A3040F" w:rsidRPr="00A3040F">
        <w:rPr>
          <w:snapToGrid w:val="0"/>
          <w:kern w:val="22"/>
          <w:szCs w:val="22"/>
          <w:lang w:val="ru-RU"/>
        </w:rPr>
        <w:t xml:space="preserve"> </w:t>
      </w:r>
      <w:r w:rsidR="00A3040F">
        <w:rPr>
          <w:snapToGrid w:val="0"/>
          <w:kern w:val="22"/>
          <w:szCs w:val="22"/>
          <w:lang w:val="ru-RU"/>
        </w:rPr>
        <w:t>по сравнению с исходным уровнем</w:t>
      </w:r>
      <w:r w:rsidR="004569FB" w:rsidRPr="008331CD">
        <w:rPr>
          <w:snapToGrid w:val="0"/>
          <w:kern w:val="22"/>
          <w:szCs w:val="22"/>
          <w:lang w:val="ru-RU"/>
        </w:rPr>
        <w:t xml:space="preserve"> (</w:t>
      </w:r>
      <w:r w:rsidR="00A3040F">
        <w:rPr>
          <w:snapToGrid w:val="0"/>
          <w:kern w:val="22"/>
          <w:szCs w:val="22"/>
          <w:lang w:val="ru-RU"/>
        </w:rPr>
        <w:t>см. также</w:t>
      </w:r>
      <w:r w:rsidR="004569FB" w:rsidRPr="008331CD">
        <w:rPr>
          <w:snapToGrid w:val="0"/>
          <w:kern w:val="22"/>
          <w:szCs w:val="22"/>
          <w:lang w:val="ru-RU"/>
        </w:rPr>
        <w:t xml:space="preserve"> </w:t>
      </w:r>
      <w:r w:rsidR="00A3040F">
        <w:rPr>
          <w:b/>
          <w:bCs/>
          <w:snapToGrid w:val="0"/>
          <w:kern w:val="22"/>
          <w:szCs w:val="22"/>
          <w:lang w:val="ru-RU"/>
        </w:rPr>
        <w:t>индикатор</w:t>
      </w:r>
      <w:r w:rsidR="004569FB" w:rsidRPr="008331CD">
        <w:rPr>
          <w:b/>
          <w:bCs/>
          <w:snapToGrid w:val="0"/>
          <w:kern w:val="22"/>
          <w:szCs w:val="22"/>
          <w:lang w:val="ru-RU"/>
        </w:rPr>
        <w:t xml:space="preserve"> 5.3.3</w:t>
      </w:r>
      <w:r w:rsidR="004569FB" w:rsidRPr="008331CD">
        <w:rPr>
          <w:snapToGrid w:val="0"/>
          <w:kern w:val="22"/>
          <w:szCs w:val="22"/>
          <w:lang w:val="ru-RU"/>
        </w:rPr>
        <w:t xml:space="preserve"> </w:t>
      </w:r>
      <w:r w:rsidR="00A3040F">
        <w:rPr>
          <w:snapToGrid w:val="0"/>
          <w:kern w:val="22"/>
          <w:szCs w:val="22"/>
          <w:lang w:val="ru-RU"/>
        </w:rPr>
        <w:t>ниже</w:t>
      </w:r>
      <w:r w:rsidR="004569FB" w:rsidRPr="008331CD">
        <w:rPr>
          <w:snapToGrid w:val="0"/>
          <w:kern w:val="22"/>
          <w:szCs w:val="22"/>
          <w:lang w:val="ru-RU"/>
        </w:rPr>
        <w:t>).</w:t>
      </w:r>
    </w:p>
    <w:p w14:paraId="360C2F43" w14:textId="597A19DF" w:rsidR="004569FB" w:rsidRPr="009A21E1" w:rsidRDefault="009A21E1"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Pr>
          <w:iCs/>
          <w:snapToGrid w:val="0"/>
          <w:kern w:val="22"/>
          <w:szCs w:val="22"/>
          <w:lang w:val="ru-RU"/>
        </w:rPr>
        <w:t>В</w:t>
      </w:r>
      <w:r w:rsidRPr="009A21E1">
        <w:rPr>
          <w:iCs/>
          <w:snapToGrid w:val="0"/>
          <w:kern w:val="22"/>
          <w:szCs w:val="22"/>
          <w:lang w:val="ru-RU"/>
        </w:rPr>
        <w:t xml:space="preserve"> </w:t>
      </w:r>
      <w:r>
        <w:rPr>
          <w:iCs/>
          <w:snapToGrid w:val="0"/>
          <w:kern w:val="22"/>
          <w:szCs w:val="22"/>
          <w:lang w:val="ru-RU"/>
        </w:rPr>
        <w:t>своих</w:t>
      </w:r>
      <w:r w:rsidRPr="009A21E1">
        <w:rPr>
          <w:iCs/>
          <w:snapToGrid w:val="0"/>
          <w:kern w:val="22"/>
          <w:szCs w:val="22"/>
          <w:lang w:val="ru-RU"/>
        </w:rPr>
        <w:t xml:space="preserve"> </w:t>
      </w:r>
      <w:r>
        <w:rPr>
          <w:iCs/>
          <w:snapToGrid w:val="0"/>
          <w:kern w:val="22"/>
          <w:szCs w:val="22"/>
          <w:lang w:val="ru-RU"/>
        </w:rPr>
        <w:t>четвертых</w:t>
      </w:r>
      <w:r w:rsidRPr="009A21E1">
        <w:rPr>
          <w:iCs/>
          <w:snapToGrid w:val="0"/>
          <w:kern w:val="22"/>
          <w:szCs w:val="22"/>
          <w:lang w:val="ru-RU"/>
        </w:rPr>
        <w:t xml:space="preserve"> </w:t>
      </w:r>
      <w:r>
        <w:rPr>
          <w:iCs/>
          <w:snapToGrid w:val="0"/>
          <w:kern w:val="22"/>
          <w:szCs w:val="22"/>
          <w:lang w:val="ru-RU"/>
        </w:rPr>
        <w:t>национальных</w:t>
      </w:r>
      <w:r w:rsidRPr="009A21E1">
        <w:rPr>
          <w:iCs/>
          <w:snapToGrid w:val="0"/>
          <w:kern w:val="22"/>
          <w:szCs w:val="22"/>
          <w:lang w:val="ru-RU"/>
        </w:rPr>
        <w:t xml:space="preserve"> </w:t>
      </w:r>
      <w:r>
        <w:rPr>
          <w:iCs/>
          <w:snapToGrid w:val="0"/>
          <w:kern w:val="22"/>
          <w:szCs w:val="22"/>
          <w:lang w:val="ru-RU"/>
        </w:rPr>
        <w:t>докладах</w:t>
      </w:r>
      <w:r w:rsidR="004569FB" w:rsidRPr="009A21E1">
        <w:rPr>
          <w:iCs/>
          <w:snapToGrid w:val="0"/>
          <w:kern w:val="22"/>
          <w:szCs w:val="22"/>
          <w:lang w:val="ru-RU"/>
        </w:rPr>
        <w:t xml:space="preserve"> 54</w:t>
      </w:r>
      <w:r w:rsidRPr="009A21E1">
        <w:rPr>
          <w:iCs/>
          <w:snapToGrid w:val="0"/>
          <w:kern w:val="22"/>
          <w:szCs w:val="22"/>
          <w:lang w:val="en-US"/>
        </w:rPr>
        <w:t> </w:t>
      </w:r>
      <w:r w:rsidR="004569FB" w:rsidRPr="009A21E1">
        <w:rPr>
          <w:iCs/>
          <w:snapToGrid w:val="0"/>
          <w:kern w:val="22"/>
          <w:szCs w:val="22"/>
          <w:lang w:val="ru-RU"/>
        </w:rPr>
        <w:t xml:space="preserve">% </w:t>
      </w:r>
      <w:r>
        <w:rPr>
          <w:iCs/>
          <w:snapToGrid w:val="0"/>
          <w:kern w:val="22"/>
          <w:szCs w:val="22"/>
          <w:lang w:val="ru-RU"/>
        </w:rPr>
        <w:t>Сторон</w:t>
      </w:r>
      <w:r w:rsidR="004569FB" w:rsidRPr="009A21E1">
        <w:rPr>
          <w:iCs/>
          <w:snapToGrid w:val="0"/>
          <w:kern w:val="22"/>
          <w:szCs w:val="22"/>
          <w:lang w:val="ru-RU"/>
        </w:rPr>
        <w:t xml:space="preserve"> (36 </w:t>
      </w:r>
      <w:r>
        <w:rPr>
          <w:iCs/>
          <w:snapToGrid w:val="0"/>
          <w:kern w:val="22"/>
          <w:szCs w:val="22"/>
          <w:lang w:val="ru-RU"/>
        </w:rPr>
        <w:t>Сторон</w:t>
      </w:r>
      <w:r w:rsidR="004569FB" w:rsidRPr="009A21E1">
        <w:rPr>
          <w:iCs/>
          <w:snapToGrid w:val="0"/>
          <w:kern w:val="22"/>
          <w:szCs w:val="22"/>
          <w:lang w:val="ru-RU"/>
        </w:rPr>
        <w:t xml:space="preserve">) </w:t>
      </w:r>
      <w:r>
        <w:rPr>
          <w:iCs/>
          <w:snapToGrid w:val="0"/>
          <w:kern w:val="22"/>
          <w:szCs w:val="22"/>
          <w:lang w:val="ru-RU"/>
        </w:rPr>
        <w:t>сообщили о достаточном</w:t>
      </w:r>
      <w:r w:rsidRPr="009A21E1">
        <w:rPr>
          <w:iCs/>
          <w:snapToGrid w:val="0"/>
          <w:kern w:val="22"/>
          <w:szCs w:val="22"/>
          <w:lang w:val="ru-RU"/>
        </w:rPr>
        <w:t xml:space="preserve"> </w:t>
      </w:r>
      <w:r>
        <w:rPr>
          <w:iCs/>
          <w:snapToGrid w:val="0"/>
          <w:kern w:val="22"/>
          <w:szCs w:val="22"/>
          <w:lang w:val="ru-RU"/>
        </w:rPr>
        <w:t>количестве</w:t>
      </w:r>
      <w:r w:rsidRPr="009A21E1">
        <w:rPr>
          <w:iCs/>
          <w:snapToGrid w:val="0"/>
          <w:kern w:val="22"/>
          <w:szCs w:val="22"/>
          <w:lang w:val="ru-RU"/>
        </w:rPr>
        <w:t xml:space="preserve"> </w:t>
      </w:r>
      <w:r>
        <w:rPr>
          <w:iCs/>
          <w:snapToGrid w:val="0"/>
          <w:kern w:val="22"/>
          <w:szCs w:val="22"/>
          <w:lang w:val="ru-RU"/>
        </w:rPr>
        <w:t>курсов</w:t>
      </w:r>
      <w:r w:rsidRPr="009A21E1">
        <w:rPr>
          <w:iCs/>
          <w:snapToGrid w:val="0"/>
          <w:kern w:val="22"/>
          <w:szCs w:val="22"/>
          <w:lang w:val="ru-RU"/>
        </w:rPr>
        <w:t xml:space="preserve"> </w:t>
      </w:r>
      <w:r>
        <w:rPr>
          <w:iCs/>
          <w:snapToGrid w:val="0"/>
          <w:kern w:val="22"/>
          <w:szCs w:val="22"/>
          <w:lang w:val="ru-RU"/>
        </w:rPr>
        <w:t>и</w:t>
      </w:r>
      <w:r w:rsidRPr="009A21E1">
        <w:rPr>
          <w:iCs/>
          <w:snapToGrid w:val="0"/>
          <w:kern w:val="22"/>
          <w:szCs w:val="22"/>
          <w:lang w:val="ru-RU"/>
        </w:rPr>
        <w:t xml:space="preserve"> </w:t>
      </w:r>
      <w:r>
        <w:rPr>
          <w:iCs/>
          <w:snapToGrid w:val="0"/>
          <w:kern w:val="22"/>
          <w:szCs w:val="22"/>
          <w:lang w:val="ru-RU"/>
        </w:rPr>
        <w:t>программ</w:t>
      </w:r>
      <w:r w:rsidR="004569FB" w:rsidRPr="009A21E1">
        <w:rPr>
          <w:iCs/>
          <w:snapToGrid w:val="0"/>
          <w:kern w:val="22"/>
          <w:szCs w:val="22"/>
          <w:lang w:val="ru-RU"/>
        </w:rPr>
        <w:t>,</w:t>
      </w:r>
      <w:r w:rsidRPr="009A21E1">
        <w:rPr>
          <w:iCs/>
          <w:snapToGrid w:val="0"/>
          <w:kern w:val="22"/>
          <w:szCs w:val="22"/>
          <w:lang w:val="ru-RU"/>
        </w:rPr>
        <w:t xml:space="preserve"> </w:t>
      </w:r>
      <w:r>
        <w:rPr>
          <w:iCs/>
          <w:snapToGrid w:val="0"/>
          <w:kern w:val="22"/>
          <w:szCs w:val="22"/>
          <w:lang w:val="ru-RU"/>
        </w:rPr>
        <w:t>в</w:t>
      </w:r>
      <w:r w:rsidRPr="009A21E1">
        <w:rPr>
          <w:iCs/>
          <w:snapToGrid w:val="0"/>
          <w:kern w:val="22"/>
          <w:szCs w:val="22"/>
          <w:lang w:val="ru-RU"/>
        </w:rPr>
        <w:t xml:space="preserve"> </w:t>
      </w:r>
      <w:r>
        <w:rPr>
          <w:iCs/>
          <w:snapToGrid w:val="0"/>
          <w:kern w:val="22"/>
          <w:szCs w:val="22"/>
          <w:lang w:val="ru-RU"/>
        </w:rPr>
        <w:t>частности</w:t>
      </w:r>
      <w:r w:rsidRPr="009A21E1">
        <w:rPr>
          <w:iCs/>
          <w:snapToGrid w:val="0"/>
          <w:kern w:val="22"/>
          <w:szCs w:val="22"/>
          <w:lang w:val="ru-RU"/>
        </w:rPr>
        <w:t xml:space="preserve"> </w:t>
      </w:r>
      <w:r>
        <w:rPr>
          <w:iCs/>
          <w:snapToGrid w:val="0"/>
          <w:kern w:val="22"/>
          <w:szCs w:val="22"/>
          <w:lang w:val="ru-RU"/>
        </w:rPr>
        <w:t>в</w:t>
      </w:r>
      <w:r w:rsidRPr="009A21E1">
        <w:rPr>
          <w:iCs/>
          <w:snapToGrid w:val="0"/>
          <w:kern w:val="22"/>
          <w:szCs w:val="22"/>
          <w:lang w:val="ru-RU"/>
        </w:rPr>
        <w:t xml:space="preserve"> </w:t>
      </w:r>
      <w:r>
        <w:rPr>
          <w:iCs/>
          <w:snapToGrid w:val="0"/>
          <w:kern w:val="22"/>
          <w:szCs w:val="22"/>
          <w:lang w:val="ru-RU"/>
        </w:rPr>
        <w:t>Ази</w:t>
      </w:r>
      <w:r w:rsidR="00367B6A">
        <w:rPr>
          <w:iCs/>
          <w:snapToGrid w:val="0"/>
          <w:kern w:val="22"/>
          <w:szCs w:val="22"/>
          <w:lang w:val="ru-RU"/>
        </w:rPr>
        <w:t>атско-Тихоокеанском регионе</w:t>
      </w:r>
      <w:r w:rsidR="004569FB" w:rsidRPr="009A21E1">
        <w:rPr>
          <w:iCs/>
          <w:snapToGrid w:val="0"/>
          <w:kern w:val="22"/>
          <w:szCs w:val="22"/>
          <w:lang w:val="ru-RU"/>
        </w:rPr>
        <w:t xml:space="preserve"> (69</w:t>
      </w:r>
      <w:r>
        <w:rPr>
          <w:iCs/>
          <w:snapToGrid w:val="0"/>
          <w:kern w:val="22"/>
          <w:szCs w:val="22"/>
          <w:lang w:val="ru-RU"/>
        </w:rPr>
        <w:t> </w:t>
      </w:r>
      <w:r w:rsidR="004569FB" w:rsidRPr="009A21E1">
        <w:rPr>
          <w:iCs/>
          <w:snapToGrid w:val="0"/>
          <w:kern w:val="22"/>
          <w:szCs w:val="22"/>
          <w:lang w:val="ru-RU"/>
        </w:rPr>
        <w:t xml:space="preserve">%), </w:t>
      </w:r>
      <w:proofErr w:type="spellStart"/>
      <w:r w:rsidR="004569FB" w:rsidRPr="00DB5643">
        <w:rPr>
          <w:iCs/>
          <w:snapToGrid w:val="0"/>
          <w:kern w:val="22"/>
          <w:szCs w:val="22"/>
        </w:rPr>
        <w:t>CEE</w:t>
      </w:r>
      <w:proofErr w:type="spellEnd"/>
      <w:r w:rsidR="004569FB" w:rsidRPr="009A21E1">
        <w:rPr>
          <w:iCs/>
          <w:snapToGrid w:val="0"/>
          <w:kern w:val="22"/>
          <w:szCs w:val="22"/>
          <w:lang w:val="ru-RU"/>
        </w:rPr>
        <w:t xml:space="preserve"> (83</w:t>
      </w:r>
      <w:r>
        <w:rPr>
          <w:iCs/>
          <w:snapToGrid w:val="0"/>
          <w:kern w:val="22"/>
          <w:szCs w:val="22"/>
          <w:lang w:val="ru-RU"/>
        </w:rPr>
        <w:t> </w:t>
      </w:r>
      <w:r w:rsidR="004569FB" w:rsidRPr="009A21E1">
        <w:rPr>
          <w:iCs/>
          <w:snapToGrid w:val="0"/>
          <w:kern w:val="22"/>
          <w:szCs w:val="22"/>
          <w:lang w:val="ru-RU"/>
        </w:rPr>
        <w:t xml:space="preserve">%) </w:t>
      </w:r>
      <w:r>
        <w:rPr>
          <w:iCs/>
          <w:snapToGrid w:val="0"/>
          <w:kern w:val="22"/>
          <w:szCs w:val="22"/>
          <w:lang w:val="ru-RU"/>
        </w:rPr>
        <w:t>и</w:t>
      </w:r>
      <w:r w:rsidR="004569FB" w:rsidRPr="009A21E1">
        <w:rPr>
          <w:iCs/>
          <w:snapToGrid w:val="0"/>
          <w:kern w:val="22"/>
          <w:szCs w:val="22"/>
          <w:lang w:val="ru-RU"/>
        </w:rPr>
        <w:t xml:space="preserve"> </w:t>
      </w:r>
      <w:proofErr w:type="spellStart"/>
      <w:r w:rsidR="004569FB" w:rsidRPr="00DB5643">
        <w:rPr>
          <w:iCs/>
          <w:snapToGrid w:val="0"/>
          <w:kern w:val="22"/>
          <w:szCs w:val="22"/>
        </w:rPr>
        <w:t>WEOG</w:t>
      </w:r>
      <w:proofErr w:type="spellEnd"/>
      <w:r w:rsidR="004569FB" w:rsidRPr="009A21E1">
        <w:rPr>
          <w:iCs/>
          <w:snapToGrid w:val="0"/>
          <w:kern w:val="22"/>
          <w:szCs w:val="22"/>
          <w:lang w:val="ru-RU"/>
        </w:rPr>
        <w:t xml:space="preserve"> (100</w:t>
      </w:r>
      <w:r>
        <w:rPr>
          <w:iCs/>
          <w:snapToGrid w:val="0"/>
          <w:kern w:val="22"/>
          <w:szCs w:val="22"/>
          <w:lang w:val="ru-RU"/>
        </w:rPr>
        <w:t> </w:t>
      </w:r>
      <w:r w:rsidR="004569FB" w:rsidRPr="009A21E1">
        <w:rPr>
          <w:iCs/>
          <w:snapToGrid w:val="0"/>
          <w:kern w:val="22"/>
          <w:szCs w:val="22"/>
          <w:lang w:val="ru-RU"/>
        </w:rPr>
        <w:t>%)</w:t>
      </w:r>
      <w:r w:rsidR="00367B6A">
        <w:rPr>
          <w:iCs/>
          <w:snapToGrid w:val="0"/>
          <w:kern w:val="22"/>
          <w:szCs w:val="22"/>
          <w:lang w:val="ru-RU"/>
        </w:rPr>
        <w:t>,</w:t>
      </w:r>
      <w:r>
        <w:rPr>
          <w:iCs/>
          <w:snapToGrid w:val="0"/>
          <w:kern w:val="22"/>
          <w:szCs w:val="22"/>
          <w:lang w:val="ru-RU"/>
        </w:rPr>
        <w:t xml:space="preserve"> тогда как большинство Сторон в регионах Африки </w:t>
      </w:r>
      <w:r w:rsidR="004569FB" w:rsidRPr="009A21E1">
        <w:rPr>
          <w:iCs/>
          <w:snapToGrid w:val="0"/>
          <w:kern w:val="22"/>
          <w:szCs w:val="22"/>
          <w:lang w:val="ru-RU"/>
        </w:rPr>
        <w:t>(95</w:t>
      </w:r>
      <w:r>
        <w:rPr>
          <w:iCs/>
          <w:snapToGrid w:val="0"/>
          <w:kern w:val="22"/>
          <w:szCs w:val="22"/>
          <w:lang w:val="ru-RU"/>
        </w:rPr>
        <w:t> </w:t>
      </w:r>
      <w:r w:rsidR="004569FB" w:rsidRPr="009A21E1">
        <w:rPr>
          <w:iCs/>
          <w:snapToGrid w:val="0"/>
          <w:kern w:val="22"/>
          <w:szCs w:val="22"/>
          <w:lang w:val="ru-RU"/>
        </w:rPr>
        <w:t xml:space="preserve">%) </w:t>
      </w:r>
      <w:r>
        <w:rPr>
          <w:iCs/>
          <w:snapToGrid w:val="0"/>
          <w:kern w:val="22"/>
          <w:szCs w:val="22"/>
          <w:lang w:val="ru-RU"/>
        </w:rPr>
        <w:t xml:space="preserve">и </w:t>
      </w:r>
      <w:proofErr w:type="spellStart"/>
      <w:r>
        <w:rPr>
          <w:iCs/>
          <w:snapToGrid w:val="0"/>
          <w:kern w:val="22"/>
          <w:szCs w:val="22"/>
          <w:lang w:val="ru-RU"/>
        </w:rPr>
        <w:t>ГРУЛАК</w:t>
      </w:r>
      <w:proofErr w:type="spellEnd"/>
      <w:r w:rsidR="004569FB" w:rsidRPr="009A21E1">
        <w:rPr>
          <w:iCs/>
          <w:snapToGrid w:val="0"/>
          <w:kern w:val="22"/>
          <w:szCs w:val="22"/>
          <w:lang w:val="ru-RU"/>
        </w:rPr>
        <w:t xml:space="preserve"> (80</w:t>
      </w:r>
      <w:r>
        <w:rPr>
          <w:iCs/>
          <w:snapToGrid w:val="0"/>
          <w:kern w:val="22"/>
          <w:szCs w:val="22"/>
          <w:lang w:val="ru-RU"/>
        </w:rPr>
        <w:t> </w:t>
      </w:r>
      <w:r w:rsidR="004569FB" w:rsidRPr="009A21E1">
        <w:rPr>
          <w:iCs/>
          <w:snapToGrid w:val="0"/>
          <w:kern w:val="22"/>
          <w:szCs w:val="22"/>
          <w:lang w:val="ru-RU"/>
        </w:rPr>
        <w:t xml:space="preserve">%) </w:t>
      </w:r>
      <w:r>
        <w:rPr>
          <w:iCs/>
          <w:snapToGrid w:val="0"/>
          <w:kern w:val="22"/>
          <w:szCs w:val="22"/>
          <w:lang w:val="ru-RU"/>
        </w:rPr>
        <w:t>сообщили</w:t>
      </w:r>
      <w:r w:rsidR="005355EE">
        <w:rPr>
          <w:iCs/>
          <w:snapToGrid w:val="0"/>
          <w:kern w:val="22"/>
          <w:szCs w:val="22"/>
          <w:lang w:val="ru-RU"/>
        </w:rPr>
        <w:t xml:space="preserve"> о недостаточном</w:t>
      </w:r>
      <w:r>
        <w:rPr>
          <w:iCs/>
          <w:snapToGrid w:val="0"/>
          <w:kern w:val="22"/>
          <w:szCs w:val="22"/>
          <w:lang w:val="ru-RU"/>
        </w:rPr>
        <w:t xml:space="preserve"> количеств</w:t>
      </w:r>
      <w:r w:rsidR="005355EE">
        <w:rPr>
          <w:iCs/>
          <w:snapToGrid w:val="0"/>
          <w:kern w:val="22"/>
          <w:szCs w:val="22"/>
          <w:lang w:val="ru-RU"/>
        </w:rPr>
        <w:t>е</w:t>
      </w:r>
      <w:r w:rsidRPr="009A21E1">
        <w:rPr>
          <w:iCs/>
          <w:snapToGrid w:val="0"/>
          <w:kern w:val="22"/>
          <w:szCs w:val="22"/>
          <w:lang w:val="ru-RU"/>
        </w:rPr>
        <w:t xml:space="preserve"> </w:t>
      </w:r>
      <w:r>
        <w:rPr>
          <w:iCs/>
          <w:snapToGrid w:val="0"/>
          <w:kern w:val="22"/>
          <w:szCs w:val="22"/>
          <w:lang w:val="ru-RU"/>
        </w:rPr>
        <w:t>курсов</w:t>
      </w:r>
      <w:r w:rsidRPr="009A21E1">
        <w:rPr>
          <w:iCs/>
          <w:snapToGrid w:val="0"/>
          <w:kern w:val="22"/>
          <w:szCs w:val="22"/>
          <w:lang w:val="ru-RU"/>
        </w:rPr>
        <w:t xml:space="preserve"> </w:t>
      </w:r>
      <w:r>
        <w:rPr>
          <w:iCs/>
          <w:snapToGrid w:val="0"/>
          <w:kern w:val="22"/>
          <w:szCs w:val="22"/>
          <w:lang w:val="ru-RU"/>
        </w:rPr>
        <w:t>и</w:t>
      </w:r>
      <w:r w:rsidRPr="009A21E1">
        <w:rPr>
          <w:iCs/>
          <w:snapToGrid w:val="0"/>
          <w:kern w:val="22"/>
          <w:szCs w:val="22"/>
          <w:lang w:val="ru-RU"/>
        </w:rPr>
        <w:t xml:space="preserve"> </w:t>
      </w:r>
      <w:r>
        <w:rPr>
          <w:iCs/>
          <w:snapToGrid w:val="0"/>
          <w:kern w:val="22"/>
          <w:szCs w:val="22"/>
          <w:lang w:val="ru-RU"/>
        </w:rPr>
        <w:t>программ</w:t>
      </w:r>
      <w:r w:rsidR="004569FB" w:rsidRPr="00DB5643">
        <w:rPr>
          <w:rStyle w:val="ac"/>
          <w:iCs/>
          <w:snapToGrid w:val="0"/>
          <w:kern w:val="22"/>
          <w:szCs w:val="22"/>
        </w:rPr>
        <w:footnoteReference w:id="63"/>
      </w:r>
      <w:r w:rsidR="005355EE">
        <w:rPr>
          <w:iCs/>
          <w:snapToGrid w:val="0"/>
          <w:kern w:val="22"/>
          <w:szCs w:val="22"/>
          <w:lang w:val="ru-RU"/>
        </w:rPr>
        <w:t>.</w:t>
      </w:r>
    </w:p>
    <w:p w14:paraId="0C7DFB74" w14:textId="21E2ABD2" w:rsidR="004569FB" w:rsidRPr="00E31ECA" w:rsidRDefault="005355EE"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5355EE">
        <w:rPr>
          <w:iCs/>
          <w:snapToGrid w:val="0"/>
          <w:kern w:val="22"/>
          <w:szCs w:val="22"/>
          <w:lang w:val="ru-RU"/>
        </w:rPr>
        <w:t xml:space="preserve">В </w:t>
      </w:r>
      <w:r w:rsidRPr="005355EE">
        <w:rPr>
          <w:snapToGrid w:val="0"/>
          <w:kern w:val="22"/>
          <w:szCs w:val="22"/>
          <w:lang w:val="ru-RU"/>
        </w:rPr>
        <w:t xml:space="preserve">своих ответах в развернутой форме </w:t>
      </w:r>
      <w:r w:rsidRPr="005355EE">
        <w:rPr>
          <w:iCs/>
          <w:snapToGrid w:val="0"/>
          <w:kern w:val="22"/>
          <w:szCs w:val="22"/>
          <w:lang w:val="ru-RU"/>
        </w:rPr>
        <w:t xml:space="preserve">несколько Сторон отметили, </w:t>
      </w:r>
      <w:r>
        <w:rPr>
          <w:iCs/>
          <w:snapToGrid w:val="0"/>
          <w:kern w:val="22"/>
          <w:szCs w:val="22"/>
          <w:lang w:val="ru-RU"/>
        </w:rPr>
        <w:t>что</w:t>
      </w:r>
      <w:r w:rsidRPr="005355EE">
        <w:rPr>
          <w:iCs/>
          <w:snapToGrid w:val="0"/>
          <w:kern w:val="22"/>
          <w:szCs w:val="22"/>
          <w:lang w:val="ru-RU"/>
        </w:rPr>
        <w:t xml:space="preserve"> </w:t>
      </w:r>
      <w:r>
        <w:rPr>
          <w:iCs/>
          <w:snapToGrid w:val="0"/>
          <w:kern w:val="22"/>
          <w:szCs w:val="22"/>
          <w:lang w:val="ru-RU"/>
        </w:rPr>
        <w:t>также проводились курсы</w:t>
      </w:r>
      <w:r w:rsidR="00E31ECA">
        <w:rPr>
          <w:iCs/>
          <w:snapToGrid w:val="0"/>
          <w:kern w:val="22"/>
          <w:szCs w:val="22"/>
          <w:lang w:val="ru-RU"/>
        </w:rPr>
        <w:t xml:space="preserve"> для специалистов или широкой общественности</w:t>
      </w:r>
      <w:r>
        <w:rPr>
          <w:iCs/>
          <w:snapToGrid w:val="0"/>
          <w:kern w:val="22"/>
          <w:szCs w:val="22"/>
          <w:lang w:val="ru-RU"/>
        </w:rPr>
        <w:t xml:space="preserve">, организованные их правительствами </w:t>
      </w:r>
      <w:r w:rsidR="00E31ECA">
        <w:rPr>
          <w:iCs/>
          <w:snapToGrid w:val="0"/>
          <w:kern w:val="22"/>
          <w:szCs w:val="22"/>
          <w:lang w:val="ru-RU"/>
        </w:rPr>
        <w:t>или университетами</w:t>
      </w:r>
      <w:r w:rsidR="004569FB" w:rsidRPr="005355EE">
        <w:rPr>
          <w:snapToGrid w:val="0"/>
          <w:kern w:val="22"/>
          <w:szCs w:val="22"/>
          <w:lang w:val="ru-RU"/>
        </w:rPr>
        <w:t>.</w:t>
      </w:r>
      <w:r w:rsidR="00E31ECA">
        <w:rPr>
          <w:snapToGrid w:val="0"/>
          <w:kern w:val="22"/>
          <w:szCs w:val="22"/>
          <w:lang w:val="ru-RU"/>
        </w:rPr>
        <w:t xml:space="preserve"> Несколько</w:t>
      </w:r>
      <w:r w:rsidR="00E31ECA" w:rsidRPr="00E31ECA">
        <w:rPr>
          <w:snapToGrid w:val="0"/>
          <w:kern w:val="22"/>
          <w:szCs w:val="22"/>
          <w:lang w:val="ru-RU"/>
        </w:rPr>
        <w:t xml:space="preserve"> </w:t>
      </w:r>
      <w:r w:rsidR="00E31ECA">
        <w:rPr>
          <w:snapToGrid w:val="0"/>
          <w:kern w:val="22"/>
          <w:szCs w:val="22"/>
          <w:lang w:val="ru-RU"/>
        </w:rPr>
        <w:t>Сторон</w:t>
      </w:r>
      <w:r w:rsidR="00E31ECA" w:rsidRPr="00E31ECA">
        <w:rPr>
          <w:snapToGrid w:val="0"/>
          <w:kern w:val="22"/>
          <w:szCs w:val="22"/>
          <w:lang w:val="ru-RU"/>
        </w:rPr>
        <w:t xml:space="preserve"> </w:t>
      </w:r>
      <w:r w:rsidR="00E31ECA">
        <w:rPr>
          <w:snapToGrid w:val="0"/>
          <w:kern w:val="22"/>
          <w:szCs w:val="22"/>
          <w:lang w:val="ru-RU"/>
        </w:rPr>
        <w:t>далее</w:t>
      </w:r>
      <w:r w:rsidR="00E31ECA" w:rsidRPr="00E31ECA">
        <w:rPr>
          <w:snapToGrid w:val="0"/>
          <w:kern w:val="22"/>
          <w:szCs w:val="22"/>
          <w:lang w:val="ru-RU"/>
        </w:rPr>
        <w:t xml:space="preserve"> </w:t>
      </w:r>
      <w:r w:rsidR="00E31ECA">
        <w:rPr>
          <w:snapToGrid w:val="0"/>
          <w:kern w:val="22"/>
          <w:szCs w:val="22"/>
          <w:lang w:val="ru-RU"/>
        </w:rPr>
        <w:t>сообщили</w:t>
      </w:r>
      <w:r w:rsidR="00E31ECA" w:rsidRPr="00E31ECA">
        <w:rPr>
          <w:snapToGrid w:val="0"/>
          <w:kern w:val="22"/>
          <w:szCs w:val="22"/>
          <w:lang w:val="ru-RU"/>
        </w:rPr>
        <w:t xml:space="preserve">, </w:t>
      </w:r>
      <w:r w:rsidR="00E31ECA">
        <w:rPr>
          <w:snapToGrid w:val="0"/>
          <w:kern w:val="22"/>
          <w:szCs w:val="22"/>
          <w:lang w:val="ru-RU"/>
        </w:rPr>
        <w:t>что</w:t>
      </w:r>
      <w:r w:rsidR="00E31ECA" w:rsidRPr="00E31ECA">
        <w:rPr>
          <w:snapToGrid w:val="0"/>
          <w:kern w:val="22"/>
          <w:szCs w:val="22"/>
          <w:lang w:val="ru-RU"/>
        </w:rPr>
        <w:t xml:space="preserve"> </w:t>
      </w:r>
      <w:r w:rsidR="00E31ECA">
        <w:rPr>
          <w:snapToGrid w:val="0"/>
          <w:kern w:val="22"/>
          <w:szCs w:val="22"/>
          <w:lang w:val="ru-RU"/>
        </w:rPr>
        <w:t>предлагаемая</w:t>
      </w:r>
      <w:r w:rsidR="00E31ECA" w:rsidRPr="00E31ECA">
        <w:rPr>
          <w:snapToGrid w:val="0"/>
          <w:kern w:val="22"/>
          <w:szCs w:val="22"/>
          <w:lang w:val="ru-RU"/>
        </w:rPr>
        <w:t xml:space="preserve"> </w:t>
      </w:r>
      <w:r w:rsidR="00E31ECA">
        <w:rPr>
          <w:snapToGrid w:val="0"/>
          <w:kern w:val="22"/>
          <w:szCs w:val="22"/>
          <w:lang w:val="ru-RU"/>
        </w:rPr>
        <w:t>правительством</w:t>
      </w:r>
      <w:r w:rsidR="00E31ECA" w:rsidRPr="00E31ECA">
        <w:rPr>
          <w:snapToGrid w:val="0"/>
          <w:kern w:val="22"/>
          <w:szCs w:val="22"/>
          <w:lang w:val="ru-RU"/>
        </w:rPr>
        <w:t xml:space="preserve"> </w:t>
      </w:r>
      <w:r w:rsidR="00E31ECA">
        <w:rPr>
          <w:snapToGrid w:val="0"/>
          <w:kern w:val="22"/>
          <w:szCs w:val="22"/>
          <w:lang w:val="ru-RU"/>
        </w:rPr>
        <w:t>подготовка</w:t>
      </w:r>
      <w:r w:rsidR="00E31ECA" w:rsidRPr="00E31ECA">
        <w:rPr>
          <w:snapToGrid w:val="0"/>
          <w:kern w:val="22"/>
          <w:szCs w:val="22"/>
          <w:lang w:val="ru-RU"/>
        </w:rPr>
        <w:t xml:space="preserve"> </w:t>
      </w:r>
      <w:r w:rsidR="00E31ECA">
        <w:rPr>
          <w:snapToGrid w:val="0"/>
          <w:kern w:val="22"/>
          <w:szCs w:val="22"/>
          <w:lang w:val="ru-RU"/>
        </w:rPr>
        <w:t>проводилась</w:t>
      </w:r>
      <w:r w:rsidR="00E31ECA" w:rsidRPr="00E31ECA">
        <w:rPr>
          <w:snapToGrid w:val="0"/>
          <w:kern w:val="22"/>
          <w:szCs w:val="22"/>
          <w:lang w:val="ru-RU"/>
        </w:rPr>
        <w:t xml:space="preserve"> </w:t>
      </w:r>
      <w:r w:rsidR="00E31ECA">
        <w:rPr>
          <w:snapToGrid w:val="0"/>
          <w:kern w:val="22"/>
          <w:szCs w:val="22"/>
          <w:lang w:val="ru-RU"/>
        </w:rPr>
        <w:t>в</w:t>
      </w:r>
      <w:r w:rsidR="00E31ECA" w:rsidRPr="00E31ECA">
        <w:rPr>
          <w:snapToGrid w:val="0"/>
          <w:kern w:val="22"/>
          <w:szCs w:val="22"/>
          <w:lang w:val="ru-RU"/>
        </w:rPr>
        <w:t xml:space="preserve"> </w:t>
      </w:r>
      <w:r w:rsidR="00E31ECA">
        <w:rPr>
          <w:snapToGrid w:val="0"/>
          <w:kern w:val="22"/>
          <w:szCs w:val="22"/>
          <w:lang w:val="ru-RU"/>
        </w:rPr>
        <w:t>форме</w:t>
      </w:r>
      <w:r w:rsidR="00E31ECA" w:rsidRPr="00E31ECA">
        <w:rPr>
          <w:snapToGrid w:val="0"/>
          <w:kern w:val="22"/>
          <w:szCs w:val="22"/>
          <w:lang w:val="ru-RU"/>
        </w:rPr>
        <w:t xml:space="preserve"> </w:t>
      </w:r>
      <w:r w:rsidR="00E31ECA">
        <w:rPr>
          <w:snapToGrid w:val="0"/>
          <w:kern w:val="22"/>
          <w:szCs w:val="22"/>
          <w:lang w:val="ru-RU"/>
        </w:rPr>
        <w:t>семинаров</w:t>
      </w:r>
      <w:r w:rsidR="00E31ECA" w:rsidRPr="00E31ECA">
        <w:rPr>
          <w:snapToGrid w:val="0"/>
          <w:kern w:val="22"/>
          <w:szCs w:val="22"/>
          <w:lang w:val="ru-RU"/>
        </w:rPr>
        <w:t xml:space="preserve"> </w:t>
      </w:r>
      <w:r w:rsidR="00E31ECA">
        <w:rPr>
          <w:snapToGrid w:val="0"/>
          <w:kern w:val="22"/>
          <w:szCs w:val="22"/>
          <w:lang w:val="ru-RU"/>
        </w:rPr>
        <w:t>или</w:t>
      </w:r>
      <w:r w:rsidR="00E31ECA" w:rsidRPr="00E31ECA">
        <w:rPr>
          <w:snapToGrid w:val="0"/>
          <w:kern w:val="22"/>
          <w:szCs w:val="22"/>
          <w:lang w:val="ru-RU"/>
        </w:rPr>
        <w:t xml:space="preserve"> </w:t>
      </w:r>
      <w:r w:rsidR="00E31ECA">
        <w:rPr>
          <w:snapToGrid w:val="0"/>
          <w:kern w:val="22"/>
          <w:szCs w:val="22"/>
          <w:lang w:val="ru-RU"/>
        </w:rPr>
        <w:t>практикумов</w:t>
      </w:r>
      <w:r w:rsidR="004569FB" w:rsidRPr="00E31ECA">
        <w:rPr>
          <w:snapToGrid w:val="0"/>
          <w:kern w:val="22"/>
          <w:szCs w:val="22"/>
          <w:lang w:val="ru-RU"/>
        </w:rPr>
        <w:t xml:space="preserve">. </w:t>
      </w:r>
    </w:p>
    <w:p w14:paraId="58244A03" w14:textId="177272D7" w:rsidR="004569FB" w:rsidRPr="009657D2" w:rsidRDefault="00E31ECA"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Pr>
          <w:snapToGrid w:val="0"/>
          <w:kern w:val="22"/>
          <w:szCs w:val="22"/>
          <w:lang w:val="ru-RU"/>
        </w:rPr>
        <w:t>В</w:t>
      </w:r>
      <w:r w:rsidRPr="00E31ECA">
        <w:rPr>
          <w:snapToGrid w:val="0"/>
          <w:kern w:val="22"/>
          <w:szCs w:val="22"/>
          <w:lang w:val="ru-RU"/>
        </w:rPr>
        <w:t xml:space="preserve"> </w:t>
      </w:r>
      <w:r>
        <w:rPr>
          <w:snapToGrid w:val="0"/>
          <w:kern w:val="22"/>
          <w:szCs w:val="22"/>
          <w:lang w:val="ru-RU"/>
        </w:rPr>
        <w:t>отношении</w:t>
      </w:r>
      <w:r w:rsidR="004569FB" w:rsidRPr="00E31ECA">
        <w:rPr>
          <w:snapToGrid w:val="0"/>
          <w:kern w:val="22"/>
          <w:szCs w:val="22"/>
          <w:lang w:val="ru-RU"/>
        </w:rPr>
        <w:t xml:space="preserve"> </w:t>
      </w:r>
      <w:r>
        <w:rPr>
          <w:b/>
          <w:snapToGrid w:val="0"/>
          <w:kern w:val="22"/>
          <w:szCs w:val="22"/>
          <w:lang w:val="ru-RU"/>
        </w:rPr>
        <w:t>индикатора</w:t>
      </w:r>
      <w:r w:rsidR="004569FB" w:rsidRPr="00E31ECA">
        <w:rPr>
          <w:b/>
          <w:snapToGrid w:val="0"/>
          <w:kern w:val="22"/>
          <w:szCs w:val="22"/>
          <w:lang w:val="ru-RU"/>
        </w:rPr>
        <w:t xml:space="preserve"> 2.7.2 </w:t>
      </w:r>
      <w:r w:rsidR="004569FB" w:rsidRPr="00E31ECA">
        <w:rPr>
          <w:snapToGrid w:val="0"/>
          <w:kern w:val="22"/>
          <w:szCs w:val="22"/>
          <w:lang w:val="ru-RU"/>
        </w:rPr>
        <w:t>(</w:t>
      </w:r>
      <w:r>
        <w:rPr>
          <w:snapToGrid w:val="0"/>
          <w:kern w:val="22"/>
          <w:szCs w:val="22"/>
          <w:lang w:val="ru-RU"/>
        </w:rPr>
        <w:t>ч</w:t>
      </w:r>
      <w:r w:rsidRPr="00E31ECA">
        <w:rPr>
          <w:snapToGrid w:val="0"/>
          <w:kern w:val="22"/>
          <w:szCs w:val="22"/>
          <w:lang w:val="ru-RU"/>
        </w:rPr>
        <w:t>исло доступных учебных материалов и сетевых модулей по биобезопасности)</w:t>
      </w:r>
      <w:r w:rsidR="004569FB" w:rsidRPr="00E31ECA">
        <w:rPr>
          <w:snapToGrid w:val="0"/>
          <w:kern w:val="22"/>
          <w:szCs w:val="22"/>
          <w:lang w:val="ru-RU"/>
        </w:rPr>
        <w:t xml:space="preserve"> 77</w:t>
      </w:r>
      <w:r w:rsidRPr="00E31ECA">
        <w:rPr>
          <w:snapToGrid w:val="0"/>
          <w:kern w:val="22"/>
          <w:szCs w:val="22"/>
          <w:lang w:val="en-US"/>
        </w:rPr>
        <w:t> </w:t>
      </w:r>
      <w:r w:rsidR="004569FB" w:rsidRPr="00E31ECA">
        <w:rPr>
          <w:iCs/>
          <w:snapToGrid w:val="0"/>
          <w:kern w:val="22"/>
          <w:szCs w:val="22"/>
          <w:lang w:val="ru-RU"/>
        </w:rPr>
        <w:t xml:space="preserve">% </w:t>
      </w:r>
      <w:r>
        <w:rPr>
          <w:iCs/>
          <w:snapToGrid w:val="0"/>
          <w:kern w:val="22"/>
          <w:szCs w:val="22"/>
          <w:lang w:val="ru-RU"/>
        </w:rPr>
        <w:t>Сторон</w:t>
      </w:r>
      <w:r w:rsidR="004569FB" w:rsidRPr="00E31ECA">
        <w:rPr>
          <w:iCs/>
          <w:snapToGrid w:val="0"/>
          <w:kern w:val="22"/>
          <w:szCs w:val="22"/>
          <w:lang w:val="ru-RU"/>
        </w:rPr>
        <w:t xml:space="preserve"> (55 </w:t>
      </w:r>
      <w:r>
        <w:rPr>
          <w:iCs/>
          <w:snapToGrid w:val="0"/>
          <w:kern w:val="22"/>
          <w:szCs w:val="22"/>
          <w:lang w:val="ru-RU"/>
        </w:rPr>
        <w:t>Сторон</w:t>
      </w:r>
      <w:r w:rsidR="004569FB" w:rsidRPr="00E31ECA">
        <w:rPr>
          <w:iCs/>
          <w:snapToGrid w:val="0"/>
          <w:kern w:val="22"/>
          <w:szCs w:val="22"/>
          <w:lang w:val="ru-RU"/>
        </w:rPr>
        <w:t xml:space="preserve">) </w:t>
      </w:r>
      <w:r>
        <w:rPr>
          <w:iCs/>
          <w:snapToGrid w:val="0"/>
          <w:kern w:val="22"/>
          <w:szCs w:val="22"/>
          <w:lang w:val="ru-RU"/>
        </w:rPr>
        <w:t>сообщили о наличии и доступности для общественности учебных материалов и</w:t>
      </w:r>
      <w:r w:rsidR="004569FB" w:rsidRPr="00E31ECA">
        <w:rPr>
          <w:iCs/>
          <w:snapToGrid w:val="0"/>
          <w:kern w:val="22"/>
          <w:szCs w:val="22"/>
          <w:lang w:val="ru-RU"/>
        </w:rPr>
        <w:t>/</w:t>
      </w:r>
      <w:r>
        <w:rPr>
          <w:iCs/>
          <w:snapToGrid w:val="0"/>
          <w:kern w:val="22"/>
          <w:szCs w:val="22"/>
          <w:lang w:val="ru-RU"/>
        </w:rPr>
        <w:t>или сетевых модулей</w:t>
      </w:r>
      <w:r w:rsidR="009657D2">
        <w:rPr>
          <w:iCs/>
          <w:snapToGrid w:val="0"/>
          <w:kern w:val="22"/>
          <w:szCs w:val="22"/>
          <w:lang w:val="ru-RU"/>
        </w:rPr>
        <w:t xml:space="preserve"> в их странах</w:t>
      </w:r>
      <w:r w:rsidR="004569FB" w:rsidRPr="00E31ECA">
        <w:rPr>
          <w:iCs/>
          <w:snapToGrid w:val="0"/>
          <w:kern w:val="22"/>
          <w:szCs w:val="22"/>
          <w:lang w:val="ru-RU"/>
        </w:rPr>
        <w:t xml:space="preserve">. </w:t>
      </w:r>
      <w:r w:rsidR="009657D2">
        <w:rPr>
          <w:iCs/>
          <w:snapToGrid w:val="0"/>
          <w:kern w:val="22"/>
          <w:szCs w:val="22"/>
          <w:lang w:val="ru-RU"/>
        </w:rPr>
        <w:t>Это соответствует увеличению на</w:t>
      </w:r>
      <w:r w:rsidR="004569FB" w:rsidRPr="009657D2">
        <w:rPr>
          <w:iCs/>
          <w:snapToGrid w:val="0"/>
          <w:kern w:val="22"/>
          <w:szCs w:val="22"/>
          <w:lang w:val="ru-RU"/>
        </w:rPr>
        <w:t xml:space="preserve"> 15</w:t>
      </w:r>
      <w:r w:rsidR="009657D2">
        <w:rPr>
          <w:iCs/>
          <w:snapToGrid w:val="0"/>
          <w:kern w:val="22"/>
          <w:szCs w:val="22"/>
          <w:lang w:val="ru-RU"/>
        </w:rPr>
        <w:t> </w:t>
      </w:r>
      <w:r w:rsidR="004569FB" w:rsidRPr="009657D2">
        <w:rPr>
          <w:iCs/>
          <w:snapToGrid w:val="0"/>
          <w:kern w:val="22"/>
          <w:szCs w:val="22"/>
          <w:lang w:val="ru-RU"/>
        </w:rPr>
        <w:t xml:space="preserve">% </w:t>
      </w:r>
      <w:r w:rsidR="009657D2">
        <w:rPr>
          <w:snapToGrid w:val="0"/>
          <w:kern w:val="22"/>
          <w:szCs w:val="22"/>
          <w:lang w:val="ru-RU"/>
        </w:rPr>
        <w:t>по сравнению с исходным уровнем</w:t>
      </w:r>
      <w:r w:rsidR="004569FB" w:rsidRPr="009657D2">
        <w:rPr>
          <w:iCs/>
          <w:snapToGrid w:val="0"/>
          <w:kern w:val="22"/>
          <w:szCs w:val="22"/>
          <w:lang w:val="ru-RU"/>
        </w:rPr>
        <w:t xml:space="preserve">. </w:t>
      </w:r>
      <w:r w:rsidR="009657D2">
        <w:rPr>
          <w:iCs/>
          <w:snapToGrid w:val="0"/>
          <w:kern w:val="22"/>
          <w:szCs w:val="22"/>
          <w:lang w:val="ru-RU"/>
        </w:rPr>
        <w:t xml:space="preserve">Большинство Сторон сообщило о предоставлении доступа к </w:t>
      </w:r>
      <w:r w:rsidR="004569FB" w:rsidRPr="009657D2">
        <w:rPr>
          <w:iCs/>
          <w:snapToGrid w:val="0"/>
          <w:kern w:val="22"/>
          <w:szCs w:val="22"/>
          <w:lang w:val="ru-RU"/>
        </w:rPr>
        <w:t>1</w:t>
      </w:r>
      <w:r w:rsidR="009657D2">
        <w:rPr>
          <w:iCs/>
          <w:snapToGrid w:val="0"/>
          <w:kern w:val="22"/>
          <w:szCs w:val="22"/>
          <w:lang w:val="ru-RU"/>
        </w:rPr>
        <w:t>–</w:t>
      </w:r>
      <w:r w:rsidR="004569FB" w:rsidRPr="009657D2">
        <w:rPr>
          <w:iCs/>
          <w:snapToGrid w:val="0"/>
          <w:kern w:val="22"/>
          <w:szCs w:val="22"/>
          <w:lang w:val="ru-RU"/>
        </w:rPr>
        <w:t>4</w:t>
      </w:r>
      <w:r w:rsidR="009657D2">
        <w:rPr>
          <w:iCs/>
          <w:snapToGrid w:val="0"/>
          <w:kern w:val="22"/>
          <w:szCs w:val="22"/>
          <w:lang w:val="ru-RU"/>
        </w:rPr>
        <w:t xml:space="preserve"> материалам и сетевым модулям</w:t>
      </w:r>
      <w:r w:rsidR="004569FB" w:rsidRPr="009657D2">
        <w:rPr>
          <w:iCs/>
          <w:snapToGrid w:val="0"/>
          <w:kern w:val="22"/>
          <w:szCs w:val="22"/>
          <w:lang w:val="ru-RU"/>
        </w:rPr>
        <w:t xml:space="preserve"> (</w:t>
      </w:r>
      <w:r w:rsidR="009657D2">
        <w:rPr>
          <w:iCs/>
          <w:snapToGrid w:val="0"/>
          <w:kern w:val="22"/>
          <w:szCs w:val="22"/>
          <w:lang w:val="ru-RU"/>
        </w:rPr>
        <w:t xml:space="preserve">соответствующим образом ответило </w:t>
      </w:r>
      <w:r w:rsidR="004569FB" w:rsidRPr="009657D2">
        <w:rPr>
          <w:iCs/>
          <w:snapToGrid w:val="0"/>
          <w:kern w:val="22"/>
          <w:szCs w:val="22"/>
          <w:lang w:val="ru-RU"/>
        </w:rPr>
        <w:t>35</w:t>
      </w:r>
      <w:r w:rsidR="009657D2">
        <w:rPr>
          <w:iCs/>
          <w:snapToGrid w:val="0"/>
          <w:kern w:val="22"/>
          <w:szCs w:val="22"/>
          <w:lang w:val="ru-RU"/>
        </w:rPr>
        <w:t> </w:t>
      </w:r>
      <w:r w:rsidR="004569FB" w:rsidRPr="009657D2">
        <w:rPr>
          <w:iCs/>
          <w:snapToGrid w:val="0"/>
          <w:kern w:val="22"/>
          <w:szCs w:val="22"/>
          <w:lang w:val="ru-RU"/>
        </w:rPr>
        <w:t xml:space="preserve">% </w:t>
      </w:r>
      <w:r w:rsidR="009657D2">
        <w:rPr>
          <w:iCs/>
          <w:snapToGrid w:val="0"/>
          <w:kern w:val="22"/>
          <w:szCs w:val="22"/>
          <w:lang w:val="ru-RU"/>
        </w:rPr>
        <w:t>Сторон</w:t>
      </w:r>
      <w:r w:rsidR="004569FB" w:rsidRPr="009657D2">
        <w:rPr>
          <w:iCs/>
          <w:snapToGrid w:val="0"/>
          <w:kern w:val="22"/>
          <w:szCs w:val="22"/>
          <w:lang w:val="ru-RU"/>
        </w:rPr>
        <w:t>) (</w:t>
      </w:r>
      <w:bookmarkStart w:id="33" w:name="_Hlk30663928"/>
      <w:r w:rsidR="009657D2">
        <w:rPr>
          <w:iCs/>
          <w:snapToGrid w:val="0"/>
          <w:kern w:val="22"/>
          <w:szCs w:val="22"/>
          <w:lang w:val="ru-RU"/>
        </w:rPr>
        <w:t>см. также</w:t>
      </w:r>
      <w:r w:rsidR="004569FB" w:rsidRPr="009657D2">
        <w:rPr>
          <w:iCs/>
          <w:snapToGrid w:val="0"/>
          <w:kern w:val="22"/>
          <w:szCs w:val="22"/>
          <w:lang w:val="ru-RU"/>
        </w:rPr>
        <w:t xml:space="preserve"> </w:t>
      </w:r>
      <w:bookmarkEnd w:id="33"/>
      <w:r w:rsidR="009657D2">
        <w:rPr>
          <w:b/>
          <w:iCs/>
          <w:snapToGrid w:val="0"/>
          <w:kern w:val="22"/>
          <w:szCs w:val="22"/>
          <w:lang w:val="ru-RU"/>
        </w:rPr>
        <w:t>индикатор</w:t>
      </w:r>
      <w:r w:rsidR="004569FB" w:rsidRPr="009657D2">
        <w:rPr>
          <w:b/>
          <w:iCs/>
          <w:snapToGrid w:val="0"/>
          <w:kern w:val="22"/>
          <w:szCs w:val="22"/>
          <w:lang w:val="ru-RU"/>
        </w:rPr>
        <w:t xml:space="preserve"> 5.3.4 </w:t>
      </w:r>
      <w:r w:rsidR="009657D2">
        <w:rPr>
          <w:iCs/>
          <w:snapToGrid w:val="0"/>
          <w:kern w:val="22"/>
          <w:szCs w:val="22"/>
          <w:lang w:val="ru-RU"/>
        </w:rPr>
        <w:t>ниже</w:t>
      </w:r>
      <w:r w:rsidR="004569FB" w:rsidRPr="009657D2">
        <w:rPr>
          <w:iCs/>
          <w:snapToGrid w:val="0"/>
          <w:kern w:val="22"/>
          <w:szCs w:val="22"/>
          <w:lang w:val="ru-RU"/>
        </w:rPr>
        <w:t>)</w:t>
      </w:r>
      <w:r w:rsidR="009657D2">
        <w:rPr>
          <w:snapToGrid w:val="0"/>
          <w:kern w:val="22"/>
          <w:szCs w:val="22"/>
          <w:lang w:val="ru-RU"/>
        </w:rPr>
        <w:t>.</w:t>
      </w:r>
    </w:p>
    <w:p w14:paraId="033829C3" w14:textId="16B50DCC" w:rsidR="004569FB" w:rsidRPr="00F5241D" w:rsidRDefault="00F5241D"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Pr>
          <w:iCs/>
          <w:snapToGrid w:val="0"/>
          <w:kern w:val="22"/>
          <w:szCs w:val="22"/>
          <w:lang w:val="ru-RU"/>
        </w:rPr>
        <w:t>В</w:t>
      </w:r>
      <w:r w:rsidRPr="00F5241D">
        <w:rPr>
          <w:iCs/>
          <w:snapToGrid w:val="0"/>
          <w:kern w:val="22"/>
          <w:szCs w:val="22"/>
          <w:lang w:val="ru-RU"/>
        </w:rPr>
        <w:t xml:space="preserve"> </w:t>
      </w:r>
      <w:r>
        <w:rPr>
          <w:iCs/>
          <w:snapToGrid w:val="0"/>
          <w:kern w:val="22"/>
          <w:szCs w:val="22"/>
          <w:lang w:val="ru-RU"/>
        </w:rPr>
        <w:t>своих</w:t>
      </w:r>
      <w:r w:rsidRPr="00F5241D">
        <w:rPr>
          <w:iCs/>
          <w:snapToGrid w:val="0"/>
          <w:kern w:val="22"/>
          <w:szCs w:val="22"/>
          <w:lang w:val="ru-RU"/>
        </w:rPr>
        <w:t xml:space="preserve"> </w:t>
      </w:r>
      <w:r>
        <w:rPr>
          <w:iCs/>
          <w:snapToGrid w:val="0"/>
          <w:kern w:val="22"/>
          <w:szCs w:val="22"/>
          <w:lang w:val="ru-RU"/>
        </w:rPr>
        <w:t>четвертых</w:t>
      </w:r>
      <w:r w:rsidRPr="00F5241D">
        <w:rPr>
          <w:iCs/>
          <w:snapToGrid w:val="0"/>
          <w:kern w:val="22"/>
          <w:szCs w:val="22"/>
          <w:lang w:val="ru-RU"/>
        </w:rPr>
        <w:t xml:space="preserve"> </w:t>
      </w:r>
      <w:r>
        <w:rPr>
          <w:iCs/>
          <w:snapToGrid w:val="0"/>
          <w:kern w:val="22"/>
          <w:szCs w:val="22"/>
          <w:lang w:val="ru-RU"/>
        </w:rPr>
        <w:t>национальных</w:t>
      </w:r>
      <w:r w:rsidRPr="00F5241D">
        <w:rPr>
          <w:iCs/>
          <w:snapToGrid w:val="0"/>
          <w:kern w:val="22"/>
          <w:szCs w:val="22"/>
          <w:lang w:val="ru-RU"/>
        </w:rPr>
        <w:t xml:space="preserve"> </w:t>
      </w:r>
      <w:r>
        <w:rPr>
          <w:iCs/>
          <w:snapToGrid w:val="0"/>
          <w:kern w:val="22"/>
          <w:szCs w:val="22"/>
          <w:lang w:val="ru-RU"/>
        </w:rPr>
        <w:t>докладах</w:t>
      </w:r>
      <w:r w:rsidR="004569FB" w:rsidRPr="00F5241D">
        <w:rPr>
          <w:iCs/>
          <w:snapToGrid w:val="0"/>
          <w:kern w:val="22"/>
          <w:szCs w:val="22"/>
          <w:lang w:val="ru-RU"/>
        </w:rPr>
        <w:t xml:space="preserve"> 46</w:t>
      </w:r>
      <w:r w:rsidRPr="00F5241D">
        <w:rPr>
          <w:iCs/>
          <w:snapToGrid w:val="0"/>
          <w:kern w:val="22"/>
          <w:szCs w:val="22"/>
          <w:lang w:val="en-US"/>
        </w:rPr>
        <w:t> </w:t>
      </w:r>
      <w:r w:rsidR="004569FB" w:rsidRPr="00F5241D">
        <w:rPr>
          <w:iCs/>
          <w:snapToGrid w:val="0"/>
          <w:kern w:val="22"/>
          <w:szCs w:val="22"/>
          <w:lang w:val="ru-RU"/>
        </w:rPr>
        <w:t xml:space="preserve">% </w:t>
      </w:r>
      <w:r>
        <w:rPr>
          <w:iCs/>
          <w:snapToGrid w:val="0"/>
          <w:kern w:val="22"/>
          <w:szCs w:val="22"/>
          <w:lang w:val="ru-RU"/>
        </w:rPr>
        <w:t>Сторон</w:t>
      </w:r>
      <w:r w:rsidR="004569FB" w:rsidRPr="00F5241D">
        <w:rPr>
          <w:iCs/>
          <w:snapToGrid w:val="0"/>
          <w:kern w:val="22"/>
          <w:szCs w:val="22"/>
          <w:lang w:val="ru-RU"/>
        </w:rPr>
        <w:t xml:space="preserve"> </w:t>
      </w:r>
      <w:r w:rsidR="00E207CE" w:rsidRPr="00F5241D">
        <w:rPr>
          <w:iCs/>
          <w:snapToGrid w:val="0"/>
          <w:kern w:val="22"/>
          <w:szCs w:val="22"/>
          <w:lang w:val="ru-RU"/>
        </w:rPr>
        <w:t xml:space="preserve">(28 </w:t>
      </w:r>
      <w:r>
        <w:rPr>
          <w:iCs/>
          <w:snapToGrid w:val="0"/>
          <w:kern w:val="22"/>
          <w:szCs w:val="22"/>
          <w:lang w:val="ru-RU"/>
        </w:rPr>
        <w:t>Сторон</w:t>
      </w:r>
      <w:r w:rsidR="00E207CE" w:rsidRPr="00F5241D">
        <w:rPr>
          <w:iCs/>
          <w:snapToGrid w:val="0"/>
          <w:kern w:val="22"/>
          <w:szCs w:val="22"/>
          <w:lang w:val="ru-RU"/>
        </w:rPr>
        <w:t xml:space="preserve">) </w:t>
      </w:r>
      <w:r>
        <w:rPr>
          <w:iCs/>
          <w:snapToGrid w:val="0"/>
          <w:kern w:val="22"/>
          <w:szCs w:val="22"/>
          <w:lang w:val="ru-RU"/>
        </w:rPr>
        <w:t>сообщили</w:t>
      </w:r>
      <w:r w:rsidRPr="00F5241D">
        <w:rPr>
          <w:iCs/>
          <w:snapToGrid w:val="0"/>
          <w:kern w:val="22"/>
          <w:szCs w:val="22"/>
          <w:lang w:val="ru-RU"/>
        </w:rPr>
        <w:t xml:space="preserve"> </w:t>
      </w:r>
      <w:r>
        <w:rPr>
          <w:iCs/>
          <w:snapToGrid w:val="0"/>
          <w:kern w:val="22"/>
          <w:szCs w:val="22"/>
          <w:lang w:val="ru-RU"/>
        </w:rPr>
        <w:t>о</w:t>
      </w:r>
      <w:r w:rsidRPr="00F5241D">
        <w:rPr>
          <w:iCs/>
          <w:snapToGrid w:val="0"/>
          <w:kern w:val="22"/>
          <w:szCs w:val="22"/>
          <w:lang w:val="ru-RU"/>
        </w:rPr>
        <w:t xml:space="preserve"> </w:t>
      </w:r>
      <w:r>
        <w:rPr>
          <w:iCs/>
          <w:snapToGrid w:val="0"/>
          <w:kern w:val="22"/>
          <w:szCs w:val="22"/>
          <w:lang w:val="ru-RU"/>
        </w:rPr>
        <w:t>достаточном</w:t>
      </w:r>
      <w:r w:rsidRPr="00F5241D">
        <w:rPr>
          <w:iCs/>
          <w:snapToGrid w:val="0"/>
          <w:kern w:val="22"/>
          <w:szCs w:val="22"/>
          <w:lang w:val="ru-RU"/>
        </w:rPr>
        <w:t xml:space="preserve"> </w:t>
      </w:r>
      <w:r>
        <w:rPr>
          <w:iCs/>
          <w:snapToGrid w:val="0"/>
          <w:kern w:val="22"/>
          <w:szCs w:val="22"/>
          <w:lang w:val="ru-RU"/>
        </w:rPr>
        <w:t>количестве</w:t>
      </w:r>
      <w:r w:rsidRPr="00F5241D">
        <w:rPr>
          <w:iCs/>
          <w:snapToGrid w:val="0"/>
          <w:kern w:val="22"/>
          <w:szCs w:val="22"/>
          <w:lang w:val="ru-RU"/>
        </w:rPr>
        <w:t xml:space="preserve"> </w:t>
      </w:r>
      <w:r>
        <w:rPr>
          <w:iCs/>
          <w:snapToGrid w:val="0"/>
          <w:kern w:val="22"/>
          <w:szCs w:val="22"/>
          <w:lang w:val="ru-RU"/>
        </w:rPr>
        <w:t>доступных</w:t>
      </w:r>
      <w:r w:rsidRPr="00F5241D">
        <w:rPr>
          <w:iCs/>
          <w:snapToGrid w:val="0"/>
          <w:kern w:val="22"/>
          <w:szCs w:val="22"/>
          <w:lang w:val="ru-RU"/>
        </w:rPr>
        <w:t xml:space="preserve"> </w:t>
      </w:r>
      <w:r>
        <w:rPr>
          <w:iCs/>
          <w:snapToGrid w:val="0"/>
          <w:kern w:val="22"/>
          <w:szCs w:val="22"/>
          <w:lang w:val="ru-RU"/>
        </w:rPr>
        <w:t>материалов</w:t>
      </w:r>
      <w:r w:rsidRPr="00F5241D">
        <w:rPr>
          <w:iCs/>
          <w:snapToGrid w:val="0"/>
          <w:kern w:val="22"/>
          <w:szCs w:val="22"/>
          <w:lang w:val="ru-RU"/>
        </w:rPr>
        <w:t xml:space="preserve"> </w:t>
      </w:r>
      <w:r>
        <w:rPr>
          <w:iCs/>
          <w:snapToGrid w:val="0"/>
          <w:kern w:val="22"/>
          <w:szCs w:val="22"/>
          <w:lang w:val="ru-RU"/>
        </w:rPr>
        <w:t>и</w:t>
      </w:r>
      <w:r w:rsidRPr="00F5241D">
        <w:rPr>
          <w:iCs/>
          <w:snapToGrid w:val="0"/>
          <w:kern w:val="22"/>
          <w:szCs w:val="22"/>
          <w:lang w:val="ru-RU"/>
        </w:rPr>
        <w:t xml:space="preserve"> </w:t>
      </w:r>
      <w:r>
        <w:rPr>
          <w:iCs/>
          <w:snapToGrid w:val="0"/>
          <w:kern w:val="22"/>
          <w:szCs w:val="22"/>
          <w:lang w:val="ru-RU"/>
        </w:rPr>
        <w:t>модулей</w:t>
      </w:r>
      <w:r w:rsidR="000406F0">
        <w:rPr>
          <w:iCs/>
          <w:snapToGrid w:val="0"/>
          <w:kern w:val="22"/>
          <w:szCs w:val="22"/>
          <w:lang w:val="ru-RU"/>
        </w:rPr>
        <w:t>. Доля таких Сторон была высока</w:t>
      </w:r>
      <w:r>
        <w:rPr>
          <w:iCs/>
          <w:snapToGrid w:val="0"/>
          <w:kern w:val="22"/>
          <w:szCs w:val="22"/>
          <w:lang w:val="ru-RU"/>
        </w:rPr>
        <w:t xml:space="preserve"> в регионах </w:t>
      </w:r>
      <w:proofErr w:type="spellStart"/>
      <w:r w:rsidR="004569FB" w:rsidRPr="00DB5643">
        <w:rPr>
          <w:iCs/>
          <w:snapToGrid w:val="0"/>
          <w:kern w:val="22"/>
          <w:szCs w:val="22"/>
        </w:rPr>
        <w:t>WEOG</w:t>
      </w:r>
      <w:proofErr w:type="spellEnd"/>
      <w:r w:rsidR="004569FB" w:rsidRPr="00F5241D">
        <w:rPr>
          <w:iCs/>
          <w:snapToGrid w:val="0"/>
          <w:kern w:val="22"/>
          <w:szCs w:val="22"/>
          <w:lang w:val="ru-RU"/>
        </w:rPr>
        <w:t xml:space="preserve"> (88</w:t>
      </w:r>
      <w:r>
        <w:rPr>
          <w:iCs/>
          <w:snapToGrid w:val="0"/>
          <w:kern w:val="22"/>
          <w:szCs w:val="22"/>
          <w:lang w:val="ru-RU"/>
        </w:rPr>
        <w:t> </w:t>
      </w:r>
      <w:r w:rsidR="004569FB" w:rsidRPr="00F5241D">
        <w:rPr>
          <w:iCs/>
          <w:snapToGrid w:val="0"/>
          <w:kern w:val="22"/>
          <w:szCs w:val="22"/>
          <w:lang w:val="ru-RU"/>
        </w:rPr>
        <w:t xml:space="preserve">%) </w:t>
      </w:r>
      <w:r>
        <w:rPr>
          <w:iCs/>
          <w:snapToGrid w:val="0"/>
          <w:kern w:val="22"/>
          <w:szCs w:val="22"/>
          <w:lang w:val="ru-RU"/>
        </w:rPr>
        <w:t>и</w:t>
      </w:r>
      <w:r w:rsidR="004569FB" w:rsidRPr="00F5241D">
        <w:rPr>
          <w:iCs/>
          <w:snapToGrid w:val="0"/>
          <w:kern w:val="22"/>
          <w:szCs w:val="22"/>
          <w:lang w:val="ru-RU"/>
        </w:rPr>
        <w:t xml:space="preserve"> </w:t>
      </w:r>
      <w:proofErr w:type="spellStart"/>
      <w:r w:rsidR="004569FB" w:rsidRPr="00DB5643">
        <w:rPr>
          <w:iCs/>
          <w:snapToGrid w:val="0"/>
          <w:kern w:val="22"/>
          <w:szCs w:val="22"/>
        </w:rPr>
        <w:t>CEE</w:t>
      </w:r>
      <w:proofErr w:type="spellEnd"/>
      <w:r w:rsidR="004569FB" w:rsidRPr="00F5241D">
        <w:rPr>
          <w:iCs/>
          <w:snapToGrid w:val="0"/>
          <w:kern w:val="22"/>
          <w:szCs w:val="22"/>
          <w:lang w:val="ru-RU"/>
        </w:rPr>
        <w:t xml:space="preserve"> (78</w:t>
      </w:r>
      <w:r>
        <w:rPr>
          <w:iCs/>
          <w:snapToGrid w:val="0"/>
          <w:kern w:val="22"/>
          <w:szCs w:val="22"/>
          <w:lang w:val="ru-RU"/>
        </w:rPr>
        <w:t> </w:t>
      </w:r>
      <w:r w:rsidR="004569FB" w:rsidRPr="00F5241D">
        <w:rPr>
          <w:iCs/>
          <w:snapToGrid w:val="0"/>
          <w:kern w:val="22"/>
          <w:szCs w:val="22"/>
          <w:lang w:val="ru-RU"/>
        </w:rPr>
        <w:t xml:space="preserve">%), </w:t>
      </w:r>
      <w:r>
        <w:rPr>
          <w:iCs/>
          <w:snapToGrid w:val="0"/>
          <w:kern w:val="22"/>
          <w:szCs w:val="22"/>
          <w:lang w:val="ru-RU"/>
        </w:rPr>
        <w:t xml:space="preserve">тогда как в других регионах </w:t>
      </w:r>
      <w:r w:rsidR="000406F0">
        <w:rPr>
          <w:iCs/>
          <w:snapToGrid w:val="0"/>
          <w:kern w:val="22"/>
          <w:szCs w:val="22"/>
          <w:lang w:val="ru-RU"/>
        </w:rPr>
        <w:t>их доля была</w:t>
      </w:r>
      <w:r>
        <w:rPr>
          <w:iCs/>
          <w:snapToGrid w:val="0"/>
          <w:kern w:val="22"/>
          <w:szCs w:val="22"/>
          <w:lang w:val="ru-RU"/>
        </w:rPr>
        <w:t xml:space="preserve"> значительно меньше</w:t>
      </w:r>
      <w:r w:rsidR="004569FB" w:rsidRPr="00F5241D">
        <w:rPr>
          <w:iCs/>
          <w:snapToGrid w:val="0"/>
          <w:kern w:val="22"/>
          <w:szCs w:val="22"/>
          <w:lang w:val="ru-RU"/>
        </w:rPr>
        <w:t>:</w:t>
      </w:r>
      <w:r>
        <w:rPr>
          <w:iCs/>
          <w:snapToGrid w:val="0"/>
          <w:kern w:val="22"/>
          <w:szCs w:val="22"/>
          <w:lang w:val="ru-RU"/>
        </w:rPr>
        <w:t xml:space="preserve"> Азиатско-Тихоокеанский регион</w:t>
      </w:r>
      <w:r w:rsidR="004569FB" w:rsidRPr="00F5241D">
        <w:rPr>
          <w:iCs/>
          <w:snapToGrid w:val="0"/>
          <w:kern w:val="22"/>
          <w:szCs w:val="22"/>
          <w:lang w:val="ru-RU"/>
        </w:rPr>
        <w:t>: 50</w:t>
      </w:r>
      <w:r>
        <w:rPr>
          <w:iCs/>
          <w:snapToGrid w:val="0"/>
          <w:kern w:val="22"/>
          <w:szCs w:val="22"/>
          <w:lang w:val="ru-RU"/>
        </w:rPr>
        <w:t> </w:t>
      </w:r>
      <w:r w:rsidR="004569FB" w:rsidRPr="00F5241D">
        <w:rPr>
          <w:iCs/>
          <w:snapToGrid w:val="0"/>
          <w:kern w:val="22"/>
          <w:szCs w:val="22"/>
          <w:lang w:val="ru-RU"/>
        </w:rPr>
        <w:t xml:space="preserve">%; </w:t>
      </w:r>
      <w:r>
        <w:rPr>
          <w:iCs/>
          <w:snapToGrid w:val="0"/>
          <w:kern w:val="22"/>
          <w:szCs w:val="22"/>
          <w:lang w:val="ru-RU"/>
        </w:rPr>
        <w:t>Африка:</w:t>
      </w:r>
      <w:r w:rsidR="004569FB" w:rsidRPr="00F5241D">
        <w:rPr>
          <w:iCs/>
          <w:snapToGrid w:val="0"/>
          <w:kern w:val="22"/>
          <w:szCs w:val="22"/>
          <w:lang w:val="ru-RU"/>
        </w:rPr>
        <w:t xml:space="preserve"> 6</w:t>
      </w:r>
      <w:r>
        <w:rPr>
          <w:iCs/>
          <w:snapToGrid w:val="0"/>
          <w:kern w:val="22"/>
          <w:szCs w:val="22"/>
          <w:lang w:val="ru-RU"/>
        </w:rPr>
        <w:t> </w:t>
      </w:r>
      <w:r w:rsidR="004569FB" w:rsidRPr="00F5241D">
        <w:rPr>
          <w:iCs/>
          <w:snapToGrid w:val="0"/>
          <w:kern w:val="22"/>
          <w:szCs w:val="22"/>
          <w:lang w:val="ru-RU"/>
        </w:rPr>
        <w:t>%</w:t>
      </w:r>
      <w:r>
        <w:rPr>
          <w:iCs/>
          <w:snapToGrid w:val="0"/>
          <w:kern w:val="22"/>
          <w:szCs w:val="22"/>
          <w:lang w:val="ru-RU"/>
        </w:rPr>
        <w:t xml:space="preserve"> и </w:t>
      </w:r>
      <w:proofErr w:type="spellStart"/>
      <w:r>
        <w:rPr>
          <w:iCs/>
          <w:snapToGrid w:val="0"/>
          <w:kern w:val="22"/>
          <w:szCs w:val="22"/>
          <w:lang w:val="ru-RU"/>
        </w:rPr>
        <w:t>ГРУЛАК</w:t>
      </w:r>
      <w:proofErr w:type="spellEnd"/>
      <w:r>
        <w:rPr>
          <w:iCs/>
          <w:snapToGrid w:val="0"/>
          <w:kern w:val="22"/>
          <w:szCs w:val="22"/>
          <w:lang w:val="ru-RU"/>
        </w:rPr>
        <w:t>:</w:t>
      </w:r>
      <w:r w:rsidR="004569FB" w:rsidRPr="00F5241D">
        <w:rPr>
          <w:iCs/>
          <w:snapToGrid w:val="0"/>
          <w:kern w:val="22"/>
          <w:szCs w:val="22"/>
          <w:lang w:val="ru-RU"/>
        </w:rPr>
        <w:t xml:space="preserve"> 0</w:t>
      </w:r>
      <w:r>
        <w:rPr>
          <w:iCs/>
          <w:snapToGrid w:val="0"/>
          <w:kern w:val="22"/>
          <w:szCs w:val="22"/>
          <w:lang w:val="ru-RU"/>
        </w:rPr>
        <w:t> </w:t>
      </w:r>
      <w:r w:rsidR="004569FB" w:rsidRPr="00F5241D">
        <w:rPr>
          <w:iCs/>
          <w:snapToGrid w:val="0"/>
          <w:kern w:val="22"/>
          <w:szCs w:val="22"/>
          <w:lang w:val="ru-RU"/>
        </w:rPr>
        <w:t xml:space="preserve">%.  </w:t>
      </w:r>
    </w:p>
    <w:p w14:paraId="1CA6DB0F" w14:textId="0E2188E8" w:rsidR="004569FB" w:rsidRPr="00F5241D" w:rsidRDefault="00F5241D"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sidRPr="005355EE">
        <w:rPr>
          <w:iCs/>
          <w:snapToGrid w:val="0"/>
          <w:kern w:val="22"/>
          <w:szCs w:val="22"/>
          <w:lang w:val="ru-RU"/>
        </w:rPr>
        <w:t>В</w:t>
      </w:r>
      <w:r w:rsidRPr="00F5241D">
        <w:rPr>
          <w:iCs/>
          <w:snapToGrid w:val="0"/>
          <w:kern w:val="22"/>
          <w:szCs w:val="22"/>
          <w:lang w:val="ru-RU"/>
        </w:rPr>
        <w:t xml:space="preserve"> </w:t>
      </w:r>
      <w:r w:rsidRPr="005355EE">
        <w:rPr>
          <w:snapToGrid w:val="0"/>
          <w:kern w:val="22"/>
          <w:szCs w:val="22"/>
          <w:lang w:val="ru-RU"/>
        </w:rPr>
        <w:t>своих</w:t>
      </w:r>
      <w:r w:rsidRPr="00F5241D">
        <w:rPr>
          <w:snapToGrid w:val="0"/>
          <w:kern w:val="22"/>
          <w:szCs w:val="22"/>
          <w:lang w:val="ru-RU"/>
        </w:rPr>
        <w:t xml:space="preserve"> </w:t>
      </w:r>
      <w:r w:rsidRPr="005355EE">
        <w:rPr>
          <w:snapToGrid w:val="0"/>
          <w:kern w:val="22"/>
          <w:szCs w:val="22"/>
          <w:lang w:val="ru-RU"/>
        </w:rPr>
        <w:t>ответах</w:t>
      </w:r>
      <w:r w:rsidRPr="00F5241D">
        <w:rPr>
          <w:snapToGrid w:val="0"/>
          <w:kern w:val="22"/>
          <w:szCs w:val="22"/>
          <w:lang w:val="ru-RU"/>
        </w:rPr>
        <w:t xml:space="preserve"> </w:t>
      </w:r>
      <w:r w:rsidRPr="005355EE">
        <w:rPr>
          <w:snapToGrid w:val="0"/>
          <w:kern w:val="22"/>
          <w:szCs w:val="22"/>
          <w:lang w:val="ru-RU"/>
        </w:rPr>
        <w:t>в</w:t>
      </w:r>
      <w:r w:rsidRPr="00F5241D">
        <w:rPr>
          <w:snapToGrid w:val="0"/>
          <w:kern w:val="22"/>
          <w:szCs w:val="22"/>
          <w:lang w:val="ru-RU"/>
        </w:rPr>
        <w:t xml:space="preserve"> </w:t>
      </w:r>
      <w:r w:rsidRPr="005355EE">
        <w:rPr>
          <w:snapToGrid w:val="0"/>
          <w:kern w:val="22"/>
          <w:szCs w:val="22"/>
          <w:lang w:val="ru-RU"/>
        </w:rPr>
        <w:t>развернутой</w:t>
      </w:r>
      <w:r w:rsidRPr="00F5241D">
        <w:rPr>
          <w:snapToGrid w:val="0"/>
          <w:kern w:val="22"/>
          <w:szCs w:val="22"/>
          <w:lang w:val="ru-RU"/>
        </w:rPr>
        <w:t xml:space="preserve"> </w:t>
      </w:r>
      <w:r w:rsidRPr="005355EE">
        <w:rPr>
          <w:snapToGrid w:val="0"/>
          <w:kern w:val="22"/>
          <w:szCs w:val="22"/>
          <w:lang w:val="ru-RU"/>
        </w:rPr>
        <w:t>форме</w:t>
      </w:r>
      <w:r w:rsidRPr="00F5241D">
        <w:rPr>
          <w:snapToGrid w:val="0"/>
          <w:kern w:val="22"/>
          <w:szCs w:val="22"/>
          <w:lang w:val="ru-RU"/>
        </w:rPr>
        <w:t xml:space="preserve"> </w:t>
      </w:r>
      <w:r w:rsidRPr="005355EE">
        <w:rPr>
          <w:iCs/>
          <w:snapToGrid w:val="0"/>
          <w:kern w:val="22"/>
          <w:szCs w:val="22"/>
          <w:lang w:val="ru-RU"/>
        </w:rPr>
        <w:t>несколько</w:t>
      </w:r>
      <w:r w:rsidRPr="00F5241D">
        <w:rPr>
          <w:iCs/>
          <w:snapToGrid w:val="0"/>
          <w:kern w:val="22"/>
          <w:szCs w:val="22"/>
          <w:lang w:val="ru-RU"/>
        </w:rPr>
        <w:t xml:space="preserve"> </w:t>
      </w:r>
      <w:r w:rsidRPr="005355EE">
        <w:rPr>
          <w:iCs/>
          <w:snapToGrid w:val="0"/>
          <w:kern w:val="22"/>
          <w:szCs w:val="22"/>
          <w:lang w:val="ru-RU"/>
        </w:rPr>
        <w:t>Сторон</w:t>
      </w:r>
      <w:r w:rsidRPr="00F5241D">
        <w:rPr>
          <w:iCs/>
          <w:snapToGrid w:val="0"/>
          <w:kern w:val="22"/>
          <w:szCs w:val="22"/>
          <w:lang w:val="ru-RU"/>
        </w:rPr>
        <w:t xml:space="preserve"> </w:t>
      </w:r>
      <w:r w:rsidRPr="005355EE">
        <w:rPr>
          <w:iCs/>
          <w:snapToGrid w:val="0"/>
          <w:kern w:val="22"/>
          <w:szCs w:val="22"/>
          <w:lang w:val="ru-RU"/>
        </w:rPr>
        <w:t>отметили</w:t>
      </w:r>
      <w:r w:rsidRPr="00F5241D">
        <w:rPr>
          <w:iCs/>
          <w:snapToGrid w:val="0"/>
          <w:kern w:val="22"/>
          <w:szCs w:val="22"/>
          <w:lang w:val="ru-RU"/>
        </w:rPr>
        <w:t xml:space="preserve">, </w:t>
      </w:r>
      <w:r>
        <w:rPr>
          <w:iCs/>
          <w:snapToGrid w:val="0"/>
          <w:kern w:val="22"/>
          <w:szCs w:val="22"/>
          <w:lang w:val="ru-RU"/>
        </w:rPr>
        <w:t>что</w:t>
      </w:r>
      <w:r w:rsidRPr="00F5241D">
        <w:rPr>
          <w:iCs/>
          <w:snapToGrid w:val="0"/>
          <w:kern w:val="22"/>
          <w:szCs w:val="22"/>
          <w:lang w:val="ru-RU"/>
        </w:rPr>
        <w:t xml:space="preserve"> </w:t>
      </w:r>
      <w:r>
        <w:rPr>
          <w:iCs/>
          <w:snapToGrid w:val="0"/>
          <w:kern w:val="22"/>
          <w:szCs w:val="22"/>
          <w:lang w:val="ru-RU"/>
        </w:rPr>
        <w:t>материалы и модули были опубликованы главным образом для экспертов, а не для широкой общественности</w:t>
      </w:r>
      <w:r w:rsidR="004569FB" w:rsidRPr="00F5241D">
        <w:rPr>
          <w:iCs/>
          <w:snapToGrid w:val="0"/>
          <w:kern w:val="22"/>
          <w:szCs w:val="22"/>
          <w:lang w:val="ru-RU"/>
        </w:rPr>
        <w:t>.</w:t>
      </w:r>
    </w:p>
    <w:p w14:paraId="482E914A" w14:textId="5F07D170" w:rsidR="004569FB" w:rsidRPr="00AF0E39" w:rsidRDefault="00BE65E6"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sidRPr="00BE65E6">
        <w:rPr>
          <w:iCs/>
          <w:snapToGrid w:val="0"/>
          <w:kern w:val="22"/>
          <w:szCs w:val="22"/>
          <w:lang w:val="ru-RU"/>
        </w:rPr>
        <w:t xml:space="preserve">В </w:t>
      </w:r>
      <w:r w:rsidR="005F2731">
        <w:rPr>
          <w:iCs/>
          <w:snapToGrid w:val="0"/>
          <w:kern w:val="22"/>
          <w:szCs w:val="22"/>
          <w:lang w:val="ru-RU"/>
        </w:rPr>
        <w:t>о</w:t>
      </w:r>
      <w:r w:rsidRPr="00BE65E6">
        <w:rPr>
          <w:iCs/>
          <w:snapToGrid w:val="0"/>
          <w:kern w:val="22"/>
          <w:szCs w:val="22"/>
          <w:lang w:val="ru-RU"/>
        </w:rPr>
        <w:t xml:space="preserve">бследовании по программе работы </w:t>
      </w:r>
      <w:r>
        <w:rPr>
          <w:iCs/>
          <w:snapToGrid w:val="0"/>
          <w:kern w:val="22"/>
          <w:szCs w:val="22"/>
          <w:lang w:val="ru-RU"/>
        </w:rPr>
        <w:t>около</w:t>
      </w:r>
      <w:r w:rsidRPr="00BE65E6">
        <w:rPr>
          <w:iCs/>
          <w:snapToGrid w:val="0"/>
          <w:kern w:val="22"/>
          <w:szCs w:val="22"/>
          <w:lang w:val="ru-RU"/>
        </w:rPr>
        <w:t xml:space="preserve"> </w:t>
      </w:r>
      <w:r>
        <w:rPr>
          <w:iCs/>
          <w:snapToGrid w:val="0"/>
          <w:kern w:val="22"/>
          <w:szCs w:val="22"/>
          <w:lang w:val="ru-RU"/>
        </w:rPr>
        <w:t>трети</w:t>
      </w:r>
      <w:r w:rsidRPr="00BE65E6">
        <w:rPr>
          <w:iCs/>
          <w:snapToGrid w:val="0"/>
          <w:kern w:val="22"/>
          <w:szCs w:val="22"/>
          <w:lang w:val="ru-RU"/>
        </w:rPr>
        <w:t xml:space="preserve"> </w:t>
      </w:r>
      <w:r>
        <w:rPr>
          <w:iCs/>
          <w:snapToGrid w:val="0"/>
          <w:kern w:val="22"/>
          <w:szCs w:val="22"/>
          <w:lang w:val="ru-RU"/>
        </w:rPr>
        <w:t>респондентов</w:t>
      </w:r>
      <w:r w:rsidRPr="00BE65E6">
        <w:rPr>
          <w:iCs/>
          <w:snapToGrid w:val="0"/>
          <w:kern w:val="22"/>
          <w:szCs w:val="22"/>
          <w:lang w:val="ru-RU"/>
        </w:rPr>
        <w:t xml:space="preserve"> </w:t>
      </w:r>
      <w:r>
        <w:rPr>
          <w:iCs/>
          <w:snapToGrid w:val="0"/>
          <w:kern w:val="22"/>
          <w:szCs w:val="22"/>
          <w:lang w:val="ru-RU"/>
        </w:rPr>
        <w:t>сообщили</w:t>
      </w:r>
      <w:r w:rsidRPr="00BE65E6">
        <w:rPr>
          <w:iCs/>
          <w:snapToGrid w:val="0"/>
          <w:kern w:val="22"/>
          <w:szCs w:val="22"/>
          <w:lang w:val="ru-RU"/>
        </w:rPr>
        <w:t xml:space="preserve"> </w:t>
      </w:r>
      <w:r>
        <w:rPr>
          <w:iCs/>
          <w:snapToGrid w:val="0"/>
          <w:kern w:val="22"/>
          <w:szCs w:val="22"/>
          <w:lang w:val="ru-RU"/>
        </w:rPr>
        <w:t>о</w:t>
      </w:r>
      <w:r w:rsidRPr="00BE65E6">
        <w:rPr>
          <w:iCs/>
          <w:snapToGrid w:val="0"/>
          <w:kern w:val="22"/>
          <w:szCs w:val="22"/>
          <w:lang w:val="ru-RU"/>
        </w:rPr>
        <w:t xml:space="preserve"> </w:t>
      </w:r>
      <w:r>
        <w:rPr>
          <w:iCs/>
          <w:snapToGrid w:val="0"/>
          <w:kern w:val="22"/>
          <w:szCs w:val="22"/>
          <w:lang w:val="ru-RU"/>
        </w:rPr>
        <w:t>размещении</w:t>
      </w:r>
      <w:r w:rsidRPr="00BE65E6">
        <w:rPr>
          <w:iCs/>
          <w:snapToGrid w:val="0"/>
          <w:kern w:val="22"/>
          <w:szCs w:val="22"/>
          <w:lang w:val="ru-RU"/>
        </w:rPr>
        <w:t xml:space="preserve"> </w:t>
      </w:r>
      <w:r>
        <w:rPr>
          <w:iCs/>
          <w:snapToGrid w:val="0"/>
          <w:kern w:val="22"/>
          <w:szCs w:val="22"/>
          <w:lang w:val="ru-RU"/>
        </w:rPr>
        <w:t>или</w:t>
      </w:r>
      <w:r w:rsidRPr="00BE65E6">
        <w:rPr>
          <w:iCs/>
          <w:snapToGrid w:val="0"/>
          <w:kern w:val="22"/>
          <w:szCs w:val="22"/>
          <w:lang w:val="ru-RU"/>
        </w:rPr>
        <w:t xml:space="preserve"> </w:t>
      </w:r>
      <w:r>
        <w:rPr>
          <w:iCs/>
          <w:snapToGrid w:val="0"/>
          <w:kern w:val="22"/>
          <w:szCs w:val="22"/>
          <w:lang w:val="ru-RU"/>
        </w:rPr>
        <w:t>размещении</w:t>
      </w:r>
      <w:r w:rsidRPr="00BE65E6">
        <w:rPr>
          <w:iCs/>
          <w:snapToGrid w:val="0"/>
          <w:kern w:val="22"/>
          <w:szCs w:val="22"/>
          <w:lang w:val="ru-RU"/>
        </w:rPr>
        <w:t xml:space="preserve"> </w:t>
      </w:r>
      <w:r>
        <w:rPr>
          <w:iCs/>
          <w:snapToGrid w:val="0"/>
          <w:kern w:val="22"/>
          <w:szCs w:val="22"/>
          <w:lang w:val="ru-RU"/>
        </w:rPr>
        <w:t>в</w:t>
      </w:r>
      <w:r w:rsidRPr="00BE65E6">
        <w:rPr>
          <w:iCs/>
          <w:snapToGrid w:val="0"/>
          <w:kern w:val="22"/>
          <w:szCs w:val="22"/>
          <w:lang w:val="ru-RU"/>
        </w:rPr>
        <w:t xml:space="preserve"> </w:t>
      </w:r>
      <w:r>
        <w:rPr>
          <w:iCs/>
          <w:snapToGrid w:val="0"/>
          <w:kern w:val="22"/>
          <w:szCs w:val="22"/>
          <w:lang w:val="ru-RU"/>
        </w:rPr>
        <w:t>некоторой</w:t>
      </w:r>
      <w:r w:rsidRPr="00BE65E6">
        <w:rPr>
          <w:iCs/>
          <w:snapToGrid w:val="0"/>
          <w:kern w:val="22"/>
          <w:szCs w:val="22"/>
          <w:lang w:val="ru-RU"/>
        </w:rPr>
        <w:t xml:space="preserve"> </w:t>
      </w:r>
      <w:r>
        <w:rPr>
          <w:iCs/>
          <w:snapToGrid w:val="0"/>
          <w:kern w:val="22"/>
          <w:szCs w:val="22"/>
          <w:lang w:val="ru-RU"/>
        </w:rPr>
        <w:t>степени</w:t>
      </w:r>
      <w:r w:rsidRPr="00BE65E6">
        <w:rPr>
          <w:iCs/>
          <w:snapToGrid w:val="0"/>
          <w:kern w:val="22"/>
          <w:szCs w:val="22"/>
          <w:lang w:val="ru-RU"/>
        </w:rPr>
        <w:t xml:space="preserve"> </w:t>
      </w:r>
      <w:r>
        <w:rPr>
          <w:iCs/>
          <w:snapToGrid w:val="0"/>
          <w:kern w:val="22"/>
          <w:szCs w:val="22"/>
          <w:lang w:val="ru-RU"/>
        </w:rPr>
        <w:t>материалов по</w:t>
      </w:r>
      <w:r w:rsidRPr="00BE65E6">
        <w:rPr>
          <w:iCs/>
          <w:snapToGrid w:val="0"/>
          <w:kern w:val="22"/>
          <w:szCs w:val="22"/>
          <w:lang w:val="ru-RU"/>
        </w:rPr>
        <w:t xml:space="preserve"> </w:t>
      </w:r>
      <w:r>
        <w:rPr>
          <w:iCs/>
          <w:snapToGrid w:val="0"/>
          <w:kern w:val="22"/>
          <w:szCs w:val="18"/>
          <w:lang w:val="ru-RU"/>
        </w:rPr>
        <w:t>осведомлению</w:t>
      </w:r>
      <w:r w:rsidRPr="00F3245F">
        <w:rPr>
          <w:iCs/>
          <w:snapToGrid w:val="0"/>
          <w:kern w:val="22"/>
          <w:szCs w:val="18"/>
          <w:lang w:val="ru-RU"/>
        </w:rPr>
        <w:t>, просвещени</w:t>
      </w:r>
      <w:r>
        <w:rPr>
          <w:iCs/>
          <w:snapToGrid w:val="0"/>
          <w:kern w:val="22"/>
          <w:szCs w:val="18"/>
          <w:lang w:val="ru-RU"/>
        </w:rPr>
        <w:t>ю</w:t>
      </w:r>
      <w:r w:rsidRPr="00F3245F">
        <w:rPr>
          <w:iCs/>
          <w:snapToGrid w:val="0"/>
          <w:kern w:val="22"/>
          <w:szCs w:val="18"/>
          <w:lang w:val="ru-RU"/>
        </w:rPr>
        <w:t xml:space="preserve"> и участи</w:t>
      </w:r>
      <w:r>
        <w:rPr>
          <w:iCs/>
          <w:snapToGrid w:val="0"/>
          <w:kern w:val="22"/>
          <w:szCs w:val="18"/>
          <w:lang w:val="ru-RU"/>
        </w:rPr>
        <w:t>ю</w:t>
      </w:r>
      <w:r w:rsidRPr="00F3245F">
        <w:rPr>
          <w:iCs/>
          <w:snapToGrid w:val="0"/>
          <w:kern w:val="22"/>
          <w:szCs w:val="18"/>
          <w:lang w:val="ru-RU"/>
        </w:rPr>
        <w:t xml:space="preserve"> общественности</w:t>
      </w:r>
      <w:r>
        <w:rPr>
          <w:iCs/>
          <w:snapToGrid w:val="0"/>
          <w:kern w:val="22"/>
          <w:szCs w:val="18"/>
          <w:lang w:val="ru-RU"/>
        </w:rPr>
        <w:t xml:space="preserve"> в </w:t>
      </w:r>
      <w:proofErr w:type="spellStart"/>
      <w:r>
        <w:rPr>
          <w:iCs/>
          <w:snapToGrid w:val="0"/>
          <w:kern w:val="22"/>
          <w:szCs w:val="18"/>
          <w:lang w:val="ru-RU"/>
        </w:rPr>
        <w:t>МПБ</w:t>
      </w:r>
      <w:proofErr w:type="spellEnd"/>
      <w:r w:rsidR="004569FB" w:rsidRPr="00BE65E6">
        <w:rPr>
          <w:iCs/>
          <w:snapToGrid w:val="0"/>
          <w:kern w:val="22"/>
          <w:szCs w:val="22"/>
          <w:lang w:val="ru-RU"/>
        </w:rPr>
        <w:t xml:space="preserve">. </w:t>
      </w:r>
      <w:r>
        <w:rPr>
          <w:iCs/>
          <w:snapToGrid w:val="0"/>
          <w:kern w:val="22"/>
          <w:szCs w:val="22"/>
          <w:lang w:val="ru-RU"/>
        </w:rPr>
        <w:t>Некоторые</w:t>
      </w:r>
      <w:r w:rsidRPr="00AF0E39">
        <w:rPr>
          <w:iCs/>
          <w:snapToGrid w:val="0"/>
          <w:kern w:val="22"/>
          <w:szCs w:val="22"/>
          <w:lang w:val="ru-RU"/>
        </w:rPr>
        <w:t xml:space="preserve"> </w:t>
      </w:r>
      <w:r>
        <w:rPr>
          <w:iCs/>
          <w:snapToGrid w:val="0"/>
          <w:kern w:val="22"/>
          <w:szCs w:val="22"/>
          <w:lang w:val="ru-RU"/>
        </w:rPr>
        <w:t>из</w:t>
      </w:r>
      <w:r w:rsidRPr="00AF0E39">
        <w:rPr>
          <w:iCs/>
          <w:snapToGrid w:val="0"/>
          <w:kern w:val="22"/>
          <w:szCs w:val="22"/>
          <w:lang w:val="ru-RU"/>
        </w:rPr>
        <w:t xml:space="preserve"> </w:t>
      </w:r>
      <w:r>
        <w:rPr>
          <w:iCs/>
          <w:snapToGrid w:val="0"/>
          <w:kern w:val="22"/>
          <w:szCs w:val="22"/>
          <w:lang w:val="ru-RU"/>
        </w:rPr>
        <w:t>этих</w:t>
      </w:r>
      <w:r w:rsidRPr="00AF0E39">
        <w:rPr>
          <w:iCs/>
          <w:snapToGrid w:val="0"/>
          <w:kern w:val="22"/>
          <w:szCs w:val="22"/>
          <w:lang w:val="ru-RU"/>
        </w:rPr>
        <w:t xml:space="preserve"> </w:t>
      </w:r>
      <w:r>
        <w:rPr>
          <w:iCs/>
          <w:snapToGrid w:val="0"/>
          <w:kern w:val="22"/>
          <w:szCs w:val="22"/>
          <w:lang w:val="ru-RU"/>
        </w:rPr>
        <w:t>респондентов</w:t>
      </w:r>
      <w:r w:rsidRPr="00AF0E39">
        <w:rPr>
          <w:iCs/>
          <w:snapToGrid w:val="0"/>
          <w:kern w:val="22"/>
          <w:szCs w:val="22"/>
          <w:lang w:val="ru-RU"/>
        </w:rPr>
        <w:t xml:space="preserve"> </w:t>
      </w:r>
      <w:r>
        <w:rPr>
          <w:iCs/>
          <w:snapToGrid w:val="0"/>
          <w:kern w:val="22"/>
          <w:szCs w:val="22"/>
          <w:lang w:val="ru-RU"/>
        </w:rPr>
        <w:t>отметили</w:t>
      </w:r>
      <w:r w:rsidRPr="00AF0E39">
        <w:rPr>
          <w:iCs/>
          <w:snapToGrid w:val="0"/>
          <w:kern w:val="22"/>
          <w:szCs w:val="22"/>
          <w:lang w:val="ru-RU"/>
        </w:rPr>
        <w:t xml:space="preserve">, </w:t>
      </w:r>
      <w:r>
        <w:rPr>
          <w:iCs/>
          <w:snapToGrid w:val="0"/>
          <w:kern w:val="22"/>
          <w:szCs w:val="22"/>
          <w:lang w:val="ru-RU"/>
        </w:rPr>
        <w:t>что</w:t>
      </w:r>
      <w:r w:rsidRPr="00AF0E39">
        <w:rPr>
          <w:iCs/>
          <w:snapToGrid w:val="0"/>
          <w:kern w:val="22"/>
          <w:szCs w:val="22"/>
          <w:lang w:val="ru-RU"/>
        </w:rPr>
        <w:t xml:space="preserve"> </w:t>
      </w:r>
      <w:r>
        <w:rPr>
          <w:iCs/>
          <w:snapToGrid w:val="0"/>
          <w:kern w:val="22"/>
          <w:szCs w:val="22"/>
          <w:lang w:val="ru-RU"/>
        </w:rPr>
        <w:t>эти</w:t>
      </w:r>
      <w:r w:rsidRPr="00AF0E39">
        <w:rPr>
          <w:iCs/>
          <w:snapToGrid w:val="0"/>
          <w:kern w:val="22"/>
          <w:szCs w:val="22"/>
          <w:lang w:val="ru-RU"/>
        </w:rPr>
        <w:t xml:space="preserve"> </w:t>
      </w:r>
      <w:r>
        <w:rPr>
          <w:iCs/>
          <w:snapToGrid w:val="0"/>
          <w:kern w:val="22"/>
          <w:szCs w:val="22"/>
          <w:lang w:val="ru-RU"/>
        </w:rPr>
        <w:t>материалы</w:t>
      </w:r>
      <w:r w:rsidRPr="00AF0E39">
        <w:rPr>
          <w:iCs/>
          <w:snapToGrid w:val="0"/>
          <w:kern w:val="22"/>
          <w:szCs w:val="22"/>
          <w:lang w:val="ru-RU"/>
        </w:rPr>
        <w:t xml:space="preserve"> </w:t>
      </w:r>
      <w:r w:rsidR="005F2731">
        <w:rPr>
          <w:iCs/>
          <w:snapToGrid w:val="0"/>
          <w:kern w:val="22"/>
          <w:szCs w:val="22"/>
          <w:lang w:val="ru-RU"/>
        </w:rPr>
        <w:t>являются</w:t>
      </w:r>
      <w:r w:rsidR="00AF0E39" w:rsidRPr="00AF0E39">
        <w:rPr>
          <w:iCs/>
          <w:snapToGrid w:val="0"/>
          <w:kern w:val="22"/>
          <w:szCs w:val="22"/>
          <w:lang w:val="ru-RU"/>
        </w:rPr>
        <w:t xml:space="preserve"> </w:t>
      </w:r>
      <w:r w:rsidR="00AF0E39">
        <w:rPr>
          <w:iCs/>
          <w:snapToGrid w:val="0"/>
          <w:kern w:val="22"/>
          <w:szCs w:val="22"/>
          <w:lang w:val="ru-RU"/>
        </w:rPr>
        <w:t>учебными</w:t>
      </w:r>
      <w:r w:rsidR="00AF0E39" w:rsidRPr="00AF0E39">
        <w:rPr>
          <w:iCs/>
          <w:snapToGrid w:val="0"/>
          <w:kern w:val="22"/>
          <w:szCs w:val="22"/>
          <w:lang w:val="ru-RU"/>
        </w:rPr>
        <w:t xml:space="preserve"> </w:t>
      </w:r>
      <w:r w:rsidR="00AF0E39">
        <w:rPr>
          <w:iCs/>
          <w:snapToGrid w:val="0"/>
          <w:kern w:val="22"/>
          <w:szCs w:val="22"/>
          <w:lang w:val="ru-RU"/>
        </w:rPr>
        <w:t>и</w:t>
      </w:r>
      <w:r w:rsidR="00AF0E39" w:rsidRPr="00AF0E39">
        <w:rPr>
          <w:iCs/>
          <w:snapToGrid w:val="0"/>
          <w:kern w:val="22"/>
          <w:szCs w:val="22"/>
          <w:lang w:val="ru-RU"/>
        </w:rPr>
        <w:t xml:space="preserve"> </w:t>
      </w:r>
      <w:r w:rsidR="00AF0E39">
        <w:rPr>
          <w:iCs/>
          <w:snapToGrid w:val="0"/>
          <w:kern w:val="22"/>
          <w:szCs w:val="22"/>
          <w:lang w:val="ru-RU"/>
        </w:rPr>
        <w:t>включа</w:t>
      </w:r>
      <w:r w:rsidR="005F2731">
        <w:rPr>
          <w:iCs/>
          <w:snapToGrid w:val="0"/>
          <w:kern w:val="22"/>
          <w:szCs w:val="22"/>
          <w:lang w:val="ru-RU"/>
        </w:rPr>
        <w:t>ют</w:t>
      </w:r>
      <w:r w:rsidR="00AF0E39" w:rsidRPr="00AF0E39">
        <w:rPr>
          <w:iCs/>
          <w:snapToGrid w:val="0"/>
          <w:kern w:val="22"/>
          <w:szCs w:val="22"/>
          <w:lang w:val="ru-RU"/>
        </w:rPr>
        <w:t xml:space="preserve"> </w:t>
      </w:r>
      <w:r w:rsidR="00AF0E39">
        <w:rPr>
          <w:iCs/>
          <w:snapToGrid w:val="0"/>
          <w:kern w:val="22"/>
          <w:szCs w:val="22"/>
          <w:lang w:val="ru-RU"/>
        </w:rPr>
        <w:t>мультимедийные</w:t>
      </w:r>
      <w:r w:rsidR="00AF0E39" w:rsidRPr="00AF0E39">
        <w:rPr>
          <w:iCs/>
          <w:snapToGrid w:val="0"/>
          <w:kern w:val="22"/>
          <w:szCs w:val="22"/>
          <w:lang w:val="ru-RU"/>
        </w:rPr>
        <w:t xml:space="preserve"> </w:t>
      </w:r>
      <w:r w:rsidR="00AF0E39">
        <w:rPr>
          <w:iCs/>
          <w:snapToGrid w:val="0"/>
          <w:kern w:val="22"/>
          <w:szCs w:val="22"/>
          <w:lang w:val="ru-RU"/>
        </w:rPr>
        <w:t>материалы</w:t>
      </w:r>
      <w:r w:rsidR="00AF0E39" w:rsidRPr="00AF0E39">
        <w:rPr>
          <w:iCs/>
          <w:snapToGrid w:val="0"/>
          <w:kern w:val="22"/>
          <w:szCs w:val="22"/>
          <w:lang w:val="ru-RU"/>
        </w:rPr>
        <w:t xml:space="preserve"> </w:t>
      </w:r>
      <w:r w:rsidR="00AF0E39">
        <w:rPr>
          <w:iCs/>
          <w:snapToGrid w:val="0"/>
          <w:kern w:val="22"/>
          <w:szCs w:val="22"/>
          <w:lang w:val="ru-RU"/>
        </w:rPr>
        <w:t>и</w:t>
      </w:r>
      <w:r w:rsidR="00AF0E39" w:rsidRPr="00AF0E39">
        <w:rPr>
          <w:iCs/>
          <w:snapToGrid w:val="0"/>
          <w:kern w:val="22"/>
          <w:szCs w:val="22"/>
          <w:lang w:val="ru-RU"/>
        </w:rPr>
        <w:t xml:space="preserve"> </w:t>
      </w:r>
      <w:r w:rsidR="00AF0E39">
        <w:rPr>
          <w:iCs/>
          <w:snapToGrid w:val="0"/>
          <w:kern w:val="22"/>
          <w:szCs w:val="22"/>
          <w:lang w:val="ru-RU"/>
        </w:rPr>
        <w:t>сетевые учебные модули</w:t>
      </w:r>
      <w:r w:rsidR="004569FB" w:rsidRPr="00AF0E39">
        <w:rPr>
          <w:iCs/>
          <w:snapToGrid w:val="0"/>
          <w:kern w:val="22"/>
          <w:szCs w:val="22"/>
          <w:lang w:val="ru-RU"/>
        </w:rPr>
        <w:t>.</w:t>
      </w:r>
    </w:p>
    <w:p w14:paraId="3AECCCD7" w14:textId="518458E0" w:rsidR="004569FB" w:rsidRPr="00AF0E39" w:rsidRDefault="00AF0E39" w:rsidP="000A5388">
      <w:pPr>
        <w:suppressLineNumbers/>
        <w:suppressAutoHyphens/>
        <w:spacing w:before="120" w:after="120"/>
        <w:textAlignment w:val="baseline"/>
        <w:outlineLvl w:val="2"/>
        <w:rPr>
          <w:b/>
          <w:iCs/>
          <w:snapToGrid w:val="0"/>
          <w:kern w:val="22"/>
          <w:szCs w:val="22"/>
          <w:lang w:val="ru-RU"/>
        </w:rPr>
      </w:pPr>
      <w:r>
        <w:rPr>
          <w:b/>
          <w:iCs/>
          <w:snapToGrid w:val="0"/>
          <w:kern w:val="22"/>
          <w:szCs w:val="22"/>
          <w:lang w:val="ru-RU"/>
        </w:rPr>
        <w:t>Оперативная</w:t>
      </w:r>
      <w:r w:rsidRPr="003926D8">
        <w:rPr>
          <w:b/>
          <w:iCs/>
          <w:snapToGrid w:val="0"/>
          <w:kern w:val="22"/>
          <w:szCs w:val="22"/>
          <w:lang w:val="ru-RU"/>
        </w:rPr>
        <w:t xml:space="preserve"> </w:t>
      </w:r>
      <w:r>
        <w:rPr>
          <w:b/>
          <w:iCs/>
          <w:snapToGrid w:val="0"/>
          <w:kern w:val="22"/>
          <w:szCs w:val="22"/>
          <w:lang w:val="ru-RU"/>
        </w:rPr>
        <w:t>цель</w:t>
      </w:r>
      <w:r w:rsidR="004569FB" w:rsidRPr="003926D8">
        <w:rPr>
          <w:b/>
          <w:iCs/>
          <w:snapToGrid w:val="0"/>
          <w:kern w:val="22"/>
          <w:szCs w:val="22"/>
          <w:lang w:val="ru-RU"/>
        </w:rPr>
        <w:t xml:space="preserve"> 4.3</w:t>
      </w:r>
      <w:r w:rsidRPr="003926D8">
        <w:rPr>
          <w:b/>
          <w:iCs/>
          <w:snapToGrid w:val="0"/>
          <w:kern w:val="22"/>
          <w:szCs w:val="22"/>
          <w:lang w:val="ru-RU"/>
        </w:rPr>
        <w:t>.</w:t>
      </w:r>
      <w:r w:rsidR="004569FB" w:rsidRPr="003926D8">
        <w:rPr>
          <w:b/>
          <w:iCs/>
          <w:snapToGrid w:val="0"/>
          <w:kern w:val="22"/>
          <w:szCs w:val="22"/>
          <w:lang w:val="ru-RU"/>
        </w:rPr>
        <w:t xml:space="preserve"> </w:t>
      </w:r>
      <w:r w:rsidRPr="00AF0E39">
        <w:rPr>
          <w:b/>
          <w:iCs/>
          <w:snapToGrid w:val="0"/>
          <w:kern w:val="22"/>
          <w:szCs w:val="22"/>
          <w:lang w:val="ru-RU"/>
        </w:rPr>
        <w:t>Обмен информацией по другим каналам, кроме Механизма посредничества по биобезопасности</w:t>
      </w:r>
    </w:p>
    <w:p w14:paraId="297B233B" w14:textId="54D019AA" w:rsidR="004569FB" w:rsidRPr="001F34DB" w:rsidRDefault="001F34DB" w:rsidP="004569FB">
      <w:pPr>
        <w:pStyle w:val="a3"/>
        <w:numPr>
          <w:ilvl w:val="0"/>
          <w:numId w:val="9"/>
        </w:numPr>
        <w:suppressLineNumbers/>
        <w:tabs>
          <w:tab w:val="clear" w:pos="3240"/>
        </w:tabs>
        <w:suppressAutoHyphens/>
        <w:snapToGrid w:val="0"/>
        <w:spacing w:before="120" w:after="120"/>
        <w:ind w:left="0" w:firstLine="0"/>
        <w:contextualSpacing w:val="0"/>
        <w:rPr>
          <w:i/>
          <w:iCs/>
          <w:snapToGrid w:val="0"/>
          <w:kern w:val="22"/>
          <w:szCs w:val="22"/>
          <w:lang w:val="ru-RU"/>
        </w:rPr>
      </w:pPr>
      <w:r w:rsidRPr="001F34DB">
        <w:rPr>
          <w:snapToGrid w:val="0"/>
          <w:kern w:val="22"/>
          <w:szCs w:val="22"/>
          <w:lang w:val="ru-RU"/>
        </w:rPr>
        <w:t xml:space="preserve">Оперативная цель 4.3 предусматривает развитие более глубокого понимания биобезопасности через механизмы обмена информацией, кроме </w:t>
      </w:r>
      <w:proofErr w:type="spellStart"/>
      <w:r w:rsidRPr="001F34DB">
        <w:rPr>
          <w:snapToGrid w:val="0"/>
          <w:kern w:val="22"/>
          <w:szCs w:val="22"/>
          <w:lang w:val="ru-RU"/>
        </w:rPr>
        <w:t>М</w:t>
      </w:r>
      <w:r w:rsidR="005F2731">
        <w:rPr>
          <w:snapToGrid w:val="0"/>
          <w:kern w:val="22"/>
          <w:szCs w:val="22"/>
          <w:lang w:val="ru-RU"/>
        </w:rPr>
        <w:t>ПБ</w:t>
      </w:r>
      <w:proofErr w:type="spellEnd"/>
      <w:r w:rsidR="004569FB" w:rsidRPr="001F34DB">
        <w:rPr>
          <w:snapToGrid w:val="0"/>
          <w:kern w:val="22"/>
          <w:szCs w:val="22"/>
          <w:lang w:val="ru-RU"/>
        </w:rPr>
        <w:t xml:space="preserve">. </w:t>
      </w:r>
      <w:r w:rsidRPr="001F34DB">
        <w:rPr>
          <w:snapToGrid w:val="0"/>
          <w:kern w:val="22"/>
          <w:szCs w:val="22"/>
          <w:lang w:val="ru-RU"/>
        </w:rPr>
        <w:t xml:space="preserve">Имеется </w:t>
      </w:r>
      <w:r>
        <w:rPr>
          <w:snapToGrid w:val="0"/>
          <w:kern w:val="22"/>
          <w:szCs w:val="22"/>
          <w:lang w:val="ru-RU"/>
        </w:rPr>
        <w:t>два</w:t>
      </w:r>
      <w:r w:rsidRPr="001F34DB">
        <w:rPr>
          <w:snapToGrid w:val="0"/>
          <w:kern w:val="22"/>
          <w:szCs w:val="22"/>
          <w:lang w:val="ru-RU"/>
        </w:rPr>
        <w:t xml:space="preserve"> индикатора для оценки результатов выполнения данной оперативной цели</w:t>
      </w:r>
      <w:r w:rsidR="004569FB" w:rsidRPr="001F34DB">
        <w:rPr>
          <w:snapToGrid w:val="0"/>
          <w:kern w:val="22"/>
          <w:szCs w:val="22"/>
          <w:lang w:val="ru-RU"/>
        </w:rPr>
        <w:t>.</w:t>
      </w:r>
    </w:p>
    <w:p w14:paraId="74036114" w14:textId="46F83049" w:rsidR="004569FB" w:rsidRPr="005F2731" w:rsidRDefault="008B088F" w:rsidP="004569FB">
      <w:pPr>
        <w:pStyle w:val="a3"/>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lang w:val="ru-RU"/>
        </w:rPr>
      </w:pPr>
      <w:r w:rsidRPr="005F2731">
        <w:rPr>
          <w:snapToGrid w:val="0"/>
          <w:spacing w:val="-2"/>
          <w:kern w:val="22"/>
          <w:szCs w:val="22"/>
          <w:lang w:val="ru-RU"/>
        </w:rPr>
        <w:lastRenderedPageBreak/>
        <w:t xml:space="preserve">В отношении </w:t>
      </w:r>
      <w:r w:rsidRPr="005F2731">
        <w:rPr>
          <w:b/>
          <w:iCs/>
          <w:snapToGrid w:val="0"/>
          <w:spacing w:val="-2"/>
          <w:kern w:val="22"/>
          <w:szCs w:val="22"/>
          <w:lang w:val="ru-RU"/>
        </w:rPr>
        <w:t>индикатора</w:t>
      </w:r>
      <w:r w:rsidR="004569FB" w:rsidRPr="005F2731">
        <w:rPr>
          <w:b/>
          <w:iCs/>
          <w:snapToGrid w:val="0"/>
          <w:spacing w:val="-2"/>
          <w:kern w:val="22"/>
          <w:szCs w:val="22"/>
          <w:lang w:val="ru-RU"/>
        </w:rPr>
        <w:t xml:space="preserve"> 4.3.1</w:t>
      </w:r>
      <w:r w:rsidR="004569FB" w:rsidRPr="005F2731">
        <w:rPr>
          <w:iCs/>
          <w:snapToGrid w:val="0"/>
          <w:spacing w:val="-2"/>
          <w:kern w:val="22"/>
          <w:szCs w:val="22"/>
          <w:lang w:val="ru-RU"/>
        </w:rPr>
        <w:t xml:space="preserve"> (</w:t>
      </w:r>
      <w:r w:rsidRPr="005F2731">
        <w:rPr>
          <w:iCs/>
          <w:snapToGrid w:val="0"/>
          <w:spacing w:val="-2"/>
          <w:kern w:val="22"/>
          <w:szCs w:val="22"/>
          <w:lang w:val="ru-RU"/>
        </w:rPr>
        <w:t>число организованных мероприятий, посвященных тематике биобезопасности)</w:t>
      </w:r>
      <w:r w:rsidR="004569FB" w:rsidRPr="005F2731">
        <w:rPr>
          <w:iCs/>
          <w:snapToGrid w:val="0"/>
          <w:spacing w:val="-2"/>
          <w:kern w:val="22"/>
          <w:szCs w:val="22"/>
          <w:lang w:val="ru-RU"/>
        </w:rPr>
        <w:t xml:space="preserve"> </w:t>
      </w:r>
      <w:r w:rsidR="004569FB" w:rsidRPr="005F2731">
        <w:rPr>
          <w:snapToGrid w:val="0"/>
          <w:spacing w:val="-2"/>
          <w:kern w:val="22"/>
          <w:szCs w:val="22"/>
          <w:lang w:val="ru-RU"/>
        </w:rPr>
        <w:t>92</w:t>
      </w:r>
      <w:r w:rsidRPr="005F2731">
        <w:rPr>
          <w:snapToGrid w:val="0"/>
          <w:spacing w:val="-2"/>
          <w:kern w:val="22"/>
          <w:szCs w:val="22"/>
          <w:lang w:val="en-US"/>
        </w:rPr>
        <w:t> </w:t>
      </w:r>
      <w:r w:rsidR="004569FB" w:rsidRPr="005F2731">
        <w:rPr>
          <w:snapToGrid w:val="0"/>
          <w:spacing w:val="-2"/>
          <w:kern w:val="22"/>
          <w:szCs w:val="22"/>
          <w:lang w:val="ru-RU"/>
        </w:rPr>
        <w:t xml:space="preserve">% </w:t>
      </w:r>
      <w:r w:rsidRPr="005F2731">
        <w:rPr>
          <w:snapToGrid w:val="0"/>
          <w:spacing w:val="-2"/>
          <w:kern w:val="22"/>
          <w:szCs w:val="22"/>
          <w:lang w:val="ru-RU"/>
        </w:rPr>
        <w:t>Сторон</w:t>
      </w:r>
      <w:r w:rsidR="004569FB" w:rsidRPr="005F2731">
        <w:rPr>
          <w:snapToGrid w:val="0"/>
          <w:spacing w:val="-2"/>
          <w:kern w:val="22"/>
          <w:szCs w:val="22"/>
          <w:lang w:val="ru-RU"/>
        </w:rPr>
        <w:t xml:space="preserve"> </w:t>
      </w:r>
      <w:r w:rsidR="00A42BE6" w:rsidRPr="005F2731">
        <w:rPr>
          <w:snapToGrid w:val="0"/>
          <w:spacing w:val="-2"/>
          <w:kern w:val="22"/>
          <w:szCs w:val="22"/>
          <w:lang w:val="ru-RU"/>
        </w:rPr>
        <w:t xml:space="preserve">(65 </w:t>
      </w:r>
      <w:r w:rsidRPr="005F2731">
        <w:rPr>
          <w:snapToGrid w:val="0"/>
          <w:spacing w:val="-2"/>
          <w:kern w:val="22"/>
          <w:szCs w:val="22"/>
          <w:lang w:val="ru-RU"/>
        </w:rPr>
        <w:t>Сторон</w:t>
      </w:r>
      <w:r w:rsidR="00A42BE6" w:rsidRPr="005F2731">
        <w:rPr>
          <w:snapToGrid w:val="0"/>
          <w:spacing w:val="-2"/>
          <w:kern w:val="22"/>
          <w:szCs w:val="22"/>
          <w:lang w:val="ru-RU"/>
        </w:rPr>
        <w:t xml:space="preserve">) </w:t>
      </w:r>
      <w:r w:rsidRPr="005F2731">
        <w:rPr>
          <w:snapToGrid w:val="0"/>
          <w:spacing w:val="-2"/>
          <w:kern w:val="22"/>
          <w:szCs w:val="22"/>
          <w:lang w:val="ru-RU"/>
        </w:rPr>
        <w:t xml:space="preserve">сообщили об организации в текущем отчетном </w:t>
      </w:r>
      <w:proofErr w:type="gramStart"/>
      <w:r w:rsidRPr="005F2731">
        <w:rPr>
          <w:snapToGrid w:val="0"/>
          <w:spacing w:val="-2"/>
          <w:kern w:val="22"/>
          <w:szCs w:val="22"/>
          <w:lang w:val="ru-RU"/>
        </w:rPr>
        <w:t>периоде</w:t>
      </w:r>
      <w:proofErr w:type="gramEnd"/>
      <w:r w:rsidRPr="005F2731">
        <w:rPr>
          <w:snapToGrid w:val="0"/>
          <w:spacing w:val="-2"/>
          <w:kern w:val="22"/>
          <w:szCs w:val="22"/>
          <w:lang w:val="ru-RU"/>
        </w:rPr>
        <w:t xml:space="preserve"> по крайней мере одного </w:t>
      </w:r>
      <w:r w:rsidRPr="005F2731">
        <w:rPr>
          <w:iCs/>
          <w:snapToGrid w:val="0"/>
          <w:spacing w:val="-2"/>
          <w:kern w:val="22"/>
          <w:szCs w:val="22"/>
          <w:lang w:val="ru-RU"/>
        </w:rPr>
        <w:t>посвященного биобезопасности</w:t>
      </w:r>
      <w:r w:rsidRPr="005F2731">
        <w:rPr>
          <w:snapToGrid w:val="0"/>
          <w:spacing w:val="-2"/>
          <w:kern w:val="22"/>
          <w:szCs w:val="22"/>
          <w:lang w:val="ru-RU"/>
        </w:rPr>
        <w:t xml:space="preserve"> мероприятия, такого как семинар, практикум, пресс-конференция</w:t>
      </w:r>
      <w:r w:rsidRPr="005F2731">
        <w:rPr>
          <w:iCs/>
          <w:snapToGrid w:val="0"/>
          <w:spacing w:val="-2"/>
          <w:kern w:val="22"/>
          <w:szCs w:val="22"/>
          <w:lang w:val="ru-RU"/>
        </w:rPr>
        <w:t>, просветительское мероприятие и т. п.</w:t>
      </w:r>
      <w:r w:rsidR="004569FB" w:rsidRPr="005F2731">
        <w:rPr>
          <w:snapToGrid w:val="0"/>
          <w:spacing w:val="-2"/>
          <w:kern w:val="22"/>
          <w:szCs w:val="22"/>
          <w:lang w:val="ru-RU"/>
        </w:rPr>
        <w:t xml:space="preserve"> </w:t>
      </w:r>
      <w:r w:rsidRPr="005F2731">
        <w:rPr>
          <w:snapToGrid w:val="0"/>
          <w:spacing w:val="-2"/>
          <w:kern w:val="22"/>
          <w:szCs w:val="22"/>
          <w:lang w:val="ru-RU"/>
        </w:rPr>
        <w:t>Это соответствует увеличению на</w:t>
      </w:r>
      <w:r w:rsidR="004569FB" w:rsidRPr="005F2731">
        <w:rPr>
          <w:snapToGrid w:val="0"/>
          <w:spacing w:val="-2"/>
          <w:kern w:val="22"/>
          <w:szCs w:val="22"/>
          <w:lang w:val="ru-RU"/>
        </w:rPr>
        <w:t xml:space="preserve"> 3</w:t>
      </w:r>
      <w:r w:rsidRPr="005F2731">
        <w:rPr>
          <w:snapToGrid w:val="0"/>
          <w:spacing w:val="-2"/>
          <w:kern w:val="22"/>
          <w:szCs w:val="22"/>
          <w:lang w:val="ru-RU"/>
        </w:rPr>
        <w:t> </w:t>
      </w:r>
      <w:r w:rsidR="004569FB" w:rsidRPr="005F2731">
        <w:rPr>
          <w:snapToGrid w:val="0"/>
          <w:spacing w:val="-2"/>
          <w:kern w:val="22"/>
          <w:szCs w:val="22"/>
          <w:lang w:val="ru-RU"/>
        </w:rPr>
        <w:t xml:space="preserve">% </w:t>
      </w:r>
      <w:r w:rsidRPr="005F2731">
        <w:rPr>
          <w:snapToGrid w:val="0"/>
          <w:spacing w:val="-2"/>
          <w:kern w:val="22"/>
          <w:szCs w:val="22"/>
          <w:lang w:val="ru-RU"/>
        </w:rPr>
        <w:t>по сравнению с исходным уровнем</w:t>
      </w:r>
      <w:r w:rsidR="004569FB" w:rsidRPr="005F2731">
        <w:rPr>
          <w:snapToGrid w:val="0"/>
          <w:spacing w:val="-2"/>
          <w:kern w:val="22"/>
          <w:szCs w:val="22"/>
          <w:lang w:val="ru-RU"/>
        </w:rPr>
        <w:t>.</w:t>
      </w:r>
      <w:r w:rsidRPr="005F2731">
        <w:rPr>
          <w:snapToGrid w:val="0"/>
          <w:spacing w:val="-2"/>
          <w:kern w:val="22"/>
          <w:szCs w:val="22"/>
          <w:lang w:val="ru-RU"/>
        </w:rPr>
        <w:t xml:space="preserve"> В общей сложности</w:t>
      </w:r>
      <w:r w:rsidR="004569FB" w:rsidRPr="005F2731">
        <w:rPr>
          <w:snapToGrid w:val="0"/>
          <w:spacing w:val="-2"/>
          <w:kern w:val="22"/>
          <w:szCs w:val="22"/>
          <w:lang w:val="ru-RU"/>
        </w:rPr>
        <w:t xml:space="preserve"> 27</w:t>
      </w:r>
      <w:r w:rsidRPr="005F2731">
        <w:rPr>
          <w:snapToGrid w:val="0"/>
          <w:spacing w:val="-2"/>
          <w:kern w:val="22"/>
          <w:szCs w:val="22"/>
          <w:lang w:val="en-US"/>
        </w:rPr>
        <w:t> </w:t>
      </w:r>
      <w:r w:rsidR="004569FB" w:rsidRPr="005F2731">
        <w:rPr>
          <w:snapToGrid w:val="0"/>
          <w:spacing w:val="-2"/>
          <w:kern w:val="22"/>
          <w:szCs w:val="22"/>
          <w:lang w:val="ru-RU"/>
        </w:rPr>
        <w:t xml:space="preserve">% </w:t>
      </w:r>
      <w:r w:rsidRPr="005F2731">
        <w:rPr>
          <w:snapToGrid w:val="0"/>
          <w:spacing w:val="-2"/>
          <w:kern w:val="22"/>
          <w:szCs w:val="22"/>
          <w:lang w:val="ru-RU"/>
        </w:rPr>
        <w:t>Сторон сообщили об организации</w:t>
      </w:r>
      <w:r w:rsidR="004569FB" w:rsidRPr="005F2731">
        <w:rPr>
          <w:snapToGrid w:val="0"/>
          <w:spacing w:val="-2"/>
          <w:kern w:val="22"/>
          <w:szCs w:val="22"/>
          <w:lang w:val="ru-RU"/>
        </w:rPr>
        <w:t xml:space="preserve"> 1</w:t>
      </w:r>
      <w:r w:rsidRPr="005F2731">
        <w:rPr>
          <w:snapToGrid w:val="0"/>
          <w:spacing w:val="-2"/>
          <w:kern w:val="22"/>
          <w:szCs w:val="22"/>
          <w:lang w:val="ru-RU"/>
        </w:rPr>
        <w:t>–</w:t>
      </w:r>
      <w:r w:rsidR="004569FB" w:rsidRPr="005F2731">
        <w:rPr>
          <w:snapToGrid w:val="0"/>
          <w:spacing w:val="-2"/>
          <w:kern w:val="22"/>
          <w:szCs w:val="22"/>
          <w:lang w:val="ru-RU"/>
        </w:rPr>
        <w:t xml:space="preserve">4 </w:t>
      </w:r>
      <w:r w:rsidRPr="005F2731">
        <w:rPr>
          <w:snapToGrid w:val="0"/>
          <w:spacing w:val="-2"/>
          <w:kern w:val="22"/>
          <w:szCs w:val="22"/>
          <w:lang w:val="ru-RU"/>
        </w:rPr>
        <w:t>мероприятий</w:t>
      </w:r>
      <w:r w:rsidR="004569FB" w:rsidRPr="005F2731">
        <w:rPr>
          <w:snapToGrid w:val="0"/>
          <w:spacing w:val="-2"/>
          <w:kern w:val="22"/>
          <w:szCs w:val="22"/>
          <w:lang w:val="ru-RU"/>
        </w:rPr>
        <w:t>, 20</w:t>
      </w:r>
      <w:r w:rsidRPr="005F2731">
        <w:rPr>
          <w:snapToGrid w:val="0"/>
          <w:spacing w:val="-2"/>
          <w:kern w:val="22"/>
          <w:szCs w:val="22"/>
          <w:lang w:val="en-US"/>
        </w:rPr>
        <w:t> </w:t>
      </w:r>
      <w:r w:rsidR="004569FB" w:rsidRPr="005F2731">
        <w:rPr>
          <w:snapToGrid w:val="0"/>
          <w:spacing w:val="-2"/>
          <w:kern w:val="22"/>
          <w:szCs w:val="22"/>
          <w:lang w:val="ru-RU"/>
        </w:rPr>
        <w:t xml:space="preserve">% </w:t>
      </w:r>
      <w:r w:rsidRPr="005F2731">
        <w:rPr>
          <w:snapToGrid w:val="0"/>
          <w:spacing w:val="-2"/>
          <w:kern w:val="22"/>
          <w:szCs w:val="22"/>
          <w:lang w:val="ru-RU"/>
        </w:rPr>
        <w:t>–</w:t>
      </w:r>
      <w:r w:rsidR="004569FB" w:rsidRPr="005F2731">
        <w:rPr>
          <w:snapToGrid w:val="0"/>
          <w:spacing w:val="-2"/>
          <w:kern w:val="22"/>
          <w:szCs w:val="22"/>
          <w:lang w:val="ru-RU"/>
        </w:rPr>
        <w:t xml:space="preserve"> 5</w:t>
      </w:r>
      <w:r w:rsidRPr="005F2731">
        <w:rPr>
          <w:snapToGrid w:val="0"/>
          <w:spacing w:val="-2"/>
          <w:kern w:val="22"/>
          <w:szCs w:val="22"/>
          <w:lang w:val="ru-RU"/>
        </w:rPr>
        <w:t>–</w:t>
      </w:r>
      <w:r w:rsidR="004569FB" w:rsidRPr="005F2731">
        <w:rPr>
          <w:snapToGrid w:val="0"/>
          <w:spacing w:val="-2"/>
          <w:kern w:val="22"/>
          <w:szCs w:val="22"/>
          <w:lang w:val="ru-RU"/>
        </w:rPr>
        <w:t xml:space="preserve">9 </w:t>
      </w:r>
      <w:r w:rsidRPr="005F2731">
        <w:rPr>
          <w:snapToGrid w:val="0"/>
          <w:spacing w:val="-2"/>
          <w:kern w:val="22"/>
          <w:szCs w:val="22"/>
          <w:lang w:val="ru-RU"/>
        </w:rPr>
        <w:t>мероприятий</w:t>
      </w:r>
      <w:r w:rsidR="004569FB" w:rsidRPr="005F2731">
        <w:rPr>
          <w:snapToGrid w:val="0"/>
          <w:spacing w:val="-2"/>
          <w:kern w:val="22"/>
          <w:szCs w:val="22"/>
          <w:lang w:val="ru-RU"/>
        </w:rPr>
        <w:t>, 21</w:t>
      </w:r>
      <w:r w:rsidRPr="005F2731">
        <w:rPr>
          <w:snapToGrid w:val="0"/>
          <w:spacing w:val="-2"/>
          <w:kern w:val="22"/>
          <w:szCs w:val="22"/>
          <w:lang w:val="en-US"/>
        </w:rPr>
        <w:t> </w:t>
      </w:r>
      <w:r w:rsidR="004569FB" w:rsidRPr="005F2731">
        <w:rPr>
          <w:snapToGrid w:val="0"/>
          <w:spacing w:val="-2"/>
          <w:kern w:val="22"/>
          <w:szCs w:val="22"/>
          <w:lang w:val="ru-RU"/>
        </w:rPr>
        <w:t>%</w:t>
      </w:r>
      <w:r w:rsidRPr="005F2731">
        <w:rPr>
          <w:snapToGrid w:val="0"/>
          <w:spacing w:val="-2"/>
          <w:kern w:val="22"/>
          <w:szCs w:val="22"/>
          <w:lang w:val="ru-RU"/>
        </w:rPr>
        <w:t xml:space="preserve"> – </w:t>
      </w:r>
      <w:r w:rsidR="004569FB" w:rsidRPr="005F2731">
        <w:rPr>
          <w:snapToGrid w:val="0"/>
          <w:spacing w:val="-2"/>
          <w:kern w:val="22"/>
          <w:szCs w:val="22"/>
          <w:lang w:val="ru-RU"/>
        </w:rPr>
        <w:t>10</w:t>
      </w:r>
      <w:r w:rsidRPr="005F2731">
        <w:rPr>
          <w:snapToGrid w:val="0"/>
          <w:spacing w:val="-2"/>
          <w:kern w:val="22"/>
          <w:szCs w:val="22"/>
          <w:lang w:val="ru-RU"/>
        </w:rPr>
        <w:t>–</w:t>
      </w:r>
      <w:r w:rsidR="004569FB" w:rsidRPr="005F2731">
        <w:rPr>
          <w:snapToGrid w:val="0"/>
          <w:spacing w:val="-2"/>
          <w:kern w:val="22"/>
          <w:szCs w:val="22"/>
          <w:lang w:val="ru-RU"/>
        </w:rPr>
        <w:t xml:space="preserve">24 </w:t>
      </w:r>
      <w:r w:rsidRPr="005F2731">
        <w:rPr>
          <w:snapToGrid w:val="0"/>
          <w:spacing w:val="-2"/>
          <w:kern w:val="22"/>
          <w:szCs w:val="22"/>
          <w:lang w:val="ru-RU"/>
        </w:rPr>
        <w:t xml:space="preserve">мероприятий и </w:t>
      </w:r>
      <w:r w:rsidR="004569FB" w:rsidRPr="005F2731">
        <w:rPr>
          <w:snapToGrid w:val="0"/>
          <w:spacing w:val="-2"/>
          <w:kern w:val="22"/>
          <w:szCs w:val="22"/>
          <w:lang w:val="ru-RU"/>
        </w:rPr>
        <w:t>24</w:t>
      </w:r>
      <w:r w:rsidRPr="005F2731">
        <w:rPr>
          <w:snapToGrid w:val="0"/>
          <w:spacing w:val="-2"/>
          <w:kern w:val="22"/>
          <w:szCs w:val="22"/>
          <w:lang w:val="ru-RU"/>
        </w:rPr>
        <w:t> </w:t>
      </w:r>
      <w:r w:rsidR="004569FB" w:rsidRPr="005F2731">
        <w:rPr>
          <w:snapToGrid w:val="0"/>
          <w:spacing w:val="-2"/>
          <w:kern w:val="22"/>
          <w:szCs w:val="22"/>
          <w:lang w:val="ru-RU"/>
        </w:rPr>
        <w:t xml:space="preserve">% </w:t>
      </w:r>
      <w:r w:rsidRPr="005F2731">
        <w:rPr>
          <w:snapToGrid w:val="0"/>
          <w:spacing w:val="-2"/>
          <w:kern w:val="22"/>
          <w:szCs w:val="22"/>
          <w:lang w:val="ru-RU"/>
        </w:rPr>
        <w:t xml:space="preserve">– </w:t>
      </w:r>
      <w:r w:rsidR="004569FB" w:rsidRPr="005F2731">
        <w:rPr>
          <w:snapToGrid w:val="0"/>
          <w:spacing w:val="-2"/>
          <w:kern w:val="22"/>
          <w:szCs w:val="22"/>
          <w:lang w:val="ru-RU"/>
        </w:rPr>
        <w:t xml:space="preserve">25 </w:t>
      </w:r>
      <w:r w:rsidRPr="005F2731">
        <w:rPr>
          <w:snapToGrid w:val="0"/>
          <w:spacing w:val="-2"/>
          <w:kern w:val="22"/>
          <w:szCs w:val="22"/>
          <w:lang w:val="ru-RU"/>
        </w:rPr>
        <w:t>или более мероприятий</w:t>
      </w:r>
      <w:r w:rsidR="004569FB" w:rsidRPr="005F2731">
        <w:rPr>
          <w:snapToGrid w:val="0"/>
          <w:spacing w:val="-2"/>
          <w:kern w:val="22"/>
          <w:szCs w:val="22"/>
          <w:lang w:val="ru-RU"/>
        </w:rPr>
        <w:t xml:space="preserve"> (</w:t>
      </w:r>
      <w:r w:rsidRPr="005F2731">
        <w:rPr>
          <w:snapToGrid w:val="0"/>
          <w:spacing w:val="-2"/>
          <w:kern w:val="22"/>
          <w:szCs w:val="22"/>
          <w:lang w:val="ru-RU"/>
        </w:rPr>
        <w:t>увеличение на</w:t>
      </w:r>
      <w:r w:rsidR="004569FB" w:rsidRPr="005F2731">
        <w:rPr>
          <w:snapToGrid w:val="0"/>
          <w:spacing w:val="-2"/>
          <w:kern w:val="22"/>
          <w:szCs w:val="22"/>
          <w:lang w:val="ru-RU"/>
        </w:rPr>
        <w:t xml:space="preserve"> 20</w:t>
      </w:r>
      <w:r w:rsidRPr="005F2731">
        <w:rPr>
          <w:snapToGrid w:val="0"/>
          <w:spacing w:val="-2"/>
          <w:kern w:val="22"/>
          <w:szCs w:val="22"/>
          <w:lang w:val="ru-RU"/>
        </w:rPr>
        <w:t> </w:t>
      </w:r>
      <w:r w:rsidR="004569FB" w:rsidRPr="005F2731">
        <w:rPr>
          <w:snapToGrid w:val="0"/>
          <w:spacing w:val="-2"/>
          <w:kern w:val="22"/>
          <w:szCs w:val="22"/>
          <w:lang w:val="ru-RU"/>
        </w:rPr>
        <w:t xml:space="preserve">%). </w:t>
      </w:r>
      <w:r w:rsidRPr="005F2731">
        <w:rPr>
          <w:snapToGrid w:val="0"/>
          <w:spacing w:val="-2"/>
          <w:kern w:val="22"/>
          <w:szCs w:val="22"/>
          <w:lang w:val="ru-RU"/>
        </w:rPr>
        <w:t>В целом почти все Стороны сообщили об организации одного</w:t>
      </w:r>
      <w:r w:rsidR="004569FB" w:rsidRPr="005F2731">
        <w:rPr>
          <w:snapToGrid w:val="0"/>
          <w:spacing w:val="-2"/>
          <w:kern w:val="22"/>
          <w:szCs w:val="22"/>
          <w:lang w:val="ru-RU"/>
        </w:rPr>
        <w:t xml:space="preserve"> </w:t>
      </w:r>
      <w:r w:rsidRPr="005F2731">
        <w:rPr>
          <w:snapToGrid w:val="0"/>
          <w:spacing w:val="-2"/>
          <w:kern w:val="22"/>
          <w:szCs w:val="22"/>
          <w:lang w:val="ru-RU"/>
        </w:rPr>
        <w:t>или</w:t>
      </w:r>
      <w:r w:rsidR="004569FB" w:rsidRPr="005F2731">
        <w:rPr>
          <w:snapToGrid w:val="0"/>
          <w:spacing w:val="-2"/>
          <w:kern w:val="22"/>
          <w:szCs w:val="22"/>
          <w:lang w:val="ru-RU"/>
        </w:rPr>
        <w:t xml:space="preserve"> </w:t>
      </w:r>
      <w:r w:rsidRPr="005F2731">
        <w:rPr>
          <w:snapToGrid w:val="0"/>
          <w:spacing w:val="-2"/>
          <w:kern w:val="22"/>
          <w:szCs w:val="22"/>
          <w:lang w:val="ru-RU"/>
        </w:rPr>
        <w:t xml:space="preserve">более </w:t>
      </w:r>
      <w:r w:rsidRPr="005F2731">
        <w:rPr>
          <w:iCs/>
          <w:snapToGrid w:val="0"/>
          <w:spacing w:val="-2"/>
          <w:kern w:val="22"/>
          <w:szCs w:val="22"/>
          <w:lang w:val="ru-RU"/>
        </w:rPr>
        <w:t>мероприятий, посвященных тематике биобезопасности</w:t>
      </w:r>
      <w:r w:rsidR="004569FB" w:rsidRPr="005F2731">
        <w:rPr>
          <w:snapToGrid w:val="0"/>
          <w:spacing w:val="-2"/>
          <w:kern w:val="22"/>
          <w:szCs w:val="22"/>
          <w:lang w:val="ru-RU"/>
        </w:rPr>
        <w:t xml:space="preserve">, </w:t>
      </w:r>
      <w:r w:rsidRPr="005F2731">
        <w:rPr>
          <w:snapToGrid w:val="0"/>
          <w:spacing w:val="-2"/>
          <w:kern w:val="22"/>
          <w:szCs w:val="22"/>
          <w:lang w:val="ru-RU"/>
        </w:rPr>
        <w:t xml:space="preserve">при этом существенно увеличилось число Сторон, организовавших </w:t>
      </w:r>
      <w:r w:rsidR="004569FB" w:rsidRPr="005F2731">
        <w:rPr>
          <w:snapToGrid w:val="0"/>
          <w:spacing w:val="-2"/>
          <w:kern w:val="22"/>
          <w:szCs w:val="22"/>
          <w:lang w:val="ru-RU"/>
        </w:rPr>
        <w:t xml:space="preserve">25 </w:t>
      </w:r>
      <w:r w:rsidRPr="005F2731">
        <w:rPr>
          <w:snapToGrid w:val="0"/>
          <w:spacing w:val="-2"/>
          <w:kern w:val="22"/>
          <w:szCs w:val="22"/>
          <w:lang w:val="ru-RU"/>
        </w:rPr>
        <w:t>или более мероприятий</w:t>
      </w:r>
      <w:r w:rsidR="004569FB" w:rsidRPr="005F2731">
        <w:rPr>
          <w:iCs/>
          <w:snapToGrid w:val="0"/>
          <w:spacing w:val="-2"/>
          <w:kern w:val="22"/>
          <w:szCs w:val="22"/>
          <w:lang w:val="ru-RU"/>
        </w:rPr>
        <w:t xml:space="preserve">. </w:t>
      </w:r>
    </w:p>
    <w:p w14:paraId="40B02384" w14:textId="3F2CCC5E" w:rsidR="004569FB" w:rsidRPr="00CA58D5" w:rsidRDefault="002764A9"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2764A9">
        <w:rPr>
          <w:iCs/>
          <w:snapToGrid w:val="0"/>
          <w:kern w:val="22"/>
          <w:szCs w:val="22"/>
          <w:lang w:val="ru-RU"/>
        </w:rPr>
        <w:t>В</w:t>
      </w:r>
      <w:r w:rsidRPr="00CA58D5">
        <w:rPr>
          <w:iCs/>
          <w:snapToGrid w:val="0"/>
          <w:kern w:val="22"/>
          <w:szCs w:val="22"/>
          <w:lang w:val="ru-RU"/>
        </w:rPr>
        <w:t xml:space="preserve"> </w:t>
      </w:r>
      <w:r w:rsidRPr="002764A9">
        <w:rPr>
          <w:snapToGrid w:val="0"/>
          <w:kern w:val="22"/>
          <w:szCs w:val="22"/>
          <w:lang w:val="ru-RU"/>
        </w:rPr>
        <w:t>своих</w:t>
      </w:r>
      <w:r w:rsidRPr="00CA58D5">
        <w:rPr>
          <w:snapToGrid w:val="0"/>
          <w:kern w:val="22"/>
          <w:szCs w:val="22"/>
          <w:lang w:val="ru-RU"/>
        </w:rPr>
        <w:t xml:space="preserve"> </w:t>
      </w:r>
      <w:r w:rsidR="00B64E95">
        <w:rPr>
          <w:snapToGrid w:val="0"/>
          <w:kern w:val="22"/>
          <w:szCs w:val="22"/>
          <w:lang w:val="ru-RU"/>
        </w:rPr>
        <w:t>письменных материалах</w:t>
      </w:r>
      <w:r w:rsidRPr="00CA58D5">
        <w:rPr>
          <w:snapToGrid w:val="0"/>
          <w:kern w:val="22"/>
          <w:szCs w:val="22"/>
          <w:lang w:val="ru-RU"/>
        </w:rPr>
        <w:t xml:space="preserve"> </w:t>
      </w:r>
      <w:r>
        <w:rPr>
          <w:snapToGrid w:val="0"/>
          <w:kern w:val="22"/>
          <w:szCs w:val="22"/>
          <w:lang w:val="ru-RU"/>
        </w:rPr>
        <w:t>несколько</w:t>
      </w:r>
      <w:r w:rsidRPr="00CA58D5">
        <w:rPr>
          <w:snapToGrid w:val="0"/>
          <w:kern w:val="22"/>
          <w:szCs w:val="22"/>
          <w:lang w:val="ru-RU"/>
        </w:rPr>
        <w:t xml:space="preserve"> </w:t>
      </w:r>
      <w:r>
        <w:rPr>
          <w:snapToGrid w:val="0"/>
          <w:kern w:val="22"/>
          <w:szCs w:val="22"/>
          <w:lang w:val="ru-RU"/>
        </w:rPr>
        <w:t>Сторон</w:t>
      </w:r>
      <w:r w:rsidRPr="00CA58D5">
        <w:rPr>
          <w:snapToGrid w:val="0"/>
          <w:kern w:val="22"/>
          <w:szCs w:val="22"/>
          <w:lang w:val="ru-RU"/>
        </w:rPr>
        <w:t xml:space="preserve"> </w:t>
      </w:r>
      <w:r w:rsidR="00CA58D5">
        <w:rPr>
          <w:snapToGrid w:val="0"/>
          <w:kern w:val="22"/>
          <w:szCs w:val="22"/>
          <w:lang w:val="ru-RU"/>
        </w:rPr>
        <w:t>назвали виды</w:t>
      </w:r>
      <w:r w:rsidR="00CA58D5" w:rsidRPr="00CA58D5">
        <w:rPr>
          <w:snapToGrid w:val="0"/>
          <w:kern w:val="22"/>
          <w:szCs w:val="22"/>
          <w:lang w:val="ru-RU"/>
        </w:rPr>
        <w:t xml:space="preserve"> </w:t>
      </w:r>
      <w:r w:rsidR="00CA58D5">
        <w:rPr>
          <w:snapToGrid w:val="0"/>
          <w:kern w:val="22"/>
          <w:szCs w:val="22"/>
          <w:lang w:val="ru-RU"/>
        </w:rPr>
        <w:t>мероприятий</w:t>
      </w:r>
      <w:r w:rsidR="00CA58D5" w:rsidRPr="00CA58D5">
        <w:rPr>
          <w:snapToGrid w:val="0"/>
          <w:kern w:val="22"/>
          <w:szCs w:val="22"/>
          <w:lang w:val="ru-RU"/>
        </w:rPr>
        <w:t xml:space="preserve">, </w:t>
      </w:r>
      <w:r w:rsidR="00CA58D5">
        <w:rPr>
          <w:snapToGrid w:val="0"/>
          <w:kern w:val="22"/>
          <w:szCs w:val="22"/>
          <w:lang w:val="ru-RU"/>
        </w:rPr>
        <w:t>которые</w:t>
      </w:r>
      <w:r w:rsidR="00CA58D5" w:rsidRPr="00CA58D5">
        <w:rPr>
          <w:snapToGrid w:val="0"/>
          <w:kern w:val="22"/>
          <w:szCs w:val="22"/>
          <w:lang w:val="ru-RU"/>
        </w:rPr>
        <w:t xml:space="preserve"> </w:t>
      </w:r>
      <w:r w:rsidR="00CA58D5">
        <w:rPr>
          <w:snapToGrid w:val="0"/>
          <w:kern w:val="22"/>
          <w:szCs w:val="22"/>
          <w:lang w:val="ru-RU"/>
        </w:rPr>
        <w:t>они</w:t>
      </w:r>
      <w:r w:rsidR="00CA58D5" w:rsidRPr="00CA58D5">
        <w:rPr>
          <w:snapToGrid w:val="0"/>
          <w:kern w:val="22"/>
          <w:szCs w:val="22"/>
          <w:lang w:val="ru-RU"/>
        </w:rPr>
        <w:t xml:space="preserve"> </w:t>
      </w:r>
      <w:r w:rsidR="00CA58D5">
        <w:rPr>
          <w:snapToGrid w:val="0"/>
          <w:kern w:val="22"/>
          <w:szCs w:val="22"/>
          <w:lang w:val="ru-RU"/>
        </w:rPr>
        <w:t>проводили</w:t>
      </w:r>
      <w:r w:rsidR="00CA58D5" w:rsidRPr="00CA58D5">
        <w:rPr>
          <w:snapToGrid w:val="0"/>
          <w:kern w:val="22"/>
          <w:szCs w:val="22"/>
          <w:lang w:val="ru-RU"/>
        </w:rPr>
        <w:t xml:space="preserve">, </w:t>
      </w:r>
      <w:r w:rsidR="00CA58D5">
        <w:rPr>
          <w:snapToGrid w:val="0"/>
          <w:kern w:val="22"/>
          <w:szCs w:val="22"/>
          <w:lang w:val="ru-RU"/>
        </w:rPr>
        <w:t>и</w:t>
      </w:r>
      <w:r w:rsidR="00CA58D5" w:rsidRPr="00CA58D5">
        <w:rPr>
          <w:snapToGrid w:val="0"/>
          <w:kern w:val="22"/>
          <w:szCs w:val="22"/>
          <w:lang w:val="ru-RU"/>
        </w:rPr>
        <w:t xml:space="preserve"> </w:t>
      </w:r>
      <w:r w:rsidR="00CA58D5">
        <w:rPr>
          <w:snapToGrid w:val="0"/>
          <w:kern w:val="22"/>
          <w:szCs w:val="22"/>
          <w:lang w:val="ru-RU"/>
        </w:rPr>
        <w:t>отметили, что некоторые из этих мероприятий были периодическими</w:t>
      </w:r>
      <w:r w:rsidR="004569FB" w:rsidRPr="00CA58D5">
        <w:rPr>
          <w:snapToGrid w:val="0"/>
          <w:kern w:val="22"/>
          <w:szCs w:val="22"/>
          <w:lang w:val="ru-RU"/>
        </w:rPr>
        <w:t xml:space="preserve">. </w:t>
      </w:r>
      <w:r w:rsidR="00CA58D5">
        <w:rPr>
          <w:snapToGrid w:val="0"/>
          <w:kern w:val="22"/>
          <w:szCs w:val="22"/>
          <w:lang w:val="ru-RU"/>
        </w:rPr>
        <w:t>Были</w:t>
      </w:r>
      <w:r w:rsidR="00CA58D5" w:rsidRPr="00CA58D5">
        <w:rPr>
          <w:snapToGrid w:val="0"/>
          <w:kern w:val="22"/>
          <w:szCs w:val="22"/>
          <w:lang w:val="ru-RU"/>
        </w:rPr>
        <w:t xml:space="preserve"> </w:t>
      </w:r>
      <w:r w:rsidR="00CA58D5">
        <w:rPr>
          <w:snapToGrid w:val="0"/>
          <w:kern w:val="22"/>
          <w:szCs w:val="22"/>
          <w:lang w:val="ru-RU"/>
        </w:rPr>
        <w:t>названы</w:t>
      </w:r>
      <w:r w:rsidR="00CA58D5" w:rsidRPr="00CA58D5">
        <w:rPr>
          <w:snapToGrid w:val="0"/>
          <w:kern w:val="22"/>
          <w:szCs w:val="22"/>
          <w:lang w:val="ru-RU"/>
        </w:rPr>
        <w:t xml:space="preserve"> </w:t>
      </w:r>
      <w:r w:rsidR="00CA58D5">
        <w:rPr>
          <w:snapToGrid w:val="0"/>
          <w:kern w:val="22"/>
          <w:szCs w:val="22"/>
          <w:lang w:val="ru-RU"/>
        </w:rPr>
        <w:t>следующие</w:t>
      </w:r>
      <w:r w:rsidR="00CA58D5" w:rsidRPr="00CA58D5">
        <w:rPr>
          <w:snapToGrid w:val="0"/>
          <w:kern w:val="22"/>
          <w:szCs w:val="22"/>
          <w:lang w:val="ru-RU"/>
        </w:rPr>
        <w:t xml:space="preserve"> </w:t>
      </w:r>
      <w:r w:rsidR="00CA58D5">
        <w:rPr>
          <w:snapToGrid w:val="0"/>
          <w:kern w:val="22"/>
          <w:szCs w:val="22"/>
          <w:lang w:val="ru-RU"/>
        </w:rPr>
        <w:t>виды</w:t>
      </w:r>
      <w:r w:rsidR="00CA58D5" w:rsidRPr="00CA58D5">
        <w:rPr>
          <w:snapToGrid w:val="0"/>
          <w:kern w:val="22"/>
          <w:szCs w:val="22"/>
          <w:lang w:val="ru-RU"/>
        </w:rPr>
        <w:t xml:space="preserve"> </w:t>
      </w:r>
      <w:r w:rsidR="00CA58D5">
        <w:rPr>
          <w:snapToGrid w:val="0"/>
          <w:kern w:val="22"/>
          <w:szCs w:val="22"/>
          <w:lang w:val="ru-RU"/>
        </w:rPr>
        <w:t>мероприятий</w:t>
      </w:r>
      <w:r w:rsidR="004569FB" w:rsidRPr="00CA58D5">
        <w:rPr>
          <w:snapToGrid w:val="0"/>
          <w:kern w:val="22"/>
          <w:szCs w:val="22"/>
          <w:lang w:val="ru-RU"/>
        </w:rPr>
        <w:t>:</w:t>
      </w:r>
      <w:r w:rsidR="00CA58D5" w:rsidRPr="00CA58D5">
        <w:rPr>
          <w:snapToGrid w:val="0"/>
          <w:kern w:val="22"/>
          <w:szCs w:val="22"/>
          <w:lang w:val="ru-RU"/>
        </w:rPr>
        <w:t xml:space="preserve"> </w:t>
      </w:r>
      <w:r w:rsidR="00CA58D5">
        <w:rPr>
          <w:snapToGrid w:val="0"/>
          <w:kern w:val="22"/>
          <w:szCs w:val="22"/>
          <w:lang w:val="ru-RU"/>
        </w:rPr>
        <w:t>практикумы</w:t>
      </w:r>
      <w:r w:rsidR="004569FB" w:rsidRPr="00CA58D5">
        <w:rPr>
          <w:snapToGrid w:val="0"/>
          <w:kern w:val="22"/>
          <w:szCs w:val="22"/>
          <w:lang w:val="ru-RU"/>
        </w:rPr>
        <w:t xml:space="preserve">, </w:t>
      </w:r>
      <w:r w:rsidR="00CA58D5">
        <w:rPr>
          <w:snapToGrid w:val="0"/>
          <w:kern w:val="22"/>
          <w:szCs w:val="22"/>
          <w:lang w:val="ru-RU"/>
        </w:rPr>
        <w:t>конференции</w:t>
      </w:r>
      <w:r w:rsidR="004569FB" w:rsidRPr="00CA58D5">
        <w:rPr>
          <w:snapToGrid w:val="0"/>
          <w:kern w:val="22"/>
          <w:szCs w:val="22"/>
          <w:lang w:val="ru-RU"/>
        </w:rPr>
        <w:t xml:space="preserve">, </w:t>
      </w:r>
      <w:r w:rsidR="00CA58D5">
        <w:rPr>
          <w:snapToGrid w:val="0"/>
          <w:kern w:val="22"/>
          <w:szCs w:val="22"/>
          <w:lang w:val="ru-RU"/>
        </w:rPr>
        <w:t>сопутствующие мероприятия</w:t>
      </w:r>
      <w:r w:rsidR="004569FB" w:rsidRPr="00CA58D5">
        <w:rPr>
          <w:snapToGrid w:val="0"/>
          <w:kern w:val="22"/>
          <w:szCs w:val="22"/>
          <w:lang w:val="ru-RU"/>
        </w:rPr>
        <w:t xml:space="preserve">, </w:t>
      </w:r>
      <w:r w:rsidR="00CA58D5">
        <w:rPr>
          <w:snapToGrid w:val="0"/>
          <w:kern w:val="22"/>
          <w:szCs w:val="22"/>
          <w:lang w:val="ru-RU"/>
        </w:rPr>
        <w:t>общественные слушания</w:t>
      </w:r>
      <w:r w:rsidR="004569FB" w:rsidRPr="00CA58D5">
        <w:rPr>
          <w:snapToGrid w:val="0"/>
          <w:kern w:val="22"/>
          <w:szCs w:val="22"/>
          <w:lang w:val="ru-RU"/>
        </w:rPr>
        <w:t xml:space="preserve">, </w:t>
      </w:r>
      <w:r w:rsidR="00CA58D5">
        <w:rPr>
          <w:snapToGrid w:val="0"/>
          <w:kern w:val="22"/>
          <w:szCs w:val="22"/>
          <w:lang w:val="ru-RU"/>
        </w:rPr>
        <w:t>пресс-конференции</w:t>
      </w:r>
      <w:r w:rsidR="004569FB" w:rsidRPr="00CA58D5">
        <w:rPr>
          <w:snapToGrid w:val="0"/>
          <w:kern w:val="22"/>
          <w:szCs w:val="22"/>
          <w:lang w:val="ru-RU"/>
        </w:rPr>
        <w:t xml:space="preserve">, </w:t>
      </w:r>
      <w:r w:rsidR="00CA58D5">
        <w:rPr>
          <w:snapToGrid w:val="0"/>
          <w:kern w:val="22"/>
          <w:szCs w:val="22"/>
          <w:lang w:val="ru-RU"/>
        </w:rPr>
        <w:t>выставки</w:t>
      </w:r>
      <w:r w:rsidR="004569FB" w:rsidRPr="00CA58D5">
        <w:rPr>
          <w:snapToGrid w:val="0"/>
          <w:kern w:val="22"/>
          <w:szCs w:val="22"/>
          <w:lang w:val="ru-RU"/>
        </w:rPr>
        <w:t xml:space="preserve">, </w:t>
      </w:r>
      <w:r w:rsidR="00CA58D5">
        <w:rPr>
          <w:snapToGrid w:val="0"/>
          <w:kern w:val="22"/>
          <w:szCs w:val="22"/>
          <w:lang w:val="ru-RU"/>
        </w:rPr>
        <w:t>семинары и другие просветительские мероприятия.</w:t>
      </w:r>
    </w:p>
    <w:p w14:paraId="404F647B" w14:textId="0851B1BC" w:rsidR="004569FB" w:rsidRPr="00CA58D5" w:rsidRDefault="00CA58D5"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Около</w:t>
      </w:r>
      <w:r w:rsidRPr="00CA58D5">
        <w:rPr>
          <w:snapToGrid w:val="0"/>
          <w:kern w:val="22"/>
          <w:szCs w:val="22"/>
          <w:lang w:val="ru-RU"/>
        </w:rPr>
        <w:t xml:space="preserve"> </w:t>
      </w:r>
      <w:r>
        <w:rPr>
          <w:snapToGrid w:val="0"/>
          <w:kern w:val="22"/>
          <w:szCs w:val="22"/>
          <w:lang w:val="ru-RU"/>
        </w:rPr>
        <w:t>двух</w:t>
      </w:r>
      <w:r w:rsidRPr="00CA58D5">
        <w:rPr>
          <w:snapToGrid w:val="0"/>
          <w:kern w:val="22"/>
          <w:szCs w:val="22"/>
          <w:lang w:val="ru-RU"/>
        </w:rPr>
        <w:t xml:space="preserve"> </w:t>
      </w:r>
      <w:r>
        <w:rPr>
          <w:snapToGrid w:val="0"/>
          <w:kern w:val="22"/>
          <w:szCs w:val="22"/>
          <w:lang w:val="ru-RU"/>
        </w:rPr>
        <w:t>третей</w:t>
      </w:r>
      <w:r w:rsidRPr="00CA58D5">
        <w:rPr>
          <w:snapToGrid w:val="0"/>
          <w:kern w:val="22"/>
          <w:szCs w:val="22"/>
          <w:lang w:val="ru-RU"/>
        </w:rPr>
        <w:t xml:space="preserve"> </w:t>
      </w:r>
      <w:r>
        <w:rPr>
          <w:snapToGrid w:val="0"/>
          <w:kern w:val="22"/>
          <w:szCs w:val="22"/>
          <w:lang w:val="ru-RU"/>
        </w:rPr>
        <w:t>респондентов</w:t>
      </w:r>
      <w:r w:rsidRPr="00CA58D5">
        <w:rPr>
          <w:snapToGrid w:val="0"/>
          <w:kern w:val="22"/>
          <w:szCs w:val="22"/>
          <w:lang w:val="ru-RU"/>
        </w:rPr>
        <w:t xml:space="preserve"> </w:t>
      </w:r>
      <w:r w:rsidR="005F2731">
        <w:rPr>
          <w:snapToGrid w:val="0"/>
          <w:kern w:val="22"/>
          <w:szCs w:val="22"/>
          <w:lang w:val="ru-RU"/>
        </w:rPr>
        <w:t>о</w:t>
      </w:r>
      <w:r>
        <w:rPr>
          <w:snapToGrid w:val="0"/>
          <w:kern w:val="22"/>
          <w:szCs w:val="22"/>
          <w:lang w:val="ru-RU"/>
        </w:rPr>
        <w:t>бследования</w:t>
      </w:r>
      <w:r w:rsidRPr="00CA58D5">
        <w:rPr>
          <w:snapToGrid w:val="0"/>
          <w:kern w:val="22"/>
          <w:szCs w:val="22"/>
          <w:lang w:val="ru-RU"/>
        </w:rPr>
        <w:t xml:space="preserve"> </w:t>
      </w:r>
      <w:r>
        <w:rPr>
          <w:snapToGrid w:val="0"/>
          <w:kern w:val="22"/>
          <w:szCs w:val="22"/>
          <w:lang w:val="ru-RU"/>
        </w:rPr>
        <w:t>по</w:t>
      </w:r>
      <w:r w:rsidRPr="00CA58D5">
        <w:rPr>
          <w:snapToGrid w:val="0"/>
          <w:kern w:val="22"/>
          <w:szCs w:val="22"/>
          <w:lang w:val="ru-RU"/>
        </w:rPr>
        <w:t xml:space="preserve"> </w:t>
      </w:r>
      <w:r>
        <w:rPr>
          <w:snapToGrid w:val="0"/>
          <w:kern w:val="22"/>
          <w:szCs w:val="22"/>
          <w:lang w:val="ru-RU"/>
        </w:rPr>
        <w:t>программе</w:t>
      </w:r>
      <w:r w:rsidRPr="00CA58D5">
        <w:rPr>
          <w:snapToGrid w:val="0"/>
          <w:kern w:val="22"/>
          <w:szCs w:val="22"/>
          <w:lang w:val="ru-RU"/>
        </w:rPr>
        <w:t xml:space="preserve"> </w:t>
      </w:r>
      <w:r>
        <w:rPr>
          <w:snapToGrid w:val="0"/>
          <w:kern w:val="22"/>
          <w:szCs w:val="22"/>
          <w:lang w:val="ru-RU"/>
        </w:rPr>
        <w:t>работы</w:t>
      </w:r>
      <w:r w:rsidRPr="00CA58D5">
        <w:rPr>
          <w:snapToGrid w:val="0"/>
          <w:kern w:val="22"/>
          <w:szCs w:val="22"/>
          <w:lang w:val="ru-RU"/>
        </w:rPr>
        <w:t xml:space="preserve"> </w:t>
      </w:r>
      <w:r>
        <w:rPr>
          <w:snapToGrid w:val="0"/>
          <w:kern w:val="22"/>
          <w:szCs w:val="22"/>
          <w:lang w:val="ru-RU"/>
        </w:rPr>
        <w:t>сообщили</w:t>
      </w:r>
      <w:r w:rsidRPr="00CA58D5">
        <w:rPr>
          <w:snapToGrid w:val="0"/>
          <w:kern w:val="22"/>
          <w:szCs w:val="22"/>
          <w:lang w:val="ru-RU"/>
        </w:rPr>
        <w:t xml:space="preserve"> </w:t>
      </w:r>
      <w:r>
        <w:rPr>
          <w:snapToGrid w:val="0"/>
          <w:kern w:val="22"/>
          <w:szCs w:val="22"/>
          <w:lang w:val="ru-RU"/>
        </w:rPr>
        <w:t>об организации мероприятий по биобезопасности с участием СМИ</w:t>
      </w:r>
      <w:r w:rsidR="004569FB" w:rsidRPr="00CA58D5">
        <w:rPr>
          <w:snapToGrid w:val="0"/>
          <w:kern w:val="22"/>
          <w:szCs w:val="22"/>
          <w:lang w:val="ru-RU"/>
        </w:rPr>
        <w:t xml:space="preserve">. </w:t>
      </w:r>
    </w:p>
    <w:p w14:paraId="40CEA13E" w14:textId="0A001DB9" w:rsidR="004569FB" w:rsidRPr="002D5373" w:rsidRDefault="00CA58D5"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В</w:t>
      </w:r>
      <w:r w:rsidRPr="00DC0A42">
        <w:rPr>
          <w:snapToGrid w:val="0"/>
          <w:kern w:val="22"/>
          <w:szCs w:val="22"/>
          <w:lang w:val="ru-RU"/>
        </w:rPr>
        <w:t xml:space="preserve"> </w:t>
      </w:r>
      <w:r>
        <w:rPr>
          <w:snapToGrid w:val="0"/>
          <w:kern w:val="22"/>
          <w:szCs w:val="22"/>
          <w:lang w:val="ru-RU"/>
        </w:rPr>
        <w:t>отношении</w:t>
      </w:r>
      <w:r w:rsidR="004569FB" w:rsidRPr="00DC0A42">
        <w:rPr>
          <w:snapToGrid w:val="0"/>
          <w:kern w:val="22"/>
          <w:szCs w:val="22"/>
          <w:lang w:val="ru-RU"/>
        </w:rPr>
        <w:t xml:space="preserve"> </w:t>
      </w:r>
      <w:r>
        <w:rPr>
          <w:b/>
          <w:snapToGrid w:val="0"/>
          <w:kern w:val="22"/>
          <w:szCs w:val="22"/>
          <w:lang w:val="ru-RU"/>
        </w:rPr>
        <w:t>индикатора</w:t>
      </w:r>
      <w:r w:rsidR="004569FB" w:rsidRPr="00DC0A42">
        <w:rPr>
          <w:b/>
          <w:snapToGrid w:val="0"/>
          <w:kern w:val="22"/>
          <w:szCs w:val="22"/>
          <w:lang w:val="ru-RU"/>
        </w:rPr>
        <w:t xml:space="preserve"> 4.3.2</w:t>
      </w:r>
      <w:r w:rsidR="004569FB" w:rsidRPr="00DC0A42">
        <w:rPr>
          <w:snapToGrid w:val="0"/>
          <w:kern w:val="22"/>
          <w:szCs w:val="22"/>
          <w:lang w:val="ru-RU"/>
        </w:rPr>
        <w:t xml:space="preserve"> (</w:t>
      </w:r>
      <w:r w:rsidR="00DC0A42" w:rsidRPr="00DC0A42">
        <w:rPr>
          <w:snapToGrid w:val="0"/>
          <w:kern w:val="22"/>
          <w:szCs w:val="22"/>
          <w:lang w:val="ru-RU"/>
        </w:rPr>
        <w:t>число распространенных публикаций по тематике биобезопасности</w:t>
      </w:r>
      <w:r w:rsidR="004569FB" w:rsidRPr="00DC0A42">
        <w:rPr>
          <w:snapToGrid w:val="0"/>
          <w:kern w:val="22"/>
          <w:szCs w:val="22"/>
          <w:lang w:val="ru-RU"/>
        </w:rPr>
        <w:t xml:space="preserve">) </w:t>
      </w:r>
      <w:r w:rsidR="004569FB" w:rsidRPr="00DC0A42">
        <w:rPr>
          <w:iCs/>
          <w:snapToGrid w:val="0"/>
          <w:kern w:val="22"/>
          <w:szCs w:val="22"/>
          <w:lang w:val="ru-RU"/>
        </w:rPr>
        <w:t>76</w:t>
      </w:r>
      <w:r w:rsidR="00DC0A42" w:rsidRPr="00DC0A42">
        <w:rPr>
          <w:iCs/>
          <w:snapToGrid w:val="0"/>
          <w:kern w:val="22"/>
          <w:szCs w:val="22"/>
          <w:lang w:val="en-US"/>
        </w:rPr>
        <w:t> </w:t>
      </w:r>
      <w:r w:rsidR="004569FB" w:rsidRPr="00DC0A42">
        <w:rPr>
          <w:iCs/>
          <w:snapToGrid w:val="0"/>
          <w:kern w:val="22"/>
          <w:szCs w:val="22"/>
          <w:lang w:val="ru-RU"/>
        </w:rPr>
        <w:t xml:space="preserve">% </w:t>
      </w:r>
      <w:r w:rsidR="00DC0A42">
        <w:rPr>
          <w:iCs/>
          <w:snapToGrid w:val="0"/>
          <w:kern w:val="22"/>
          <w:szCs w:val="22"/>
          <w:lang w:val="ru-RU"/>
        </w:rPr>
        <w:t>Сторон</w:t>
      </w:r>
      <w:r w:rsidR="00504472" w:rsidRPr="00DC0A42">
        <w:rPr>
          <w:iCs/>
          <w:snapToGrid w:val="0"/>
          <w:kern w:val="22"/>
          <w:szCs w:val="22"/>
          <w:lang w:val="ru-RU"/>
        </w:rPr>
        <w:t xml:space="preserve"> (54 </w:t>
      </w:r>
      <w:r w:rsidR="00DC0A42">
        <w:rPr>
          <w:iCs/>
          <w:snapToGrid w:val="0"/>
          <w:kern w:val="22"/>
          <w:szCs w:val="22"/>
          <w:lang w:val="ru-RU"/>
        </w:rPr>
        <w:t>Стороны</w:t>
      </w:r>
      <w:r w:rsidR="00504472" w:rsidRPr="00DC0A42">
        <w:rPr>
          <w:iCs/>
          <w:snapToGrid w:val="0"/>
          <w:kern w:val="22"/>
          <w:szCs w:val="22"/>
          <w:lang w:val="ru-RU"/>
        </w:rPr>
        <w:t>)</w:t>
      </w:r>
      <w:r w:rsidR="004569FB" w:rsidRPr="00DC0A42">
        <w:rPr>
          <w:iCs/>
          <w:snapToGrid w:val="0"/>
          <w:kern w:val="22"/>
          <w:szCs w:val="22"/>
          <w:lang w:val="ru-RU"/>
        </w:rPr>
        <w:t xml:space="preserve"> </w:t>
      </w:r>
      <w:r w:rsidR="00DC0A42">
        <w:rPr>
          <w:iCs/>
          <w:snapToGrid w:val="0"/>
          <w:kern w:val="22"/>
          <w:szCs w:val="22"/>
          <w:lang w:val="ru-RU"/>
        </w:rPr>
        <w:t>сообщили о публикации</w:t>
      </w:r>
      <w:r w:rsidR="00DC0A42" w:rsidRPr="00DC0A42">
        <w:rPr>
          <w:snapToGrid w:val="0"/>
          <w:kern w:val="22"/>
          <w:szCs w:val="22"/>
          <w:lang w:val="ru-RU"/>
        </w:rPr>
        <w:t xml:space="preserve"> </w:t>
      </w:r>
      <w:r w:rsidR="00DC0A42">
        <w:rPr>
          <w:snapToGrid w:val="0"/>
          <w:kern w:val="22"/>
          <w:szCs w:val="22"/>
          <w:lang w:val="ru-RU"/>
        </w:rPr>
        <w:t>материалов</w:t>
      </w:r>
      <w:r w:rsidR="00DC0A42" w:rsidRPr="00DC0A42">
        <w:rPr>
          <w:snapToGrid w:val="0"/>
          <w:kern w:val="22"/>
          <w:szCs w:val="22"/>
          <w:lang w:val="ru-RU"/>
        </w:rPr>
        <w:t xml:space="preserve"> по тематике биобезопасности</w:t>
      </w:r>
      <w:r w:rsidR="00DC0A42" w:rsidRPr="00DC0A42">
        <w:rPr>
          <w:iCs/>
          <w:snapToGrid w:val="0"/>
          <w:kern w:val="22"/>
          <w:szCs w:val="22"/>
          <w:lang w:val="ru-RU"/>
        </w:rPr>
        <w:t xml:space="preserve"> </w:t>
      </w:r>
      <w:r w:rsidR="00DC0A42">
        <w:rPr>
          <w:iCs/>
          <w:snapToGrid w:val="0"/>
          <w:kern w:val="22"/>
          <w:szCs w:val="22"/>
          <w:lang w:val="ru-RU"/>
        </w:rPr>
        <w:t>в отчетном периоде</w:t>
      </w:r>
      <w:r w:rsidR="004569FB" w:rsidRPr="00DC0A42">
        <w:rPr>
          <w:iCs/>
          <w:snapToGrid w:val="0"/>
          <w:kern w:val="22"/>
          <w:szCs w:val="22"/>
          <w:lang w:val="ru-RU"/>
        </w:rPr>
        <w:t>,</w:t>
      </w:r>
      <w:r w:rsidR="00DC0A42">
        <w:rPr>
          <w:iCs/>
          <w:snapToGrid w:val="0"/>
          <w:kern w:val="22"/>
          <w:szCs w:val="22"/>
          <w:lang w:val="ru-RU"/>
        </w:rPr>
        <w:t xml:space="preserve"> что соответствует уменьшению на</w:t>
      </w:r>
      <w:r w:rsidR="004569FB" w:rsidRPr="00DC0A42">
        <w:rPr>
          <w:iCs/>
          <w:snapToGrid w:val="0"/>
          <w:kern w:val="22"/>
          <w:szCs w:val="22"/>
          <w:lang w:val="ru-RU"/>
        </w:rPr>
        <w:t xml:space="preserve"> 6</w:t>
      </w:r>
      <w:r w:rsidR="00DC0A42">
        <w:rPr>
          <w:iCs/>
          <w:snapToGrid w:val="0"/>
          <w:kern w:val="22"/>
          <w:szCs w:val="22"/>
          <w:lang w:val="ru-RU"/>
        </w:rPr>
        <w:t> </w:t>
      </w:r>
      <w:r w:rsidR="004569FB" w:rsidRPr="00DC0A42">
        <w:rPr>
          <w:iCs/>
          <w:snapToGrid w:val="0"/>
          <w:kern w:val="22"/>
          <w:szCs w:val="22"/>
          <w:lang w:val="ru-RU"/>
        </w:rPr>
        <w:t xml:space="preserve">%. </w:t>
      </w:r>
      <w:r w:rsidR="00DC0A42">
        <w:rPr>
          <w:iCs/>
          <w:snapToGrid w:val="0"/>
          <w:kern w:val="22"/>
          <w:szCs w:val="22"/>
          <w:lang w:val="ru-RU"/>
        </w:rPr>
        <w:t>Наибольшее число Сторон</w:t>
      </w:r>
      <w:r w:rsidR="004569FB" w:rsidRPr="00DC0A42">
        <w:rPr>
          <w:iCs/>
          <w:snapToGrid w:val="0"/>
          <w:kern w:val="22"/>
          <w:szCs w:val="22"/>
          <w:lang w:val="ru-RU"/>
        </w:rPr>
        <w:t xml:space="preserve"> (38</w:t>
      </w:r>
      <w:r w:rsidR="00DC0A42">
        <w:rPr>
          <w:iCs/>
          <w:snapToGrid w:val="0"/>
          <w:kern w:val="22"/>
          <w:szCs w:val="22"/>
          <w:lang w:val="ru-RU"/>
        </w:rPr>
        <w:t> </w:t>
      </w:r>
      <w:r w:rsidR="004569FB" w:rsidRPr="00DC0A42">
        <w:rPr>
          <w:iCs/>
          <w:snapToGrid w:val="0"/>
          <w:kern w:val="22"/>
          <w:szCs w:val="22"/>
          <w:lang w:val="ru-RU"/>
        </w:rPr>
        <w:t xml:space="preserve">%) </w:t>
      </w:r>
      <w:r w:rsidR="00DC0A42">
        <w:rPr>
          <w:iCs/>
          <w:snapToGrid w:val="0"/>
          <w:kern w:val="22"/>
          <w:szCs w:val="22"/>
          <w:lang w:val="ru-RU"/>
        </w:rPr>
        <w:t>сообщило о публикации</w:t>
      </w:r>
      <w:r w:rsidR="004569FB" w:rsidRPr="00DC0A42">
        <w:rPr>
          <w:iCs/>
          <w:snapToGrid w:val="0"/>
          <w:kern w:val="22"/>
          <w:szCs w:val="22"/>
          <w:lang w:val="ru-RU"/>
        </w:rPr>
        <w:t xml:space="preserve"> 1</w:t>
      </w:r>
      <w:r w:rsidR="00DC0A42">
        <w:rPr>
          <w:iCs/>
          <w:snapToGrid w:val="0"/>
          <w:kern w:val="22"/>
          <w:szCs w:val="22"/>
          <w:lang w:val="ru-RU"/>
        </w:rPr>
        <w:t>–</w:t>
      </w:r>
      <w:r w:rsidR="004569FB" w:rsidRPr="00DC0A42">
        <w:rPr>
          <w:iCs/>
          <w:snapToGrid w:val="0"/>
          <w:kern w:val="22"/>
          <w:szCs w:val="22"/>
          <w:lang w:val="ru-RU"/>
        </w:rPr>
        <w:t>9</w:t>
      </w:r>
      <w:r w:rsidR="00DC0A42">
        <w:rPr>
          <w:iCs/>
          <w:snapToGrid w:val="0"/>
          <w:kern w:val="22"/>
          <w:szCs w:val="22"/>
          <w:lang w:val="ru-RU"/>
        </w:rPr>
        <w:t xml:space="preserve"> материалов</w:t>
      </w:r>
      <w:r w:rsidR="004569FB" w:rsidRPr="00DC0A42">
        <w:rPr>
          <w:iCs/>
          <w:snapToGrid w:val="0"/>
          <w:kern w:val="22"/>
          <w:szCs w:val="22"/>
          <w:lang w:val="ru-RU"/>
        </w:rPr>
        <w:t xml:space="preserve">. </w:t>
      </w:r>
      <w:r w:rsidR="00DC0A42">
        <w:rPr>
          <w:iCs/>
          <w:snapToGrid w:val="0"/>
          <w:kern w:val="22"/>
          <w:szCs w:val="22"/>
          <w:lang w:val="ru-RU"/>
        </w:rPr>
        <w:t>Во</w:t>
      </w:r>
      <w:r w:rsidR="00DC0A42" w:rsidRPr="00DC0A42">
        <w:rPr>
          <w:iCs/>
          <w:snapToGrid w:val="0"/>
          <w:kern w:val="22"/>
          <w:szCs w:val="22"/>
          <w:lang w:val="ru-RU"/>
        </w:rPr>
        <w:t xml:space="preserve"> </w:t>
      </w:r>
      <w:r w:rsidR="00DC0A42">
        <w:rPr>
          <w:iCs/>
          <w:snapToGrid w:val="0"/>
          <w:kern w:val="22"/>
          <w:szCs w:val="22"/>
          <w:lang w:val="ru-RU"/>
        </w:rPr>
        <w:t>всех</w:t>
      </w:r>
      <w:r w:rsidR="00DC0A42" w:rsidRPr="00DC0A42">
        <w:rPr>
          <w:iCs/>
          <w:snapToGrid w:val="0"/>
          <w:kern w:val="22"/>
          <w:szCs w:val="22"/>
          <w:lang w:val="ru-RU"/>
        </w:rPr>
        <w:t xml:space="preserve"> </w:t>
      </w:r>
      <w:r w:rsidR="00DC0A42">
        <w:rPr>
          <w:iCs/>
          <w:snapToGrid w:val="0"/>
          <w:kern w:val="22"/>
          <w:szCs w:val="22"/>
          <w:lang w:val="ru-RU"/>
        </w:rPr>
        <w:t>регионах</w:t>
      </w:r>
      <w:r w:rsidR="00DC0A42" w:rsidRPr="00DC0A42">
        <w:rPr>
          <w:iCs/>
          <w:snapToGrid w:val="0"/>
          <w:kern w:val="22"/>
          <w:szCs w:val="22"/>
          <w:lang w:val="ru-RU"/>
        </w:rPr>
        <w:t xml:space="preserve"> </w:t>
      </w:r>
      <w:r w:rsidR="00DC0A42">
        <w:rPr>
          <w:iCs/>
          <w:snapToGrid w:val="0"/>
          <w:kern w:val="22"/>
          <w:szCs w:val="22"/>
          <w:lang w:val="ru-RU"/>
        </w:rPr>
        <w:t>значительное</w:t>
      </w:r>
      <w:r w:rsidR="00DC0A42" w:rsidRPr="00DC0A42">
        <w:rPr>
          <w:iCs/>
          <w:snapToGrid w:val="0"/>
          <w:kern w:val="22"/>
          <w:szCs w:val="22"/>
          <w:lang w:val="ru-RU"/>
        </w:rPr>
        <w:t xml:space="preserve"> </w:t>
      </w:r>
      <w:r w:rsidR="00DC0A42">
        <w:rPr>
          <w:iCs/>
          <w:snapToGrid w:val="0"/>
          <w:kern w:val="22"/>
          <w:szCs w:val="22"/>
          <w:lang w:val="ru-RU"/>
        </w:rPr>
        <w:t>большинство</w:t>
      </w:r>
      <w:r w:rsidR="00DC0A42" w:rsidRPr="00DC0A42">
        <w:rPr>
          <w:iCs/>
          <w:snapToGrid w:val="0"/>
          <w:kern w:val="22"/>
          <w:szCs w:val="22"/>
          <w:lang w:val="ru-RU"/>
        </w:rPr>
        <w:t xml:space="preserve"> </w:t>
      </w:r>
      <w:r w:rsidR="00DC0A42">
        <w:rPr>
          <w:iCs/>
          <w:snapToGrid w:val="0"/>
          <w:kern w:val="22"/>
          <w:szCs w:val="22"/>
          <w:lang w:val="ru-RU"/>
        </w:rPr>
        <w:t>Сторон</w:t>
      </w:r>
      <w:r w:rsidR="00DC0A42" w:rsidRPr="00DC0A42">
        <w:rPr>
          <w:iCs/>
          <w:snapToGrid w:val="0"/>
          <w:kern w:val="22"/>
          <w:szCs w:val="22"/>
          <w:lang w:val="ru-RU"/>
        </w:rPr>
        <w:t xml:space="preserve"> </w:t>
      </w:r>
      <w:proofErr w:type="gramStart"/>
      <w:r w:rsidR="00DC0A42">
        <w:rPr>
          <w:iCs/>
          <w:snapToGrid w:val="0"/>
          <w:kern w:val="22"/>
          <w:szCs w:val="22"/>
          <w:lang w:val="ru-RU"/>
        </w:rPr>
        <w:t>сообщило</w:t>
      </w:r>
      <w:proofErr w:type="gramEnd"/>
      <w:r w:rsidR="00DC0A42" w:rsidRPr="00DC0A42">
        <w:rPr>
          <w:iCs/>
          <w:snapToGrid w:val="0"/>
          <w:kern w:val="22"/>
          <w:szCs w:val="22"/>
          <w:lang w:val="ru-RU"/>
        </w:rPr>
        <w:t xml:space="preserve"> </w:t>
      </w:r>
      <w:r w:rsidR="00DC0A42">
        <w:rPr>
          <w:iCs/>
          <w:snapToGrid w:val="0"/>
          <w:kern w:val="22"/>
          <w:szCs w:val="22"/>
          <w:lang w:val="ru-RU"/>
        </w:rPr>
        <w:t>по</w:t>
      </w:r>
      <w:r w:rsidR="00DC0A42" w:rsidRPr="00DC0A42">
        <w:rPr>
          <w:iCs/>
          <w:snapToGrid w:val="0"/>
          <w:kern w:val="22"/>
          <w:szCs w:val="22"/>
          <w:lang w:val="ru-RU"/>
        </w:rPr>
        <w:t xml:space="preserve"> </w:t>
      </w:r>
      <w:r w:rsidR="00DC0A42">
        <w:rPr>
          <w:iCs/>
          <w:snapToGrid w:val="0"/>
          <w:kern w:val="22"/>
          <w:szCs w:val="22"/>
          <w:lang w:val="ru-RU"/>
        </w:rPr>
        <w:t>крайней</w:t>
      </w:r>
      <w:r w:rsidR="00DC0A42" w:rsidRPr="00DC0A42">
        <w:rPr>
          <w:iCs/>
          <w:snapToGrid w:val="0"/>
          <w:kern w:val="22"/>
          <w:szCs w:val="22"/>
          <w:lang w:val="ru-RU"/>
        </w:rPr>
        <w:t xml:space="preserve"> </w:t>
      </w:r>
      <w:r w:rsidR="00DC0A42">
        <w:rPr>
          <w:iCs/>
          <w:snapToGrid w:val="0"/>
          <w:kern w:val="22"/>
          <w:szCs w:val="22"/>
          <w:lang w:val="ru-RU"/>
        </w:rPr>
        <w:t>мере</w:t>
      </w:r>
      <w:r w:rsidR="00DC0A42" w:rsidRPr="00DC0A42">
        <w:rPr>
          <w:iCs/>
          <w:snapToGrid w:val="0"/>
          <w:kern w:val="22"/>
          <w:szCs w:val="22"/>
          <w:lang w:val="ru-RU"/>
        </w:rPr>
        <w:t xml:space="preserve"> </w:t>
      </w:r>
      <w:r w:rsidR="00DC0A42">
        <w:rPr>
          <w:iCs/>
          <w:snapToGrid w:val="0"/>
          <w:kern w:val="22"/>
          <w:szCs w:val="22"/>
          <w:lang w:val="ru-RU"/>
        </w:rPr>
        <w:t>об</w:t>
      </w:r>
      <w:r w:rsidR="00DC0A42" w:rsidRPr="00DC0A42">
        <w:rPr>
          <w:iCs/>
          <w:snapToGrid w:val="0"/>
          <w:kern w:val="22"/>
          <w:szCs w:val="22"/>
          <w:lang w:val="ru-RU"/>
        </w:rPr>
        <w:t xml:space="preserve"> </w:t>
      </w:r>
      <w:r w:rsidR="00DC0A42">
        <w:rPr>
          <w:iCs/>
          <w:snapToGrid w:val="0"/>
          <w:kern w:val="22"/>
          <w:szCs w:val="22"/>
          <w:lang w:val="ru-RU"/>
        </w:rPr>
        <w:t>одной</w:t>
      </w:r>
      <w:r w:rsidR="00DC0A42" w:rsidRPr="00DC0A42">
        <w:rPr>
          <w:iCs/>
          <w:snapToGrid w:val="0"/>
          <w:kern w:val="22"/>
          <w:szCs w:val="22"/>
          <w:lang w:val="ru-RU"/>
        </w:rPr>
        <w:t xml:space="preserve"> </w:t>
      </w:r>
      <w:r w:rsidR="00DC0A42" w:rsidRPr="00DC0A42">
        <w:rPr>
          <w:snapToGrid w:val="0"/>
          <w:kern w:val="22"/>
          <w:szCs w:val="22"/>
          <w:lang w:val="ru-RU"/>
        </w:rPr>
        <w:t>публикаци</w:t>
      </w:r>
      <w:r w:rsidR="00DC0A42">
        <w:rPr>
          <w:snapToGrid w:val="0"/>
          <w:kern w:val="22"/>
          <w:szCs w:val="22"/>
          <w:lang w:val="ru-RU"/>
        </w:rPr>
        <w:t>и</w:t>
      </w:r>
      <w:r w:rsidR="00DC0A42" w:rsidRPr="00DC0A42">
        <w:rPr>
          <w:snapToGrid w:val="0"/>
          <w:kern w:val="22"/>
          <w:szCs w:val="22"/>
          <w:lang w:val="ru-RU"/>
        </w:rPr>
        <w:t xml:space="preserve"> по тематике биобезопасности</w:t>
      </w:r>
      <w:r w:rsidR="004569FB" w:rsidRPr="00DC0A42">
        <w:rPr>
          <w:iCs/>
          <w:snapToGrid w:val="0"/>
          <w:kern w:val="22"/>
          <w:szCs w:val="22"/>
          <w:lang w:val="ru-RU"/>
        </w:rPr>
        <w:t xml:space="preserve">. </w:t>
      </w:r>
      <w:r w:rsidR="00DC0A42">
        <w:rPr>
          <w:snapToGrid w:val="0"/>
          <w:kern w:val="22"/>
          <w:szCs w:val="22"/>
          <w:lang w:val="ru-RU"/>
        </w:rPr>
        <w:t>В</w:t>
      </w:r>
      <w:r w:rsidR="00DC0A42" w:rsidRPr="002D5373">
        <w:rPr>
          <w:snapToGrid w:val="0"/>
          <w:kern w:val="22"/>
          <w:szCs w:val="22"/>
          <w:lang w:val="ru-RU"/>
        </w:rPr>
        <w:t xml:space="preserve"> </w:t>
      </w:r>
      <w:r w:rsidR="00DC0A42">
        <w:rPr>
          <w:snapToGrid w:val="0"/>
          <w:kern w:val="22"/>
          <w:szCs w:val="22"/>
          <w:lang w:val="ru-RU"/>
        </w:rPr>
        <w:t>целом</w:t>
      </w:r>
      <w:r w:rsidR="00DC0A42" w:rsidRPr="002D5373">
        <w:rPr>
          <w:snapToGrid w:val="0"/>
          <w:kern w:val="22"/>
          <w:szCs w:val="22"/>
          <w:lang w:val="ru-RU"/>
        </w:rPr>
        <w:t xml:space="preserve"> </w:t>
      </w:r>
      <w:r w:rsidR="00DC0A42">
        <w:rPr>
          <w:snapToGrid w:val="0"/>
          <w:kern w:val="22"/>
          <w:szCs w:val="22"/>
          <w:lang w:val="ru-RU"/>
        </w:rPr>
        <w:t>большее</w:t>
      </w:r>
      <w:r w:rsidR="00DC0A42" w:rsidRPr="002D5373">
        <w:rPr>
          <w:snapToGrid w:val="0"/>
          <w:kern w:val="22"/>
          <w:szCs w:val="22"/>
          <w:lang w:val="ru-RU"/>
        </w:rPr>
        <w:t xml:space="preserve"> </w:t>
      </w:r>
      <w:r w:rsidR="00DC0A42">
        <w:rPr>
          <w:snapToGrid w:val="0"/>
          <w:kern w:val="22"/>
          <w:szCs w:val="22"/>
          <w:lang w:val="ru-RU"/>
        </w:rPr>
        <w:t>число</w:t>
      </w:r>
      <w:r w:rsidR="00DC0A42" w:rsidRPr="002D5373">
        <w:rPr>
          <w:snapToGrid w:val="0"/>
          <w:kern w:val="22"/>
          <w:szCs w:val="22"/>
          <w:lang w:val="ru-RU"/>
        </w:rPr>
        <w:t xml:space="preserve"> </w:t>
      </w:r>
      <w:r w:rsidR="00DC0A42">
        <w:rPr>
          <w:snapToGrid w:val="0"/>
          <w:kern w:val="22"/>
          <w:szCs w:val="22"/>
          <w:lang w:val="ru-RU"/>
        </w:rPr>
        <w:t>Сторон</w:t>
      </w:r>
      <w:r w:rsidR="00DC0A42" w:rsidRPr="002D5373">
        <w:rPr>
          <w:snapToGrid w:val="0"/>
          <w:kern w:val="22"/>
          <w:szCs w:val="22"/>
          <w:lang w:val="ru-RU"/>
        </w:rPr>
        <w:t xml:space="preserve"> </w:t>
      </w:r>
      <w:r w:rsidR="004569FB" w:rsidRPr="002D5373">
        <w:rPr>
          <w:snapToGrid w:val="0"/>
          <w:kern w:val="22"/>
          <w:szCs w:val="22"/>
          <w:lang w:val="ru-RU"/>
        </w:rPr>
        <w:t>(15</w:t>
      </w:r>
      <w:r w:rsidR="00DC0A42" w:rsidRPr="00DC0A42">
        <w:rPr>
          <w:snapToGrid w:val="0"/>
          <w:kern w:val="22"/>
          <w:szCs w:val="22"/>
          <w:lang w:val="en-US"/>
        </w:rPr>
        <w:t> </w:t>
      </w:r>
      <w:r w:rsidR="004569FB" w:rsidRPr="002D5373">
        <w:rPr>
          <w:snapToGrid w:val="0"/>
          <w:kern w:val="22"/>
          <w:szCs w:val="22"/>
          <w:lang w:val="ru-RU"/>
        </w:rPr>
        <w:t xml:space="preserve">%) </w:t>
      </w:r>
      <w:r w:rsidR="00DC0A42">
        <w:rPr>
          <w:snapToGrid w:val="0"/>
          <w:kern w:val="22"/>
          <w:szCs w:val="22"/>
          <w:lang w:val="ru-RU"/>
        </w:rPr>
        <w:t>опубликовало</w:t>
      </w:r>
      <w:r w:rsidR="00DC0A42" w:rsidRPr="002D5373">
        <w:rPr>
          <w:snapToGrid w:val="0"/>
          <w:kern w:val="22"/>
          <w:szCs w:val="22"/>
          <w:lang w:val="ru-RU"/>
        </w:rPr>
        <w:t xml:space="preserve"> </w:t>
      </w:r>
      <w:r w:rsidR="00DC0A42">
        <w:rPr>
          <w:snapToGrid w:val="0"/>
          <w:kern w:val="22"/>
          <w:szCs w:val="22"/>
          <w:lang w:val="ru-RU"/>
        </w:rPr>
        <w:t>большее</w:t>
      </w:r>
      <w:r w:rsidR="002D5373" w:rsidRPr="002D5373">
        <w:rPr>
          <w:snapToGrid w:val="0"/>
          <w:kern w:val="22"/>
          <w:szCs w:val="22"/>
          <w:lang w:val="ru-RU"/>
        </w:rPr>
        <w:t xml:space="preserve"> </w:t>
      </w:r>
      <w:r w:rsidR="002D5373">
        <w:rPr>
          <w:snapToGrid w:val="0"/>
          <w:kern w:val="22"/>
          <w:szCs w:val="22"/>
          <w:lang w:val="ru-RU"/>
        </w:rPr>
        <w:t>количество</w:t>
      </w:r>
      <w:r w:rsidR="002D5373" w:rsidRPr="002D5373">
        <w:rPr>
          <w:snapToGrid w:val="0"/>
          <w:kern w:val="22"/>
          <w:szCs w:val="22"/>
          <w:lang w:val="ru-RU"/>
        </w:rPr>
        <w:t xml:space="preserve"> </w:t>
      </w:r>
      <w:r w:rsidR="002D5373">
        <w:rPr>
          <w:snapToGrid w:val="0"/>
          <w:kern w:val="22"/>
          <w:szCs w:val="22"/>
          <w:lang w:val="ru-RU"/>
        </w:rPr>
        <w:t>материалов</w:t>
      </w:r>
      <w:r w:rsidR="002D5373" w:rsidRPr="002D5373">
        <w:rPr>
          <w:snapToGrid w:val="0"/>
          <w:kern w:val="22"/>
          <w:szCs w:val="22"/>
          <w:lang w:val="ru-RU"/>
        </w:rPr>
        <w:t xml:space="preserve"> </w:t>
      </w:r>
      <w:r w:rsidR="002D5373" w:rsidRPr="00DC0A42">
        <w:rPr>
          <w:snapToGrid w:val="0"/>
          <w:kern w:val="22"/>
          <w:szCs w:val="22"/>
          <w:lang w:val="ru-RU"/>
        </w:rPr>
        <w:t>по</w:t>
      </w:r>
      <w:r w:rsidR="002D5373" w:rsidRPr="002D5373">
        <w:rPr>
          <w:snapToGrid w:val="0"/>
          <w:kern w:val="22"/>
          <w:szCs w:val="22"/>
          <w:lang w:val="ru-RU"/>
        </w:rPr>
        <w:t xml:space="preserve"> </w:t>
      </w:r>
      <w:r w:rsidR="002D5373" w:rsidRPr="00DC0A42">
        <w:rPr>
          <w:snapToGrid w:val="0"/>
          <w:kern w:val="22"/>
          <w:szCs w:val="22"/>
          <w:lang w:val="ru-RU"/>
        </w:rPr>
        <w:t>тематике</w:t>
      </w:r>
      <w:r w:rsidR="002D5373" w:rsidRPr="002D5373">
        <w:rPr>
          <w:snapToGrid w:val="0"/>
          <w:kern w:val="22"/>
          <w:szCs w:val="22"/>
          <w:lang w:val="ru-RU"/>
        </w:rPr>
        <w:t xml:space="preserve"> </w:t>
      </w:r>
      <w:r w:rsidR="002D5373" w:rsidRPr="00DC0A42">
        <w:rPr>
          <w:snapToGrid w:val="0"/>
          <w:kern w:val="22"/>
          <w:szCs w:val="22"/>
          <w:lang w:val="ru-RU"/>
        </w:rPr>
        <w:t>биобезопасности</w:t>
      </w:r>
      <w:r w:rsidR="002D5373" w:rsidRPr="002D5373">
        <w:rPr>
          <w:snapToGrid w:val="0"/>
          <w:kern w:val="22"/>
          <w:szCs w:val="22"/>
          <w:lang w:val="ru-RU"/>
        </w:rPr>
        <w:t xml:space="preserve"> </w:t>
      </w:r>
      <w:r w:rsidR="004569FB" w:rsidRPr="002D5373">
        <w:rPr>
          <w:snapToGrid w:val="0"/>
          <w:kern w:val="22"/>
          <w:szCs w:val="22"/>
          <w:lang w:val="ru-RU"/>
        </w:rPr>
        <w:t xml:space="preserve">(50 </w:t>
      </w:r>
      <w:r w:rsidR="002D5373">
        <w:rPr>
          <w:snapToGrid w:val="0"/>
          <w:kern w:val="22"/>
          <w:szCs w:val="22"/>
          <w:lang w:val="ru-RU"/>
        </w:rPr>
        <w:t>или более публикаций</w:t>
      </w:r>
      <w:r w:rsidR="004569FB" w:rsidRPr="002D5373">
        <w:rPr>
          <w:snapToGrid w:val="0"/>
          <w:kern w:val="22"/>
          <w:szCs w:val="22"/>
          <w:lang w:val="ru-RU"/>
        </w:rPr>
        <w:t xml:space="preserve">), </w:t>
      </w:r>
      <w:r w:rsidR="002D5373">
        <w:rPr>
          <w:snapToGrid w:val="0"/>
          <w:kern w:val="22"/>
          <w:szCs w:val="22"/>
          <w:lang w:val="ru-RU"/>
        </w:rPr>
        <w:t>что соответствует увеличению на</w:t>
      </w:r>
      <w:r w:rsidR="004569FB" w:rsidRPr="002D5373">
        <w:rPr>
          <w:snapToGrid w:val="0"/>
          <w:kern w:val="22"/>
          <w:szCs w:val="22"/>
          <w:lang w:val="ru-RU"/>
        </w:rPr>
        <w:t xml:space="preserve"> 8</w:t>
      </w:r>
      <w:r w:rsidR="002D5373">
        <w:rPr>
          <w:snapToGrid w:val="0"/>
          <w:kern w:val="22"/>
          <w:szCs w:val="22"/>
          <w:lang w:val="ru-RU"/>
        </w:rPr>
        <w:t> </w:t>
      </w:r>
      <w:r w:rsidR="004569FB" w:rsidRPr="002D5373">
        <w:rPr>
          <w:snapToGrid w:val="0"/>
          <w:kern w:val="22"/>
          <w:szCs w:val="22"/>
          <w:lang w:val="ru-RU"/>
        </w:rPr>
        <w:t xml:space="preserve">% </w:t>
      </w:r>
      <w:r w:rsidR="002D5373">
        <w:rPr>
          <w:snapToGrid w:val="0"/>
          <w:kern w:val="22"/>
          <w:szCs w:val="22"/>
          <w:lang w:val="ru-RU"/>
        </w:rPr>
        <w:t>по сравнению с исходным уровнем</w:t>
      </w:r>
      <w:r w:rsidR="004569FB" w:rsidRPr="002D5373">
        <w:rPr>
          <w:snapToGrid w:val="0"/>
          <w:kern w:val="22"/>
          <w:szCs w:val="22"/>
          <w:lang w:val="ru-RU"/>
        </w:rPr>
        <w:t xml:space="preserve">. </w:t>
      </w:r>
    </w:p>
    <w:p w14:paraId="520CAA34" w14:textId="1FEB36D5" w:rsidR="004569FB" w:rsidRPr="00B64E95" w:rsidRDefault="00B64E95"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2764A9">
        <w:rPr>
          <w:iCs/>
          <w:snapToGrid w:val="0"/>
          <w:kern w:val="22"/>
          <w:szCs w:val="22"/>
          <w:lang w:val="ru-RU"/>
        </w:rPr>
        <w:t>В</w:t>
      </w:r>
      <w:r w:rsidRPr="00B64E95">
        <w:rPr>
          <w:iCs/>
          <w:snapToGrid w:val="0"/>
          <w:kern w:val="22"/>
          <w:szCs w:val="22"/>
          <w:lang w:val="ru-RU"/>
        </w:rPr>
        <w:t xml:space="preserve"> </w:t>
      </w:r>
      <w:r w:rsidRPr="002764A9">
        <w:rPr>
          <w:snapToGrid w:val="0"/>
          <w:kern w:val="22"/>
          <w:szCs w:val="22"/>
          <w:lang w:val="ru-RU"/>
        </w:rPr>
        <w:t>своих</w:t>
      </w:r>
      <w:r w:rsidRPr="00B64E95">
        <w:rPr>
          <w:snapToGrid w:val="0"/>
          <w:kern w:val="22"/>
          <w:szCs w:val="22"/>
          <w:lang w:val="ru-RU"/>
        </w:rPr>
        <w:t xml:space="preserve"> </w:t>
      </w:r>
      <w:r>
        <w:rPr>
          <w:snapToGrid w:val="0"/>
          <w:kern w:val="22"/>
          <w:szCs w:val="22"/>
          <w:lang w:val="ru-RU"/>
        </w:rPr>
        <w:t>письменных</w:t>
      </w:r>
      <w:r w:rsidRPr="00B64E95">
        <w:rPr>
          <w:snapToGrid w:val="0"/>
          <w:kern w:val="22"/>
          <w:szCs w:val="22"/>
          <w:lang w:val="ru-RU"/>
        </w:rPr>
        <w:t xml:space="preserve"> </w:t>
      </w:r>
      <w:r>
        <w:rPr>
          <w:snapToGrid w:val="0"/>
          <w:kern w:val="22"/>
          <w:szCs w:val="22"/>
          <w:lang w:val="ru-RU"/>
        </w:rPr>
        <w:t>материалах</w:t>
      </w:r>
      <w:r w:rsidRPr="00B64E95">
        <w:rPr>
          <w:snapToGrid w:val="0"/>
          <w:kern w:val="22"/>
          <w:szCs w:val="22"/>
          <w:lang w:val="ru-RU"/>
        </w:rPr>
        <w:t xml:space="preserve"> </w:t>
      </w:r>
      <w:r>
        <w:rPr>
          <w:snapToGrid w:val="0"/>
          <w:kern w:val="22"/>
          <w:szCs w:val="22"/>
          <w:lang w:val="ru-RU"/>
        </w:rPr>
        <w:t>Стороны</w:t>
      </w:r>
      <w:r w:rsidRPr="00B64E95">
        <w:rPr>
          <w:snapToGrid w:val="0"/>
          <w:kern w:val="22"/>
          <w:szCs w:val="22"/>
          <w:lang w:val="ru-RU"/>
        </w:rPr>
        <w:t xml:space="preserve"> </w:t>
      </w:r>
      <w:r>
        <w:rPr>
          <w:snapToGrid w:val="0"/>
          <w:kern w:val="22"/>
          <w:szCs w:val="22"/>
          <w:lang w:val="ru-RU"/>
        </w:rPr>
        <w:t>отметили</w:t>
      </w:r>
      <w:r w:rsidR="004569FB" w:rsidRPr="00B64E95">
        <w:rPr>
          <w:snapToGrid w:val="0"/>
          <w:kern w:val="22"/>
          <w:szCs w:val="22"/>
          <w:lang w:val="ru-RU"/>
        </w:rPr>
        <w:t xml:space="preserve">, </w:t>
      </w:r>
      <w:r>
        <w:rPr>
          <w:snapToGrid w:val="0"/>
          <w:kern w:val="22"/>
          <w:szCs w:val="22"/>
          <w:lang w:val="ru-RU"/>
        </w:rPr>
        <w:t>что</w:t>
      </w:r>
      <w:r w:rsidRPr="00B64E95">
        <w:rPr>
          <w:snapToGrid w:val="0"/>
          <w:kern w:val="22"/>
          <w:szCs w:val="22"/>
          <w:lang w:val="ru-RU"/>
        </w:rPr>
        <w:t xml:space="preserve"> </w:t>
      </w:r>
      <w:r>
        <w:rPr>
          <w:snapToGrid w:val="0"/>
          <w:kern w:val="22"/>
          <w:szCs w:val="22"/>
          <w:lang w:val="ru-RU"/>
        </w:rPr>
        <w:t>их</w:t>
      </w:r>
      <w:r w:rsidRPr="00B64E95">
        <w:rPr>
          <w:snapToGrid w:val="0"/>
          <w:kern w:val="22"/>
          <w:szCs w:val="22"/>
          <w:lang w:val="ru-RU"/>
        </w:rPr>
        <w:t xml:space="preserve"> </w:t>
      </w:r>
      <w:r>
        <w:rPr>
          <w:snapToGrid w:val="0"/>
          <w:kern w:val="22"/>
          <w:szCs w:val="22"/>
          <w:lang w:val="ru-RU"/>
        </w:rPr>
        <w:t>публикации</w:t>
      </w:r>
      <w:r w:rsidRPr="00B64E95">
        <w:rPr>
          <w:snapToGrid w:val="0"/>
          <w:kern w:val="22"/>
          <w:szCs w:val="22"/>
          <w:lang w:val="ru-RU"/>
        </w:rPr>
        <w:t xml:space="preserve"> </w:t>
      </w:r>
      <w:r>
        <w:rPr>
          <w:snapToGrid w:val="0"/>
          <w:kern w:val="22"/>
          <w:szCs w:val="22"/>
          <w:lang w:val="ru-RU"/>
        </w:rPr>
        <w:t>распространялись различными способами, в частности на веб-сайтах и в форме информационных бюллетеней, буклетов, брошюр и учебных материалов</w:t>
      </w:r>
      <w:r w:rsidR="004569FB" w:rsidRPr="00B64E95">
        <w:rPr>
          <w:snapToGrid w:val="0"/>
          <w:kern w:val="22"/>
          <w:szCs w:val="22"/>
          <w:lang w:val="ru-RU"/>
        </w:rPr>
        <w:t xml:space="preserve">. </w:t>
      </w:r>
    </w:p>
    <w:p w14:paraId="4AEA6F32" w14:textId="2C7CABEB" w:rsidR="004569FB" w:rsidRPr="0006365A" w:rsidRDefault="00B64E95"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sidRPr="00BE65E6">
        <w:rPr>
          <w:iCs/>
          <w:snapToGrid w:val="0"/>
          <w:kern w:val="22"/>
          <w:szCs w:val="22"/>
          <w:lang w:val="ru-RU"/>
        </w:rPr>
        <w:t>В</w:t>
      </w:r>
      <w:r w:rsidRPr="00B64E95">
        <w:rPr>
          <w:iCs/>
          <w:snapToGrid w:val="0"/>
          <w:kern w:val="22"/>
          <w:szCs w:val="22"/>
          <w:lang w:val="ru-RU"/>
        </w:rPr>
        <w:t xml:space="preserve"> </w:t>
      </w:r>
      <w:r w:rsidR="005F2731">
        <w:rPr>
          <w:iCs/>
          <w:snapToGrid w:val="0"/>
          <w:kern w:val="22"/>
          <w:szCs w:val="22"/>
          <w:lang w:val="ru-RU"/>
        </w:rPr>
        <w:t>о</w:t>
      </w:r>
      <w:r w:rsidRPr="00BE65E6">
        <w:rPr>
          <w:iCs/>
          <w:snapToGrid w:val="0"/>
          <w:kern w:val="22"/>
          <w:szCs w:val="22"/>
          <w:lang w:val="ru-RU"/>
        </w:rPr>
        <w:t>бследовании</w:t>
      </w:r>
      <w:r w:rsidRPr="00B64E95">
        <w:rPr>
          <w:iCs/>
          <w:snapToGrid w:val="0"/>
          <w:kern w:val="22"/>
          <w:szCs w:val="22"/>
          <w:lang w:val="ru-RU"/>
        </w:rPr>
        <w:t xml:space="preserve"> </w:t>
      </w:r>
      <w:r w:rsidRPr="00BE65E6">
        <w:rPr>
          <w:iCs/>
          <w:snapToGrid w:val="0"/>
          <w:kern w:val="22"/>
          <w:szCs w:val="22"/>
          <w:lang w:val="ru-RU"/>
        </w:rPr>
        <w:t>по</w:t>
      </w:r>
      <w:r w:rsidRPr="00B64E95">
        <w:rPr>
          <w:iCs/>
          <w:snapToGrid w:val="0"/>
          <w:kern w:val="22"/>
          <w:szCs w:val="22"/>
          <w:lang w:val="ru-RU"/>
        </w:rPr>
        <w:t xml:space="preserve"> </w:t>
      </w:r>
      <w:r w:rsidRPr="00BE65E6">
        <w:rPr>
          <w:iCs/>
          <w:snapToGrid w:val="0"/>
          <w:kern w:val="22"/>
          <w:szCs w:val="22"/>
          <w:lang w:val="ru-RU"/>
        </w:rPr>
        <w:t>программе</w:t>
      </w:r>
      <w:r w:rsidRPr="00B64E95">
        <w:rPr>
          <w:iCs/>
          <w:snapToGrid w:val="0"/>
          <w:kern w:val="22"/>
          <w:szCs w:val="22"/>
          <w:lang w:val="ru-RU"/>
        </w:rPr>
        <w:t xml:space="preserve"> </w:t>
      </w:r>
      <w:r w:rsidRPr="00BE65E6">
        <w:rPr>
          <w:iCs/>
          <w:snapToGrid w:val="0"/>
          <w:kern w:val="22"/>
          <w:szCs w:val="22"/>
          <w:lang w:val="ru-RU"/>
        </w:rPr>
        <w:t>работы</w:t>
      </w:r>
      <w:r w:rsidR="004569FB" w:rsidRPr="00B64E95">
        <w:rPr>
          <w:snapToGrid w:val="0"/>
          <w:kern w:val="22"/>
          <w:szCs w:val="22"/>
          <w:lang w:val="ru-RU"/>
        </w:rPr>
        <w:t xml:space="preserve"> 75</w:t>
      </w:r>
      <w:r w:rsidRPr="00B64E95">
        <w:rPr>
          <w:snapToGrid w:val="0"/>
          <w:kern w:val="22"/>
          <w:szCs w:val="22"/>
          <w:lang w:val="en-US"/>
        </w:rPr>
        <w:t> </w:t>
      </w:r>
      <w:r w:rsidR="004569FB" w:rsidRPr="00B64E95">
        <w:rPr>
          <w:snapToGrid w:val="0"/>
          <w:kern w:val="22"/>
          <w:szCs w:val="22"/>
          <w:lang w:val="ru-RU"/>
        </w:rPr>
        <w:t xml:space="preserve">% </w:t>
      </w:r>
      <w:r>
        <w:rPr>
          <w:snapToGrid w:val="0"/>
          <w:kern w:val="22"/>
          <w:szCs w:val="22"/>
          <w:lang w:val="ru-RU"/>
        </w:rPr>
        <w:t>респондентов</w:t>
      </w:r>
      <w:r w:rsidRPr="00B64E95">
        <w:rPr>
          <w:snapToGrid w:val="0"/>
          <w:kern w:val="22"/>
          <w:szCs w:val="22"/>
          <w:lang w:val="ru-RU"/>
        </w:rPr>
        <w:t xml:space="preserve"> </w:t>
      </w:r>
      <w:r>
        <w:rPr>
          <w:snapToGrid w:val="0"/>
          <w:kern w:val="22"/>
          <w:szCs w:val="22"/>
          <w:lang w:val="ru-RU"/>
        </w:rPr>
        <w:t>отметили</w:t>
      </w:r>
      <w:r w:rsidRPr="00B64E95">
        <w:rPr>
          <w:snapToGrid w:val="0"/>
          <w:kern w:val="22"/>
          <w:szCs w:val="22"/>
          <w:lang w:val="ru-RU"/>
        </w:rPr>
        <w:t xml:space="preserve">, </w:t>
      </w:r>
      <w:r>
        <w:rPr>
          <w:snapToGrid w:val="0"/>
          <w:kern w:val="22"/>
          <w:szCs w:val="22"/>
          <w:lang w:val="ru-RU"/>
        </w:rPr>
        <w:t>что</w:t>
      </w:r>
      <w:r w:rsidRPr="00B64E95">
        <w:rPr>
          <w:snapToGrid w:val="0"/>
          <w:kern w:val="22"/>
          <w:szCs w:val="22"/>
          <w:lang w:val="ru-RU"/>
        </w:rPr>
        <w:t xml:space="preserve"> </w:t>
      </w:r>
      <w:r>
        <w:rPr>
          <w:snapToGrid w:val="0"/>
          <w:kern w:val="22"/>
          <w:szCs w:val="22"/>
          <w:lang w:val="ru-RU"/>
        </w:rPr>
        <w:t>их</w:t>
      </w:r>
      <w:r w:rsidRPr="00B64E95">
        <w:rPr>
          <w:snapToGrid w:val="0"/>
          <w:kern w:val="22"/>
          <w:szCs w:val="22"/>
          <w:lang w:val="ru-RU"/>
        </w:rPr>
        <w:t xml:space="preserve"> </w:t>
      </w:r>
      <w:r>
        <w:rPr>
          <w:snapToGrid w:val="0"/>
          <w:kern w:val="22"/>
          <w:szCs w:val="22"/>
          <w:lang w:val="ru-RU"/>
        </w:rPr>
        <w:t>страны</w:t>
      </w:r>
      <w:r w:rsidRPr="00B64E95">
        <w:rPr>
          <w:snapToGrid w:val="0"/>
          <w:kern w:val="22"/>
          <w:szCs w:val="22"/>
          <w:lang w:val="ru-RU"/>
        </w:rPr>
        <w:t xml:space="preserve"> </w:t>
      </w:r>
      <w:r>
        <w:rPr>
          <w:snapToGrid w:val="0"/>
          <w:kern w:val="22"/>
          <w:szCs w:val="22"/>
          <w:lang w:val="ru-RU"/>
        </w:rPr>
        <w:t>внедрили</w:t>
      </w:r>
      <w:r w:rsidRPr="00B64E95">
        <w:rPr>
          <w:snapToGrid w:val="0"/>
          <w:kern w:val="22"/>
          <w:szCs w:val="22"/>
          <w:lang w:val="ru-RU"/>
        </w:rPr>
        <w:t xml:space="preserve"> </w:t>
      </w:r>
      <w:r>
        <w:rPr>
          <w:snapToGrid w:val="0"/>
          <w:kern w:val="22"/>
          <w:szCs w:val="22"/>
          <w:lang w:val="ru-RU"/>
        </w:rPr>
        <w:t>механизм</w:t>
      </w:r>
      <w:r w:rsidR="0006365A">
        <w:rPr>
          <w:snapToGrid w:val="0"/>
          <w:kern w:val="22"/>
          <w:szCs w:val="22"/>
          <w:lang w:val="ru-RU"/>
        </w:rPr>
        <w:t>ы</w:t>
      </w:r>
      <w:r w:rsidRPr="00B64E95">
        <w:rPr>
          <w:snapToGrid w:val="0"/>
          <w:kern w:val="22"/>
          <w:szCs w:val="22"/>
          <w:lang w:val="ru-RU"/>
        </w:rPr>
        <w:t xml:space="preserve"> </w:t>
      </w:r>
      <w:r>
        <w:rPr>
          <w:snapToGrid w:val="0"/>
          <w:kern w:val="22"/>
          <w:szCs w:val="22"/>
          <w:lang w:val="ru-RU"/>
        </w:rPr>
        <w:t>обмена</w:t>
      </w:r>
      <w:r w:rsidRPr="00B64E95">
        <w:rPr>
          <w:snapToGrid w:val="0"/>
          <w:kern w:val="22"/>
          <w:szCs w:val="22"/>
          <w:lang w:val="ru-RU"/>
        </w:rPr>
        <w:t xml:space="preserve"> </w:t>
      </w:r>
      <w:r>
        <w:rPr>
          <w:snapToGrid w:val="0"/>
          <w:kern w:val="22"/>
          <w:szCs w:val="22"/>
          <w:lang w:val="ru-RU"/>
        </w:rPr>
        <w:t>опытом</w:t>
      </w:r>
      <w:r w:rsidRPr="00B64E95">
        <w:rPr>
          <w:snapToGrid w:val="0"/>
          <w:kern w:val="22"/>
          <w:szCs w:val="22"/>
          <w:lang w:val="ru-RU"/>
        </w:rPr>
        <w:t xml:space="preserve"> </w:t>
      </w:r>
      <w:r>
        <w:rPr>
          <w:snapToGrid w:val="0"/>
          <w:kern w:val="22"/>
          <w:szCs w:val="22"/>
          <w:lang w:val="ru-RU"/>
        </w:rPr>
        <w:t>и</w:t>
      </w:r>
      <w:r w:rsidRPr="00B64E95">
        <w:rPr>
          <w:snapToGrid w:val="0"/>
          <w:kern w:val="22"/>
          <w:szCs w:val="22"/>
          <w:lang w:val="ru-RU"/>
        </w:rPr>
        <w:t xml:space="preserve"> </w:t>
      </w:r>
      <w:r>
        <w:rPr>
          <w:snapToGrid w:val="0"/>
          <w:kern w:val="22"/>
          <w:szCs w:val="22"/>
          <w:lang w:val="ru-RU"/>
        </w:rPr>
        <w:t>ресурсами</w:t>
      </w:r>
      <w:r w:rsidRPr="00B64E95">
        <w:rPr>
          <w:snapToGrid w:val="0"/>
          <w:kern w:val="22"/>
          <w:szCs w:val="22"/>
          <w:lang w:val="ru-RU"/>
        </w:rPr>
        <w:t xml:space="preserve"> </w:t>
      </w:r>
      <w:r>
        <w:rPr>
          <w:snapToGrid w:val="0"/>
          <w:kern w:val="22"/>
          <w:szCs w:val="22"/>
          <w:lang w:val="ru-RU"/>
        </w:rPr>
        <w:t>по</w:t>
      </w:r>
      <w:r w:rsidRPr="00B64E95">
        <w:rPr>
          <w:snapToGrid w:val="0"/>
          <w:kern w:val="22"/>
          <w:szCs w:val="22"/>
          <w:lang w:val="ru-RU"/>
        </w:rPr>
        <w:t xml:space="preserve"> </w:t>
      </w:r>
      <w:r>
        <w:rPr>
          <w:iCs/>
          <w:snapToGrid w:val="0"/>
          <w:kern w:val="22"/>
          <w:szCs w:val="18"/>
          <w:lang w:val="ru-RU"/>
        </w:rPr>
        <w:t>осведомлению</w:t>
      </w:r>
      <w:r w:rsidRPr="00F3245F">
        <w:rPr>
          <w:iCs/>
          <w:snapToGrid w:val="0"/>
          <w:kern w:val="22"/>
          <w:szCs w:val="18"/>
          <w:lang w:val="ru-RU"/>
        </w:rPr>
        <w:t>, просвещени</w:t>
      </w:r>
      <w:r>
        <w:rPr>
          <w:iCs/>
          <w:snapToGrid w:val="0"/>
          <w:kern w:val="22"/>
          <w:szCs w:val="18"/>
          <w:lang w:val="ru-RU"/>
        </w:rPr>
        <w:t>ю</w:t>
      </w:r>
      <w:r w:rsidRPr="00F3245F">
        <w:rPr>
          <w:iCs/>
          <w:snapToGrid w:val="0"/>
          <w:kern w:val="22"/>
          <w:szCs w:val="18"/>
          <w:lang w:val="ru-RU"/>
        </w:rPr>
        <w:t xml:space="preserve"> и участи</w:t>
      </w:r>
      <w:r>
        <w:rPr>
          <w:iCs/>
          <w:snapToGrid w:val="0"/>
          <w:kern w:val="22"/>
          <w:szCs w:val="18"/>
          <w:lang w:val="ru-RU"/>
        </w:rPr>
        <w:t>ю</w:t>
      </w:r>
      <w:r w:rsidRPr="00F3245F">
        <w:rPr>
          <w:iCs/>
          <w:snapToGrid w:val="0"/>
          <w:kern w:val="22"/>
          <w:szCs w:val="18"/>
          <w:lang w:val="ru-RU"/>
        </w:rPr>
        <w:t xml:space="preserve"> общественности</w:t>
      </w:r>
      <w:r w:rsidR="004569FB" w:rsidRPr="00B64E95">
        <w:rPr>
          <w:snapToGrid w:val="0"/>
          <w:kern w:val="22"/>
          <w:szCs w:val="22"/>
          <w:lang w:val="ru-RU"/>
        </w:rPr>
        <w:t xml:space="preserve"> </w:t>
      </w:r>
      <w:r>
        <w:rPr>
          <w:snapToGrid w:val="0"/>
          <w:kern w:val="22"/>
          <w:szCs w:val="22"/>
          <w:lang w:val="ru-RU"/>
        </w:rPr>
        <w:t>или что такие механизмы внедрены в некоторой степени</w:t>
      </w:r>
      <w:r w:rsidR="004569FB" w:rsidRPr="00B64E95">
        <w:rPr>
          <w:snapToGrid w:val="0"/>
          <w:kern w:val="22"/>
          <w:szCs w:val="22"/>
          <w:lang w:val="ru-RU"/>
        </w:rPr>
        <w:t xml:space="preserve">. </w:t>
      </w:r>
      <w:r>
        <w:rPr>
          <w:snapToGrid w:val="0"/>
          <w:kern w:val="22"/>
          <w:szCs w:val="22"/>
          <w:lang w:val="ru-RU"/>
        </w:rPr>
        <w:t>Из</w:t>
      </w:r>
      <w:r w:rsidRPr="00B64E95">
        <w:rPr>
          <w:snapToGrid w:val="0"/>
          <w:kern w:val="22"/>
          <w:szCs w:val="22"/>
          <w:lang w:val="ru-RU"/>
        </w:rPr>
        <w:t xml:space="preserve"> </w:t>
      </w:r>
      <w:r>
        <w:rPr>
          <w:snapToGrid w:val="0"/>
          <w:kern w:val="22"/>
          <w:szCs w:val="22"/>
          <w:lang w:val="ru-RU"/>
        </w:rPr>
        <w:t>этих</w:t>
      </w:r>
      <w:r w:rsidRPr="00B64E95">
        <w:rPr>
          <w:snapToGrid w:val="0"/>
          <w:kern w:val="22"/>
          <w:szCs w:val="22"/>
          <w:lang w:val="ru-RU"/>
        </w:rPr>
        <w:t xml:space="preserve"> </w:t>
      </w:r>
      <w:r>
        <w:rPr>
          <w:snapToGrid w:val="0"/>
          <w:kern w:val="22"/>
          <w:szCs w:val="22"/>
          <w:lang w:val="ru-RU"/>
        </w:rPr>
        <w:t>респондентов</w:t>
      </w:r>
      <w:r w:rsidR="004569FB" w:rsidRPr="00B64E95">
        <w:rPr>
          <w:snapToGrid w:val="0"/>
          <w:kern w:val="22"/>
          <w:szCs w:val="22"/>
          <w:lang w:val="ru-RU"/>
        </w:rPr>
        <w:t xml:space="preserve"> 36</w:t>
      </w:r>
      <w:r w:rsidRPr="00B64E95">
        <w:rPr>
          <w:snapToGrid w:val="0"/>
          <w:kern w:val="22"/>
          <w:szCs w:val="22"/>
          <w:lang w:val="en-US"/>
        </w:rPr>
        <w:t> </w:t>
      </w:r>
      <w:r w:rsidR="004569FB" w:rsidRPr="00B64E95">
        <w:rPr>
          <w:snapToGrid w:val="0"/>
          <w:kern w:val="22"/>
          <w:szCs w:val="22"/>
          <w:lang w:val="ru-RU"/>
        </w:rPr>
        <w:t>%</w:t>
      </w:r>
      <w:r w:rsidRPr="00B64E95">
        <w:rPr>
          <w:snapToGrid w:val="0"/>
          <w:kern w:val="22"/>
          <w:szCs w:val="22"/>
          <w:lang w:val="ru-RU"/>
        </w:rPr>
        <w:t xml:space="preserve"> </w:t>
      </w:r>
      <w:r>
        <w:rPr>
          <w:snapToGrid w:val="0"/>
          <w:kern w:val="22"/>
          <w:szCs w:val="22"/>
          <w:lang w:val="ru-RU"/>
        </w:rPr>
        <w:t>указали</w:t>
      </w:r>
      <w:r w:rsidRPr="00B64E95">
        <w:rPr>
          <w:snapToGrid w:val="0"/>
          <w:kern w:val="22"/>
          <w:szCs w:val="22"/>
          <w:lang w:val="ru-RU"/>
        </w:rPr>
        <w:t xml:space="preserve">, </w:t>
      </w:r>
      <w:r>
        <w:rPr>
          <w:snapToGrid w:val="0"/>
          <w:kern w:val="22"/>
          <w:szCs w:val="22"/>
          <w:lang w:val="ru-RU"/>
        </w:rPr>
        <w:t>что</w:t>
      </w:r>
      <w:r w:rsidRPr="00B64E95">
        <w:rPr>
          <w:snapToGrid w:val="0"/>
          <w:kern w:val="22"/>
          <w:szCs w:val="22"/>
          <w:lang w:val="ru-RU"/>
        </w:rPr>
        <w:t xml:space="preserve"> </w:t>
      </w:r>
      <w:r>
        <w:rPr>
          <w:snapToGrid w:val="0"/>
          <w:kern w:val="22"/>
          <w:szCs w:val="22"/>
          <w:lang w:val="ru-RU"/>
        </w:rPr>
        <w:t>такими</w:t>
      </w:r>
      <w:r w:rsidRPr="00B64E95">
        <w:rPr>
          <w:snapToGrid w:val="0"/>
          <w:kern w:val="22"/>
          <w:szCs w:val="22"/>
          <w:lang w:val="ru-RU"/>
        </w:rPr>
        <w:t xml:space="preserve"> </w:t>
      </w:r>
      <w:r>
        <w:rPr>
          <w:snapToGrid w:val="0"/>
          <w:kern w:val="22"/>
          <w:szCs w:val="22"/>
          <w:lang w:val="ru-RU"/>
        </w:rPr>
        <w:t>механизмами</w:t>
      </w:r>
      <w:r w:rsidRPr="00B64E95">
        <w:rPr>
          <w:snapToGrid w:val="0"/>
          <w:kern w:val="22"/>
          <w:szCs w:val="22"/>
          <w:lang w:val="ru-RU"/>
        </w:rPr>
        <w:t xml:space="preserve"> </w:t>
      </w:r>
      <w:r>
        <w:rPr>
          <w:snapToGrid w:val="0"/>
          <w:kern w:val="22"/>
          <w:szCs w:val="22"/>
          <w:lang w:val="ru-RU"/>
        </w:rPr>
        <w:t>являются</w:t>
      </w:r>
      <w:r w:rsidRPr="00B64E95">
        <w:rPr>
          <w:snapToGrid w:val="0"/>
          <w:kern w:val="22"/>
          <w:szCs w:val="22"/>
          <w:lang w:val="ru-RU"/>
        </w:rPr>
        <w:t xml:space="preserve"> </w:t>
      </w:r>
      <w:r>
        <w:rPr>
          <w:snapToGrid w:val="0"/>
          <w:kern w:val="22"/>
          <w:szCs w:val="22"/>
          <w:lang w:val="ru-RU"/>
        </w:rPr>
        <w:t>сети</w:t>
      </w:r>
      <w:r w:rsidR="005F2731">
        <w:rPr>
          <w:snapToGrid w:val="0"/>
          <w:kern w:val="22"/>
          <w:szCs w:val="22"/>
          <w:lang w:val="ru-RU"/>
        </w:rPr>
        <w:t>,</w:t>
      </w:r>
      <w:r w:rsidR="004569FB" w:rsidRPr="00B64E95">
        <w:rPr>
          <w:snapToGrid w:val="0"/>
          <w:kern w:val="22"/>
          <w:szCs w:val="22"/>
          <w:lang w:val="ru-RU"/>
        </w:rPr>
        <w:t xml:space="preserve"> 31</w:t>
      </w:r>
      <w:r w:rsidRPr="00B64E95">
        <w:rPr>
          <w:snapToGrid w:val="0"/>
          <w:kern w:val="22"/>
          <w:szCs w:val="22"/>
          <w:lang w:val="en-US"/>
        </w:rPr>
        <w:t> </w:t>
      </w:r>
      <w:r w:rsidR="004569FB" w:rsidRPr="00B64E95">
        <w:rPr>
          <w:snapToGrid w:val="0"/>
          <w:kern w:val="22"/>
          <w:szCs w:val="22"/>
          <w:lang w:val="ru-RU"/>
        </w:rPr>
        <w:t xml:space="preserve">% </w:t>
      </w:r>
      <w:r>
        <w:rPr>
          <w:snapToGrid w:val="0"/>
          <w:kern w:val="22"/>
          <w:szCs w:val="22"/>
          <w:lang w:val="ru-RU"/>
        </w:rPr>
        <w:t>указал, что</w:t>
      </w:r>
      <w:r w:rsidRPr="00B64E95">
        <w:rPr>
          <w:snapToGrid w:val="0"/>
          <w:kern w:val="22"/>
          <w:szCs w:val="22"/>
          <w:lang w:val="ru-RU"/>
        </w:rPr>
        <w:t xml:space="preserve"> </w:t>
      </w:r>
      <w:r>
        <w:rPr>
          <w:snapToGrid w:val="0"/>
          <w:kern w:val="22"/>
          <w:szCs w:val="22"/>
          <w:lang w:val="ru-RU"/>
        </w:rPr>
        <w:t>такими</w:t>
      </w:r>
      <w:r w:rsidRPr="00B64E95">
        <w:rPr>
          <w:snapToGrid w:val="0"/>
          <w:kern w:val="22"/>
          <w:szCs w:val="22"/>
          <w:lang w:val="ru-RU"/>
        </w:rPr>
        <w:t xml:space="preserve"> </w:t>
      </w:r>
      <w:r>
        <w:rPr>
          <w:snapToGrid w:val="0"/>
          <w:kern w:val="22"/>
          <w:szCs w:val="22"/>
          <w:lang w:val="ru-RU"/>
        </w:rPr>
        <w:t>механизмами</w:t>
      </w:r>
      <w:r w:rsidRPr="00B64E95">
        <w:rPr>
          <w:snapToGrid w:val="0"/>
          <w:kern w:val="22"/>
          <w:szCs w:val="22"/>
          <w:lang w:val="ru-RU"/>
        </w:rPr>
        <w:t xml:space="preserve"> </w:t>
      </w:r>
      <w:r>
        <w:rPr>
          <w:snapToGrid w:val="0"/>
          <w:kern w:val="22"/>
          <w:szCs w:val="22"/>
          <w:lang w:val="ru-RU"/>
        </w:rPr>
        <w:t xml:space="preserve">являются </w:t>
      </w:r>
      <w:proofErr w:type="spellStart"/>
      <w:r>
        <w:rPr>
          <w:snapToGrid w:val="0"/>
          <w:kern w:val="22"/>
          <w:szCs w:val="22"/>
          <w:lang w:val="ru-RU"/>
        </w:rPr>
        <w:t>межсекторальные</w:t>
      </w:r>
      <w:proofErr w:type="spellEnd"/>
      <w:r>
        <w:rPr>
          <w:snapToGrid w:val="0"/>
          <w:kern w:val="22"/>
          <w:szCs w:val="22"/>
          <w:lang w:val="ru-RU"/>
        </w:rPr>
        <w:t xml:space="preserve"> механизмы,</w:t>
      </w:r>
      <w:r w:rsidR="004569FB" w:rsidRPr="00B64E95">
        <w:rPr>
          <w:snapToGrid w:val="0"/>
          <w:kern w:val="22"/>
          <w:szCs w:val="22"/>
          <w:lang w:val="ru-RU"/>
        </w:rPr>
        <w:t xml:space="preserve"> </w:t>
      </w:r>
      <w:r>
        <w:rPr>
          <w:snapToGrid w:val="0"/>
          <w:kern w:val="22"/>
          <w:szCs w:val="22"/>
          <w:lang w:val="ru-RU"/>
        </w:rPr>
        <w:t xml:space="preserve">и </w:t>
      </w:r>
      <w:r w:rsidR="004569FB" w:rsidRPr="00B64E95">
        <w:rPr>
          <w:snapToGrid w:val="0"/>
          <w:kern w:val="22"/>
          <w:szCs w:val="22"/>
          <w:lang w:val="ru-RU"/>
        </w:rPr>
        <w:t>33</w:t>
      </w:r>
      <w:r>
        <w:rPr>
          <w:snapToGrid w:val="0"/>
          <w:kern w:val="22"/>
          <w:szCs w:val="22"/>
          <w:lang w:val="ru-RU"/>
        </w:rPr>
        <w:t> </w:t>
      </w:r>
      <w:r w:rsidR="004569FB" w:rsidRPr="00B64E95">
        <w:rPr>
          <w:snapToGrid w:val="0"/>
          <w:kern w:val="22"/>
          <w:szCs w:val="22"/>
          <w:lang w:val="ru-RU"/>
        </w:rPr>
        <w:t xml:space="preserve">% </w:t>
      </w:r>
      <w:r>
        <w:rPr>
          <w:snapToGrid w:val="0"/>
          <w:kern w:val="22"/>
          <w:szCs w:val="22"/>
          <w:lang w:val="ru-RU"/>
        </w:rPr>
        <w:t>указали</w:t>
      </w:r>
      <w:r w:rsidR="0006365A">
        <w:rPr>
          <w:snapToGrid w:val="0"/>
          <w:kern w:val="22"/>
          <w:szCs w:val="22"/>
          <w:lang w:val="ru-RU"/>
        </w:rPr>
        <w:t xml:space="preserve"> на наличие</w:t>
      </w:r>
      <w:r>
        <w:rPr>
          <w:snapToGrid w:val="0"/>
          <w:kern w:val="22"/>
          <w:szCs w:val="22"/>
          <w:lang w:val="ru-RU"/>
        </w:rPr>
        <w:t xml:space="preserve"> други</w:t>
      </w:r>
      <w:r w:rsidR="0006365A">
        <w:rPr>
          <w:snapToGrid w:val="0"/>
          <w:kern w:val="22"/>
          <w:szCs w:val="22"/>
          <w:lang w:val="ru-RU"/>
        </w:rPr>
        <w:t>х</w:t>
      </w:r>
      <w:r>
        <w:rPr>
          <w:snapToGrid w:val="0"/>
          <w:kern w:val="22"/>
          <w:szCs w:val="22"/>
          <w:lang w:val="ru-RU"/>
        </w:rPr>
        <w:t xml:space="preserve"> тип</w:t>
      </w:r>
      <w:r w:rsidR="0006365A">
        <w:rPr>
          <w:snapToGrid w:val="0"/>
          <w:kern w:val="22"/>
          <w:szCs w:val="22"/>
          <w:lang w:val="ru-RU"/>
        </w:rPr>
        <w:t>ов</w:t>
      </w:r>
      <w:r>
        <w:rPr>
          <w:snapToGrid w:val="0"/>
          <w:kern w:val="22"/>
          <w:szCs w:val="22"/>
          <w:lang w:val="ru-RU"/>
        </w:rPr>
        <w:t xml:space="preserve"> механизмов</w:t>
      </w:r>
      <w:r w:rsidR="004569FB" w:rsidRPr="00B64E95">
        <w:rPr>
          <w:snapToGrid w:val="0"/>
          <w:kern w:val="22"/>
          <w:szCs w:val="22"/>
          <w:lang w:val="ru-RU"/>
        </w:rPr>
        <w:t xml:space="preserve">. </w:t>
      </w:r>
      <w:r w:rsidR="0006365A">
        <w:rPr>
          <w:snapToGrid w:val="0"/>
          <w:kern w:val="22"/>
          <w:szCs w:val="22"/>
          <w:lang w:val="ru-RU"/>
        </w:rPr>
        <w:t>Последняя</w:t>
      </w:r>
      <w:r w:rsidR="0006365A" w:rsidRPr="0006365A">
        <w:rPr>
          <w:snapToGrid w:val="0"/>
          <w:kern w:val="22"/>
          <w:szCs w:val="22"/>
          <w:lang w:val="ru-RU"/>
        </w:rPr>
        <w:t xml:space="preserve"> </w:t>
      </w:r>
      <w:r w:rsidR="0006365A">
        <w:rPr>
          <w:snapToGrid w:val="0"/>
          <w:kern w:val="22"/>
          <w:szCs w:val="22"/>
          <w:lang w:val="ru-RU"/>
        </w:rPr>
        <w:t>группа</w:t>
      </w:r>
      <w:r w:rsidR="0006365A" w:rsidRPr="0006365A">
        <w:rPr>
          <w:snapToGrid w:val="0"/>
          <w:kern w:val="22"/>
          <w:szCs w:val="22"/>
          <w:lang w:val="ru-RU"/>
        </w:rPr>
        <w:t xml:space="preserve"> </w:t>
      </w:r>
      <w:r w:rsidR="0006365A">
        <w:rPr>
          <w:snapToGrid w:val="0"/>
          <w:kern w:val="22"/>
          <w:szCs w:val="22"/>
          <w:lang w:val="ru-RU"/>
        </w:rPr>
        <w:t>респондентов</w:t>
      </w:r>
      <w:r w:rsidR="0006365A" w:rsidRPr="0006365A">
        <w:rPr>
          <w:snapToGrid w:val="0"/>
          <w:kern w:val="22"/>
          <w:szCs w:val="22"/>
          <w:lang w:val="ru-RU"/>
        </w:rPr>
        <w:t xml:space="preserve"> </w:t>
      </w:r>
      <w:r w:rsidR="0006365A">
        <w:rPr>
          <w:snapToGrid w:val="0"/>
          <w:kern w:val="22"/>
          <w:szCs w:val="22"/>
          <w:lang w:val="ru-RU"/>
        </w:rPr>
        <w:t>пояснила</w:t>
      </w:r>
      <w:r w:rsidR="0006365A" w:rsidRPr="0006365A">
        <w:rPr>
          <w:snapToGrid w:val="0"/>
          <w:kern w:val="22"/>
          <w:szCs w:val="22"/>
          <w:lang w:val="ru-RU"/>
        </w:rPr>
        <w:t xml:space="preserve">, </w:t>
      </w:r>
      <w:r w:rsidR="0006365A">
        <w:rPr>
          <w:snapToGrid w:val="0"/>
          <w:kern w:val="22"/>
          <w:szCs w:val="22"/>
          <w:lang w:val="ru-RU"/>
        </w:rPr>
        <w:t>что</w:t>
      </w:r>
      <w:r w:rsidR="0006365A" w:rsidRPr="0006365A">
        <w:rPr>
          <w:snapToGrid w:val="0"/>
          <w:kern w:val="22"/>
          <w:szCs w:val="22"/>
          <w:lang w:val="ru-RU"/>
        </w:rPr>
        <w:t xml:space="preserve"> </w:t>
      </w:r>
      <w:r w:rsidR="0006365A">
        <w:rPr>
          <w:snapToGrid w:val="0"/>
          <w:kern w:val="22"/>
          <w:szCs w:val="22"/>
          <w:lang w:val="ru-RU"/>
        </w:rPr>
        <w:t>эти</w:t>
      </w:r>
      <w:r w:rsidR="0006365A" w:rsidRPr="0006365A">
        <w:rPr>
          <w:snapToGrid w:val="0"/>
          <w:kern w:val="22"/>
          <w:szCs w:val="22"/>
          <w:lang w:val="ru-RU"/>
        </w:rPr>
        <w:t xml:space="preserve"> </w:t>
      </w:r>
      <w:r w:rsidR="0006365A">
        <w:rPr>
          <w:snapToGrid w:val="0"/>
          <w:kern w:val="22"/>
          <w:szCs w:val="22"/>
          <w:lang w:val="ru-RU"/>
        </w:rPr>
        <w:t>механизмы</w:t>
      </w:r>
      <w:r w:rsidR="0006365A" w:rsidRPr="0006365A">
        <w:rPr>
          <w:snapToGrid w:val="0"/>
          <w:kern w:val="22"/>
          <w:szCs w:val="22"/>
          <w:lang w:val="ru-RU"/>
        </w:rPr>
        <w:t xml:space="preserve"> </w:t>
      </w:r>
      <w:r w:rsidR="0006365A">
        <w:rPr>
          <w:snapToGrid w:val="0"/>
          <w:kern w:val="22"/>
          <w:szCs w:val="22"/>
          <w:lang w:val="ru-RU"/>
        </w:rPr>
        <w:t>обмена</w:t>
      </w:r>
      <w:r w:rsidR="0006365A" w:rsidRPr="0006365A">
        <w:rPr>
          <w:snapToGrid w:val="0"/>
          <w:kern w:val="22"/>
          <w:szCs w:val="22"/>
          <w:lang w:val="ru-RU"/>
        </w:rPr>
        <w:t xml:space="preserve"> </w:t>
      </w:r>
      <w:r w:rsidR="0006365A">
        <w:rPr>
          <w:snapToGrid w:val="0"/>
          <w:kern w:val="22"/>
          <w:szCs w:val="22"/>
          <w:lang w:val="ru-RU"/>
        </w:rPr>
        <w:t>информацией</w:t>
      </w:r>
      <w:r w:rsidR="0006365A" w:rsidRPr="0006365A">
        <w:rPr>
          <w:snapToGrid w:val="0"/>
          <w:kern w:val="22"/>
          <w:szCs w:val="22"/>
          <w:lang w:val="ru-RU"/>
        </w:rPr>
        <w:t xml:space="preserve"> </w:t>
      </w:r>
      <w:r w:rsidR="0006365A">
        <w:rPr>
          <w:snapToGrid w:val="0"/>
          <w:kern w:val="22"/>
          <w:szCs w:val="22"/>
          <w:lang w:val="ru-RU"/>
        </w:rPr>
        <w:t>включают</w:t>
      </w:r>
      <w:r w:rsidR="0006365A" w:rsidRPr="0006365A">
        <w:rPr>
          <w:snapToGrid w:val="0"/>
          <w:kern w:val="22"/>
          <w:szCs w:val="22"/>
          <w:lang w:val="ru-RU"/>
        </w:rPr>
        <w:t xml:space="preserve">, </w:t>
      </w:r>
      <w:r w:rsidR="0006365A">
        <w:rPr>
          <w:snapToGrid w:val="0"/>
          <w:kern w:val="22"/>
          <w:szCs w:val="22"/>
          <w:lang w:val="ru-RU"/>
        </w:rPr>
        <w:t>помимо</w:t>
      </w:r>
      <w:r w:rsidR="0006365A" w:rsidRPr="0006365A">
        <w:rPr>
          <w:snapToGrid w:val="0"/>
          <w:kern w:val="22"/>
          <w:szCs w:val="22"/>
          <w:lang w:val="ru-RU"/>
        </w:rPr>
        <w:t xml:space="preserve"> </w:t>
      </w:r>
      <w:r w:rsidR="0006365A">
        <w:rPr>
          <w:snapToGrid w:val="0"/>
          <w:kern w:val="22"/>
          <w:szCs w:val="22"/>
          <w:lang w:val="ru-RU"/>
        </w:rPr>
        <w:t>прочего</w:t>
      </w:r>
      <w:r w:rsidR="0006365A" w:rsidRPr="0006365A">
        <w:rPr>
          <w:snapToGrid w:val="0"/>
          <w:kern w:val="22"/>
          <w:szCs w:val="22"/>
          <w:lang w:val="ru-RU"/>
        </w:rPr>
        <w:t xml:space="preserve">, </w:t>
      </w:r>
      <w:r w:rsidR="0006365A">
        <w:rPr>
          <w:snapToGrid w:val="0"/>
          <w:kern w:val="22"/>
          <w:szCs w:val="22"/>
          <w:lang w:val="ru-RU"/>
        </w:rPr>
        <w:t>общественные</w:t>
      </w:r>
      <w:r w:rsidR="0006365A" w:rsidRPr="0006365A">
        <w:rPr>
          <w:snapToGrid w:val="0"/>
          <w:kern w:val="22"/>
          <w:szCs w:val="22"/>
          <w:lang w:val="ru-RU"/>
        </w:rPr>
        <w:t xml:space="preserve"> </w:t>
      </w:r>
      <w:r w:rsidR="0006365A">
        <w:rPr>
          <w:snapToGrid w:val="0"/>
          <w:kern w:val="22"/>
          <w:szCs w:val="22"/>
          <w:lang w:val="ru-RU"/>
        </w:rPr>
        <w:t>консультации</w:t>
      </w:r>
      <w:r w:rsidR="0006365A" w:rsidRPr="0006365A">
        <w:rPr>
          <w:snapToGrid w:val="0"/>
          <w:kern w:val="22"/>
          <w:szCs w:val="22"/>
          <w:lang w:val="ru-RU"/>
        </w:rPr>
        <w:t xml:space="preserve">, </w:t>
      </w:r>
      <w:r w:rsidR="0006365A">
        <w:rPr>
          <w:snapToGrid w:val="0"/>
          <w:kern w:val="22"/>
          <w:szCs w:val="22"/>
          <w:lang w:val="ru-RU"/>
        </w:rPr>
        <w:t>выездную</w:t>
      </w:r>
      <w:r w:rsidR="0006365A" w:rsidRPr="0006365A">
        <w:rPr>
          <w:snapToGrid w:val="0"/>
          <w:kern w:val="22"/>
          <w:szCs w:val="22"/>
          <w:lang w:val="ru-RU"/>
        </w:rPr>
        <w:t xml:space="preserve"> </w:t>
      </w:r>
      <w:r w:rsidR="0006365A">
        <w:rPr>
          <w:snapToGrid w:val="0"/>
          <w:kern w:val="22"/>
          <w:szCs w:val="22"/>
          <w:lang w:val="ru-RU"/>
        </w:rPr>
        <w:t>работу</w:t>
      </w:r>
      <w:r w:rsidR="0006365A" w:rsidRPr="0006365A">
        <w:rPr>
          <w:snapToGrid w:val="0"/>
          <w:kern w:val="22"/>
          <w:szCs w:val="22"/>
          <w:lang w:val="ru-RU"/>
        </w:rPr>
        <w:t xml:space="preserve"> </w:t>
      </w:r>
      <w:r w:rsidR="0006365A">
        <w:rPr>
          <w:snapToGrid w:val="0"/>
          <w:kern w:val="22"/>
          <w:szCs w:val="22"/>
          <w:lang w:val="ru-RU"/>
        </w:rPr>
        <w:t>в</w:t>
      </w:r>
      <w:r w:rsidR="0006365A" w:rsidRPr="0006365A">
        <w:rPr>
          <w:snapToGrid w:val="0"/>
          <w:kern w:val="22"/>
          <w:szCs w:val="22"/>
          <w:lang w:val="ru-RU"/>
        </w:rPr>
        <w:t xml:space="preserve"> </w:t>
      </w:r>
      <w:r w:rsidR="0006365A">
        <w:rPr>
          <w:snapToGrid w:val="0"/>
          <w:kern w:val="22"/>
          <w:szCs w:val="22"/>
          <w:lang w:val="ru-RU"/>
        </w:rPr>
        <w:t>общинах</w:t>
      </w:r>
      <w:r w:rsidR="0006365A" w:rsidRPr="0006365A">
        <w:rPr>
          <w:snapToGrid w:val="0"/>
          <w:kern w:val="22"/>
          <w:szCs w:val="22"/>
          <w:lang w:val="ru-RU"/>
        </w:rPr>
        <w:t xml:space="preserve">, </w:t>
      </w:r>
      <w:r w:rsidR="0006365A">
        <w:rPr>
          <w:snapToGrid w:val="0"/>
          <w:kern w:val="22"/>
          <w:szCs w:val="22"/>
          <w:lang w:val="ru-RU"/>
        </w:rPr>
        <w:t>совещания</w:t>
      </w:r>
      <w:r w:rsidR="0006365A" w:rsidRPr="0006365A">
        <w:rPr>
          <w:snapToGrid w:val="0"/>
          <w:kern w:val="22"/>
          <w:szCs w:val="22"/>
          <w:lang w:val="ru-RU"/>
        </w:rPr>
        <w:t xml:space="preserve">, </w:t>
      </w:r>
      <w:r w:rsidR="0006365A">
        <w:rPr>
          <w:snapToGrid w:val="0"/>
          <w:kern w:val="22"/>
          <w:szCs w:val="22"/>
          <w:lang w:val="ru-RU"/>
        </w:rPr>
        <w:t>выставки</w:t>
      </w:r>
      <w:r w:rsidR="0006365A" w:rsidRPr="0006365A">
        <w:rPr>
          <w:snapToGrid w:val="0"/>
          <w:kern w:val="22"/>
          <w:szCs w:val="22"/>
          <w:lang w:val="ru-RU"/>
        </w:rPr>
        <w:t xml:space="preserve">, </w:t>
      </w:r>
      <w:r w:rsidR="0006365A">
        <w:rPr>
          <w:snapToGrid w:val="0"/>
          <w:kern w:val="22"/>
          <w:szCs w:val="22"/>
          <w:lang w:val="ru-RU"/>
        </w:rPr>
        <w:t>СМИ</w:t>
      </w:r>
      <w:r w:rsidR="0006365A" w:rsidRPr="0006365A">
        <w:rPr>
          <w:snapToGrid w:val="0"/>
          <w:kern w:val="22"/>
          <w:szCs w:val="22"/>
          <w:lang w:val="ru-RU"/>
        </w:rPr>
        <w:t xml:space="preserve">, </w:t>
      </w:r>
      <w:r w:rsidR="0006365A">
        <w:rPr>
          <w:snapToGrid w:val="0"/>
          <w:kern w:val="22"/>
          <w:szCs w:val="22"/>
          <w:lang w:val="ru-RU"/>
        </w:rPr>
        <w:t>семинары</w:t>
      </w:r>
      <w:r w:rsidR="0006365A" w:rsidRPr="0006365A">
        <w:rPr>
          <w:snapToGrid w:val="0"/>
          <w:kern w:val="22"/>
          <w:szCs w:val="22"/>
          <w:lang w:val="ru-RU"/>
        </w:rPr>
        <w:t>,</w:t>
      </w:r>
      <w:r w:rsidR="004569FB" w:rsidRPr="0006365A">
        <w:rPr>
          <w:snapToGrid w:val="0"/>
          <w:kern w:val="22"/>
          <w:szCs w:val="22"/>
          <w:lang w:val="ru-RU"/>
        </w:rPr>
        <w:t xml:space="preserve"> </w:t>
      </w:r>
      <w:r w:rsidR="0006365A">
        <w:rPr>
          <w:snapToGrid w:val="0"/>
          <w:kern w:val="22"/>
          <w:szCs w:val="22"/>
          <w:lang w:val="ru-RU"/>
        </w:rPr>
        <w:t xml:space="preserve">списки рассылки, публикации и партнеров </w:t>
      </w:r>
      <w:r w:rsidR="004569FB" w:rsidRPr="0006365A">
        <w:rPr>
          <w:snapToGrid w:val="0"/>
          <w:kern w:val="22"/>
          <w:szCs w:val="22"/>
          <w:lang w:val="ru-RU"/>
        </w:rPr>
        <w:t>(</w:t>
      </w:r>
      <w:r w:rsidR="0006365A">
        <w:rPr>
          <w:snapToGrid w:val="0"/>
          <w:kern w:val="22"/>
          <w:szCs w:val="22"/>
          <w:lang w:val="ru-RU"/>
        </w:rPr>
        <w:t>например,</w:t>
      </w:r>
      <w:r w:rsidR="005F2731">
        <w:rPr>
          <w:snapToGrid w:val="0"/>
          <w:kern w:val="22"/>
          <w:szCs w:val="22"/>
          <w:lang w:val="ru-RU"/>
        </w:rPr>
        <w:t xml:space="preserve"> неправительственные организации</w:t>
      </w:r>
      <w:r w:rsidR="004569FB" w:rsidRPr="0006365A">
        <w:rPr>
          <w:snapToGrid w:val="0"/>
          <w:kern w:val="22"/>
          <w:szCs w:val="22"/>
          <w:lang w:val="ru-RU"/>
        </w:rPr>
        <w:t xml:space="preserve">) </w:t>
      </w:r>
      <w:r w:rsidR="0006365A">
        <w:rPr>
          <w:snapToGrid w:val="0"/>
          <w:kern w:val="22"/>
          <w:szCs w:val="22"/>
          <w:lang w:val="ru-RU"/>
        </w:rPr>
        <w:t>и торжественные мероприятия</w:t>
      </w:r>
      <w:r w:rsidR="004569FB" w:rsidRPr="0006365A">
        <w:rPr>
          <w:snapToGrid w:val="0"/>
          <w:kern w:val="22"/>
          <w:szCs w:val="22"/>
          <w:lang w:val="ru-RU"/>
        </w:rPr>
        <w:t>.</w:t>
      </w:r>
    </w:p>
    <w:p w14:paraId="2F510258" w14:textId="1D878E8C" w:rsidR="004569FB" w:rsidRPr="00790142" w:rsidRDefault="00790142" w:rsidP="005F2731">
      <w:pPr>
        <w:keepNext/>
        <w:numPr>
          <w:ilvl w:val="0"/>
          <w:numId w:val="17"/>
        </w:numPr>
        <w:suppressLineNumbers/>
        <w:tabs>
          <w:tab w:val="clear" w:pos="2070"/>
          <w:tab w:val="left" w:pos="426"/>
        </w:tabs>
        <w:suppressAutoHyphens/>
        <w:spacing w:before="120" w:after="120"/>
        <w:ind w:left="0" w:firstLine="0"/>
        <w:jc w:val="center"/>
        <w:outlineLvl w:val="1"/>
        <w:rPr>
          <w:b/>
          <w:iCs/>
          <w:snapToGrid w:val="0"/>
          <w:kern w:val="22"/>
          <w:szCs w:val="22"/>
          <w:lang w:val="ru-RU"/>
        </w:rPr>
      </w:pPr>
      <w:r w:rsidRPr="00790142">
        <w:rPr>
          <w:b/>
          <w:iCs/>
          <w:snapToGrid w:val="0"/>
          <w:kern w:val="22"/>
          <w:szCs w:val="22"/>
          <w:lang w:val="ru-RU"/>
        </w:rPr>
        <w:t>Информационно-просветительская работа и сотрудничество</w:t>
      </w:r>
      <w:r>
        <w:rPr>
          <w:b/>
          <w:iCs/>
          <w:snapToGrid w:val="0"/>
          <w:kern w:val="22"/>
          <w:szCs w:val="22"/>
          <w:lang w:val="ru-RU"/>
        </w:rPr>
        <w:br/>
      </w:r>
      <w:r w:rsidRPr="00790142">
        <w:rPr>
          <w:b/>
          <w:iCs/>
          <w:snapToGrid w:val="0"/>
          <w:kern w:val="22"/>
          <w:szCs w:val="22"/>
          <w:lang w:val="ru-RU"/>
        </w:rPr>
        <w:t xml:space="preserve">(оперативные цели </w:t>
      </w:r>
      <w:r w:rsidR="004569FB" w:rsidRPr="00790142">
        <w:rPr>
          <w:b/>
          <w:iCs/>
          <w:snapToGrid w:val="0"/>
          <w:kern w:val="22"/>
          <w:szCs w:val="22"/>
          <w:lang w:val="ru-RU"/>
        </w:rPr>
        <w:t>5.1, 5.2</w:t>
      </w:r>
      <w:r>
        <w:rPr>
          <w:b/>
          <w:iCs/>
          <w:snapToGrid w:val="0"/>
          <w:kern w:val="22"/>
          <w:szCs w:val="22"/>
          <w:lang w:val="ru-RU"/>
        </w:rPr>
        <w:t xml:space="preserve"> и</w:t>
      </w:r>
      <w:r w:rsidR="004569FB" w:rsidRPr="00790142">
        <w:rPr>
          <w:b/>
          <w:iCs/>
          <w:snapToGrid w:val="0"/>
          <w:kern w:val="22"/>
          <w:szCs w:val="22"/>
          <w:lang w:val="ru-RU"/>
        </w:rPr>
        <w:t xml:space="preserve"> 5.3)</w:t>
      </w:r>
    </w:p>
    <w:p w14:paraId="51D3BC2A" w14:textId="183D22DC" w:rsidR="004569FB" w:rsidRPr="00DB5643" w:rsidRDefault="00790142" w:rsidP="000A5388">
      <w:pPr>
        <w:keepNext/>
        <w:suppressLineNumbers/>
        <w:suppressAutoHyphens/>
        <w:spacing w:before="120" w:after="120"/>
        <w:textAlignment w:val="baseline"/>
        <w:outlineLvl w:val="2"/>
        <w:rPr>
          <w:b/>
          <w:iCs/>
          <w:snapToGrid w:val="0"/>
          <w:kern w:val="22"/>
          <w:szCs w:val="22"/>
        </w:rPr>
      </w:pPr>
      <w:r w:rsidRPr="00790142">
        <w:rPr>
          <w:b/>
          <w:iCs/>
          <w:snapToGrid w:val="0"/>
          <w:kern w:val="22"/>
          <w:szCs w:val="22"/>
          <w:lang w:val="ru-RU"/>
        </w:rPr>
        <w:t>Оперативная</w:t>
      </w:r>
      <w:r w:rsidRPr="00790142">
        <w:rPr>
          <w:b/>
          <w:iCs/>
          <w:snapToGrid w:val="0"/>
          <w:kern w:val="22"/>
          <w:szCs w:val="22"/>
          <w:lang w:val="en-US"/>
        </w:rPr>
        <w:t xml:space="preserve"> </w:t>
      </w:r>
      <w:r w:rsidRPr="00790142">
        <w:rPr>
          <w:b/>
          <w:iCs/>
          <w:snapToGrid w:val="0"/>
          <w:kern w:val="22"/>
          <w:szCs w:val="22"/>
          <w:lang w:val="ru-RU"/>
        </w:rPr>
        <w:t>цель</w:t>
      </w:r>
      <w:r w:rsidRPr="00790142">
        <w:rPr>
          <w:b/>
          <w:iCs/>
          <w:snapToGrid w:val="0"/>
          <w:kern w:val="22"/>
          <w:szCs w:val="22"/>
          <w:lang w:val="en-US"/>
        </w:rPr>
        <w:t xml:space="preserve"> </w:t>
      </w:r>
      <w:r w:rsidR="004569FB" w:rsidRPr="00DB5643">
        <w:rPr>
          <w:b/>
          <w:iCs/>
          <w:snapToGrid w:val="0"/>
          <w:kern w:val="22"/>
          <w:szCs w:val="22"/>
        </w:rPr>
        <w:t>5.1</w:t>
      </w:r>
      <w:r w:rsidRPr="00790142">
        <w:rPr>
          <w:b/>
          <w:iCs/>
          <w:snapToGrid w:val="0"/>
          <w:kern w:val="22"/>
          <w:szCs w:val="22"/>
          <w:lang w:val="en-US"/>
        </w:rPr>
        <w:t>.</w:t>
      </w:r>
      <w:r w:rsidR="004569FB" w:rsidRPr="00DB5643">
        <w:rPr>
          <w:b/>
          <w:iCs/>
          <w:snapToGrid w:val="0"/>
          <w:kern w:val="22"/>
          <w:szCs w:val="22"/>
        </w:rPr>
        <w:t xml:space="preserve"> </w:t>
      </w:r>
      <w:r w:rsidRPr="00790142">
        <w:rPr>
          <w:b/>
          <w:iCs/>
          <w:snapToGrid w:val="0"/>
          <w:kern w:val="22"/>
          <w:szCs w:val="22"/>
          <w:lang w:val="ru-RU"/>
        </w:rPr>
        <w:t>Ратификация Протокола</w:t>
      </w:r>
    </w:p>
    <w:p w14:paraId="42E67B10" w14:textId="540064C9" w:rsidR="004569FB" w:rsidRPr="00790142" w:rsidRDefault="00790142" w:rsidP="004569FB">
      <w:pPr>
        <w:pStyle w:val="a3"/>
        <w:numPr>
          <w:ilvl w:val="0"/>
          <w:numId w:val="9"/>
        </w:numPr>
        <w:suppressLineNumbers/>
        <w:tabs>
          <w:tab w:val="clear" w:pos="3240"/>
        </w:tabs>
        <w:suppressAutoHyphens/>
        <w:snapToGrid w:val="0"/>
        <w:spacing w:before="120" w:after="120"/>
        <w:ind w:left="0" w:firstLine="0"/>
        <w:contextualSpacing w:val="0"/>
        <w:rPr>
          <w:i/>
          <w:snapToGrid w:val="0"/>
          <w:kern w:val="22"/>
          <w:szCs w:val="22"/>
          <w:lang w:val="ru-RU"/>
        </w:rPr>
      </w:pPr>
      <w:r>
        <w:rPr>
          <w:snapToGrid w:val="0"/>
          <w:kern w:val="22"/>
          <w:szCs w:val="22"/>
          <w:lang w:val="ru-RU"/>
        </w:rPr>
        <w:t>Что</w:t>
      </w:r>
      <w:r w:rsidRPr="003926D8">
        <w:rPr>
          <w:snapToGrid w:val="0"/>
          <w:kern w:val="22"/>
          <w:szCs w:val="22"/>
          <w:lang w:val="ru-RU"/>
        </w:rPr>
        <w:t xml:space="preserve"> </w:t>
      </w:r>
      <w:r>
        <w:rPr>
          <w:snapToGrid w:val="0"/>
          <w:kern w:val="22"/>
          <w:szCs w:val="22"/>
          <w:lang w:val="ru-RU"/>
        </w:rPr>
        <w:t>касается</w:t>
      </w:r>
      <w:r w:rsidR="004569FB" w:rsidRPr="003926D8">
        <w:rPr>
          <w:snapToGrid w:val="0"/>
          <w:kern w:val="22"/>
          <w:szCs w:val="22"/>
          <w:lang w:val="ru-RU"/>
        </w:rPr>
        <w:t xml:space="preserve"> </w:t>
      </w:r>
      <w:r>
        <w:rPr>
          <w:b/>
          <w:snapToGrid w:val="0"/>
          <w:kern w:val="22"/>
          <w:szCs w:val="22"/>
          <w:lang w:val="ru-RU"/>
        </w:rPr>
        <w:t>индикатора</w:t>
      </w:r>
      <w:r w:rsidR="004569FB" w:rsidRPr="003926D8">
        <w:rPr>
          <w:b/>
          <w:snapToGrid w:val="0"/>
          <w:kern w:val="22"/>
          <w:szCs w:val="22"/>
          <w:lang w:val="ru-RU"/>
        </w:rPr>
        <w:t xml:space="preserve"> 5.1.1</w:t>
      </w:r>
      <w:r w:rsidR="004569FB" w:rsidRPr="003926D8">
        <w:rPr>
          <w:snapToGrid w:val="0"/>
          <w:kern w:val="22"/>
          <w:szCs w:val="22"/>
          <w:lang w:val="ru-RU"/>
        </w:rPr>
        <w:t xml:space="preserve"> (</w:t>
      </w:r>
      <w:r>
        <w:rPr>
          <w:snapToGrid w:val="0"/>
          <w:kern w:val="22"/>
          <w:szCs w:val="22"/>
          <w:lang w:val="ru-RU"/>
        </w:rPr>
        <w:t>п</w:t>
      </w:r>
      <w:r w:rsidRPr="00790142">
        <w:rPr>
          <w:snapToGrid w:val="0"/>
          <w:kern w:val="22"/>
          <w:szCs w:val="22"/>
          <w:lang w:val="ru-RU"/>
        </w:rPr>
        <w:t>роцентная</w:t>
      </w:r>
      <w:r w:rsidRPr="003926D8">
        <w:rPr>
          <w:snapToGrid w:val="0"/>
          <w:kern w:val="22"/>
          <w:szCs w:val="22"/>
          <w:lang w:val="ru-RU"/>
        </w:rPr>
        <w:t xml:space="preserve"> </w:t>
      </w:r>
      <w:r w:rsidRPr="00790142">
        <w:rPr>
          <w:snapToGrid w:val="0"/>
          <w:kern w:val="22"/>
          <w:szCs w:val="22"/>
          <w:lang w:val="ru-RU"/>
        </w:rPr>
        <w:t>доля</w:t>
      </w:r>
      <w:r w:rsidRPr="003926D8">
        <w:rPr>
          <w:snapToGrid w:val="0"/>
          <w:kern w:val="22"/>
          <w:szCs w:val="22"/>
          <w:lang w:val="ru-RU"/>
        </w:rPr>
        <w:t xml:space="preserve"> </w:t>
      </w:r>
      <w:r w:rsidRPr="00790142">
        <w:rPr>
          <w:snapToGrid w:val="0"/>
          <w:kern w:val="22"/>
          <w:szCs w:val="22"/>
          <w:lang w:val="ru-RU"/>
        </w:rPr>
        <w:t>Сторон</w:t>
      </w:r>
      <w:r w:rsidRPr="003926D8">
        <w:rPr>
          <w:snapToGrid w:val="0"/>
          <w:kern w:val="22"/>
          <w:szCs w:val="22"/>
          <w:lang w:val="ru-RU"/>
        </w:rPr>
        <w:t xml:space="preserve"> </w:t>
      </w:r>
      <w:r w:rsidRPr="00790142">
        <w:rPr>
          <w:snapToGrid w:val="0"/>
          <w:kern w:val="22"/>
          <w:szCs w:val="22"/>
          <w:lang w:val="ru-RU"/>
        </w:rPr>
        <w:t>Конвенции</w:t>
      </w:r>
      <w:r w:rsidRPr="003926D8">
        <w:rPr>
          <w:snapToGrid w:val="0"/>
          <w:kern w:val="22"/>
          <w:szCs w:val="22"/>
          <w:lang w:val="ru-RU"/>
        </w:rPr>
        <w:t xml:space="preserve"> </w:t>
      </w:r>
      <w:r w:rsidRPr="00790142">
        <w:rPr>
          <w:snapToGrid w:val="0"/>
          <w:kern w:val="22"/>
          <w:szCs w:val="22"/>
          <w:lang w:val="ru-RU"/>
        </w:rPr>
        <w:t>о</w:t>
      </w:r>
      <w:r w:rsidRPr="003926D8">
        <w:rPr>
          <w:snapToGrid w:val="0"/>
          <w:kern w:val="22"/>
          <w:szCs w:val="22"/>
          <w:lang w:val="ru-RU"/>
        </w:rPr>
        <w:t xml:space="preserve"> </w:t>
      </w:r>
      <w:r w:rsidRPr="00790142">
        <w:rPr>
          <w:snapToGrid w:val="0"/>
          <w:kern w:val="22"/>
          <w:szCs w:val="22"/>
          <w:lang w:val="ru-RU"/>
        </w:rPr>
        <w:t>биологическом</w:t>
      </w:r>
      <w:r w:rsidRPr="003926D8">
        <w:rPr>
          <w:snapToGrid w:val="0"/>
          <w:kern w:val="22"/>
          <w:szCs w:val="22"/>
          <w:lang w:val="ru-RU"/>
        </w:rPr>
        <w:t xml:space="preserve"> </w:t>
      </w:r>
      <w:r w:rsidRPr="00790142">
        <w:rPr>
          <w:snapToGrid w:val="0"/>
          <w:kern w:val="22"/>
          <w:szCs w:val="22"/>
          <w:lang w:val="ru-RU"/>
        </w:rPr>
        <w:t>разнообразии</w:t>
      </w:r>
      <w:r w:rsidRPr="003926D8">
        <w:rPr>
          <w:snapToGrid w:val="0"/>
          <w:kern w:val="22"/>
          <w:szCs w:val="22"/>
          <w:lang w:val="ru-RU"/>
        </w:rPr>
        <w:t xml:space="preserve">, </w:t>
      </w:r>
      <w:r w:rsidRPr="00790142">
        <w:rPr>
          <w:snapToGrid w:val="0"/>
          <w:kern w:val="22"/>
          <w:szCs w:val="22"/>
          <w:lang w:val="ru-RU"/>
        </w:rPr>
        <w:t>которые</w:t>
      </w:r>
      <w:r w:rsidRPr="003926D8">
        <w:rPr>
          <w:snapToGrid w:val="0"/>
          <w:kern w:val="22"/>
          <w:szCs w:val="22"/>
          <w:lang w:val="ru-RU"/>
        </w:rPr>
        <w:t xml:space="preserve"> </w:t>
      </w:r>
      <w:r w:rsidRPr="00790142">
        <w:rPr>
          <w:snapToGrid w:val="0"/>
          <w:kern w:val="22"/>
          <w:szCs w:val="22"/>
          <w:lang w:val="ru-RU"/>
        </w:rPr>
        <w:t>стали</w:t>
      </w:r>
      <w:r w:rsidRPr="003926D8">
        <w:rPr>
          <w:snapToGrid w:val="0"/>
          <w:kern w:val="22"/>
          <w:szCs w:val="22"/>
          <w:lang w:val="ru-RU"/>
        </w:rPr>
        <w:t xml:space="preserve"> </w:t>
      </w:r>
      <w:r w:rsidRPr="00790142">
        <w:rPr>
          <w:snapToGrid w:val="0"/>
          <w:kern w:val="22"/>
          <w:szCs w:val="22"/>
          <w:lang w:val="ru-RU"/>
        </w:rPr>
        <w:t>Сторонами</w:t>
      </w:r>
      <w:r w:rsidRPr="003926D8">
        <w:rPr>
          <w:snapToGrid w:val="0"/>
          <w:kern w:val="22"/>
          <w:szCs w:val="22"/>
          <w:lang w:val="ru-RU"/>
        </w:rPr>
        <w:t xml:space="preserve"> </w:t>
      </w:r>
      <w:r w:rsidRPr="00790142">
        <w:rPr>
          <w:snapToGrid w:val="0"/>
          <w:kern w:val="22"/>
          <w:szCs w:val="22"/>
          <w:lang w:val="ru-RU"/>
        </w:rPr>
        <w:t>Протокола</w:t>
      </w:r>
      <w:r w:rsidR="004569FB" w:rsidRPr="003926D8">
        <w:rPr>
          <w:snapToGrid w:val="0"/>
          <w:kern w:val="22"/>
          <w:szCs w:val="22"/>
          <w:lang w:val="ru-RU"/>
        </w:rPr>
        <w:t xml:space="preserve">), </w:t>
      </w:r>
      <w:r>
        <w:rPr>
          <w:snapToGrid w:val="0"/>
          <w:kern w:val="22"/>
          <w:szCs w:val="22"/>
          <w:lang w:val="ru-RU"/>
        </w:rPr>
        <w:t>по</w:t>
      </w:r>
      <w:r w:rsidRPr="003926D8">
        <w:rPr>
          <w:snapToGrid w:val="0"/>
          <w:kern w:val="22"/>
          <w:szCs w:val="22"/>
          <w:lang w:val="ru-RU"/>
        </w:rPr>
        <w:t xml:space="preserve"> </w:t>
      </w:r>
      <w:r>
        <w:rPr>
          <w:snapToGrid w:val="0"/>
          <w:kern w:val="22"/>
          <w:szCs w:val="22"/>
          <w:lang w:val="ru-RU"/>
        </w:rPr>
        <w:t>состоянию</w:t>
      </w:r>
      <w:r w:rsidRPr="003926D8">
        <w:rPr>
          <w:snapToGrid w:val="0"/>
          <w:kern w:val="22"/>
          <w:szCs w:val="22"/>
          <w:lang w:val="ru-RU"/>
        </w:rPr>
        <w:t xml:space="preserve"> </w:t>
      </w:r>
      <w:r>
        <w:rPr>
          <w:snapToGrid w:val="0"/>
          <w:kern w:val="22"/>
          <w:szCs w:val="22"/>
          <w:lang w:val="ru-RU"/>
        </w:rPr>
        <w:t>на</w:t>
      </w:r>
      <w:r w:rsidR="004569FB" w:rsidRPr="003926D8">
        <w:rPr>
          <w:snapToGrid w:val="0"/>
          <w:kern w:val="22"/>
          <w:szCs w:val="22"/>
          <w:lang w:val="ru-RU"/>
        </w:rPr>
        <w:t xml:space="preserve"> 31</w:t>
      </w:r>
      <w:r w:rsidRPr="003926D8">
        <w:rPr>
          <w:snapToGrid w:val="0"/>
          <w:kern w:val="22"/>
          <w:szCs w:val="22"/>
          <w:lang w:val="ru-RU"/>
        </w:rPr>
        <w:t xml:space="preserve"> </w:t>
      </w:r>
      <w:r>
        <w:rPr>
          <w:snapToGrid w:val="0"/>
          <w:kern w:val="22"/>
          <w:szCs w:val="22"/>
          <w:lang w:val="ru-RU"/>
        </w:rPr>
        <w:t>декабря</w:t>
      </w:r>
      <w:r w:rsidR="004569FB" w:rsidRPr="003926D8">
        <w:rPr>
          <w:snapToGrid w:val="0"/>
          <w:kern w:val="22"/>
          <w:szCs w:val="22"/>
          <w:lang w:val="ru-RU"/>
        </w:rPr>
        <w:t xml:space="preserve"> 2011</w:t>
      </w:r>
      <w:r w:rsidRPr="003926D8">
        <w:rPr>
          <w:snapToGrid w:val="0"/>
          <w:kern w:val="22"/>
          <w:szCs w:val="22"/>
          <w:lang w:val="ru-RU"/>
        </w:rPr>
        <w:t xml:space="preserve"> </w:t>
      </w:r>
      <w:r>
        <w:rPr>
          <w:snapToGrid w:val="0"/>
          <w:kern w:val="22"/>
          <w:szCs w:val="22"/>
          <w:lang w:val="ru-RU"/>
        </w:rPr>
        <w:t>года</w:t>
      </w:r>
      <w:r w:rsidR="004569FB" w:rsidRPr="003926D8">
        <w:rPr>
          <w:snapToGrid w:val="0"/>
          <w:kern w:val="22"/>
          <w:szCs w:val="22"/>
          <w:lang w:val="ru-RU"/>
        </w:rPr>
        <w:t xml:space="preserve"> 167 </w:t>
      </w:r>
      <w:r>
        <w:rPr>
          <w:snapToGrid w:val="0"/>
          <w:kern w:val="22"/>
          <w:szCs w:val="22"/>
          <w:lang w:val="ru-RU"/>
        </w:rPr>
        <w:t>Сторон</w:t>
      </w:r>
      <w:r w:rsidRPr="003926D8">
        <w:rPr>
          <w:snapToGrid w:val="0"/>
          <w:kern w:val="22"/>
          <w:szCs w:val="22"/>
          <w:lang w:val="ru-RU"/>
        </w:rPr>
        <w:t xml:space="preserve"> </w:t>
      </w:r>
      <w:r>
        <w:rPr>
          <w:snapToGrid w:val="0"/>
          <w:kern w:val="22"/>
          <w:szCs w:val="22"/>
          <w:lang w:val="ru-RU"/>
        </w:rPr>
        <w:t>Конвенции</w:t>
      </w:r>
      <w:r w:rsidR="004569FB" w:rsidRPr="003926D8">
        <w:rPr>
          <w:snapToGrid w:val="0"/>
          <w:kern w:val="22"/>
          <w:szCs w:val="22"/>
          <w:lang w:val="ru-RU"/>
        </w:rPr>
        <w:t xml:space="preserve"> (86</w:t>
      </w:r>
      <w:r w:rsidRPr="00790142">
        <w:rPr>
          <w:snapToGrid w:val="0"/>
          <w:kern w:val="22"/>
          <w:szCs w:val="22"/>
        </w:rPr>
        <w:t> </w:t>
      </w:r>
      <w:r w:rsidR="004569FB" w:rsidRPr="003926D8">
        <w:rPr>
          <w:snapToGrid w:val="0"/>
          <w:kern w:val="22"/>
          <w:szCs w:val="22"/>
          <w:lang w:val="ru-RU"/>
        </w:rPr>
        <w:t xml:space="preserve">%) </w:t>
      </w:r>
      <w:r>
        <w:rPr>
          <w:snapToGrid w:val="0"/>
          <w:kern w:val="22"/>
          <w:szCs w:val="22"/>
          <w:lang w:val="ru-RU"/>
        </w:rPr>
        <w:t>стали</w:t>
      </w:r>
      <w:r w:rsidRPr="003926D8">
        <w:rPr>
          <w:snapToGrid w:val="0"/>
          <w:kern w:val="22"/>
          <w:szCs w:val="22"/>
          <w:lang w:val="ru-RU"/>
        </w:rPr>
        <w:t xml:space="preserve"> </w:t>
      </w:r>
      <w:r>
        <w:rPr>
          <w:snapToGrid w:val="0"/>
          <w:kern w:val="22"/>
          <w:szCs w:val="22"/>
          <w:lang w:val="ru-RU"/>
        </w:rPr>
        <w:t>Сторонами</w:t>
      </w:r>
      <w:r w:rsidRPr="003926D8">
        <w:rPr>
          <w:snapToGrid w:val="0"/>
          <w:kern w:val="22"/>
          <w:szCs w:val="22"/>
          <w:lang w:val="ru-RU"/>
        </w:rPr>
        <w:t xml:space="preserve"> </w:t>
      </w:r>
      <w:r>
        <w:rPr>
          <w:snapToGrid w:val="0"/>
          <w:kern w:val="22"/>
          <w:szCs w:val="22"/>
          <w:lang w:val="ru-RU"/>
        </w:rPr>
        <w:t>Протокола</w:t>
      </w:r>
      <w:r w:rsidR="004569FB" w:rsidRPr="00DB5643">
        <w:rPr>
          <w:rStyle w:val="ac"/>
          <w:snapToGrid w:val="0"/>
          <w:kern w:val="22"/>
          <w:szCs w:val="22"/>
        </w:rPr>
        <w:footnoteReference w:id="64"/>
      </w:r>
      <w:r w:rsidRPr="003926D8">
        <w:rPr>
          <w:snapToGrid w:val="0"/>
          <w:kern w:val="22"/>
          <w:szCs w:val="22"/>
          <w:lang w:val="ru-RU"/>
        </w:rPr>
        <w:t>.</w:t>
      </w:r>
      <w:r w:rsidR="004569FB" w:rsidRPr="003926D8">
        <w:rPr>
          <w:snapToGrid w:val="0"/>
          <w:kern w:val="22"/>
          <w:szCs w:val="22"/>
          <w:lang w:val="ru-RU"/>
        </w:rPr>
        <w:t xml:space="preserve"> </w:t>
      </w:r>
      <w:r>
        <w:rPr>
          <w:snapToGrid w:val="0"/>
          <w:kern w:val="22"/>
          <w:szCs w:val="22"/>
          <w:lang w:val="ru-RU"/>
        </w:rPr>
        <w:t>По</w:t>
      </w:r>
      <w:r w:rsidRPr="00790142">
        <w:rPr>
          <w:snapToGrid w:val="0"/>
          <w:kern w:val="22"/>
          <w:szCs w:val="22"/>
          <w:lang w:val="ru-RU"/>
        </w:rPr>
        <w:t xml:space="preserve"> </w:t>
      </w:r>
      <w:r>
        <w:rPr>
          <w:snapToGrid w:val="0"/>
          <w:kern w:val="22"/>
          <w:szCs w:val="22"/>
          <w:lang w:val="ru-RU"/>
        </w:rPr>
        <w:t>состоянию</w:t>
      </w:r>
      <w:r w:rsidRPr="00790142">
        <w:rPr>
          <w:snapToGrid w:val="0"/>
          <w:kern w:val="22"/>
          <w:szCs w:val="22"/>
          <w:lang w:val="ru-RU"/>
        </w:rPr>
        <w:t xml:space="preserve"> </w:t>
      </w:r>
      <w:r>
        <w:rPr>
          <w:snapToGrid w:val="0"/>
          <w:kern w:val="22"/>
          <w:szCs w:val="22"/>
          <w:lang w:val="ru-RU"/>
        </w:rPr>
        <w:t>на</w:t>
      </w:r>
      <w:r w:rsidR="004569FB" w:rsidRPr="00790142">
        <w:rPr>
          <w:snapToGrid w:val="0"/>
          <w:kern w:val="22"/>
          <w:szCs w:val="22"/>
          <w:lang w:val="ru-RU"/>
        </w:rPr>
        <w:t xml:space="preserve"> 31</w:t>
      </w:r>
      <w:r w:rsidRPr="00790142">
        <w:rPr>
          <w:snapToGrid w:val="0"/>
          <w:kern w:val="22"/>
          <w:szCs w:val="22"/>
          <w:lang w:val="ru-RU"/>
        </w:rPr>
        <w:t xml:space="preserve"> </w:t>
      </w:r>
      <w:r>
        <w:rPr>
          <w:snapToGrid w:val="0"/>
          <w:kern w:val="22"/>
          <w:szCs w:val="22"/>
          <w:lang w:val="ru-RU"/>
        </w:rPr>
        <w:t>декабря</w:t>
      </w:r>
      <w:r w:rsidR="004569FB" w:rsidRPr="00790142">
        <w:rPr>
          <w:snapToGrid w:val="0"/>
          <w:kern w:val="22"/>
          <w:szCs w:val="22"/>
          <w:lang w:val="ru-RU"/>
        </w:rPr>
        <w:t xml:space="preserve"> 2019</w:t>
      </w:r>
      <w:r w:rsidRPr="00790142">
        <w:rPr>
          <w:snapToGrid w:val="0"/>
          <w:kern w:val="22"/>
          <w:szCs w:val="22"/>
          <w:lang w:val="ru-RU"/>
        </w:rPr>
        <w:t xml:space="preserve"> </w:t>
      </w:r>
      <w:r>
        <w:rPr>
          <w:snapToGrid w:val="0"/>
          <w:kern w:val="22"/>
          <w:szCs w:val="22"/>
          <w:lang w:val="ru-RU"/>
        </w:rPr>
        <w:t>года</w:t>
      </w:r>
      <w:r w:rsidRPr="00790142">
        <w:rPr>
          <w:snapToGrid w:val="0"/>
          <w:kern w:val="22"/>
          <w:szCs w:val="22"/>
          <w:lang w:val="ru-RU"/>
        </w:rPr>
        <w:t xml:space="preserve"> </w:t>
      </w:r>
      <w:r>
        <w:rPr>
          <w:snapToGrid w:val="0"/>
          <w:kern w:val="22"/>
          <w:szCs w:val="22"/>
          <w:lang w:val="ru-RU"/>
        </w:rPr>
        <w:t>число</w:t>
      </w:r>
      <w:r w:rsidRPr="00790142">
        <w:rPr>
          <w:snapToGrid w:val="0"/>
          <w:kern w:val="22"/>
          <w:szCs w:val="22"/>
          <w:lang w:val="ru-RU"/>
        </w:rPr>
        <w:t xml:space="preserve"> </w:t>
      </w:r>
      <w:r>
        <w:rPr>
          <w:snapToGrid w:val="0"/>
          <w:kern w:val="22"/>
          <w:szCs w:val="22"/>
          <w:lang w:val="ru-RU"/>
        </w:rPr>
        <w:t>Сторон</w:t>
      </w:r>
      <w:r w:rsidRPr="00790142">
        <w:rPr>
          <w:snapToGrid w:val="0"/>
          <w:kern w:val="22"/>
          <w:szCs w:val="22"/>
          <w:lang w:val="ru-RU"/>
        </w:rPr>
        <w:t xml:space="preserve"> </w:t>
      </w:r>
      <w:r>
        <w:rPr>
          <w:snapToGrid w:val="0"/>
          <w:kern w:val="22"/>
          <w:szCs w:val="22"/>
          <w:lang w:val="ru-RU"/>
        </w:rPr>
        <w:t>Протокола</w:t>
      </w:r>
      <w:r w:rsidRPr="00790142">
        <w:rPr>
          <w:snapToGrid w:val="0"/>
          <w:kern w:val="22"/>
          <w:szCs w:val="22"/>
          <w:lang w:val="ru-RU"/>
        </w:rPr>
        <w:t xml:space="preserve"> </w:t>
      </w:r>
      <w:r>
        <w:rPr>
          <w:snapToGrid w:val="0"/>
          <w:kern w:val="22"/>
          <w:szCs w:val="22"/>
          <w:lang w:val="ru-RU"/>
        </w:rPr>
        <w:t>увеличилось</w:t>
      </w:r>
      <w:r w:rsidRPr="00790142">
        <w:rPr>
          <w:snapToGrid w:val="0"/>
          <w:kern w:val="22"/>
          <w:szCs w:val="22"/>
          <w:lang w:val="ru-RU"/>
        </w:rPr>
        <w:t xml:space="preserve"> </w:t>
      </w:r>
      <w:r>
        <w:rPr>
          <w:snapToGrid w:val="0"/>
          <w:kern w:val="22"/>
          <w:szCs w:val="22"/>
          <w:lang w:val="ru-RU"/>
        </w:rPr>
        <w:t>до</w:t>
      </w:r>
      <w:r w:rsidRPr="00790142">
        <w:rPr>
          <w:snapToGrid w:val="0"/>
          <w:kern w:val="22"/>
          <w:szCs w:val="22"/>
          <w:lang w:val="ru-RU"/>
        </w:rPr>
        <w:t xml:space="preserve"> </w:t>
      </w:r>
      <w:r w:rsidR="004569FB" w:rsidRPr="00790142">
        <w:rPr>
          <w:snapToGrid w:val="0"/>
          <w:kern w:val="22"/>
          <w:szCs w:val="22"/>
          <w:lang w:val="ru-RU"/>
        </w:rPr>
        <w:t>171 (87</w:t>
      </w:r>
      <w:r>
        <w:rPr>
          <w:snapToGrid w:val="0"/>
          <w:kern w:val="22"/>
          <w:szCs w:val="22"/>
          <w:lang w:val="ru-RU"/>
        </w:rPr>
        <w:t> </w:t>
      </w:r>
      <w:r w:rsidR="004569FB" w:rsidRPr="00790142">
        <w:rPr>
          <w:snapToGrid w:val="0"/>
          <w:kern w:val="22"/>
          <w:szCs w:val="22"/>
          <w:lang w:val="ru-RU"/>
        </w:rPr>
        <w:t>%)</w:t>
      </w:r>
      <w:r w:rsidR="004569FB" w:rsidRPr="00DB5643">
        <w:rPr>
          <w:rStyle w:val="ac"/>
          <w:snapToGrid w:val="0"/>
          <w:kern w:val="22"/>
          <w:szCs w:val="22"/>
        </w:rPr>
        <w:footnoteReference w:id="65"/>
      </w:r>
      <w:r>
        <w:rPr>
          <w:snapToGrid w:val="0"/>
          <w:kern w:val="22"/>
          <w:szCs w:val="22"/>
          <w:lang w:val="ru-RU"/>
        </w:rPr>
        <w:t>.</w:t>
      </w:r>
      <w:r w:rsidR="004569FB" w:rsidRPr="00790142">
        <w:rPr>
          <w:snapToGrid w:val="0"/>
          <w:kern w:val="22"/>
          <w:szCs w:val="22"/>
          <w:lang w:val="ru-RU"/>
        </w:rPr>
        <w:t xml:space="preserve"> </w:t>
      </w:r>
    </w:p>
    <w:p w14:paraId="1F0BEC8E" w14:textId="45BC666D" w:rsidR="004569FB" w:rsidRPr="00DB5643" w:rsidRDefault="00790142" w:rsidP="000A5388">
      <w:pPr>
        <w:keepNext/>
        <w:suppressLineNumbers/>
        <w:suppressAutoHyphens/>
        <w:spacing w:before="120" w:after="120"/>
        <w:textAlignment w:val="baseline"/>
        <w:outlineLvl w:val="2"/>
        <w:rPr>
          <w:b/>
          <w:iCs/>
          <w:snapToGrid w:val="0"/>
          <w:kern w:val="22"/>
          <w:szCs w:val="22"/>
        </w:rPr>
      </w:pPr>
      <w:bookmarkStart w:id="34" w:name="_Hlk30779489"/>
      <w:r w:rsidRPr="00790142">
        <w:rPr>
          <w:b/>
          <w:iCs/>
          <w:snapToGrid w:val="0"/>
          <w:kern w:val="22"/>
          <w:szCs w:val="22"/>
          <w:lang w:val="ru-RU"/>
        </w:rPr>
        <w:lastRenderedPageBreak/>
        <w:t>Оперативная</w:t>
      </w:r>
      <w:r w:rsidRPr="00790142">
        <w:rPr>
          <w:b/>
          <w:iCs/>
          <w:snapToGrid w:val="0"/>
          <w:kern w:val="22"/>
          <w:szCs w:val="22"/>
          <w:lang w:val="en-US"/>
        </w:rPr>
        <w:t xml:space="preserve"> </w:t>
      </w:r>
      <w:r w:rsidRPr="00790142">
        <w:rPr>
          <w:b/>
          <w:iCs/>
          <w:snapToGrid w:val="0"/>
          <w:kern w:val="22"/>
          <w:szCs w:val="22"/>
          <w:lang w:val="ru-RU"/>
        </w:rPr>
        <w:t>цель</w:t>
      </w:r>
      <w:r w:rsidRPr="00790142">
        <w:rPr>
          <w:b/>
          <w:iCs/>
          <w:snapToGrid w:val="0"/>
          <w:kern w:val="22"/>
          <w:szCs w:val="22"/>
        </w:rPr>
        <w:t xml:space="preserve"> </w:t>
      </w:r>
      <w:r w:rsidR="004569FB" w:rsidRPr="00DB5643">
        <w:rPr>
          <w:b/>
          <w:iCs/>
          <w:snapToGrid w:val="0"/>
          <w:kern w:val="22"/>
          <w:szCs w:val="22"/>
        </w:rPr>
        <w:t>5.2</w:t>
      </w:r>
      <w:r w:rsidRPr="00790142">
        <w:rPr>
          <w:b/>
          <w:iCs/>
          <w:snapToGrid w:val="0"/>
          <w:kern w:val="22"/>
          <w:szCs w:val="22"/>
          <w:lang w:val="en-US"/>
        </w:rPr>
        <w:t>.</w:t>
      </w:r>
      <w:r w:rsidR="004569FB" w:rsidRPr="00DB5643">
        <w:rPr>
          <w:b/>
          <w:iCs/>
          <w:snapToGrid w:val="0"/>
          <w:kern w:val="22"/>
          <w:szCs w:val="22"/>
        </w:rPr>
        <w:t xml:space="preserve"> </w:t>
      </w:r>
      <w:r w:rsidRPr="00790142">
        <w:rPr>
          <w:b/>
          <w:iCs/>
          <w:snapToGrid w:val="0"/>
          <w:kern w:val="22"/>
          <w:szCs w:val="22"/>
          <w:lang w:val="ru-RU"/>
        </w:rPr>
        <w:t>Сотрудничество</w:t>
      </w:r>
    </w:p>
    <w:p w14:paraId="6633D7A2" w14:textId="6EEB4EC2" w:rsidR="00BE559D" w:rsidRPr="00F2149A" w:rsidRDefault="002009DC" w:rsidP="00BE559D">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bookmarkStart w:id="35" w:name="_Hlk31294915"/>
      <w:bookmarkEnd w:id="34"/>
      <w:r>
        <w:rPr>
          <w:snapToGrid w:val="0"/>
          <w:kern w:val="22"/>
          <w:szCs w:val="22"/>
          <w:lang w:val="ru-RU"/>
        </w:rPr>
        <w:t>Что</w:t>
      </w:r>
      <w:r w:rsidRPr="00F2149A">
        <w:rPr>
          <w:snapToGrid w:val="0"/>
          <w:kern w:val="22"/>
          <w:szCs w:val="22"/>
          <w:lang w:val="ru-RU"/>
        </w:rPr>
        <w:t xml:space="preserve"> </w:t>
      </w:r>
      <w:r>
        <w:rPr>
          <w:snapToGrid w:val="0"/>
          <w:kern w:val="22"/>
          <w:szCs w:val="22"/>
          <w:lang w:val="ru-RU"/>
        </w:rPr>
        <w:t>касается</w:t>
      </w:r>
      <w:r w:rsidR="00BE559D" w:rsidRPr="00F2149A">
        <w:rPr>
          <w:snapToGrid w:val="0"/>
          <w:kern w:val="22"/>
          <w:szCs w:val="22"/>
          <w:lang w:val="ru-RU"/>
        </w:rPr>
        <w:t xml:space="preserve"> </w:t>
      </w:r>
      <w:r>
        <w:rPr>
          <w:b/>
          <w:snapToGrid w:val="0"/>
          <w:kern w:val="22"/>
          <w:szCs w:val="22"/>
          <w:lang w:val="ru-RU"/>
        </w:rPr>
        <w:t>индикатора</w:t>
      </w:r>
      <w:r w:rsidR="00BE559D" w:rsidRPr="00F2149A">
        <w:rPr>
          <w:b/>
          <w:snapToGrid w:val="0"/>
          <w:kern w:val="22"/>
          <w:szCs w:val="22"/>
          <w:lang w:val="ru-RU"/>
        </w:rPr>
        <w:t xml:space="preserve"> 5.2.1</w:t>
      </w:r>
      <w:r w:rsidR="00BE559D" w:rsidRPr="00F2149A">
        <w:rPr>
          <w:snapToGrid w:val="0"/>
          <w:kern w:val="22"/>
          <w:szCs w:val="22"/>
          <w:lang w:val="ru-RU"/>
        </w:rPr>
        <w:t xml:space="preserve"> (</w:t>
      </w:r>
      <w:r>
        <w:rPr>
          <w:snapToGrid w:val="0"/>
          <w:kern w:val="22"/>
          <w:szCs w:val="22"/>
          <w:lang w:val="ru-RU"/>
        </w:rPr>
        <w:t>ч</w:t>
      </w:r>
      <w:r w:rsidRPr="002009DC">
        <w:rPr>
          <w:snapToGrid w:val="0"/>
          <w:kern w:val="22"/>
          <w:szCs w:val="22"/>
          <w:lang w:val="ru-RU"/>
        </w:rPr>
        <w:t>исло</w:t>
      </w:r>
      <w:r w:rsidRPr="00F2149A">
        <w:rPr>
          <w:snapToGrid w:val="0"/>
          <w:kern w:val="22"/>
          <w:szCs w:val="22"/>
          <w:lang w:val="ru-RU"/>
        </w:rPr>
        <w:t xml:space="preserve"> </w:t>
      </w:r>
      <w:r w:rsidRPr="002009DC">
        <w:rPr>
          <w:snapToGrid w:val="0"/>
          <w:kern w:val="22"/>
          <w:szCs w:val="22"/>
          <w:lang w:val="ru-RU"/>
        </w:rPr>
        <w:t>установленных</w:t>
      </w:r>
      <w:r w:rsidRPr="00F2149A">
        <w:rPr>
          <w:snapToGrid w:val="0"/>
          <w:kern w:val="22"/>
          <w:szCs w:val="22"/>
          <w:lang w:val="ru-RU"/>
        </w:rPr>
        <w:t xml:space="preserve"> </w:t>
      </w:r>
      <w:r w:rsidRPr="002009DC">
        <w:rPr>
          <w:snapToGrid w:val="0"/>
          <w:kern w:val="22"/>
          <w:szCs w:val="22"/>
          <w:lang w:val="ru-RU"/>
        </w:rPr>
        <w:t>связей</w:t>
      </w:r>
      <w:r w:rsidRPr="00F2149A">
        <w:rPr>
          <w:snapToGrid w:val="0"/>
          <w:kern w:val="22"/>
          <w:szCs w:val="22"/>
          <w:lang w:val="ru-RU"/>
        </w:rPr>
        <w:t xml:space="preserve"> </w:t>
      </w:r>
      <w:r w:rsidRPr="002009DC">
        <w:rPr>
          <w:snapToGrid w:val="0"/>
          <w:kern w:val="22"/>
          <w:szCs w:val="22"/>
          <w:lang w:val="ru-RU"/>
        </w:rPr>
        <w:t>с</w:t>
      </w:r>
      <w:r w:rsidRPr="00F2149A">
        <w:rPr>
          <w:snapToGrid w:val="0"/>
          <w:kern w:val="22"/>
          <w:szCs w:val="22"/>
          <w:lang w:val="ru-RU"/>
        </w:rPr>
        <w:t xml:space="preserve"> </w:t>
      </w:r>
      <w:r w:rsidRPr="002009DC">
        <w:rPr>
          <w:snapToGrid w:val="0"/>
          <w:kern w:val="22"/>
          <w:szCs w:val="22"/>
          <w:lang w:val="ru-RU"/>
        </w:rPr>
        <w:t>другими</w:t>
      </w:r>
      <w:r w:rsidRPr="00F2149A">
        <w:rPr>
          <w:snapToGrid w:val="0"/>
          <w:kern w:val="22"/>
          <w:szCs w:val="22"/>
          <w:lang w:val="ru-RU"/>
        </w:rPr>
        <w:t xml:space="preserve"> </w:t>
      </w:r>
      <w:r w:rsidRPr="002009DC">
        <w:rPr>
          <w:snapToGrid w:val="0"/>
          <w:kern w:val="22"/>
          <w:szCs w:val="22"/>
          <w:lang w:val="ru-RU"/>
        </w:rPr>
        <w:t>конвенциями</w:t>
      </w:r>
      <w:r w:rsidRPr="00F2149A">
        <w:rPr>
          <w:snapToGrid w:val="0"/>
          <w:kern w:val="22"/>
          <w:szCs w:val="22"/>
          <w:lang w:val="ru-RU"/>
        </w:rPr>
        <w:t xml:space="preserve">, </w:t>
      </w:r>
      <w:r w:rsidRPr="002009DC">
        <w:rPr>
          <w:snapToGrid w:val="0"/>
          <w:kern w:val="22"/>
          <w:szCs w:val="22"/>
          <w:lang w:val="ru-RU"/>
        </w:rPr>
        <w:t>отраженных</w:t>
      </w:r>
      <w:r w:rsidRPr="00F2149A">
        <w:rPr>
          <w:snapToGrid w:val="0"/>
          <w:kern w:val="22"/>
          <w:szCs w:val="22"/>
          <w:lang w:val="ru-RU"/>
        </w:rPr>
        <w:t xml:space="preserve"> </w:t>
      </w:r>
      <w:r w:rsidRPr="002009DC">
        <w:rPr>
          <w:snapToGrid w:val="0"/>
          <w:kern w:val="22"/>
          <w:szCs w:val="22"/>
          <w:lang w:val="ru-RU"/>
        </w:rPr>
        <w:t>в</w:t>
      </w:r>
      <w:r w:rsidRPr="00F2149A">
        <w:rPr>
          <w:snapToGrid w:val="0"/>
          <w:kern w:val="22"/>
          <w:szCs w:val="22"/>
          <w:lang w:val="ru-RU"/>
        </w:rPr>
        <w:t xml:space="preserve"> </w:t>
      </w:r>
      <w:r w:rsidRPr="002009DC">
        <w:rPr>
          <w:snapToGrid w:val="0"/>
          <w:kern w:val="22"/>
          <w:szCs w:val="22"/>
          <w:lang w:val="ru-RU"/>
        </w:rPr>
        <w:t>совместной</w:t>
      </w:r>
      <w:r w:rsidRPr="00F2149A">
        <w:rPr>
          <w:snapToGrid w:val="0"/>
          <w:kern w:val="22"/>
          <w:szCs w:val="22"/>
          <w:lang w:val="ru-RU"/>
        </w:rPr>
        <w:t xml:space="preserve"> </w:t>
      </w:r>
      <w:r w:rsidRPr="002009DC">
        <w:rPr>
          <w:snapToGrid w:val="0"/>
          <w:kern w:val="22"/>
          <w:szCs w:val="22"/>
          <w:lang w:val="ru-RU"/>
        </w:rPr>
        <w:t>деятельности</w:t>
      </w:r>
      <w:r w:rsidR="00BE559D" w:rsidRPr="00F2149A">
        <w:rPr>
          <w:snapToGrid w:val="0"/>
          <w:kern w:val="22"/>
          <w:szCs w:val="22"/>
          <w:lang w:val="ru-RU"/>
        </w:rPr>
        <w:t xml:space="preserve">), </w:t>
      </w:r>
      <w:r w:rsidR="00F2149A">
        <w:rPr>
          <w:snapToGrid w:val="0"/>
          <w:kern w:val="22"/>
          <w:szCs w:val="22"/>
          <w:lang w:val="ru-RU"/>
        </w:rPr>
        <w:t>секретариат</w:t>
      </w:r>
      <w:r w:rsidR="00F2149A" w:rsidRPr="00F2149A">
        <w:rPr>
          <w:snapToGrid w:val="0"/>
          <w:kern w:val="22"/>
          <w:szCs w:val="22"/>
          <w:lang w:val="ru-RU"/>
        </w:rPr>
        <w:t xml:space="preserve"> </w:t>
      </w:r>
      <w:r w:rsidR="00F2149A">
        <w:rPr>
          <w:snapToGrid w:val="0"/>
          <w:kern w:val="22"/>
          <w:szCs w:val="22"/>
          <w:lang w:val="ru-RU"/>
        </w:rPr>
        <w:t>установил</w:t>
      </w:r>
      <w:r w:rsidR="00F2149A" w:rsidRPr="00F2149A">
        <w:rPr>
          <w:snapToGrid w:val="0"/>
          <w:kern w:val="22"/>
          <w:szCs w:val="22"/>
          <w:lang w:val="ru-RU"/>
        </w:rPr>
        <w:t xml:space="preserve"> </w:t>
      </w:r>
      <w:r w:rsidR="00F2149A">
        <w:rPr>
          <w:snapToGrid w:val="0"/>
          <w:kern w:val="22"/>
          <w:szCs w:val="22"/>
          <w:lang w:val="ru-RU"/>
        </w:rPr>
        <w:t>отношения</w:t>
      </w:r>
      <w:r w:rsidR="00F2149A" w:rsidRPr="00F2149A">
        <w:rPr>
          <w:snapToGrid w:val="0"/>
          <w:kern w:val="22"/>
          <w:szCs w:val="22"/>
          <w:lang w:val="ru-RU"/>
        </w:rPr>
        <w:t xml:space="preserve"> </w:t>
      </w:r>
      <w:r w:rsidR="00F2149A">
        <w:rPr>
          <w:snapToGrid w:val="0"/>
          <w:kern w:val="22"/>
          <w:szCs w:val="22"/>
          <w:lang w:val="ru-RU"/>
        </w:rPr>
        <w:t>с</w:t>
      </w:r>
      <w:r w:rsidR="00F2149A" w:rsidRPr="00F2149A">
        <w:rPr>
          <w:snapToGrid w:val="0"/>
          <w:kern w:val="22"/>
          <w:szCs w:val="22"/>
          <w:lang w:val="ru-RU"/>
        </w:rPr>
        <w:t xml:space="preserve"> </w:t>
      </w:r>
      <w:proofErr w:type="spellStart"/>
      <w:r w:rsidR="00F2149A" w:rsidRPr="00F2149A">
        <w:rPr>
          <w:snapToGrid w:val="0"/>
          <w:kern w:val="22"/>
          <w:szCs w:val="22"/>
          <w:lang w:val="ru-RU"/>
        </w:rPr>
        <w:t>Орхусской</w:t>
      </w:r>
      <w:proofErr w:type="spellEnd"/>
      <w:r w:rsidR="00F2149A" w:rsidRPr="00F2149A">
        <w:rPr>
          <w:snapToGrid w:val="0"/>
          <w:kern w:val="22"/>
          <w:szCs w:val="22"/>
          <w:lang w:val="ru-RU"/>
        </w:rPr>
        <w:t xml:space="preserve"> конвенцией</w:t>
      </w:r>
      <w:r w:rsidR="00F2149A">
        <w:rPr>
          <w:snapToGrid w:val="0"/>
          <w:kern w:val="22"/>
          <w:szCs w:val="22"/>
          <w:lang w:val="ru-RU"/>
        </w:rPr>
        <w:t xml:space="preserve"> и</w:t>
      </w:r>
      <w:r w:rsidR="00F2149A" w:rsidRPr="00F2149A">
        <w:rPr>
          <w:snapToGrid w:val="0"/>
          <w:kern w:val="22"/>
          <w:szCs w:val="22"/>
          <w:lang w:val="ru-RU"/>
        </w:rPr>
        <w:t xml:space="preserve"> Инициативой Экологическая таможня (</w:t>
      </w:r>
      <w:proofErr w:type="spellStart"/>
      <w:r w:rsidR="00F2149A" w:rsidRPr="00F2149A">
        <w:rPr>
          <w:snapToGrid w:val="0"/>
          <w:kern w:val="22"/>
          <w:szCs w:val="22"/>
          <w:lang w:val="ru-RU"/>
        </w:rPr>
        <w:t>ИЭТ</w:t>
      </w:r>
      <w:proofErr w:type="spellEnd"/>
      <w:r w:rsidR="00F2149A" w:rsidRPr="00F2149A">
        <w:rPr>
          <w:snapToGrid w:val="0"/>
          <w:kern w:val="22"/>
          <w:szCs w:val="22"/>
          <w:lang w:val="ru-RU"/>
        </w:rPr>
        <w:t>)</w:t>
      </w:r>
      <w:r w:rsidR="0003142D" w:rsidRPr="00DB5643">
        <w:rPr>
          <w:rStyle w:val="ac"/>
          <w:snapToGrid w:val="0"/>
          <w:kern w:val="22"/>
          <w:szCs w:val="22"/>
        </w:rPr>
        <w:footnoteReference w:id="66"/>
      </w:r>
      <w:r w:rsidR="00BE559D" w:rsidRPr="00F2149A">
        <w:rPr>
          <w:snapToGrid w:val="0"/>
          <w:kern w:val="22"/>
          <w:szCs w:val="22"/>
          <w:lang w:val="ru-RU"/>
        </w:rPr>
        <w:t xml:space="preserve"> </w:t>
      </w:r>
      <w:r w:rsidR="00F2149A" w:rsidRPr="00F2149A">
        <w:rPr>
          <w:snapToGrid w:val="0"/>
          <w:kern w:val="22"/>
          <w:szCs w:val="22"/>
          <w:lang w:val="ru-RU"/>
        </w:rPr>
        <w:t>и обладает статусом наблюдателя в Комитете по торговле и окружающей среде (</w:t>
      </w:r>
      <w:proofErr w:type="spellStart"/>
      <w:r w:rsidR="00F2149A" w:rsidRPr="00F2149A">
        <w:rPr>
          <w:snapToGrid w:val="0"/>
          <w:kern w:val="22"/>
          <w:szCs w:val="22"/>
          <w:lang w:val="ru-RU"/>
        </w:rPr>
        <w:t>КТОС</w:t>
      </w:r>
      <w:proofErr w:type="spellEnd"/>
      <w:r w:rsidR="00F2149A" w:rsidRPr="00F2149A">
        <w:rPr>
          <w:snapToGrid w:val="0"/>
          <w:kern w:val="22"/>
          <w:szCs w:val="22"/>
          <w:lang w:val="ru-RU"/>
        </w:rPr>
        <w:t>) Всемирной торговой организации (ВТО)</w:t>
      </w:r>
      <w:r w:rsidR="00BE559D" w:rsidRPr="00F2149A">
        <w:rPr>
          <w:snapToGrid w:val="0"/>
          <w:kern w:val="22"/>
          <w:szCs w:val="22"/>
          <w:lang w:val="ru-RU"/>
        </w:rPr>
        <w:t xml:space="preserve">. </w:t>
      </w:r>
      <w:r w:rsidR="00F2149A" w:rsidRPr="00F2149A">
        <w:rPr>
          <w:snapToGrid w:val="0"/>
          <w:kern w:val="22"/>
          <w:szCs w:val="22"/>
          <w:lang w:val="ru-RU"/>
        </w:rPr>
        <w:t>Секретариат также вновь направил запрос на получение статуса наблюдателя в других соответствующих комитетах ВТО. Совместные мероприятия также проводились в сотрудничестве с Организацией экономического сотрудничества и развития (</w:t>
      </w:r>
      <w:proofErr w:type="spellStart"/>
      <w:r w:rsidR="00F2149A" w:rsidRPr="00F2149A">
        <w:rPr>
          <w:snapToGrid w:val="0"/>
          <w:kern w:val="22"/>
          <w:szCs w:val="22"/>
          <w:lang w:val="ru-RU"/>
        </w:rPr>
        <w:t>ОЭСР</w:t>
      </w:r>
      <w:proofErr w:type="spellEnd"/>
      <w:r w:rsidR="00F2149A" w:rsidRPr="00F2149A">
        <w:rPr>
          <w:snapToGrid w:val="0"/>
          <w:kern w:val="22"/>
          <w:szCs w:val="22"/>
          <w:lang w:val="ru-RU"/>
        </w:rPr>
        <w:t>) и Продовольственной и сельскохозяйственной организацией Объединенных Наций (</w:t>
      </w:r>
      <w:proofErr w:type="spellStart"/>
      <w:r w:rsidR="00F2149A" w:rsidRPr="00F2149A">
        <w:rPr>
          <w:snapToGrid w:val="0"/>
          <w:kern w:val="22"/>
          <w:szCs w:val="22"/>
          <w:lang w:val="ru-RU"/>
        </w:rPr>
        <w:t>ФАО</w:t>
      </w:r>
      <w:proofErr w:type="spellEnd"/>
      <w:r w:rsidR="00F2149A" w:rsidRPr="00F2149A">
        <w:rPr>
          <w:snapToGrid w:val="0"/>
          <w:kern w:val="22"/>
          <w:szCs w:val="22"/>
          <w:lang w:val="ru-RU"/>
        </w:rPr>
        <w:t>)</w:t>
      </w:r>
      <w:r w:rsidR="00F2149A">
        <w:rPr>
          <w:snapToGrid w:val="0"/>
          <w:kern w:val="22"/>
          <w:szCs w:val="22"/>
          <w:lang w:val="ru-RU"/>
        </w:rPr>
        <w:t xml:space="preserve">, в частности, в связи с обменом информацией через </w:t>
      </w:r>
      <w:proofErr w:type="spellStart"/>
      <w:r w:rsidR="00F2149A">
        <w:rPr>
          <w:snapToGrid w:val="0"/>
          <w:kern w:val="22"/>
          <w:szCs w:val="22"/>
          <w:lang w:val="ru-RU"/>
        </w:rPr>
        <w:t>МПБ</w:t>
      </w:r>
      <w:proofErr w:type="spellEnd"/>
      <w:r w:rsidR="00BE559D" w:rsidRPr="00F2149A">
        <w:rPr>
          <w:snapToGrid w:val="0"/>
          <w:kern w:val="22"/>
          <w:szCs w:val="22"/>
          <w:lang w:val="ru-RU"/>
        </w:rPr>
        <w:t xml:space="preserve">. </w:t>
      </w:r>
      <w:r w:rsidR="00F2149A">
        <w:rPr>
          <w:snapToGrid w:val="0"/>
          <w:kern w:val="22"/>
          <w:szCs w:val="22"/>
          <w:lang w:val="ru-RU"/>
        </w:rPr>
        <w:t>Секретариат</w:t>
      </w:r>
      <w:r w:rsidR="00F2149A" w:rsidRPr="00F2149A">
        <w:rPr>
          <w:snapToGrid w:val="0"/>
          <w:kern w:val="22"/>
          <w:szCs w:val="22"/>
          <w:lang w:val="ru-RU"/>
        </w:rPr>
        <w:t xml:space="preserve"> </w:t>
      </w:r>
      <w:r w:rsidR="00F2149A">
        <w:rPr>
          <w:snapToGrid w:val="0"/>
          <w:kern w:val="22"/>
          <w:szCs w:val="22"/>
          <w:lang w:val="ru-RU"/>
        </w:rPr>
        <w:t>также</w:t>
      </w:r>
      <w:r w:rsidR="00F2149A" w:rsidRPr="00F2149A">
        <w:rPr>
          <w:snapToGrid w:val="0"/>
          <w:kern w:val="22"/>
          <w:szCs w:val="22"/>
          <w:lang w:val="ru-RU"/>
        </w:rPr>
        <w:t xml:space="preserve"> </w:t>
      </w:r>
      <w:r w:rsidR="00F2149A">
        <w:rPr>
          <w:snapToGrid w:val="0"/>
          <w:kern w:val="22"/>
          <w:szCs w:val="22"/>
          <w:lang w:val="ru-RU"/>
        </w:rPr>
        <w:t>сотрудничает</w:t>
      </w:r>
      <w:r w:rsidR="00F2149A" w:rsidRPr="00F2149A">
        <w:rPr>
          <w:snapToGrid w:val="0"/>
          <w:kern w:val="22"/>
          <w:szCs w:val="22"/>
          <w:lang w:val="ru-RU"/>
        </w:rPr>
        <w:t xml:space="preserve"> </w:t>
      </w:r>
      <w:r w:rsidR="00F2149A">
        <w:rPr>
          <w:snapToGrid w:val="0"/>
          <w:kern w:val="22"/>
          <w:szCs w:val="22"/>
          <w:lang w:val="ru-RU"/>
        </w:rPr>
        <w:t>с</w:t>
      </w:r>
      <w:r w:rsidR="00F2149A" w:rsidRPr="00F2149A">
        <w:rPr>
          <w:snapToGrid w:val="0"/>
          <w:kern w:val="22"/>
          <w:szCs w:val="22"/>
          <w:lang w:val="ru-RU"/>
        </w:rPr>
        <w:t xml:space="preserve"> Международны</w:t>
      </w:r>
      <w:r w:rsidR="00F2149A">
        <w:rPr>
          <w:snapToGrid w:val="0"/>
          <w:kern w:val="22"/>
          <w:szCs w:val="22"/>
          <w:lang w:val="ru-RU"/>
        </w:rPr>
        <w:t>м</w:t>
      </w:r>
      <w:r w:rsidR="00F2149A" w:rsidRPr="00F2149A">
        <w:rPr>
          <w:snapToGrid w:val="0"/>
          <w:kern w:val="22"/>
          <w:szCs w:val="22"/>
          <w:lang w:val="ru-RU"/>
        </w:rPr>
        <w:t xml:space="preserve"> центр</w:t>
      </w:r>
      <w:r w:rsidR="00F2149A">
        <w:rPr>
          <w:snapToGrid w:val="0"/>
          <w:kern w:val="22"/>
          <w:szCs w:val="22"/>
          <w:lang w:val="ru-RU"/>
        </w:rPr>
        <w:t>ом</w:t>
      </w:r>
      <w:r w:rsidR="00F2149A" w:rsidRPr="00F2149A">
        <w:rPr>
          <w:snapToGrid w:val="0"/>
          <w:kern w:val="22"/>
          <w:szCs w:val="22"/>
          <w:lang w:val="ru-RU"/>
        </w:rPr>
        <w:t xml:space="preserve"> генной инженерии и биотехнологии </w:t>
      </w:r>
      <w:r w:rsidR="00F2149A">
        <w:rPr>
          <w:snapToGrid w:val="0"/>
          <w:kern w:val="22"/>
          <w:szCs w:val="22"/>
          <w:lang w:val="ru-RU"/>
        </w:rPr>
        <w:t>в</w:t>
      </w:r>
      <w:r w:rsidR="00F2149A" w:rsidRPr="00F2149A">
        <w:rPr>
          <w:snapToGrid w:val="0"/>
          <w:kern w:val="22"/>
          <w:szCs w:val="22"/>
          <w:lang w:val="ru-RU"/>
        </w:rPr>
        <w:t xml:space="preserve"> </w:t>
      </w:r>
      <w:r w:rsidR="00F2149A">
        <w:rPr>
          <w:snapToGrid w:val="0"/>
          <w:kern w:val="22"/>
          <w:szCs w:val="22"/>
          <w:lang w:val="ru-RU"/>
        </w:rPr>
        <w:t>отношении</w:t>
      </w:r>
      <w:r w:rsidR="00F2149A" w:rsidRPr="00F2149A">
        <w:rPr>
          <w:snapToGrid w:val="0"/>
          <w:kern w:val="22"/>
          <w:szCs w:val="22"/>
          <w:lang w:val="ru-RU"/>
        </w:rPr>
        <w:t xml:space="preserve"> </w:t>
      </w:r>
      <w:r w:rsidR="00F2149A">
        <w:rPr>
          <w:snapToGrid w:val="0"/>
          <w:kern w:val="22"/>
          <w:szCs w:val="22"/>
          <w:lang w:val="ru-RU"/>
        </w:rPr>
        <w:t>деятельности</w:t>
      </w:r>
      <w:r w:rsidR="00F2149A" w:rsidRPr="00F2149A">
        <w:rPr>
          <w:snapToGrid w:val="0"/>
          <w:kern w:val="22"/>
          <w:szCs w:val="22"/>
          <w:lang w:val="ru-RU"/>
        </w:rPr>
        <w:t xml:space="preserve"> </w:t>
      </w:r>
      <w:r w:rsidR="00F2149A">
        <w:rPr>
          <w:snapToGrid w:val="0"/>
          <w:kern w:val="22"/>
          <w:szCs w:val="22"/>
          <w:lang w:val="ru-RU"/>
        </w:rPr>
        <w:t>по</w:t>
      </w:r>
      <w:r w:rsidR="00F2149A" w:rsidRPr="00F2149A">
        <w:rPr>
          <w:snapToGrid w:val="0"/>
          <w:kern w:val="22"/>
          <w:szCs w:val="22"/>
          <w:lang w:val="ru-RU"/>
        </w:rPr>
        <w:t xml:space="preserve"> </w:t>
      </w:r>
      <w:r w:rsidR="00F2149A">
        <w:rPr>
          <w:snapToGrid w:val="0"/>
          <w:kern w:val="22"/>
          <w:szCs w:val="22"/>
          <w:lang w:val="ru-RU"/>
        </w:rPr>
        <w:t>созданию</w:t>
      </w:r>
      <w:r w:rsidR="00F2149A" w:rsidRPr="00F2149A">
        <w:rPr>
          <w:snapToGrid w:val="0"/>
          <w:kern w:val="22"/>
          <w:szCs w:val="22"/>
          <w:lang w:val="ru-RU"/>
        </w:rPr>
        <w:t xml:space="preserve"> </w:t>
      </w:r>
      <w:r w:rsidR="00F2149A">
        <w:rPr>
          <w:snapToGrid w:val="0"/>
          <w:kern w:val="22"/>
          <w:szCs w:val="22"/>
          <w:lang w:val="ru-RU"/>
        </w:rPr>
        <w:t xml:space="preserve">потенциала для оценки рисков и выявления и идентификации </w:t>
      </w:r>
      <w:proofErr w:type="spellStart"/>
      <w:r w:rsidR="00F2149A">
        <w:rPr>
          <w:snapToGrid w:val="0"/>
          <w:kern w:val="22"/>
          <w:szCs w:val="22"/>
          <w:lang w:val="ru-RU"/>
        </w:rPr>
        <w:t>ЖИО</w:t>
      </w:r>
      <w:proofErr w:type="spellEnd"/>
      <w:r w:rsidR="00BE559D" w:rsidRPr="00F2149A">
        <w:rPr>
          <w:snapToGrid w:val="0"/>
          <w:kern w:val="22"/>
          <w:szCs w:val="22"/>
          <w:lang w:val="ru-RU"/>
        </w:rPr>
        <w:t>.</w:t>
      </w:r>
    </w:p>
    <w:bookmarkEnd w:id="35"/>
    <w:p w14:paraId="6F27972F" w14:textId="32EC5A9C" w:rsidR="004569FB" w:rsidRPr="003F3B25" w:rsidRDefault="00790142" w:rsidP="000A5388">
      <w:pPr>
        <w:keepNext/>
        <w:suppressLineNumbers/>
        <w:suppressAutoHyphens/>
        <w:spacing w:before="120" w:after="120"/>
        <w:textAlignment w:val="baseline"/>
        <w:outlineLvl w:val="2"/>
        <w:rPr>
          <w:b/>
          <w:iCs/>
          <w:snapToGrid w:val="0"/>
          <w:kern w:val="22"/>
          <w:szCs w:val="22"/>
          <w:lang w:val="ru-RU"/>
        </w:rPr>
      </w:pPr>
      <w:r w:rsidRPr="00790142">
        <w:rPr>
          <w:b/>
          <w:iCs/>
          <w:snapToGrid w:val="0"/>
          <w:kern w:val="22"/>
          <w:szCs w:val="22"/>
          <w:lang w:val="ru-RU"/>
        </w:rPr>
        <w:t>Оперативная</w:t>
      </w:r>
      <w:r w:rsidRPr="003F3B25">
        <w:rPr>
          <w:b/>
          <w:iCs/>
          <w:snapToGrid w:val="0"/>
          <w:kern w:val="22"/>
          <w:szCs w:val="22"/>
          <w:lang w:val="ru-RU"/>
        </w:rPr>
        <w:t xml:space="preserve"> </w:t>
      </w:r>
      <w:r w:rsidRPr="00790142">
        <w:rPr>
          <w:b/>
          <w:iCs/>
          <w:snapToGrid w:val="0"/>
          <w:kern w:val="22"/>
          <w:szCs w:val="22"/>
          <w:lang w:val="ru-RU"/>
        </w:rPr>
        <w:t>цель</w:t>
      </w:r>
      <w:r w:rsidRPr="003F3B25">
        <w:rPr>
          <w:b/>
          <w:iCs/>
          <w:snapToGrid w:val="0"/>
          <w:kern w:val="22"/>
          <w:szCs w:val="22"/>
          <w:lang w:val="ru-RU"/>
        </w:rPr>
        <w:t xml:space="preserve"> </w:t>
      </w:r>
      <w:r w:rsidR="004569FB" w:rsidRPr="003F3B25">
        <w:rPr>
          <w:b/>
          <w:iCs/>
          <w:snapToGrid w:val="0"/>
          <w:kern w:val="22"/>
          <w:szCs w:val="22"/>
          <w:lang w:val="ru-RU"/>
        </w:rPr>
        <w:t>5.3</w:t>
      </w:r>
      <w:r w:rsidRPr="003F3B25">
        <w:rPr>
          <w:b/>
          <w:iCs/>
          <w:snapToGrid w:val="0"/>
          <w:kern w:val="22"/>
          <w:szCs w:val="22"/>
          <w:lang w:val="ru-RU"/>
        </w:rPr>
        <w:t>.</w:t>
      </w:r>
      <w:r w:rsidR="004569FB" w:rsidRPr="003F3B25">
        <w:rPr>
          <w:b/>
          <w:iCs/>
          <w:snapToGrid w:val="0"/>
          <w:kern w:val="22"/>
          <w:szCs w:val="22"/>
          <w:lang w:val="ru-RU"/>
        </w:rPr>
        <w:t xml:space="preserve"> </w:t>
      </w:r>
      <w:r w:rsidR="003F3B25">
        <w:rPr>
          <w:b/>
          <w:iCs/>
          <w:snapToGrid w:val="0"/>
          <w:kern w:val="22"/>
          <w:szCs w:val="22"/>
          <w:lang w:val="ru-RU"/>
        </w:rPr>
        <w:t>Распространение информации</w:t>
      </w:r>
      <w:r w:rsidRPr="00790142">
        <w:rPr>
          <w:b/>
          <w:iCs/>
          <w:snapToGrid w:val="0"/>
          <w:kern w:val="22"/>
          <w:szCs w:val="22"/>
          <w:lang w:val="ru-RU"/>
        </w:rPr>
        <w:t xml:space="preserve"> и </w:t>
      </w:r>
      <w:r w:rsidR="003F3B25">
        <w:rPr>
          <w:b/>
          <w:iCs/>
          <w:snapToGrid w:val="0"/>
          <w:kern w:val="22"/>
          <w:szCs w:val="22"/>
          <w:lang w:val="ru-RU"/>
        </w:rPr>
        <w:t>просветительская деятельность</w:t>
      </w:r>
    </w:p>
    <w:p w14:paraId="5CDFC7B4" w14:textId="67FF5EA4" w:rsidR="004569FB" w:rsidRPr="002A2E7A" w:rsidRDefault="007633FD"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В</w:t>
      </w:r>
      <w:r w:rsidRPr="002A2E7A">
        <w:rPr>
          <w:snapToGrid w:val="0"/>
          <w:kern w:val="22"/>
          <w:szCs w:val="22"/>
          <w:lang w:val="ru-RU"/>
        </w:rPr>
        <w:t xml:space="preserve"> </w:t>
      </w:r>
      <w:r>
        <w:rPr>
          <w:snapToGrid w:val="0"/>
          <w:kern w:val="22"/>
          <w:szCs w:val="22"/>
          <w:lang w:val="ru-RU"/>
        </w:rPr>
        <w:t>отношении</w:t>
      </w:r>
      <w:r w:rsidR="004569FB" w:rsidRPr="002A2E7A">
        <w:rPr>
          <w:snapToGrid w:val="0"/>
          <w:kern w:val="22"/>
          <w:szCs w:val="22"/>
          <w:lang w:val="ru-RU"/>
        </w:rPr>
        <w:t xml:space="preserve"> </w:t>
      </w:r>
      <w:r>
        <w:rPr>
          <w:b/>
          <w:snapToGrid w:val="0"/>
          <w:kern w:val="22"/>
          <w:szCs w:val="22"/>
          <w:lang w:val="ru-RU"/>
        </w:rPr>
        <w:t>индикатора</w:t>
      </w:r>
      <w:r w:rsidR="004569FB" w:rsidRPr="002A2E7A">
        <w:rPr>
          <w:b/>
          <w:snapToGrid w:val="0"/>
          <w:kern w:val="22"/>
          <w:szCs w:val="22"/>
          <w:lang w:val="ru-RU"/>
        </w:rPr>
        <w:t xml:space="preserve"> 5.3.1</w:t>
      </w:r>
      <w:r w:rsidR="004569FB" w:rsidRPr="002A2E7A">
        <w:rPr>
          <w:snapToGrid w:val="0"/>
          <w:kern w:val="22"/>
          <w:szCs w:val="22"/>
          <w:lang w:val="ru-RU"/>
        </w:rPr>
        <w:t xml:space="preserve"> (</w:t>
      </w:r>
      <w:r>
        <w:rPr>
          <w:snapToGrid w:val="0"/>
          <w:kern w:val="22"/>
          <w:szCs w:val="22"/>
          <w:lang w:val="ru-RU"/>
        </w:rPr>
        <w:t>ч</w:t>
      </w:r>
      <w:r w:rsidRPr="007633FD">
        <w:rPr>
          <w:snapToGrid w:val="0"/>
          <w:kern w:val="22"/>
          <w:szCs w:val="22"/>
          <w:lang w:val="ru-RU"/>
        </w:rPr>
        <w:t>исло</w:t>
      </w:r>
      <w:r w:rsidRPr="002A2E7A">
        <w:rPr>
          <w:snapToGrid w:val="0"/>
          <w:kern w:val="22"/>
          <w:szCs w:val="22"/>
          <w:lang w:val="ru-RU"/>
        </w:rPr>
        <w:t xml:space="preserve"> </w:t>
      </w:r>
      <w:r w:rsidRPr="007633FD">
        <w:rPr>
          <w:snapToGrid w:val="0"/>
          <w:kern w:val="22"/>
          <w:szCs w:val="22"/>
          <w:lang w:val="ru-RU"/>
        </w:rPr>
        <w:t>национальных</w:t>
      </w:r>
      <w:r w:rsidRPr="002A2E7A">
        <w:rPr>
          <w:snapToGrid w:val="0"/>
          <w:kern w:val="22"/>
          <w:szCs w:val="22"/>
          <w:lang w:val="ru-RU"/>
        </w:rPr>
        <w:t xml:space="preserve"> </w:t>
      </w:r>
      <w:r w:rsidRPr="007633FD">
        <w:rPr>
          <w:snapToGrid w:val="0"/>
          <w:kern w:val="22"/>
          <w:szCs w:val="22"/>
          <w:lang w:val="ru-RU"/>
        </w:rPr>
        <w:t>программ</w:t>
      </w:r>
      <w:r w:rsidRPr="002A2E7A">
        <w:rPr>
          <w:snapToGrid w:val="0"/>
          <w:kern w:val="22"/>
          <w:szCs w:val="22"/>
          <w:lang w:val="ru-RU"/>
        </w:rPr>
        <w:t xml:space="preserve"> </w:t>
      </w:r>
      <w:r w:rsidRPr="007633FD">
        <w:rPr>
          <w:snapToGrid w:val="0"/>
          <w:kern w:val="22"/>
          <w:szCs w:val="22"/>
          <w:lang w:val="ru-RU"/>
        </w:rPr>
        <w:t>повышения</w:t>
      </w:r>
      <w:r w:rsidRPr="002A2E7A">
        <w:rPr>
          <w:snapToGrid w:val="0"/>
          <w:kern w:val="22"/>
          <w:szCs w:val="22"/>
          <w:lang w:val="ru-RU"/>
        </w:rPr>
        <w:t xml:space="preserve"> </w:t>
      </w:r>
      <w:r w:rsidRPr="007633FD">
        <w:rPr>
          <w:snapToGrid w:val="0"/>
          <w:kern w:val="22"/>
          <w:szCs w:val="22"/>
          <w:lang w:val="ru-RU"/>
        </w:rPr>
        <w:t>осведомленности</w:t>
      </w:r>
      <w:r w:rsidRPr="002A2E7A">
        <w:rPr>
          <w:snapToGrid w:val="0"/>
          <w:kern w:val="22"/>
          <w:szCs w:val="22"/>
          <w:lang w:val="ru-RU"/>
        </w:rPr>
        <w:t xml:space="preserve"> </w:t>
      </w:r>
      <w:r w:rsidRPr="007633FD">
        <w:rPr>
          <w:snapToGrid w:val="0"/>
          <w:kern w:val="22"/>
          <w:szCs w:val="22"/>
          <w:lang w:val="ru-RU"/>
        </w:rPr>
        <w:t>и</w:t>
      </w:r>
      <w:r w:rsidRPr="002A2E7A">
        <w:rPr>
          <w:snapToGrid w:val="0"/>
          <w:kern w:val="22"/>
          <w:szCs w:val="22"/>
          <w:lang w:val="ru-RU"/>
        </w:rPr>
        <w:t xml:space="preserve"> </w:t>
      </w:r>
      <w:r w:rsidRPr="007633FD">
        <w:rPr>
          <w:snapToGrid w:val="0"/>
          <w:kern w:val="22"/>
          <w:szCs w:val="22"/>
          <w:lang w:val="ru-RU"/>
        </w:rPr>
        <w:t>просветительской</w:t>
      </w:r>
      <w:r w:rsidRPr="002A2E7A">
        <w:rPr>
          <w:snapToGrid w:val="0"/>
          <w:kern w:val="22"/>
          <w:szCs w:val="22"/>
          <w:lang w:val="ru-RU"/>
        </w:rPr>
        <w:t xml:space="preserve"> </w:t>
      </w:r>
      <w:r w:rsidRPr="007633FD">
        <w:rPr>
          <w:snapToGrid w:val="0"/>
          <w:kern w:val="22"/>
          <w:szCs w:val="22"/>
          <w:lang w:val="ru-RU"/>
        </w:rPr>
        <w:t>деятельности</w:t>
      </w:r>
      <w:r w:rsidRPr="002A2E7A">
        <w:rPr>
          <w:snapToGrid w:val="0"/>
          <w:kern w:val="22"/>
          <w:szCs w:val="22"/>
          <w:lang w:val="ru-RU"/>
        </w:rPr>
        <w:t xml:space="preserve"> </w:t>
      </w:r>
      <w:r w:rsidRPr="007633FD">
        <w:rPr>
          <w:snapToGrid w:val="0"/>
          <w:kern w:val="22"/>
          <w:szCs w:val="22"/>
          <w:lang w:val="ru-RU"/>
        </w:rPr>
        <w:t>в</w:t>
      </w:r>
      <w:r w:rsidRPr="002A2E7A">
        <w:rPr>
          <w:snapToGrid w:val="0"/>
          <w:kern w:val="22"/>
          <w:szCs w:val="22"/>
          <w:lang w:val="ru-RU"/>
        </w:rPr>
        <w:t xml:space="preserve"> </w:t>
      </w:r>
      <w:r w:rsidRPr="007633FD">
        <w:rPr>
          <w:snapToGrid w:val="0"/>
          <w:kern w:val="22"/>
          <w:szCs w:val="22"/>
          <w:lang w:val="ru-RU"/>
        </w:rPr>
        <w:t>области</w:t>
      </w:r>
      <w:r w:rsidRPr="002A2E7A">
        <w:rPr>
          <w:snapToGrid w:val="0"/>
          <w:kern w:val="22"/>
          <w:szCs w:val="22"/>
          <w:lang w:val="ru-RU"/>
        </w:rPr>
        <w:t xml:space="preserve"> </w:t>
      </w:r>
      <w:r w:rsidRPr="007633FD">
        <w:rPr>
          <w:snapToGrid w:val="0"/>
          <w:kern w:val="22"/>
          <w:szCs w:val="22"/>
          <w:lang w:val="ru-RU"/>
        </w:rPr>
        <w:t>биобезопасности</w:t>
      </w:r>
      <w:r w:rsidRPr="002A2E7A">
        <w:rPr>
          <w:snapToGrid w:val="0"/>
          <w:kern w:val="22"/>
          <w:szCs w:val="22"/>
          <w:lang w:val="ru-RU"/>
        </w:rPr>
        <w:t>)</w:t>
      </w:r>
      <w:r w:rsidR="004569FB" w:rsidRPr="002A2E7A">
        <w:rPr>
          <w:snapToGrid w:val="0"/>
          <w:kern w:val="22"/>
          <w:szCs w:val="22"/>
          <w:lang w:val="ru-RU"/>
        </w:rPr>
        <w:t xml:space="preserve"> </w:t>
      </w:r>
      <w:bookmarkStart w:id="36" w:name="_Hlk33717337"/>
      <w:r w:rsidR="004569FB" w:rsidRPr="002A2E7A">
        <w:rPr>
          <w:snapToGrid w:val="0"/>
          <w:kern w:val="22"/>
          <w:szCs w:val="22"/>
          <w:lang w:val="ru-RU"/>
        </w:rPr>
        <w:t>54</w:t>
      </w:r>
      <w:r w:rsidRPr="007633FD">
        <w:rPr>
          <w:snapToGrid w:val="0"/>
          <w:kern w:val="22"/>
          <w:szCs w:val="22"/>
        </w:rPr>
        <w:t> </w:t>
      </w:r>
      <w:r w:rsidR="004569FB" w:rsidRPr="002A2E7A">
        <w:rPr>
          <w:snapToGrid w:val="0"/>
          <w:kern w:val="22"/>
          <w:szCs w:val="22"/>
          <w:lang w:val="ru-RU"/>
        </w:rPr>
        <w:t xml:space="preserve">% </w:t>
      </w:r>
      <w:r>
        <w:rPr>
          <w:snapToGrid w:val="0"/>
          <w:kern w:val="22"/>
          <w:szCs w:val="22"/>
          <w:lang w:val="ru-RU"/>
        </w:rPr>
        <w:t>Сторон</w:t>
      </w:r>
      <w:r w:rsidR="004569FB" w:rsidRPr="002A2E7A">
        <w:rPr>
          <w:snapToGrid w:val="0"/>
          <w:kern w:val="22"/>
          <w:szCs w:val="22"/>
          <w:lang w:val="ru-RU"/>
        </w:rPr>
        <w:t xml:space="preserve"> (38 </w:t>
      </w:r>
      <w:r>
        <w:rPr>
          <w:snapToGrid w:val="0"/>
          <w:kern w:val="22"/>
          <w:szCs w:val="22"/>
          <w:lang w:val="ru-RU"/>
        </w:rPr>
        <w:t>Сторон</w:t>
      </w:r>
      <w:r w:rsidR="004569FB" w:rsidRPr="002A2E7A">
        <w:rPr>
          <w:snapToGrid w:val="0"/>
          <w:kern w:val="22"/>
          <w:szCs w:val="22"/>
          <w:lang w:val="ru-RU"/>
        </w:rPr>
        <w:t xml:space="preserve">) </w:t>
      </w:r>
      <w:r w:rsidR="002A2E7A">
        <w:rPr>
          <w:snapToGrid w:val="0"/>
          <w:kern w:val="22"/>
          <w:szCs w:val="22"/>
          <w:lang w:val="ru-RU"/>
        </w:rPr>
        <w:t xml:space="preserve">сообщили о наличии </w:t>
      </w:r>
      <w:r w:rsidR="002A2E7A" w:rsidRPr="007633FD">
        <w:rPr>
          <w:snapToGrid w:val="0"/>
          <w:kern w:val="22"/>
          <w:szCs w:val="22"/>
          <w:lang w:val="ru-RU"/>
        </w:rPr>
        <w:t>программ</w:t>
      </w:r>
      <w:r w:rsidR="002A2E7A" w:rsidRPr="002A2E7A">
        <w:rPr>
          <w:snapToGrid w:val="0"/>
          <w:kern w:val="22"/>
          <w:szCs w:val="22"/>
          <w:lang w:val="ru-RU"/>
        </w:rPr>
        <w:t xml:space="preserve"> </w:t>
      </w:r>
      <w:r w:rsidR="002A2E7A" w:rsidRPr="007633FD">
        <w:rPr>
          <w:snapToGrid w:val="0"/>
          <w:kern w:val="22"/>
          <w:szCs w:val="22"/>
          <w:lang w:val="ru-RU"/>
        </w:rPr>
        <w:t>повышения</w:t>
      </w:r>
      <w:r w:rsidR="002A2E7A" w:rsidRPr="002A2E7A">
        <w:rPr>
          <w:snapToGrid w:val="0"/>
          <w:kern w:val="22"/>
          <w:szCs w:val="22"/>
          <w:lang w:val="ru-RU"/>
        </w:rPr>
        <w:t xml:space="preserve"> </w:t>
      </w:r>
      <w:r w:rsidR="002A2E7A" w:rsidRPr="007633FD">
        <w:rPr>
          <w:snapToGrid w:val="0"/>
          <w:kern w:val="22"/>
          <w:szCs w:val="22"/>
          <w:lang w:val="ru-RU"/>
        </w:rPr>
        <w:t>осведомленности</w:t>
      </w:r>
      <w:r w:rsidR="002A2E7A" w:rsidRPr="002A2E7A">
        <w:rPr>
          <w:snapToGrid w:val="0"/>
          <w:kern w:val="22"/>
          <w:szCs w:val="22"/>
          <w:lang w:val="ru-RU"/>
        </w:rPr>
        <w:t xml:space="preserve"> </w:t>
      </w:r>
      <w:r w:rsidR="002A2E7A" w:rsidRPr="007633FD">
        <w:rPr>
          <w:snapToGrid w:val="0"/>
          <w:kern w:val="22"/>
          <w:szCs w:val="22"/>
          <w:lang w:val="ru-RU"/>
        </w:rPr>
        <w:t>и</w:t>
      </w:r>
      <w:r w:rsidR="002A2E7A" w:rsidRPr="002A2E7A">
        <w:rPr>
          <w:snapToGrid w:val="0"/>
          <w:kern w:val="22"/>
          <w:szCs w:val="22"/>
          <w:lang w:val="ru-RU"/>
        </w:rPr>
        <w:t xml:space="preserve"> </w:t>
      </w:r>
      <w:r w:rsidR="002A2E7A" w:rsidRPr="007633FD">
        <w:rPr>
          <w:snapToGrid w:val="0"/>
          <w:kern w:val="22"/>
          <w:szCs w:val="22"/>
          <w:lang w:val="ru-RU"/>
        </w:rPr>
        <w:t>просветительской</w:t>
      </w:r>
      <w:r w:rsidR="002A2E7A" w:rsidRPr="002A2E7A">
        <w:rPr>
          <w:snapToGrid w:val="0"/>
          <w:kern w:val="22"/>
          <w:szCs w:val="22"/>
          <w:lang w:val="ru-RU"/>
        </w:rPr>
        <w:t xml:space="preserve"> </w:t>
      </w:r>
      <w:r w:rsidR="002A2E7A" w:rsidRPr="007633FD">
        <w:rPr>
          <w:snapToGrid w:val="0"/>
          <w:kern w:val="22"/>
          <w:szCs w:val="22"/>
          <w:lang w:val="ru-RU"/>
        </w:rPr>
        <w:t>деятельности</w:t>
      </w:r>
      <w:r w:rsidR="002A2E7A" w:rsidRPr="002A2E7A">
        <w:rPr>
          <w:snapToGrid w:val="0"/>
          <w:kern w:val="22"/>
          <w:szCs w:val="22"/>
          <w:lang w:val="ru-RU"/>
        </w:rPr>
        <w:t xml:space="preserve"> </w:t>
      </w:r>
      <w:r w:rsidR="002A2E7A" w:rsidRPr="007633FD">
        <w:rPr>
          <w:snapToGrid w:val="0"/>
          <w:kern w:val="22"/>
          <w:szCs w:val="22"/>
          <w:lang w:val="ru-RU"/>
        </w:rPr>
        <w:t>в</w:t>
      </w:r>
      <w:r w:rsidR="002A2E7A" w:rsidRPr="002A2E7A">
        <w:rPr>
          <w:snapToGrid w:val="0"/>
          <w:kern w:val="22"/>
          <w:szCs w:val="22"/>
          <w:lang w:val="ru-RU"/>
        </w:rPr>
        <w:t xml:space="preserve"> </w:t>
      </w:r>
      <w:r w:rsidR="002A2E7A" w:rsidRPr="007633FD">
        <w:rPr>
          <w:snapToGrid w:val="0"/>
          <w:kern w:val="22"/>
          <w:szCs w:val="22"/>
          <w:lang w:val="ru-RU"/>
        </w:rPr>
        <w:t>области</w:t>
      </w:r>
      <w:r w:rsidR="002A2E7A" w:rsidRPr="002A2E7A">
        <w:rPr>
          <w:snapToGrid w:val="0"/>
          <w:kern w:val="22"/>
          <w:szCs w:val="22"/>
          <w:lang w:val="ru-RU"/>
        </w:rPr>
        <w:t xml:space="preserve"> </w:t>
      </w:r>
      <w:r w:rsidR="002A2E7A" w:rsidRPr="007633FD">
        <w:rPr>
          <w:snapToGrid w:val="0"/>
          <w:kern w:val="22"/>
          <w:szCs w:val="22"/>
          <w:lang w:val="ru-RU"/>
        </w:rPr>
        <w:t>биобезопасности</w:t>
      </w:r>
      <w:r w:rsidR="004569FB" w:rsidRPr="002A2E7A">
        <w:rPr>
          <w:snapToGrid w:val="0"/>
          <w:kern w:val="22"/>
          <w:szCs w:val="22"/>
          <w:lang w:val="ru-RU"/>
        </w:rPr>
        <w:t xml:space="preserve">, </w:t>
      </w:r>
      <w:r w:rsidR="002A2E7A">
        <w:rPr>
          <w:snapToGrid w:val="0"/>
          <w:kern w:val="22"/>
          <w:szCs w:val="22"/>
          <w:lang w:val="ru-RU"/>
        </w:rPr>
        <w:t>что соответствует увеличению на</w:t>
      </w:r>
      <w:r w:rsidR="004569FB" w:rsidRPr="002A2E7A">
        <w:rPr>
          <w:snapToGrid w:val="0"/>
          <w:kern w:val="22"/>
          <w:szCs w:val="22"/>
          <w:lang w:val="ru-RU"/>
        </w:rPr>
        <w:t xml:space="preserve"> </w:t>
      </w:r>
      <w:r w:rsidR="00AD277E" w:rsidRPr="002A2E7A">
        <w:rPr>
          <w:snapToGrid w:val="0"/>
          <w:kern w:val="22"/>
          <w:szCs w:val="22"/>
          <w:lang w:val="ru-RU"/>
        </w:rPr>
        <w:t>3</w:t>
      </w:r>
      <w:r w:rsidR="002A2E7A">
        <w:rPr>
          <w:snapToGrid w:val="0"/>
          <w:kern w:val="22"/>
          <w:szCs w:val="22"/>
          <w:lang w:val="ru-RU"/>
        </w:rPr>
        <w:t> </w:t>
      </w:r>
      <w:r w:rsidR="004569FB" w:rsidRPr="002A2E7A">
        <w:rPr>
          <w:snapToGrid w:val="0"/>
          <w:kern w:val="22"/>
          <w:szCs w:val="22"/>
          <w:lang w:val="ru-RU"/>
        </w:rPr>
        <w:t xml:space="preserve">% </w:t>
      </w:r>
      <w:r w:rsidR="002A2E7A">
        <w:rPr>
          <w:snapToGrid w:val="0"/>
          <w:kern w:val="22"/>
          <w:szCs w:val="22"/>
          <w:lang w:val="ru-RU"/>
        </w:rPr>
        <w:t>по сравнению с исходным уровнем</w:t>
      </w:r>
      <w:r w:rsidR="004569FB" w:rsidRPr="002A2E7A">
        <w:rPr>
          <w:snapToGrid w:val="0"/>
          <w:kern w:val="22"/>
          <w:szCs w:val="22"/>
          <w:lang w:val="ru-RU"/>
        </w:rPr>
        <w:t xml:space="preserve">. </w:t>
      </w:r>
      <w:bookmarkEnd w:id="36"/>
      <w:r w:rsidR="002A2E7A">
        <w:rPr>
          <w:snapToGrid w:val="0"/>
          <w:kern w:val="22"/>
          <w:szCs w:val="22"/>
          <w:lang w:val="ru-RU"/>
        </w:rPr>
        <w:t>На</w:t>
      </w:r>
      <w:r w:rsidR="002A2E7A" w:rsidRPr="002A2E7A">
        <w:rPr>
          <w:snapToGrid w:val="0"/>
          <w:kern w:val="22"/>
          <w:szCs w:val="22"/>
          <w:lang w:val="ru-RU"/>
        </w:rPr>
        <w:t xml:space="preserve"> </w:t>
      </w:r>
      <w:r w:rsidR="002A2E7A">
        <w:rPr>
          <w:snapToGrid w:val="0"/>
          <w:kern w:val="22"/>
          <w:szCs w:val="22"/>
          <w:lang w:val="ru-RU"/>
        </w:rPr>
        <w:t>региональном</w:t>
      </w:r>
      <w:r w:rsidR="002A2E7A" w:rsidRPr="002A2E7A">
        <w:rPr>
          <w:snapToGrid w:val="0"/>
          <w:kern w:val="22"/>
          <w:szCs w:val="22"/>
          <w:lang w:val="ru-RU"/>
        </w:rPr>
        <w:t xml:space="preserve"> </w:t>
      </w:r>
      <w:r w:rsidR="002A2E7A">
        <w:rPr>
          <w:snapToGrid w:val="0"/>
          <w:kern w:val="22"/>
          <w:szCs w:val="22"/>
          <w:lang w:val="ru-RU"/>
        </w:rPr>
        <w:t>уровне</w:t>
      </w:r>
      <w:r w:rsidR="002A2E7A" w:rsidRPr="002A2E7A">
        <w:rPr>
          <w:snapToGrid w:val="0"/>
          <w:kern w:val="22"/>
          <w:szCs w:val="22"/>
          <w:lang w:val="ru-RU"/>
        </w:rPr>
        <w:t xml:space="preserve"> </w:t>
      </w:r>
      <w:r w:rsidR="002A2E7A">
        <w:rPr>
          <w:snapToGrid w:val="0"/>
          <w:kern w:val="22"/>
          <w:szCs w:val="22"/>
          <w:lang w:val="ru-RU"/>
        </w:rPr>
        <w:t>отмечаются</w:t>
      </w:r>
      <w:r w:rsidR="002A2E7A" w:rsidRPr="002A2E7A">
        <w:rPr>
          <w:snapToGrid w:val="0"/>
          <w:kern w:val="22"/>
          <w:szCs w:val="22"/>
          <w:lang w:val="ru-RU"/>
        </w:rPr>
        <w:t xml:space="preserve"> </w:t>
      </w:r>
      <w:r w:rsidR="002A2E7A">
        <w:rPr>
          <w:snapToGrid w:val="0"/>
          <w:kern w:val="22"/>
          <w:szCs w:val="22"/>
          <w:lang w:val="ru-RU"/>
        </w:rPr>
        <w:t>значительные</w:t>
      </w:r>
      <w:r w:rsidR="002A2E7A" w:rsidRPr="002A2E7A">
        <w:rPr>
          <w:snapToGrid w:val="0"/>
          <w:kern w:val="22"/>
          <w:szCs w:val="22"/>
          <w:lang w:val="ru-RU"/>
        </w:rPr>
        <w:t xml:space="preserve"> </w:t>
      </w:r>
      <w:r w:rsidR="002A2E7A">
        <w:rPr>
          <w:snapToGrid w:val="0"/>
          <w:kern w:val="22"/>
          <w:szCs w:val="22"/>
          <w:lang w:val="ru-RU"/>
        </w:rPr>
        <w:t>различия</w:t>
      </w:r>
      <w:r w:rsidR="002A2E7A" w:rsidRPr="002A2E7A">
        <w:rPr>
          <w:snapToGrid w:val="0"/>
          <w:kern w:val="22"/>
          <w:szCs w:val="22"/>
          <w:lang w:val="ru-RU"/>
        </w:rPr>
        <w:t xml:space="preserve"> </w:t>
      </w:r>
      <w:r w:rsidR="002A2E7A">
        <w:rPr>
          <w:snapToGrid w:val="0"/>
          <w:kern w:val="22"/>
          <w:szCs w:val="22"/>
          <w:lang w:val="ru-RU"/>
        </w:rPr>
        <w:t>в</w:t>
      </w:r>
      <w:r w:rsidR="002A2E7A" w:rsidRPr="002A2E7A">
        <w:rPr>
          <w:snapToGrid w:val="0"/>
          <w:kern w:val="22"/>
          <w:szCs w:val="22"/>
          <w:lang w:val="ru-RU"/>
        </w:rPr>
        <w:t xml:space="preserve"> </w:t>
      </w:r>
      <w:r w:rsidR="002A2E7A">
        <w:rPr>
          <w:snapToGrid w:val="0"/>
          <w:kern w:val="22"/>
          <w:szCs w:val="22"/>
          <w:lang w:val="ru-RU"/>
        </w:rPr>
        <w:t>числе</w:t>
      </w:r>
      <w:r w:rsidR="002A2E7A" w:rsidRPr="002A2E7A">
        <w:rPr>
          <w:snapToGrid w:val="0"/>
          <w:kern w:val="22"/>
          <w:szCs w:val="22"/>
          <w:lang w:val="ru-RU"/>
        </w:rPr>
        <w:t xml:space="preserve"> </w:t>
      </w:r>
      <w:r w:rsidR="002A2E7A">
        <w:rPr>
          <w:snapToGrid w:val="0"/>
          <w:kern w:val="22"/>
          <w:szCs w:val="22"/>
          <w:lang w:val="ru-RU"/>
        </w:rPr>
        <w:t>Сторон</w:t>
      </w:r>
      <w:r w:rsidR="002A2E7A" w:rsidRPr="002A2E7A">
        <w:rPr>
          <w:snapToGrid w:val="0"/>
          <w:kern w:val="22"/>
          <w:szCs w:val="22"/>
          <w:lang w:val="ru-RU"/>
        </w:rPr>
        <w:t xml:space="preserve">, </w:t>
      </w:r>
      <w:r w:rsidR="002A2E7A">
        <w:rPr>
          <w:snapToGrid w:val="0"/>
          <w:kern w:val="22"/>
          <w:szCs w:val="22"/>
          <w:lang w:val="ru-RU"/>
        </w:rPr>
        <w:t>сообщающих</w:t>
      </w:r>
      <w:r w:rsidR="002A2E7A" w:rsidRPr="002A2E7A">
        <w:rPr>
          <w:snapToGrid w:val="0"/>
          <w:kern w:val="22"/>
          <w:szCs w:val="22"/>
          <w:lang w:val="ru-RU"/>
        </w:rPr>
        <w:t xml:space="preserve"> </w:t>
      </w:r>
      <w:r w:rsidR="002A2E7A">
        <w:rPr>
          <w:snapToGrid w:val="0"/>
          <w:kern w:val="22"/>
          <w:szCs w:val="22"/>
          <w:lang w:val="ru-RU"/>
        </w:rPr>
        <w:t xml:space="preserve">о наличии </w:t>
      </w:r>
      <w:r w:rsidR="002A2E7A" w:rsidRPr="007633FD">
        <w:rPr>
          <w:snapToGrid w:val="0"/>
          <w:kern w:val="22"/>
          <w:szCs w:val="22"/>
          <w:lang w:val="ru-RU"/>
        </w:rPr>
        <w:t>национальных</w:t>
      </w:r>
      <w:r w:rsidR="002A2E7A" w:rsidRPr="002A2E7A">
        <w:rPr>
          <w:snapToGrid w:val="0"/>
          <w:kern w:val="22"/>
          <w:szCs w:val="22"/>
          <w:lang w:val="ru-RU"/>
        </w:rPr>
        <w:t xml:space="preserve"> </w:t>
      </w:r>
      <w:r w:rsidR="002A2E7A" w:rsidRPr="007633FD">
        <w:rPr>
          <w:snapToGrid w:val="0"/>
          <w:kern w:val="22"/>
          <w:szCs w:val="22"/>
          <w:lang w:val="ru-RU"/>
        </w:rPr>
        <w:t>программ</w:t>
      </w:r>
      <w:r w:rsidR="002A2E7A" w:rsidRPr="002A2E7A">
        <w:rPr>
          <w:snapToGrid w:val="0"/>
          <w:kern w:val="22"/>
          <w:szCs w:val="22"/>
          <w:lang w:val="ru-RU"/>
        </w:rPr>
        <w:t xml:space="preserve"> </w:t>
      </w:r>
      <w:r w:rsidR="002A2E7A" w:rsidRPr="007633FD">
        <w:rPr>
          <w:snapToGrid w:val="0"/>
          <w:kern w:val="22"/>
          <w:szCs w:val="22"/>
          <w:lang w:val="ru-RU"/>
        </w:rPr>
        <w:t>повышения</w:t>
      </w:r>
      <w:r w:rsidR="002A2E7A" w:rsidRPr="002A2E7A">
        <w:rPr>
          <w:snapToGrid w:val="0"/>
          <w:kern w:val="22"/>
          <w:szCs w:val="22"/>
          <w:lang w:val="ru-RU"/>
        </w:rPr>
        <w:t xml:space="preserve"> </w:t>
      </w:r>
      <w:r w:rsidR="002A2E7A" w:rsidRPr="007633FD">
        <w:rPr>
          <w:snapToGrid w:val="0"/>
          <w:kern w:val="22"/>
          <w:szCs w:val="22"/>
          <w:lang w:val="ru-RU"/>
        </w:rPr>
        <w:t>осведомленности</w:t>
      </w:r>
      <w:r w:rsidR="002A2E7A" w:rsidRPr="002A2E7A">
        <w:rPr>
          <w:snapToGrid w:val="0"/>
          <w:kern w:val="22"/>
          <w:szCs w:val="22"/>
          <w:lang w:val="ru-RU"/>
        </w:rPr>
        <w:t xml:space="preserve"> </w:t>
      </w:r>
      <w:r w:rsidR="002A2E7A" w:rsidRPr="007633FD">
        <w:rPr>
          <w:snapToGrid w:val="0"/>
          <w:kern w:val="22"/>
          <w:szCs w:val="22"/>
          <w:lang w:val="ru-RU"/>
        </w:rPr>
        <w:t>и</w:t>
      </w:r>
      <w:r w:rsidR="002A2E7A" w:rsidRPr="002A2E7A">
        <w:rPr>
          <w:snapToGrid w:val="0"/>
          <w:kern w:val="22"/>
          <w:szCs w:val="22"/>
          <w:lang w:val="ru-RU"/>
        </w:rPr>
        <w:t xml:space="preserve"> </w:t>
      </w:r>
      <w:r w:rsidR="002A2E7A" w:rsidRPr="007633FD">
        <w:rPr>
          <w:snapToGrid w:val="0"/>
          <w:kern w:val="22"/>
          <w:szCs w:val="22"/>
          <w:lang w:val="ru-RU"/>
        </w:rPr>
        <w:t>просветительской</w:t>
      </w:r>
      <w:r w:rsidR="002A2E7A" w:rsidRPr="002A2E7A">
        <w:rPr>
          <w:snapToGrid w:val="0"/>
          <w:kern w:val="22"/>
          <w:szCs w:val="22"/>
          <w:lang w:val="ru-RU"/>
        </w:rPr>
        <w:t xml:space="preserve"> </w:t>
      </w:r>
      <w:r w:rsidR="002A2E7A" w:rsidRPr="007633FD">
        <w:rPr>
          <w:snapToGrid w:val="0"/>
          <w:kern w:val="22"/>
          <w:szCs w:val="22"/>
          <w:lang w:val="ru-RU"/>
        </w:rPr>
        <w:t>деятельности</w:t>
      </w:r>
      <w:r w:rsidR="002A2E7A" w:rsidRPr="002A2E7A">
        <w:rPr>
          <w:snapToGrid w:val="0"/>
          <w:kern w:val="22"/>
          <w:szCs w:val="22"/>
          <w:lang w:val="ru-RU"/>
        </w:rPr>
        <w:t xml:space="preserve"> </w:t>
      </w:r>
      <w:r w:rsidR="002A2E7A" w:rsidRPr="007633FD">
        <w:rPr>
          <w:snapToGrid w:val="0"/>
          <w:kern w:val="22"/>
          <w:szCs w:val="22"/>
          <w:lang w:val="ru-RU"/>
        </w:rPr>
        <w:t>в</w:t>
      </w:r>
      <w:r w:rsidR="002A2E7A" w:rsidRPr="002A2E7A">
        <w:rPr>
          <w:snapToGrid w:val="0"/>
          <w:kern w:val="22"/>
          <w:szCs w:val="22"/>
          <w:lang w:val="ru-RU"/>
        </w:rPr>
        <w:t xml:space="preserve"> </w:t>
      </w:r>
      <w:r w:rsidR="002A2E7A" w:rsidRPr="007633FD">
        <w:rPr>
          <w:snapToGrid w:val="0"/>
          <w:kern w:val="22"/>
          <w:szCs w:val="22"/>
          <w:lang w:val="ru-RU"/>
        </w:rPr>
        <w:t>области</w:t>
      </w:r>
      <w:r w:rsidR="002A2E7A" w:rsidRPr="002A2E7A">
        <w:rPr>
          <w:snapToGrid w:val="0"/>
          <w:kern w:val="22"/>
          <w:szCs w:val="22"/>
          <w:lang w:val="ru-RU"/>
        </w:rPr>
        <w:t xml:space="preserve"> </w:t>
      </w:r>
      <w:r w:rsidR="002A2E7A" w:rsidRPr="007633FD">
        <w:rPr>
          <w:snapToGrid w:val="0"/>
          <w:kern w:val="22"/>
          <w:szCs w:val="22"/>
          <w:lang w:val="ru-RU"/>
        </w:rPr>
        <w:t>биобезопасности</w:t>
      </w:r>
      <w:r w:rsidR="004569FB" w:rsidRPr="002A2E7A">
        <w:rPr>
          <w:snapToGrid w:val="0"/>
          <w:kern w:val="22"/>
          <w:szCs w:val="22"/>
          <w:lang w:val="ru-RU"/>
        </w:rPr>
        <w:t xml:space="preserve">: </w:t>
      </w:r>
      <w:r w:rsidR="002A2E7A">
        <w:rPr>
          <w:snapToGrid w:val="0"/>
          <w:kern w:val="22"/>
          <w:szCs w:val="22"/>
          <w:lang w:val="ru-RU"/>
        </w:rPr>
        <w:t>Африка</w:t>
      </w:r>
      <w:r w:rsidR="004569FB" w:rsidRPr="002A2E7A">
        <w:rPr>
          <w:snapToGrid w:val="0"/>
          <w:kern w:val="22"/>
          <w:szCs w:val="22"/>
          <w:lang w:val="ru-RU"/>
        </w:rPr>
        <w:t>: 74</w:t>
      </w:r>
      <w:r w:rsidR="002A2E7A">
        <w:rPr>
          <w:snapToGrid w:val="0"/>
          <w:kern w:val="22"/>
          <w:szCs w:val="22"/>
          <w:lang w:val="ru-RU"/>
        </w:rPr>
        <w:t> </w:t>
      </w:r>
      <w:r w:rsidR="004569FB" w:rsidRPr="002A2E7A">
        <w:rPr>
          <w:snapToGrid w:val="0"/>
          <w:kern w:val="22"/>
          <w:szCs w:val="22"/>
          <w:lang w:val="ru-RU"/>
        </w:rPr>
        <w:t>% (+</w:t>
      </w:r>
      <w:r w:rsidR="00AD277E" w:rsidRPr="002A2E7A">
        <w:rPr>
          <w:snapToGrid w:val="0"/>
          <w:kern w:val="22"/>
          <w:szCs w:val="22"/>
          <w:lang w:val="ru-RU"/>
        </w:rPr>
        <w:t>5</w:t>
      </w:r>
      <w:r w:rsidR="002A2E7A">
        <w:rPr>
          <w:snapToGrid w:val="0"/>
          <w:kern w:val="22"/>
          <w:szCs w:val="22"/>
          <w:lang w:val="ru-RU"/>
        </w:rPr>
        <w:t> </w:t>
      </w:r>
      <w:r w:rsidR="004569FB" w:rsidRPr="002A2E7A">
        <w:rPr>
          <w:snapToGrid w:val="0"/>
          <w:kern w:val="22"/>
          <w:szCs w:val="22"/>
          <w:lang w:val="ru-RU"/>
        </w:rPr>
        <w:t xml:space="preserve">%); </w:t>
      </w:r>
      <w:r w:rsidR="002A2E7A">
        <w:rPr>
          <w:snapToGrid w:val="0"/>
          <w:kern w:val="22"/>
          <w:szCs w:val="22"/>
          <w:lang w:val="ru-RU"/>
        </w:rPr>
        <w:t>Азиатско-Тихоокеанский регион</w:t>
      </w:r>
      <w:r w:rsidR="004569FB" w:rsidRPr="002A2E7A">
        <w:rPr>
          <w:snapToGrid w:val="0"/>
          <w:kern w:val="22"/>
          <w:szCs w:val="22"/>
          <w:lang w:val="ru-RU"/>
        </w:rPr>
        <w:t>: 67</w:t>
      </w:r>
      <w:r w:rsidR="002A2E7A">
        <w:rPr>
          <w:snapToGrid w:val="0"/>
          <w:kern w:val="22"/>
          <w:szCs w:val="22"/>
          <w:lang w:val="ru-RU"/>
        </w:rPr>
        <w:t> </w:t>
      </w:r>
      <w:r w:rsidR="004569FB" w:rsidRPr="002A2E7A">
        <w:rPr>
          <w:snapToGrid w:val="0"/>
          <w:kern w:val="22"/>
          <w:szCs w:val="22"/>
          <w:lang w:val="ru-RU"/>
        </w:rPr>
        <w:t>% (+11</w:t>
      </w:r>
      <w:r w:rsidR="002A2E7A">
        <w:rPr>
          <w:snapToGrid w:val="0"/>
          <w:kern w:val="22"/>
          <w:szCs w:val="22"/>
          <w:lang w:val="ru-RU"/>
        </w:rPr>
        <w:t> </w:t>
      </w:r>
      <w:r w:rsidR="004569FB" w:rsidRPr="002A2E7A">
        <w:rPr>
          <w:snapToGrid w:val="0"/>
          <w:kern w:val="22"/>
          <w:szCs w:val="22"/>
          <w:lang w:val="ru-RU"/>
        </w:rPr>
        <w:t xml:space="preserve">%); </w:t>
      </w:r>
      <w:proofErr w:type="spellStart"/>
      <w:r w:rsidR="004569FB" w:rsidRPr="00DB5643">
        <w:rPr>
          <w:snapToGrid w:val="0"/>
          <w:kern w:val="22"/>
          <w:szCs w:val="22"/>
        </w:rPr>
        <w:t>CEE</w:t>
      </w:r>
      <w:proofErr w:type="spellEnd"/>
      <w:r w:rsidR="004569FB" w:rsidRPr="002A2E7A">
        <w:rPr>
          <w:snapToGrid w:val="0"/>
          <w:kern w:val="22"/>
          <w:szCs w:val="22"/>
          <w:lang w:val="ru-RU"/>
        </w:rPr>
        <w:t>: 43</w:t>
      </w:r>
      <w:r w:rsidR="002A2E7A">
        <w:rPr>
          <w:snapToGrid w:val="0"/>
          <w:kern w:val="22"/>
          <w:szCs w:val="22"/>
          <w:lang w:val="ru-RU"/>
        </w:rPr>
        <w:t> </w:t>
      </w:r>
      <w:r w:rsidR="004569FB" w:rsidRPr="002A2E7A">
        <w:rPr>
          <w:snapToGrid w:val="0"/>
          <w:kern w:val="22"/>
          <w:szCs w:val="22"/>
          <w:lang w:val="ru-RU"/>
        </w:rPr>
        <w:t>% (+14</w:t>
      </w:r>
      <w:r w:rsidR="002A2E7A">
        <w:rPr>
          <w:snapToGrid w:val="0"/>
          <w:kern w:val="22"/>
          <w:szCs w:val="22"/>
          <w:lang w:val="ru-RU"/>
        </w:rPr>
        <w:t> </w:t>
      </w:r>
      <w:r w:rsidR="004569FB" w:rsidRPr="002A2E7A">
        <w:rPr>
          <w:snapToGrid w:val="0"/>
          <w:kern w:val="22"/>
          <w:szCs w:val="22"/>
          <w:lang w:val="ru-RU"/>
        </w:rPr>
        <w:t xml:space="preserve">%); </w:t>
      </w:r>
      <w:proofErr w:type="spellStart"/>
      <w:r w:rsidR="002A2E7A">
        <w:rPr>
          <w:snapToGrid w:val="0"/>
          <w:kern w:val="22"/>
          <w:szCs w:val="22"/>
          <w:lang w:val="ru-RU"/>
        </w:rPr>
        <w:t>ГРУЛАК</w:t>
      </w:r>
      <w:proofErr w:type="spellEnd"/>
      <w:r w:rsidR="004569FB" w:rsidRPr="002A2E7A">
        <w:rPr>
          <w:snapToGrid w:val="0"/>
          <w:kern w:val="22"/>
          <w:szCs w:val="22"/>
          <w:lang w:val="ru-RU"/>
        </w:rPr>
        <w:t>: 23</w:t>
      </w:r>
      <w:r w:rsidR="002A2E7A">
        <w:rPr>
          <w:snapToGrid w:val="0"/>
          <w:kern w:val="22"/>
          <w:szCs w:val="22"/>
          <w:lang w:val="ru-RU"/>
        </w:rPr>
        <w:t> </w:t>
      </w:r>
      <w:r w:rsidR="004569FB" w:rsidRPr="002A2E7A">
        <w:rPr>
          <w:snapToGrid w:val="0"/>
          <w:kern w:val="22"/>
          <w:szCs w:val="22"/>
          <w:lang w:val="ru-RU"/>
        </w:rPr>
        <w:t>% (-15</w:t>
      </w:r>
      <w:r w:rsidR="002A2E7A">
        <w:rPr>
          <w:snapToGrid w:val="0"/>
          <w:kern w:val="22"/>
          <w:szCs w:val="22"/>
          <w:lang w:val="ru-RU"/>
        </w:rPr>
        <w:t> </w:t>
      </w:r>
      <w:r w:rsidR="004569FB" w:rsidRPr="002A2E7A">
        <w:rPr>
          <w:snapToGrid w:val="0"/>
          <w:kern w:val="22"/>
          <w:szCs w:val="22"/>
          <w:lang w:val="ru-RU"/>
        </w:rPr>
        <w:t xml:space="preserve">%); </w:t>
      </w:r>
      <w:proofErr w:type="spellStart"/>
      <w:r w:rsidR="004569FB" w:rsidRPr="00DB5643">
        <w:rPr>
          <w:snapToGrid w:val="0"/>
          <w:kern w:val="22"/>
          <w:szCs w:val="22"/>
        </w:rPr>
        <w:t>WEOG</w:t>
      </w:r>
      <w:proofErr w:type="spellEnd"/>
      <w:r w:rsidR="004569FB" w:rsidRPr="002A2E7A">
        <w:rPr>
          <w:snapToGrid w:val="0"/>
          <w:kern w:val="22"/>
          <w:szCs w:val="22"/>
          <w:lang w:val="ru-RU"/>
        </w:rPr>
        <w:t>: 56</w:t>
      </w:r>
      <w:r w:rsidR="002A2E7A">
        <w:rPr>
          <w:snapToGrid w:val="0"/>
          <w:kern w:val="22"/>
          <w:szCs w:val="22"/>
          <w:lang w:val="ru-RU"/>
        </w:rPr>
        <w:t> </w:t>
      </w:r>
      <w:r w:rsidR="004569FB" w:rsidRPr="002A2E7A">
        <w:rPr>
          <w:snapToGrid w:val="0"/>
          <w:kern w:val="22"/>
          <w:szCs w:val="22"/>
          <w:lang w:val="ru-RU"/>
        </w:rPr>
        <w:t>% (</w:t>
      </w:r>
      <w:r w:rsidR="002A2E7A" w:rsidRPr="002A2E7A">
        <w:rPr>
          <w:snapToGrid w:val="0"/>
          <w:kern w:val="22"/>
          <w:szCs w:val="22"/>
          <w:lang w:val="ru-RU"/>
        </w:rPr>
        <w:t>без изменений по отношению к исходному уровню</w:t>
      </w:r>
      <w:r w:rsidR="004569FB" w:rsidRPr="002A2E7A">
        <w:rPr>
          <w:snapToGrid w:val="0"/>
          <w:kern w:val="22"/>
          <w:szCs w:val="22"/>
          <w:lang w:val="ru-RU"/>
        </w:rPr>
        <w:t>).</w:t>
      </w:r>
    </w:p>
    <w:p w14:paraId="0FFD384F" w14:textId="39504838" w:rsidR="004569FB" w:rsidRPr="00CF046B" w:rsidRDefault="002A2E7A"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В</w:t>
      </w:r>
      <w:r w:rsidRPr="002A2E7A">
        <w:rPr>
          <w:snapToGrid w:val="0"/>
          <w:kern w:val="22"/>
          <w:szCs w:val="22"/>
          <w:lang w:val="ru-RU"/>
        </w:rPr>
        <w:t xml:space="preserve"> </w:t>
      </w:r>
      <w:r>
        <w:rPr>
          <w:snapToGrid w:val="0"/>
          <w:kern w:val="22"/>
          <w:szCs w:val="22"/>
          <w:lang w:val="ru-RU"/>
        </w:rPr>
        <w:t>отношении</w:t>
      </w:r>
      <w:r w:rsidR="004569FB" w:rsidRPr="002A2E7A">
        <w:rPr>
          <w:snapToGrid w:val="0"/>
          <w:kern w:val="22"/>
          <w:szCs w:val="22"/>
          <w:lang w:val="ru-RU"/>
        </w:rPr>
        <w:t xml:space="preserve"> </w:t>
      </w:r>
      <w:r>
        <w:rPr>
          <w:b/>
          <w:bCs/>
          <w:snapToGrid w:val="0"/>
          <w:kern w:val="22"/>
          <w:szCs w:val="22"/>
          <w:lang w:val="ru-RU"/>
        </w:rPr>
        <w:t>индикатора</w:t>
      </w:r>
      <w:r w:rsidR="004569FB" w:rsidRPr="002A2E7A">
        <w:rPr>
          <w:b/>
          <w:bCs/>
          <w:snapToGrid w:val="0"/>
          <w:kern w:val="22"/>
          <w:szCs w:val="22"/>
          <w:lang w:val="ru-RU"/>
        </w:rPr>
        <w:t xml:space="preserve"> 5.3.2</w:t>
      </w:r>
      <w:r w:rsidR="004569FB" w:rsidRPr="002A2E7A">
        <w:rPr>
          <w:snapToGrid w:val="0"/>
          <w:kern w:val="22"/>
          <w:szCs w:val="22"/>
          <w:lang w:val="ru-RU"/>
        </w:rPr>
        <w:t xml:space="preserve"> (</w:t>
      </w:r>
      <w:r>
        <w:rPr>
          <w:snapToGrid w:val="0"/>
          <w:kern w:val="22"/>
          <w:szCs w:val="22"/>
          <w:lang w:val="ru-RU"/>
        </w:rPr>
        <w:t>п</w:t>
      </w:r>
      <w:r w:rsidRPr="002A2E7A">
        <w:rPr>
          <w:snapToGrid w:val="0"/>
          <w:kern w:val="22"/>
          <w:szCs w:val="22"/>
          <w:lang w:val="ru-RU"/>
        </w:rPr>
        <w:t>роцентная доля Сторон, внедривших национальные коммуникационные стратегии по обеспечению биобезопасности</w:t>
      </w:r>
      <w:r w:rsidR="004569FB" w:rsidRPr="002A2E7A">
        <w:rPr>
          <w:snapToGrid w:val="0"/>
          <w:kern w:val="22"/>
          <w:szCs w:val="22"/>
          <w:lang w:val="ru-RU"/>
        </w:rPr>
        <w:t xml:space="preserve">) </w:t>
      </w:r>
      <w:bookmarkStart w:id="37" w:name="_Hlk33717404"/>
      <w:r w:rsidR="004569FB" w:rsidRPr="002A2E7A">
        <w:rPr>
          <w:snapToGrid w:val="0"/>
          <w:kern w:val="22"/>
          <w:szCs w:val="22"/>
          <w:lang w:val="ru-RU"/>
        </w:rPr>
        <w:t>51</w:t>
      </w:r>
      <w:r w:rsidR="00CF046B">
        <w:rPr>
          <w:snapToGrid w:val="0"/>
          <w:kern w:val="22"/>
          <w:szCs w:val="22"/>
          <w:lang w:val="ru-RU"/>
        </w:rPr>
        <w:t> </w:t>
      </w:r>
      <w:r w:rsidR="004569FB" w:rsidRPr="002A2E7A">
        <w:rPr>
          <w:snapToGrid w:val="0"/>
          <w:kern w:val="22"/>
          <w:szCs w:val="22"/>
          <w:lang w:val="ru-RU"/>
        </w:rPr>
        <w:t xml:space="preserve">% </w:t>
      </w:r>
      <w:r w:rsidR="00CF046B">
        <w:rPr>
          <w:snapToGrid w:val="0"/>
          <w:kern w:val="22"/>
          <w:szCs w:val="22"/>
          <w:lang w:val="ru-RU"/>
        </w:rPr>
        <w:t xml:space="preserve">Сторон </w:t>
      </w:r>
      <w:r w:rsidR="00D44529" w:rsidRPr="002A2E7A">
        <w:rPr>
          <w:snapToGrid w:val="0"/>
          <w:kern w:val="22"/>
          <w:szCs w:val="22"/>
          <w:lang w:val="ru-RU"/>
        </w:rPr>
        <w:t xml:space="preserve">(36 </w:t>
      </w:r>
      <w:r w:rsidR="00CF046B">
        <w:rPr>
          <w:snapToGrid w:val="0"/>
          <w:kern w:val="22"/>
          <w:szCs w:val="22"/>
          <w:lang w:val="ru-RU"/>
        </w:rPr>
        <w:t>Сторон</w:t>
      </w:r>
      <w:r w:rsidR="00D44529" w:rsidRPr="002A2E7A">
        <w:rPr>
          <w:snapToGrid w:val="0"/>
          <w:kern w:val="22"/>
          <w:szCs w:val="22"/>
          <w:lang w:val="ru-RU"/>
        </w:rPr>
        <w:t>)</w:t>
      </w:r>
      <w:r w:rsidR="004569FB" w:rsidRPr="002A2E7A">
        <w:rPr>
          <w:snapToGrid w:val="0"/>
          <w:kern w:val="22"/>
          <w:szCs w:val="22"/>
          <w:lang w:val="ru-RU"/>
        </w:rPr>
        <w:t xml:space="preserve"> </w:t>
      </w:r>
      <w:r w:rsidR="00CF046B">
        <w:rPr>
          <w:snapToGrid w:val="0"/>
          <w:kern w:val="22"/>
          <w:szCs w:val="22"/>
          <w:lang w:val="ru-RU"/>
        </w:rPr>
        <w:t>сообщили о внедрении</w:t>
      </w:r>
      <w:r w:rsidR="004569FB" w:rsidRPr="002A2E7A">
        <w:rPr>
          <w:snapToGrid w:val="0"/>
          <w:kern w:val="22"/>
          <w:szCs w:val="22"/>
          <w:lang w:val="ru-RU"/>
        </w:rPr>
        <w:t xml:space="preserve"> </w:t>
      </w:r>
      <w:r w:rsidR="00CF046B" w:rsidRPr="002A2E7A">
        <w:rPr>
          <w:snapToGrid w:val="0"/>
          <w:kern w:val="22"/>
          <w:szCs w:val="22"/>
          <w:lang w:val="ru-RU"/>
        </w:rPr>
        <w:t>национальн</w:t>
      </w:r>
      <w:r w:rsidR="00CF046B">
        <w:rPr>
          <w:snapToGrid w:val="0"/>
          <w:kern w:val="22"/>
          <w:szCs w:val="22"/>
          <w:lang w:val="ru-RU"/>
        </w:rPr>
        <w:t>ой</w:t>
      </w:r>
      <w:r w:rsidR="00CF046B" w:rsidRPr="002A2E7A">
        <w:rPr>
          <w:snapToGrid w:val="0"/>
          <w:kern w:val="22"/>
          <w:szCs w:val="22"/>
          <w:lang w:val="ru-RU"/>
        </w:rPr>
        <w:t xml:space="preserve"> коммуникационн</w:t>
      </w:r>
      <w:r w:rsidR="00CF046B">
        <w:rPr>
          <w:snapToGrid w:val="0"/>
          <w:kern w:val="22"/>
          <w:szCs w:val="22"/>
          <w:lang w:val="ru-RU"/>
        </w:rPr>
        <w:t>ой</w:t>
      </w:r>
      <w:r w:rsidR="00CF046B" w:rsidRPr="002A2E7A">
        <w:rPr>
          <w:snapToGrid w:val="0"/>
          <w:kern w:val="22"/>
          <w:szCs w:val="22"/>
          <w:lang w:val="ru-RU"/>
        </w:rPr>
        <w:t xml:space="preserve"> стратегии по обеспечению биобезопасности</w:t>
      </w:r>
      <w:r w:rsidR="004569FB" w:rsidRPr="002A2E7A">
        <w:rPr>
          <w:snapToGrid w:val="0"/>
          <w:kern w:val="22"/>
          <w:szCs w:val="22"/>
          <w:lang w:val="ru-RU"/>
        </w:rPr>
        <w:t>.</w:t>
      </w:r>
      <w:r w:rsidR="00CF046B">
        <w:rPr>
          <w:snapToGrid w:val="0"/>
          <w:kern w:val="22"/>
          <w:szCs w:val="22"/>
          <w:lang w:val="ru-RU"/>
        </w:rPr>
        <w:t xml:space="preserve"> При</w:t>
      </w:r>
      <w:r w:rsidR="00CF046B" w:rsidRPr="00CF046B">
        <w:rPr>
          <w:snapToGrid w:val="0"/>
          <w:kern w:val="22"/>
          <w:szCs w:val="22"/>
          <w:lang w:val="ru-RU"/>
        </w:rPr>
        <w:t xml:space="preserve"> </w:t>
      </w:r>
      <w:proofErr w:type="gramStart"/>
      <w:r w:rsidR="00CF046B">
        <w:rPr>
          <w:snapToGrid w:val="0"/>
          <w:kern w:val="22"/>
          <w:szCs w:val="22"/>
          <w:lang w:val="ru-RU"/>
        </w:rPr>
        <w:t>том</w:t>
      </w:r>
      <w:proofErr w:type="gramEnd"/>
      <w:r w:rsidR="00CF046B" w:rsidRPr="00CF046B">
        <w:rPr>
          <w:snapToGrid w:val="0"/>
          <w:kern w:val="22"/>
          <w:szCs w:val="22"/>
          <w:lang w:val="ru-RU"/>
        </w:rPr>
        <w:t xml:space="preserve"> </w:t>
      </w:r>
      <w:r w:rsidR="00CF046B">
        <w:rPr>
          <w:snapToGrid w:val="0"/>
          <w:kern w:val="22"/>
          <w:szCs w:val="22"/>
          <w:lang w:val="ru-RU"/>
        </w:rPr>
        <w:t>что</w:t>
      </w:r>
      <w:r w:rsidR="00CF046B" w:rsidRPr="00CF046B">
        <w:rPr>
          <w:snapToGrid w:val="0"/>
          <w:kern w:val="22"/>
          <w:szCs w:val="22"/>
          <w:lang w:val="ru-RU"/>
        </w:rPr>
        <w:t xml:space="preserve"> </w:t>
      </w:r>
      <w:r w:rsidR="00CF046B">
        <w:rPr>
          <w:snapToGrid w:val="0"/>
          <w:kern w:val="22"/>
          <w:szCs w:val="22"/>
          <w:lang w:val="ru-RU"/>
        </w:rPr>
        <w:t>это</w:t>
      </w:r>
      <w:r w:rsidR="00CF046B" w:rsidRPr="00CF046B">
        <w:rPr>
          <w:snapToGrid w:val="0"/>
          <w:kern w:val="22"/>
          <w:szCs w:val="22"/>
          <w:lang w:val="ru-RU"/>
        </w:rPr>
        <w:t xml:space="preserve"> </w:t>
      </w:r>
      <w:r w:rsidR="00CF046B">
        <w:rPr>
          <w:snapToGrid w:val="0"/>
          <w:kern w:val="22"/>
          <w:szCs w:val="22"/>
          <w:lang w:val="ru-RU"/>
        </w:rPr>
        <w:t>число</w:t>
      </w:r>
      <w:r w:rsidR="00CF046B" w:rsidRPr="00CF046B">
        <w:rPr>
          <w:snapToGrid w:val="0"/>
          <w:kern w:val="22"/>
          <w:szCs w:val="22"/>
          <w:lang w:val="ru-RU"/>
        </w:rPr>
        <w:t xml:space="preserve"> </w:t>
      </w:r>
      <w:r w:rsidR="00CF046B">
        <w:rPr>
          <w:snapToGrid w:val="0"/>
          <w:kern w:val="22"/>
          <w:szCs w:val="22"/>
          <w:lang w:val="ru-RU"/>
        </w:rPr>
        <w:t>не</w:t>
      </w:r>
      <w:r w:rsidR="00CF046B" w:rsidRPr="00CF046B">
        <w:rPr>
          <w:snapToGrid w:val="0"/>
          <w:kern w:val="22"/>
          <w:szCs w:val="22"/>
          <w:lang w:val="ru-RU"/>
        </w:rPr>
        <w:t xml:space="preserve"> </w:t>
      </w:r>
      <w:r w:rsidR="00CF046B">
        <w:rPr>
          <w:snapToGrid w:val="0"/>
          <w:kern w:val="22"/>
          <w:szCs w:val="22"/>
          <w:lang w:val="ru-RU"/>
        </w:rPr>
        <w:t>изменилось</w:t>
      </w:r>
      <w:r w:rsidR="00CF046B" w:rsidRPr="00CF046B">
        <w:rPr>
          <w:snapToGrid w:val="0"/>
          <w:kern w:val="22"/>
          <w:szCs w:val="22"/>
          <w:lang w:val="ru-RU"/>
        </w:rPr>
        <w:t xml:space="preserve"> по сравнению с исходным уровнем</w:t>
      </w:r>
      <w:r w:rsidR="004569FB" w:rsidRPr="00CF046B">
        <w:rPr>
          <w:snapToGrid w:val="0"/>
          <w:kern w:val="22"/>
          <w:szCs w:val="22"/>
          <w:lang w:val="ru-RU"/>
        </w:rPr>
        <w:t xml:space="preserve">, </w:t>
      </w:r>
      <w:r w:rsidR="00CF046B">
        <w:rPr>
          <w:snapToGrid w:val="0"/>
          <w:kern w:val="22"/>
          <w:szCs w:val="22"/>
          <w:lang w:val="ru-RU"/>
        </w:rPr>
        <w:t>были отмечены существенные региональные изменения. Об</w:t>
      </w:r>
      <w:r w:rsidR="00CF046B" w:rsidRPr="00CF046B">
        <w:rPr>
          <w:snapToGrid w:val="0"/>
          <w:kern w:val="22"/>
          <w:szCs w:val="22"/>
          <w:lang w:val="ru-RU"/>
        </w:rPr>
        <w:t xml:space="preserve"> </w:t>
      </w:r>
      <w:r w:rsidR="00CF046B">
        <w:rPr>
          <w:snapToGrid w:val="0"/>
          <w:kern w:val="22"/>
          <w:szCs w:val="22"/>
          <w:lang w:val="ru-RU"/>
        </w:rPr>
        <w:t>увеличении</w:t>
      </w:r>
      <w:r w:rsidR="00CF046B" w:rsidRPr="00CF046B">
        <w:rPr>
          <w:snapToGrid w:val="0"/>
          <w:kern w:val="22"/>
          <w:szCs w:val="22"/>
          <w:lang w:val="ru-RU"/>
        </w:rPr>
        <w:t xml:space="preserve"> </w:t>
      </w:r>
      <w:r w:rsidR="00CF046B">
        <w:rPr>
          <w:snapToGrid w:val="0"/>
          <w:kern w:val="22"/>
          <w:szCs w:val="22"/>
          <w:lang w:val="ru-RU"/>
        </w:rPr>
        <w:t>было</w:t>
      </w:r>
      <w:r w:rsidR="00CF046B" w:rsidRPr="00CF046B">
        <w:rPr>
          <w:snapToGrid w:val="0"/>
          <w:kern w:val="22"/>
          <w:szCs w:val="22"/>
          <w:lang w:val="ru-RU"/>
        </w:rPr>
        <w:t xml:space="preserve"> </w:t>
      </w:r>
      <w:r w:rsidR="00CF046B">
        <w:rPr>
          <w:snapToGrid w:val="0"/>
          <w:kern w:val="22"/>
          <w:szCs w:val="22"/>
          <w:lang w:val="ru-RU"/>
        </w:rPr>
        <w:t>сообщено</w:t>
      </w:r>
      <w:r w:rsidR="00CF046B" w:rsidRPr="00CF046B">
        <w:rPr>
          <w:snapToGrid w:val="0"/>
          <w:kern w:val="22"/>
          <w:szCs w:val="22"/>
          <w:lang w:val="ru-RU"/>
        </w:rPr>
        <w:t xml:space="preserve"> </w:t>
      </w:r>
      <w:r w:rsidR="00CF046B">
        <w:rPr>
          <w:snapToGrid w:val="0"/>
          <w:kern w:val="22"/>
          <w:szCs w:val="22"/>
          <w:lang w:val="ru-RU"/>
        </w:rPr>
        <w:t>в</w:t>
      </w:r>
      <w:bookmarkEnd w:id="37"/>
      <w:r w:rsidR="00CF046B">
        <w:rPr>
          <w:snapToGrid w:val="0"/>
          <w:kern w:val="22"/>
          <w:szCs w:val="22"/>
          <w:lang w:val="ru-RU"/>
        </w:rPr>
        <w:t xml:space="preserve"> следующих регионах</w:t>
      </w:r>
      <w:r w:rsidR="004569FB" w:rsidRPr="00CF046B">
        <w:rPr>
          <w:snapToGrid w:val="0"/>
          <w:kern w:val="22"/>
          <w:szCs w:val="22"/>
          <w:lang w:val="ru-RU"/>
        </w:rPr>
        <w:t xml:space="preserve">: </w:t>
      </w:r>
      <w:r w:rsidR="00CF046B">
        <w:rPr>
          <w:snapToGrid w:val="0"/>
          <w:kern w:val="22"/>
          <w:szCs w:val="22"/>
          <w:lang w:val="ru-RU"/>
        </w:rPr>
        <w:t>Африка</w:t>
      </w:r>
      <w:r w:rsidR="004569FB" w:rsidRPr="00CF046B">
        <w:rPr>
          <w:snapToGrid w:val="0"/>
          <w:kern w:val="22"/>
          <w:szCs w:val="22"/>
          <w:lang w:val="ru-RU"/>
        </w:rPr>
        <w:t>: 58</w:t>
      </w:r>
      <w:r w:rsidR="00CF046B">
        <w:rPr>
          <w:snapToGrid w:val="0"/>
          <w:kern w:val="22"/>
          <w:szCs w:val="22"/>
          <w:lang w:val="ru-RU"/>
        </w:rPr>
        <w:t> </w:t>
      </w:r>
      <w:r w:rsidR="004569FB" w:rsidRPr="00CF046B">
        <w:rPr>
          <w:snapToGrid w:val="0"/>
          <w:kern w:val="22"/>
          <w:szCs w:val="22"/>
          <w:lang w:val="ru-RU"/>
        </w:rPr>
        <w:t>% (+16</w:t>
      </w:r>
      <w:r w:rsidR="00CF046B">
        <w:rPr>
          <w:snapToGrid w:val="0"/>
          <w:kern w:val="22"/>
          <w:szCs w:val="22"/>
          <w:lang w:val="ru-RU"/>
        </w:rPr>
        <w:t> </w:t>
      </w:r>
      <w:r w:rsidR="004569FB" w:rsidRPr="00CF046B">
        <w:rPr>
          <w:snapToGrid w:val="0"/>
          <w:kern w:val="22"/>
          <w:szCs w:val="22"/>
          <w:lang w:val="ru-RU"/>
        </w:rPr>
        <w:t xml:space="preserve">%); </w:t>
      </w:r>
      <w:r w:rsidR="00CF046B">
        <w:rPr>
          <w:snapToGrid w:val="0"/>
          <w:kern w:val="22"/>
          <w:szCs w:val="22"/>
          <w:lang w:val="ru-RU"/>
        </w:rPr>
        <w:t>Азиатско-Тихоокеанский регион</w:t>
      </w:r>
      <w:r w:rsidR="004569FB" w:rsidRPr="00CF046B">
        <w:rPr>
          <w:snapToGrid w:val="0"/>
          <w:kern w:val="22"/>
          <w:szCs w:val="22"/>
          <w:lang w:val="ru-RU"/>
        </w:rPr>
        <w:t>: 56</w:t>
      </w:r>
      <w:r w:rsidR="00CF046B">
        <w:rPr>
          <w:snapToGrid w:val="0"/>
          <w:kern w:val="22"/>
          <w:szCs w:val="22"/>
          <w:lang w:val="ru-RU"/>
        </w:rPr>
        <w:t> </w:t>
      </w:r>
      <w:r w:rsidR="004569FB" w:rsidRPr="00CF046B">
        <w:rPr>
          <w:snapToGrid w:val="0"/>
          <w:kern w:val="22"/>
          <w:szCs w:val="22"/>
          <w:lang w:val="ru-RU"/>
        </w:rPr>
        <w:t>% (+1</w:t>
      </w:r>
      <w:r w:rsidR="00D44529" w:rsidRPr="00CF046B">
        <w:rPr>
          <w:snapToGrid w:val="0"/>
          <w:kern w:val="22"/>
          <w:szCs w:val="22"/>
          <w:lang w:val="ru-RU"/>
        </w:rPr>
        <w:t>1</w:t>
      </w:r>
      <w:r w:rsidR="00CF046B">
        <w:rPr>
          <w:snapToGrid w:val="0"/>
          <w:kern w:val="22"/>
          <w:szCs w:val="22"/>
          <w:lang w:val="ru-RU"/>
        </w:rPr>
        <w:t> </w:t>
      </w:r>
      <w:r w:rsidR="004569FB" w:rsidRPr="00CF046B">
        <w:rPr>
          <w:snapToGrid w:val="0"/>
          <w:kern w:val="22"/>
          <w:szCs w:val="22"/>
          <w:lang w:val="ru-RU"/>
        </w:rPr>
        <w:t xml:space="preserve">%); </w:t>
      </w:r>
      <w:proofErr w:type="spellStart"/>
      <w:r w:rsidR="004569FB" w:rsidRPr="00DB5643">
        <w:rPr>
          <w:snapToGrid w:val="0"/>
          <w:kern w:val="22"/>
          <w:szCs w:val="22"/>
        </w:rPr>
        <w:t>CEE</w:t>
      </w:r>
      <w:proofErr w:type="spellEnd"/>
      <w:r w:rsidR="004569FB" w:rsidRPr="00CF046B">
        <w:rPr>
          <w:snapToGrid w:val="0"/>
          <w:kern w:val="22"/>
          <w:szCs w:val="22"/>
          <w:lang w:val="ru-RU"/>
        </w:rPr>
        <w:t>: 57</w:t>
      </w:r>
      <w:r w:rsidR="00CF046B">
        <w:rPr>
          <w:snapToGrid w:val="0"/>
          <w:kern w:val="22"/>
          <w:szCs w:val="22"/>
          <w:lang w:val="ru-RU"/>
        </w:rPr>
        <w:t> </w:t>
      </w:r>
      <w:r w:rsidR="004569FB" w:rsidRPr="00CF046B">
        <w:rPr>
          <w:snapToGrid w:val="0"/>
          <w:kern w:val="22"/>
          <w:szCs w:val="22"/>
          <w:lang w:val="ru-RU"/>
        </w:rPr>
        <w:t>% (+14</w:t>
      </w:r>
      <w:r w:rsidR="00CF046B">
        <w:rPr>
          <w:snapToGrid w:val="0"/>
          <w:kern w:val="22"/>
          <w:szCs w:val="22"/>
          <w:lang w:val="ru-RU"/>
        </w:rPr>
        <w:t> </w:t>
      </w:r>
      <w:r w:rsidR="004569FB" w:rsidRPr="00CF046B">
        <w:rPr>
          <w:snapToGrid w:val="0"/>
          <w:kern w:val="22"/>
          <w:szCs w:val="22"/>
          <w:lang w:val="ru-RU"/>
        </w:rPr>
        <w:t xml:space="preserve">%). </w:t>
      </w:r>
      <w:r w:rsidR="00CF046B">
        <w:rPr>
          <w:snapToGrid w:val="0"/>
          <w:kern w:val="22"/>
          <w:szCs w:val="22"/>
          <w:lang w:val="ru-RU"/>
        </w:rPr>
        <w:t>Об</w:t>
      </w:r>
      <w:r w:rsidR="00CF046B" w:rsidRPr="00CF046B">
        <w:rPr>
          <w:snapToGrid w:val="0"/>
          <w:kern w:val="22"/>
          <w:szCs w:val="22"/>
          <w:lang w:val="ru-RU"/>
        </w:rPr>
        <w:t xml:space="preserve"> </w:t>
      </w:r>
      <w:r w:rsidR="00CF046B">
        <w:rPr>
          <w:snapToGrid w:val="0"/>
          <w:kern w:val="22"/>
          <w:szCs w:val="22"/>
          <w:lang w:val="ru-RU"/>
        </w:rPr>
        <w:t>уменьшении</w:t>
      </w:r>
      <w:r w:rsidR="00CF046B" w:rsidRPr="00CF046B">
        <w:rPr>
          <w:snapToGrid w:val="0"/>
          <w:kern w:val="22"/>
          <w:szCs w:val="22"/>
          <w:lang w:val="ru-RU"/>
        </w:rPr>
        <w:t xml:space="preserve"> </w:t>
      </w:r>
      <w:r w:rsidR="00CF046B">
        <w:rPr>
          <w:snapToGrid w:val="0"/>
          <w:kern w:val="22"/>
          <w:szCs w:val="22"/>
          <w:lang w:val="ru-RU"/>
        </w:rPr>
        <w:t>было</w:t>
      </w:r>
      <w:r w:rsidR="00CF046B" w:rsidRPr="00CF046B">
        <w:rPr>
          <w:snapToGrid w:val="0"/>
          <w:kern w:val="22"/>
          <w:szCs w:val="22"/>
          <w:lang w:val="ru-RU"/>
        </w:rPr>
        <w:t xml:space="preserve"> </w:t>
      </w:r>
      <w:r w:rsidR="00CF046B">
        <w:rPr>
          <w:snapToGrid w:val="0"/>
          <w:kern w:val="22"/>
          <w:szCs w:val="22"/>
          <w:lang w:val="ru-RU"/>
        </w:rPr>
        <w:t>сообщено</w:t>
      </w:r>
      <w:r w:rsidR="00CF046B" w:rsidRPr="00CF046B">
        <w:rPr>
          <w:snapToGrid w:val="0"/>
          <w:kern w:val="22"/>
          <w:szCs w:val="22"/>
          <w:lang w:val="ru-RU"/>
        </w:rPr>
        <w:t xml:space="preserve"> </w:t>
      </w:r>
      <w:r w:rsidR="00CF046B">
        <w:rPr>
          <w:snapToGrid w:val="0"/>
          <w:kern w:val="22"/>
          <w:szCs w:val="22"/>
          <w:lang w:val="ru-RU"/>
        </w:rPr>
        <w:t>в регионах</w:t>
      </w:r>
      <w:r w:rsidR="00CF046B" w:rsidRPr="00CF046B">
        <w:rPr>
          <w:snapToGrid w:val="0"/>
          <w:kern w:val="22"/>
          <w:szCs w:val="22"/>
          <w:lang w:val="ru-RU"/>
        </w:rPr>
        <w:t xml:space="preserve"> </w:t>
      </w:r>
      <w:proofErr w:type="spellStart"/>
      <w:r w:rsidR="00CF046B">
        <w:rPr>
          <w:snapToGrid w:val="0"/>
          <w:kern w:val="22"/>
          <w:szCs w:val="22"/>
          <w:lang w:val="ru-RU"/>
        </w:rPr>
        <w:t>ГРУЛАК</w:t>
      </w:r>
      <w:proofErr w:type="spellEnd"/>
      <w:r w:rsidR="004569FB" w:rsidRPr="00CF046B">
        <w:rPr>
          <w:snapToGrid w:val="0"/>
          <w:kern w:val="22"/>
          <w:szCs w:val="22"/>
          <w:lang w:val="ru-RU"/>
        </w:rPr>
        <w:t>: 15</w:t>
      </w:r>
      <w:r w:rsidR="00CF046B">
        <w:rPr>
          <w:snapToGrid w:val="0"/>
          <w:kern w:val="22"/>
          <w:szCs w:val="22"/>
          <w:lang w:val="ru-RU"/>
        </w:rPr>
        <w:t> </w:t>
      </w:r>
      <w:r w:rsidR="004569FB" w:rsidRPr="00CF046B">
        <w:rPr>
          <w:snapToGrid w:val="0"/>
          <w:kern w:val="22"/>
          <w:szCs w:val="22"/>
          <w:lang w:val="ru-RU"/>
        </w:rPr>
        <w:t>% (-3</w:t>
      </w:r>
      <w:r w:rsidR="00D44529" w:rsidRPr="00CF046B">
        <w:rPr>
          <w:snapToGrid w:val="0"/>
          <w:kern w:val="22"/>
          <w:szCs w:val="22"/>
          <w:lang w:val="ru-RU"/>
        </w:rPr>
        <w:t>8</w:t>
      </w:r>
      <w:r w:rsidR="00CF046B">
        <w:rPr>
          <w:snapToGrid w:val="0"/>
          <w:kern w:val="22"/>
          <w:szCs w:val="22"/>
          <w:lang w:val="ru-RU"/>
        </w:rPr>
        <w:t> </w:t>
      </w:r>
      <w:r w:rsidR="004569FB" w:rsidRPr="00CF046B">
        <w:rPr>
          <w:snapToGrid w:val="0"/>
          <w:kern w:val="22"/>
          <w:szCs w:val="22"/>
          <w:lang w:val="ru-RU"/>
        </w:rPr>
        <w:t>%)</w:t>
      </w:r>
      <w:r w:rsidR="00CF046B">
        <w:rPr>
          <w:snapToGrid w:val="0"/>
          <w:kern w:val="22"/>
          <w:szCs w:val="22"/>
          <w:lang w:val="ru-RU"/>
        </w:rPr>
        <w:t xml:space="preserve"> и</w:t>
      </w:r>
      <w:r w:rsidR="004569FB" w:rsidRPr="00CF046B">
        <w:rPr>
          <w:snapToGrid w:val="0"/>
          <w:kern w:val="22"/>
          <w:szCs w:val="22"/>
          <w:lang w:val="ru-RU"/>
        </w:rPr>
        <w:t xml:space="preserve"> </w:t>
      </w:r>
      <w:proofErr w:type="spellStart"/>
      <w:r w:rsidR="004569FB" w:rsidRPr="00DB5643">
        <w:rPr>
          <w:snapToGrid w:val="0"/>
          <w:kern w:val="22"/>
          <w:szCs w:val="22"/>
        </w:rPr>
        <w:t>WEOG</w:t>
      </w:r>
      <w:proofErr w:type="spellEnd"/>
      <w:r w:rsidR="00CF046B">
        <w:rPr>
          <w:snapToGrid w:val="0"/>
          <w:kern w:val="22"/>
          <w:szCs w:val="22"/>
          <w:lang w:val="ru-RU"/>
        </w:rPr>
        <w:t>:</w:t>
      </w:r>
      <w:r w:rsidR="004569FB" w:rsidRPr="00CF046B">
        <w:rPr>
          <w:snapToGrid w:val="0"/>
          <w:kern w:val="22"/>
          <w:szCs w:val="22"/>
          <w:lang w:val="ru-RU"/>
        </w:rPr>
        <w:t xml:space="preserve"> 63</w:t>
      </w:r>
      <w:r w:rsidR="00CF046B">
        <w:rPr>
          <w:snapToGrid w:val="0"/>
          <w:kern w:val="22"/>
          <w:szCs w:val="22"/>
          <w:lang w:val="ru-RU"/>
        </w:rPr>
        <w:t> </w:t>
      </w:r>
      <w:r w:rsidR="004569FB" w:rsidRPr="00CF046B">
        <w:rPr>
          <w:snapToGrid w:val="0"/>
          <w:kern w:val="22"/>
          <w:szCs w:val="22"/>
          <w:lang w:val="ru-RU"/>
        </w:rPr>
        <w:t>% (-6</w:t>
      </w:r>
      <w:r w:rsidR="00CF046B">
        <w:rPr>
          <w:snapToGrid w:val="0"/>
          <w:kern w:val="22"/>
          <w:szCs w:val="22"/>
          <w:lang w:val="ru-RU"/>
        </w:rPr>
        <w:t> </w:t>
      </w:r>
      <w:r w:rsidR="004569FB" w:rsidRPr="00CF046B">
        <w:rPr>
          <w:snapToGrid w:val="0"/>
          <w:kern w:val="22"/>
          <w:szCs w:val="22"/>
          <w:lang w:val="ru-RU"/>
        </w:rPr>
        <w:t>%).</w:t>
      </w:r>
    </w:p>
    <w:p w14:paraId="0065E21B" w14:textId="33FAA1E8" w:rsidR="004569FB" w:rsidRPr="00CF046B" w:rsidRDefault="00CF046B"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В</w:t>
      </w:r>
      <w:r w:rsidRPr="00CF046B">
        <w:rPr>
          <w:snapToGrid w:val="0"/>
          <w:kern w:val="22"/>
          <w:szCs w:val="22"/>
          <w:lang w:val="ru-RU"/>
        </w:rPr>
        <w:t xml:space="preserve"> </w:t>
      </w:r>
      <w:r>
        <w:rPr>
          <w:snapToGrid w:val="0"/>
          <w:kern w:val="22"/>
          <w:szCs w:val="22"/>
          <w:lang w:val="ru-RU"/>
        </w:rPr>
        <w:t>своих</w:t>
      </w:r>
      <w:r w:rsidRPr="00CF046B">
        <w:rPr>
          <w:snapToGrid w:val="0"/>
          <w:kern w:val="22"/>
          <w:szCs w:val="22"/>
          <w:lang w:val="ru-RU"/>
        </w:rPr>
        <w:t xml:space="preserve"> </w:t>
      </w:r>
      <w:r>
        <w:rPr>
          <w:snapToGrid w:val="0"/>
          <w:kern w:val="22"/>
          <w:szCs w:val="22"/>
          <w:lang w:val="ru-RU"/>
        </w:rPr>
        <w:t>письменных</w:t>
      </w:r>
      <w:r w:rsidRPr="00CF046B">
        <w:rPr>
          <w:snapToGrid w:val="0"/>
          <w:kern w:val="22"/>
          <w:szCs w:val="22"/>
          <w:lang w:val="ru-RU"/>
        </w:rPr>
        <w:t xml:space="preserve"> </w:t>
      </w:r>
      <w:r>
        <w:rPr>
          <w:snapToGrid w:val="0"/>
          <w:kern w:val="22"/>
          <w:szCs w:val="22"/>
          <w:lang w:val="ru-RU"/>
        </w:rPr>
        <w:t>материалах</w:t>
      </w:r>
      <w:r w:rsidRPr="00CF046B">
        <w:rPr>
          <w:snapToGrid w:val="0"/>
          <w:kern w:val="22"/>
          <w:szCs w:val="22"/>
          <w:lang w:val="ru-RU"/>
        </w:rPr>
        <w:t xml:space="preserve"> </w:t>
      </w:r>
      <w:r>
        <w:rPr>
          <w:snapToGrid w:val="0"/>
          <w:kern w:val="22"/>
          <w:szCs w:val="22"/>
          <w:lang w:val="ru-RU"/>
        </w:rPr>
        <w:t>некоторые</w:t>
      </w:r>
      <w:r w:rsidRPr="00CF046B">
        <w:rPr>
          <w:snapToGrid w:val="0"/>
          <w:kern w:val="22"/>
          <w:szCs w:val="22"/>
          <w:lang w:val="ru-RU"/>
        </w:rPr>
        <w:t xml:space="preserve"> </w:t>
      </w:r>
      <w:r>
        <w:rPr>
          <w:snapToGrid w:val="0"/>
          <w:kern w:val="22"/>
          <w:szCs w:val="22"/>
          <w:lang w:val="ru-RU"/>
        </w:rPr>
        <w:t>Стороны</w:t>
      </w:r>
      <w:r w:rsidRPr="00CF046B">
        <w:rPr>
          <w:snapToGrid w:val="0"/>
          <w:kern w:val="22"/>
          <w:szCs w:val="22"/>
          <w:lang w:val="ru-RU"/>
        </w:rPr>
        <w:t xml:space="preserve"> </w:t>
      </w:r>
      <w:r>
        <w:rPr>
          <w:snapToGrid w:val="0"/>
          <w:kern w:val="22"/>
          <w:szCs w:val="22"/>
          <w:lang w:val="ru-RU"/>
        </w:rPr>
        <w:t>отметили</w:t>
      </w:r>
      <w:r w:rsidRPr="00CF046B">
        <w:rPr>
          <w:snapToGrid w:val="0"/>
          <w:kern w:val="22"/>
          <w:szCs w:val="22"/>
          <w:lang w:val="ru-RU"/>
        </w:rPr>
        <w:t xml:space="preserve">, </w:t>
      </w:r>
      <w:r>
        <w:rPr>
          <w:snapToGrid w:val="0"/>
          <w:kern w:val="22"/>
          <w:szCs w:val="22"/>
          <w:lang w:val="ru-RU"/>
        </w:rPr>
        <w:t>что</w:t>
      </w:r>
      <w:r w:rsidRPr="00CF046B">
        <w:rPr>
          <w:snapToGrid w:val="0"/>
          <w:kern w:val="22"/>
          <w:szCs w:val="22"/>
          <w:lang w:val="ru-RU"/>
        </w:rPr>
        <w:t xml:space="preserve"> </w:t>
      </w:r>
      <w:r>
        <w:rPr>
          <w:snapToGrid w:val="0"/>
          <w:kern w:val="22"/>
          <w:szCs w:val="22"/>
          <w:lang w:val="ru-RU"/>
        </w:rPr>
        <w:t>некоторые</w:t>
      </w:r>
      <w:r w:rsidRPr="00CF046B">
        <w:rPr>
          <w:snapToGrid w:val="0"/>
          <w:kern w:val="22"/>
          <w:szCs w:val="22"/>
          <w:lang w:val="ru-RU"/>
        </w:rPr>
        <w:t xml:space="preserve"> </w:t>
      </w:r>
      <w:r>
        <w:rPr>
          <w:snapToGrid w:val="0"/>
          <w:kern w:val="22"/>
          <w:szCs w:val="22"/>
          <w:lang w:val="ru-RU"/>
        </w:rPr>
        <w:t>программы</w:t>
      </w:r>
      <w:r w:rsidRPr="00CF046B">
        <w:rPr>
          <w:snapToGrid w:val="0"/>
          <w:kern w:val="22"/>
          <w:szCs w:val="22"/>
          <w:lang w:val="ru-RU"/>
        </w:rPr>
        <w:t xml:space="preserve"> </w:t>
      </w:r>
      <w:r>
        <w:rPr>
          <w:snapToGrid w:val="0"/>
          <w:kern w:val="22"/>
          <w:szCs w:val="22"/>
          <w:lang w:val="ru-RU"/>
        </w:rPr>
        <w:t>предназначены</w:t>
      </w:r>
      <w:r w:rsidRPr="00CF046B">
        <w:rPr>
          <w:snapToGrid w:val="0"/>
          <w:kern w:val="22"/>
          <w:szCs w:val="22"/>
          <w:lang w:val="ru-RU"/>
        </w:rPr>
        <w:t xml:space="preserve"> </w:t>
      </w:r>
      <w:r>
        <w:rPr>
          <w:snapToGrid w:val="0"/>
          <w:kern w:val="22"/>
          <w:szCs w:val="22"/>
          <w:lang w:val="ru-RU"/>
        </w:rPr>
        <w:t>для</w:t>
      </w:r>
      <w:r w:rsidRPr="00CF046B">
        <w:rPr>
          <w:snapToGrid w:val="0"/>
          <w:kern w:val="22"/>
          <w:szCs w:val="22"/>
          <w:lang w:val="ru-RU"/>
        </w:rPr>
        <w:t xml:space="preserve"> </w:t>
      </w:r>
      <w:r>
        <w:rPr>
          <w:snapToGrid w:val="0"/>
          <w:kern w:val="22"/>
          <w:szCs w:val="22"/>
          <w:lang w:val="ru-RU"/>
        </w:rPr>
        <w:t>конкретных</w:t>
      </w:r>
      <w:r w:rsidRPr="00CF046B">
        <w:rPr>
          <w:snapToGrid w:val="0"/>
          <w:kern w:val="22"/>
          <w:szCs w:val="22"/>
          <w:lang w:val="ru-RU"/>
        </w:rPr>
        <w:t xml:space="preserve"> </w:t>
      </w:r>
      <w:r>
        <w:rPr>
          <w:snapToGrid w:val="0"/>
          <w:kern w:val="22"/>
          <w:szCs w:val="22"/>
          <w:lang w:val="ru-RU"/>
        </w:rPr>
        <w:t>аудиторий</w:t>
      </w:r>
      <w:r w:rsidR="004569FB" w:rsidRPr="00CF046B">
        <w:rPr>
          <w:snapToGrid w:val="0"/>
          <w:kern w:val="22"/>
          <w:szCs w:val="22"/>
          <w:lang w:val="ru-RU"/>
        </w:rPr>
        <w:t xml:space="preserve"> (</w:t>
      </w:r>
      <w:r>
        <w:rPr>
          <w:snapToGrid w:val="0"/>
          <w:kern w:val="22"/>
          <w:szCs w:val="22"/>
          <w:lang w:val="ru-RU"/>
        </w:rPr>
        <w:t>например</w:t>
      </w:r>
      <w:r w:rsidRPr="00CF046B">
        <w:rPr>
          <w:snapToGrid w:val="0"/>
          <w:kern w:val="22"/>
          <w:szCs w:val="22"/>
          <w:lang w:val="ru-RU"/>
        </w:rPr>
        <w:t xml:space="preserve">, </w:t>
      </w:r>
      <w:r>
        <w:rPr>
          <w:snapToGrid w:val="0"/>
          <w:kern w:val="22"/>
          <w:szCs w:val="22"/>
          <w:lang w:val="ru-RU"/>
        </w:rPr>
        <w:t>СМИ</w:t>
      </w:r>
      <w:r w:rsidR="004569FB" w:rsidRPr="00CF046B">
        <w:rPr>
          <w:snapToGrid w:val="0"/>
          <w:kern w:val="22"/>
          <w:szCs w:val="22"/>
          <w:lang w:val="ru-RU"/>
        </w:rPr>
        <w:t>).</w:t>
      </w:r>
      <w:r w:rsidRPr="00CF046B">
        <w:rPr>
          <w:snapToGrid w:val="0"/>
          <w:kern w:val="22"/>
          <w:szCs w:val="22"/>
          <w:lang w:val="ru-RU"/>
        </w:rPr>
        <w:t xml:space="preserve"> </w:t>
      </w:r>
      <w:r>
        <w:rPr>
          <w:snapToGrid w:val="0"/>
          <w:kern w:val="22"/>
          <w:szCs w:val="22"/>
          <w:lang w:val="ru-RU"/>
        </w:rPr>
        <w:t>Несколько</w:t>
      </w:r>
      <w:r w:rsidRPr="00CF046B">
        <w:rPr>
          <w:snapToGrid w:val="0"/>
          <w:kern w:val="22"/>
          <w:szCs w:val="22"/>
          <w:lang w:val="ru-RU"/>
        </w:rPr>
        <w:t xml:space="preserve"> </w:t>
      </w:r>
      <w:r>
        <w:rPr>
          <w:snapToGrid w:val="0"/>
          <w:kern w:val="22"/>
          <w:szCs w:val="22"/>
          <w:lang w:val="ru-RU"/>
        </w:rPr>
        <w:t>Сторон</w:t>
      </w:r>
      <w:r w:rsidR="004569FB" w:rsidRPr="00CF046B">
        <w:rPr>
          <w:snapToGrid w:val="0"/>
          <w:kern w:val="22"/>
          <w:szCs w:val="22"/>
          <w:lang w:val="ru-RU"/>
        </w:rPr>
        <w:t xml:space="preserve"> </w:t>
      </w:r>
      <w:r>
        <w:rPr>
          <w:snapToGrid w:val="0"/>
          <w:kern w:val="22"/>
          <w:szCs w:val="22"/>
          <w:lang w:val="ru-RU"/>
        </w:rPr>
        <w:t>отметили</w:t>
      </w:r>
      <w:r w:rsidRPr="00CF046B">
        <w:rPr>
          <w:snapToGrid w:val="0"/>
          <w:kern w:val="22"/>
          <w:szCs w:val="22"/>
          <w:lang w:val="ru-RU"/>
        </w:rPr>
        <w:t xml:space="preserve">, </w:t>
      </w:r>
      <w:r>
        <w:rPr>
          <w:snapToGrid w:val="0"/>
          <w:kern w:val="22"/>
          <w:szCs w:val="22"/>
          <w:lang w:val="ru-RU"/>
        </w:rPr>
        <w:t>что</w:t>
      </w:r>
      <w:r w:rsidRPr="00CF046B">
        <w:rPr>
          <w:snapToGrid w:val="0"/>
          <w:kern w:val="22"/>
          <w:szCs w:val="22"/>
          <w:lang w:val="ru-RU"/>
        </w:rPr>
        <w:t xml:space="preserve"> </w:t>
      </w:r>
      <w:r>
        <w:rPr>
          <w:snapToGrid w:val="0"/>
          <w:kern w:val="22"/>
          <w:szCs w:val="22"/>
          <w:lang w:val="ru-RU"/>
        </w:rPr>
        <w:t xml:space="preserve">были разработаны </w:t>
      </w:r>
      <w:r w:rsidRPr="007633FD">
        <w:rPr>
          <w:snapToGrid w:val="0"/>
          <w:kern w:val="22"/>
          <w:szCs w:val="22"/>
          <w:lang w:val="ru-RU"/>
        </w:rPr>
        <w:t>программ</w:t>
      </w:r>
      <w:r>
        <w:rPr>
          <w:snapToGrid w:val="0"/>
          <w:kern w:val="22"/>
          <w:szCs w:val="22"/>
          <w:lang w:val="ru-RU"/>
        </w:rPr>
        <w:t>ы</w:t>
      </w:r>
      <w:r w:rsidRPr="00CF046B">
        <w:rPr>
          <w:snapToGrid w:val="0"/>
          <w:kern w:val="22"/>
          <w:szCs w:val="22"/>
          <w:lang w:val="ru-RU"/>
        </w:rPr>
        <w:t xml:space="preserve"> </w:t>
      </w:r>
      <w:r w:rsidRPr="007633FD">
        <w:rPr>
          <w:snapToGrid w:val="0"/>
          <w:kern w:val="22"/>
          <w:szCs w:val="22"/>
          <w:lang w:val="ru-RU"/>
        </w:rPr>
        <w:t>повышения</w:t>
      </w:r>
      <w:r w:rsidRPr="00CF046B">
        <w:rPr>
          <w:snapToGrid w:val="0"/>
          <w:kern w:val="22"/>
          <w:szCs w:val="22"/>
          <w:lang w:val="ru-RU"/>
        </w:rPr>
        <w:t xml:space="preserve"> </w:t>
      </w:r>
      <w:r w:rsidRPr="007633FD">
        <w:rPr>
          <w:snapToGrid w:val="0"/>
          <w:kern w:val="22"/>
          <w:szCs w:val="22"/>
          <w:lang w:val="ru-RU"/>
        </w:rPr>
        <w:t>осведомленности</w:t>
      </w:r>
      <w:r w:rsidRPr="00CF046B">
        <w:rPr>
          <w:snapToGrid w:val="0"/>
          <w:kern w:val="22"/>
          <w:szCs w:val="22"/>
          <w:lang w:val="ru-RU"/>
        </w:rPr>
        <w:t xml:space="preserve"> </w:t>
      </w:r>
      <w:r w:rsidRPr="007633FD">
        <w:rPr>
          <w:snapToGrid w:val="0"/>
          <w:kern w:val="22"/>
          <w:szCs w:val="22"/>
          <w:lang w:val="ru-RU"/>
        </w:rPr>
        <w:t>и</w:t>
      </w:r>
      <w:r w:rsidRPr="00CF046B">
        <w:rPr>
          <w:snapToGrid w:val="0"/>
          <w:kern w:val="22"/>
          <w:szCs w:val="22"/>
          <w:lang w:val="ru-RU"/>
        </w:rPr>
        <w:t xml:space="preserve"> </w:t>
      </w:r>
      <w:r w:rsidRPr="007633FD">
        <w:rPr>
          <w:snapToGrid w:val="0"/>
          <w:kern w:val="22"/>
          <w:szCs w:val="22"/>
          <w:lang w:val="ru-RU"/>
        </w:rPr>
        <w:t>просветительской</w:t>
      </w:r>
      <w:r w:rsidRPr="00CF046B">
        <w:rPr>
          <w:snapToGrid w:val="0"/>
          <w:kern w:val="22"/>
          <w:szCs w:val="22"/>
          <w:lang w:val="ru-RU"/>
        </w:rPr>
        <w:t xml:space="preserve"> </w:t>
      </w:r>
      <w:r w:rsidRPr="007633FD">
        <w:rPr>
          <w:snapToGrid w:val="0"/>
          <w:kern w:val="22"/>
          <w:szCs w:val="22"/>
          <w:lang w:val="ru-RU"/>
        </w:rPr>
        <w:t>деятельности</w:t>
      </w:r>
      <w:r w:rsidRPr="00CF046B">
        <w:rPr>
          <w:snapToGrid w:val="0"/>
          <w:kern w:val="22"/>
          <w:szCs w:val="22"/>
          <w:lang w:val="ru-RU"/>
        </w:rPr>
        <w:t xml:space="preserve"> </w:t>
      </w:r>
      <w:r>
        <w:rPr>
          <w:snapToGrid w:val="0"/>
          <w:kern w:val="22"/>
          <w:szCs w:val="22"/>
          <w:lang w:val="ru-RU"/>
        </w:rPr>
        <w:t>для ежегодных конференций, выставок и веб-сайтов</w:t>
      </w:r>
      <w:r w:rsidR="004569FB" w:rsidRPr="00CF046B">
        <w:rPr>
          <w:snapToGrid w:val="0"/>
          <w:kern w:val="22"/>
          <w:szCs w:val="22"/>
          <w:lang w:val="ru-RU"/>
        </w:rPr>
        <w:t>.</w:t>
      </w:r>
    </w:p>
    <w:p w14:paraId="5F9FCA26" w14:textId="1061771A" w:rsidR="004569FB" w:rsidRPr="00610B8F" w:rsidRDefault="00CF046B"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В</w:t>
      </w:r>
      <w:r w:rsidRPr="006C4E51">
        <w:rPr>
          <w:snapToGrid w:val="0"/>
          <w:kern w:val="22"/>
          <w:szCs w:val="22"/>
          <w:lang w:val="ru-RU"/>
        </w:rPr>
        <w:t xml:space="preserve"> </w:t>
      </w:r>
      <w:r w:rsidR="003F3B25">
        <w:rPr>
          <w:snapToGrid w:val="0"/>
          <w:kern w:val="22"/>
          <w:szCs w:val="22"/>
          <w:lang w:val="ru-RU"/>
        </w:rPr>
        <w:t>о</w:t>
      </w:r>
      <w:r>
        <w:rPr>
          <w:snapToGrid w:val="0"/>
          <w:kern w:val="22"/>
          <w:szCs w:val="22"/>
          <w:lang w:val="ru-RU"/>
        </w:rPr>
        <w:t>бследовании</w:t>
      </w:r>
      <w:r w:rsidRPr="006C4E51">
        <w:rPr>
          <w:snapToGrid w:val="0"/>
          <w:kern w:val="22"/>
          <w:szCs w:val="22"/>
          <w:lang w:val="ru-RU"/>
        </w:rPr>
        <w:t xml:space="preserve"> </w:t>
      </w:r>
      <w:r>
        <w:rPr>
          <w:snapToGrid w:val="0"/>
          <w:kern w:val="22"/>
          <w:szCs w:val="22"/>
          <w:lang w:val="ru-RU"/>
        </w:rPr>
        <w:t>по</w:t>
      </w:r>
      <w:r w:rsidRPr="006C4E51">
        <w:rPr>
          <w:snapToGrid w:val="0"/>
          <w:kern w:val="22"/>
          <w:szCs w:val="22"/>
          <w:lang w:val="ru-RU"/>
        </w:rPr>
        <w:t xml:space="preserve"> </w:t>
      </w:r>
      <w:r>
        <w:rPr>
          <w:snapToGrid w:val="0"/>
          <w:kern w:val="22"/>
          <w:szCs w:val="22"/>
          <w:lang w:val="ru-RU"/>
        </w:rPr>
        <w:t>программе</w:t>
      </w:r>
      <w:r w:rsidRPr="006C4E51">
        <w:rPr>
          <w:snapToGrid w:val="0"/>
          <w:kern w:val="22"/>
          <w:szCs w:val="22"/>
          <w:lang w:val="ru-RU"/>
        </w:rPr>
        <w:t xml:space="preserve"> </w:t>
      </w:r>
      <w:r>
        <w:rPr>
          <w:snapToGrid w:val="0"/>
          <w:kern w:val="22"/>
          <w:szCs w:val="22"/>
          <w:lang w:val="ru-RU"/>
        </w:rPr>
        <w:t>работы</w:t>
      </w:r>
      <w:r w:rsidRPr="006C4E51">
        <w:rPr>
          <w:snapToGrid w:val="0"/>
          <w:kern w:val="22"/>
          <w:szCs w:val="22"/>
          <w:lang w:val="ru-RU"/>
        </w:rPr>
        <w:t xml:space="preserve"> </w:t>
      </w:r>
      <w:r>
        <w:rPr>
          <w:snapToGrid w:val="0"/>
          <w:kern w:val="22"/>
          <w:szCs w:val="22"/>
          <w:lang w:val="ru-RU"/>
        </w:rPr>
        <w:t>некоторые</w:t>
      </w:r>
      <w:r w:rsidRPr="006C4E51">
        <w:rPr>
          <w:snapToGrid w:val="0"/>
          <w:kern w:val="22"/>
          <w:szCs w:val="22"/>
          <w:lang w:val="ru-RU"/>
        </w:rPr>
        <w:t xml:space="preserve"> </w:t>
      </w:r>
      <w:r>
        <w:rPr>
          <w:snapToGrid w:val="0"/>
          <w:kern w:val="22"/>
          <w:szCs w:val="22"/>
          <w:lang w:val="ru-RU"/>
        </w:rPr>
        <w:t>респонденты</w:t>
      </w:r>
      <w:r w:rsidRPr="006C4E51">
        <w:rPr>
          <w:snapToGrid w:val="0"/>
          <w:kern w:val="22"/>
          <w:szCs w:val="22"/>
          <w:lang w:val="ru-RU"/>
        </w:rPr>
        <w:t xml:space="preserve"> </w:t>
      </w:r>
      <w:r>
        <w:rPr>
          <w:snapToGrid w:val="0"/>
          <w:kern w:val="22"/>
          <w:szCs w:val="22"/>
          <w:lang w:val="ru-RU"/>
        </w:rPr>
        <w:t>отметили</w:t>
      </w:r>
      <w:r w:rsidRPr="006C4E51">
        <w:rPr>
          <w:snapToGrid w:val="0"/>
          <w:kern w:val="22"/>
          <w:szCs w:val="22"/>
          <w:lang w:val="ru-RU"/>
        </w:rPr>
        <w:t xml:space="preserve">, </w:t>
      </w:r>
      <w:r>
        <w:rPr>
          <w:snapToGrid w:val="0"/>
          <w:kern w:val="22"/>
          <w:szCs w:val="22"/>
          <w:lang w:val="ru-RU"/>
        </w:rPr>
        <w:t>что</w:t>
      </w:r>
      <w:r w:rsidRPr="006C4E51">
        <w:rPr>
          <w:snapToGrid w:val="0"/>
          <w:kern w:val="22"/>
          <w:szCs w:val="22"/>
          <w:lang w:val="ru-RU"/>
        </w:rPr>
        <w:t xml:space="preserve"> </w:t>
      </w:r>
      <w:r>
        <w:rPr>
          <w:snapToGrid w:val="0"/>
          <w:kern w:val="22"/>
          <w:szCs w:val="22"/>
          <w:lang w:val="ru-RU"/>
        </w:rPr>
        <w:t>были</w:t>
      </w:r>
      <w:r w:rsidRPr="006C4E51">
        <w:rPr>
          <w:snapToGrid w:val="0"/>
          <w:kern w:val="22"/>
          <w:szCs w:val="22"/>
          <w:lang w:val="ru-RU"/>
        </w:rPr>
        <w:t xml:space="preserve"> </w:t>
      </w:r>
      <w:r>
        <w:rPr>
          <w:snapToGrid w:val="0"/>
          <w:kern w:val="22"/>
          <w:szCs w:val="22"/>
          <w:lang w:val="ru-RU"/>
        </w:rPr>
        <w:t>разработаны</w:t>
      </w:r>
      <w:r w:rsidRPr="006C4E51">
        <w:rPr>
          <w:snapToGrid w:val="0"/>
          <w:kern w:val="22"/>
          <w:szCs w:val="22"/>
          <w:lang w:val="ru-RU"/>
        </w:rPr>
        <w:t xml:space="preserve"> </w:t>
      </w:r>
      <w:r w:rsidRPr="007633FD">
        <w:rPr>
          <w:snapToGrid w:val="0"/>
          <w:kern w:val="22"/>
          <w:szCs w:val="22"/>
          <w:lang w:val="ru-RU"/>
        </w:rPr>
        <w:t>программ</w:t>
      </w:r>
      <w:r>
        <w:rPr>
          <w:snapToGrid w:val="0"/>
          <w:kern w:val="22"/>
          <w:szCs w:val="22"/>
          <w:lang w:val="ru-RU"/>
        </w:rPr>
        <w:t>ы</w:t>
      </w:r>
      <w:r w:rsidRPr="006C4E51">
        <w:rPr>
          <w:snapToGrid w:val="0"/>
          <w:kern w:val="22"/>
          <w:szCs w:val="22"/>
          <w:lang w:val="ru-RU"/>
        </w:rPr>
        <w:t xml:space="preserve"> </w:t>
      </w:r>
      <w:r w:rsidRPr="007633FD">
        <w:rPr>
          <w:snapToGrid w:val="0"/>
          <w:kern w:val="22"/>
          <w:szCs w:val="22"/>
          <w:lang w:val="ru-RU"/>
        </w:rPr>
        <w:t>просветительской</w:t>
      </w:r>
      <w:r w:rsidRPr="006C4E51">
        <w:rPr>
          <w:snapToGrid w:val="0"/>
          <w:kern w:val="22"/>
          <w:szCs w:val="22"/>
          <w:lang w:val="ru-RU"/>
        </w:rPr>
        <w:t xml:space="preserve"> </w:t>
      </w:r>
      <w:r w:rsidRPr="007633FD">
        <w:rPr>
          <w:snapToGrid w:val="0"/>
          <w:kern w:val="22"/>
          <w:szCs w:val="22"/>
          <w:lang w:val="ru-RU"/>
        </w:rPr>
        <w:t>деятельности</w:t>
      </w:r>
      <w:r w:rsidR="004569FB" w:rsidRPr="006C4E51">
        <w:rPr>
          <w:snapToGrid w:val="0"/>
          <w:kern w:val="22"/>
          <w:szCs w:val="22"/>
          <w:lang w:val="ru-RU"/>
        </w:rPr>
        <w:t xml:space="preserve"> </w:t>
      </w:r>
      <w:r w:rsidR="006C4E51">
        <w:rPr>
          <w:snapToGrid w:val="0"/>
          <w:kern w:val="22"/>
          <w:szCs w:val="22"/>
          <w:lang w:val="ru-RU"/>
        </w:rPr>
        <w:t>в</w:t>
      </w:r>
      <w:r w:rsidR="006C4E51" w:rsidRPr="006C4E51">
        <w:rPr>
          <w:snapToGrid w:val="0"/>
          <w:kern w:val="22"/>
          <w:szCs w:val="22"/>
          <w:lang w:val="ru-RU"/>
        </w:rPr>
        <w:t xml:space="preserve"> </w:t>
      </w:r>
      <w:r w:rsidR="006C4E51">
        <w:rPr>
          <w:snapToGrid w:val="0"/>
          <w:kern w:val="22"/>
          <w:szCs w:val="22"/>
          <w:lang w:val="ru-RU"/>
        </w:rPr>
        <w:t>рамках</w:t>
      </w:r>
      <w:r w:rsidR="006C4E51" w:rsidRPr="006C4E51">
        <w:rPr>
          <w:snapToGrid w:val="0"/>
          <w:kern w:val="22"/>
          <w:szCs w:val="22"/>
          <w:lang w:val="ru-RU"/>
        </w:rPr>
        <w:t xml:space="preserve"> </w:t>
      </w:r>
      <w:r w:rsidR="006C4E51">
        <w:rPr>
          <w:snapToGrid w:val="0"/>
          <w:kern w:val="22"/>
          <w:szCs w:val="22"/>
          <w:lang w:val="ru-RU"/>
        </w:rPr>
        <w:t>министерства</w:t>
      </w:r>
      <w:r w:rsidR="00610B8F">
        <w:rPr>
          <w:snapToGrid w:val="0"/>
          <w:kern w:val="22"/>
          <w:szCs w:val="22"/>
          <w:lang w:val="ru-RU"/>
        </w:rPr>
        <w:t>, а также</w:t>
      </w:r>
      <w:r w:rsidR="006C4E51" w:rsidRPr="006C4E51">
        <w:rPr>
          <w:snapToGrid w:val="0"/>
          <w:kern w:val="22"/>
          <w:szCs w:val="22"/>
          <w:lang w:val="ru-RU"/>
        </w:rPr>
        <w:t xml:space="preserve"> </w:t>
      </w:r>
      <w:r w:rsidR="006C4E51">
        <w:rPr>
          <w:snapToGrid w:val="0"/>
          <w:kern w:val="22"/>
          <w:szCs w:val="22"/>
          <w:lang w:val="ru-RU"/>
        </w:rPr>
        <w:t>что</w:t>
      </w:r>
      <w:r w:rsidR="006C4E51" w:rsidRPr="006C4E51">
        <w:rPr>
          <w:snapToGrid w:val="0"/>
          <w:kern w:val="22"/>
          <w:szCs w:val="22"/>
          <w:lang w:val="ru-RU"/>
        </w:rPr>
        <w:t xml:space="preserve"> </w:t>
      </w:r>
      <w:r w:rsidR="006C4E51">
        <w:rPr>
          <w:snapToGrid w:val="0"/>
          <w:kern w:val="22"/>
          <w:szCs w:val="22"/>
          <w:lang w:val="ru-RU"/>
        </w:rPr>
        <w:t>были</w:t>
      </w:r>
      <w:r w:rsidR="006C4E51" w:rsidRPr="006C4E51">
        <w:rPr>
          <w:snapToGrid w:val="0"/>
          <w:kern w:val="22"/>
          <w:szCs w:val="22"/>
          <w:lang w:val="ru-RU"/>
        </w:rPr>
        <w:t xml:space="preserve"> </w:t>
      </w:r>
      <w:r w:rsidR="006C4E51">
        <w:rPr>
          <w:snapToGrid w:val="0"/>
          <w:kern w:val="22"/>
          <w:szCs w:val="22"/>
          <w:lang w:val="ru-RU"/>
        </w:rPr>
        <w:t>разработаны</w:t>
      </w:r>
      <w:r w:rsidR="006C4E51" w:rsidRPr="006C4E51">
        <w:rPr>
          <w:snapToGrid w:val="0"/>
          <w:kern w:val="22"/>
          <w:szCs w:val="22"/>
          <w:lang w:val="ru-RU"/>
        </w:rPr>
        <w:t xml:space="preserve"> </w:t>
      </w:r>
      <w:r w:rsidR="006C4E51">
        <w:rPr>
          <w:snapToGrid w:val="0"/>
          <w:kern w:val="22"/>
          <w:szCs w:val="22"/>
          <w:lang w:val="ru-RU"/>
        </w:rPr>
        <w:t xml:space="preserve">другие </w:t>
      </w:r>
      <w:r w:rsidR="006C4E51" w:rsidRPr="007633FD">
        <w:rPr>
          <w:snapToGrid w:val="0"/>
          <w:kern w:val="22"/>
          <w:szCs w:val="22"/>
          <w:lang w:val="ru-RU"/>
        </w:rPr>
        <w:t>программ</w:t>
      </w:r>
      <w:r w:rsidR="006C4E51">
        <w:rPr>
          <w:snapToGrid w:val="0"/>
          <w:kern w:val="22"/>
          <w:szCs w:val="22"/>
          <w:lang w:val="ru-RU"/>
        </w:rPr>
        <w:t>ы</w:t>
      </w:r>
      <w:r w:rsidR="006C4E51" w:rsidRPr="006C4E51">
        <w:rPr>
          <w:snapToGrid w:val="0"/>
          <w:kern w:val="22"/>
          <w:szCs w:val="22"/>
          <w:lang w:val="ru-RU"/>
        </w:rPr>
        <w:t xml:space="preserve"> </w:t>
      </w:r>
      <w:r w:rsidR="006C4E51" w:rsidRPr="007633FD">
        <w:rPr>
          <w:snapToGrid w:val="0"/>
          <w:kern w:val="22"/>
          <w:szCs w:val="22"/>
          <w:lang w:val="ru-RU"/>
        </w:rPr>
        <w:t>просветительской</w:t>
      </w:r>
      <w:r w:rsidR="006C4E51" w:rsidRPr="006C4E51">
        <w:rPr>
          <w:snapToGrid w:val="0"/>
          <w:kern w:val="22"/>
          <w:szCs w:val="22"/>
          <w:lang w:val="ru-RU"/>
        </w:rPr>
        <w:t xml:space="preserve"> </w:t>
      </w:r>
      <w:r w:rsidR="006C4E51" w:rsidRPr="007633FD">
        <w:rPr>
          <w:snapToGrid w:val="0"/>
          <w:kern w:val="22"/>
          <w:szCs w:val="22"/>
          <w:lang w:val="ru-RU"/>
        </w:rPr>
        <w:t>деятельности</w:t>
      </w:r>
      <w:r w:rsidR="006C4E51">
        <w:rPr>
          <w:snapToGrid w:val="0"/>
          <w:kern w:val="22"/>
          <w:szCs w:val="22"/>
          <w:lang w:val="ru-RU"/>
        </w:rPr>
        <w:t xml:space="preserve"> по вопросам, связанным с коммуникацией и СМИ, для</w:t>
      </w:r>
      <w:r w:rsidR="00610B8F">
        <w:rPr>
          <w:snapToGrid w:val="0"/>
          <w:kern w:val="22"/>
          <w:szCs w:val="22"/>
          <w:lang w:val="ru-RU"/>
        </w:rPr>
        <w:t xml:space="preserve"> содействия повышению осведомленности в области биобезопасности</w:t>
      </w:r>
      <w:r w:rsidR="004569FB" w:rsidRPr="006C4E51">
        <w:rPr>
          <w:snapToGrid w:val="0"/>
          <w:kern w:val="22"/>
          <w:szCs w:val="22"/>
          <w:lang w:val="ru-RU"/>
        </w:rPr>
        <w:t xml:space="preserve">. </w:t>
      </w:r>
      <w:r w:rsidR="00610B8F">
        <w:rPr>
          <w:snapToGrid w:val="0"/>
          <w:kern w:val="22"/>
          <w:szCs w:val="22"/>
          <w:lang w:val="ru-RU"/>
        </w:rPr>
        <w:t>Некоторые</w:t>
      </w:r>
      <w:r w:rsidR="00610B8F" w:rsidRPr="00610B8F">
        <w:rPr>
          <w:snapToGrid w:val="0"/>
          <w:kern w:val="22"/>
          <w:szCs w:val="22"/>
          <w:lang w:val="ru-RU"/>
        </w:rPr>
        <w:t xml:space="preserve"> </w:t>
      </w:r>
      <w:r w:rsidR="00610B8F">
        <w:rPr>
          <w:snapToGrid w:val="0"/>
          <w:kern w:val="22"/>
          <w:szCs w:val="22"/>
          <w:lang w:val="ru-RU"/>
        </w:rPr>
        <w:t>респонденты</w:t>
      </w:r>
      <w:r w:rsidR="00610B8F" w:rsidRPr="00610B8F">
        <w:rPr>
          <w:snapToGrid w:val="0"/>
          <w:kern w:val="22"/>
          <w:szCs w:val="22"/>
          <w:lang w:val="ru-RU"/>
        </w:rPr>
        <w:t xml:space="preserve"> </w:t>
      </w:r>
      <w:r w:rsidR="00610B8F">
        <w:rPr>
          <w:snapToGrid w:val="0"/>
          <w:kern w:val="22"/>
          <w:szCs w:val="22"/>
          <w:lang w:val="ru-RU"/>
        </w:rPr>
        <w:t>отметили</w:t>
      </w:r>
      <w:r w:rsidR="00610B8F" w:rsidRPr="00610B8F">
        <w:rPr>
          <w:snapToGrid w:val="0"/>
          <w:kern w:val="22"/>
          <w:szCs w:val="22"/>
          <w:lang w:val="ru-RU"/>
        </w:rPr>
        <w:t xml:space="preserve">, </w:t>
      </w:r>
      <w:r w:rsidR="00610B8F">
        <w:rPr>
          <w:snapToGrid w:val="0"/>
          <w:kern w:val="22"/>
          <w:szCs w:val="22"/>
          <w:lang w:val="ru-RU"/>
        </w:rPr>
        <w:t>что</w:t>
      </w:r>
      <w:r w:rsidR="00610B8F" w:rsidRPr="00610B8F">
        <w:rPr>
          <w:snapToGrid w:val="0"/>
          <w:kern w:val="22"/>
          <w:szCs w:val="22"/>
          <w:lang w:val="ru-RU"/>
        </w:rPr>
        <w:t xml:space="preserve"> </w:t>
      </w:r>
      <w:r w:rsidR="00610B8F">
        <w:rPr>
          <w:snapToGrid w:val="0"/>
          <w:kern w:val="22"/>
          <w:szCs w:val="22"/>
          <w:lang w:val="ru-RU"/>
        </w:rPr>
        <w:t>были</w:t>
      </w:r>
      <w:r w:rsidR="00610B8F" w:rsidRPr="00610B8F">
        <w:rPr>
          <w:snapToGrid w:val="0"/>
          <w:kern w:val="22"/>
          <w:szCs w:val="22"/>
          <w:lang w:val="ru-RU"/>
        </w:rPr>
        <w:t xml:space="preserve"> </w:t>
      </w:r>
      <w:r w:rsidR="00610B8F">
        <w:rPr>
          <w:snapToGrid w:val="0"/>
          <w:kern w:val="22"/>
          <w:szCs w:val="22"/>
          <w:lang w:val="ru-RU"/>
        </w:rPr>
        <w:t>разработаны</w:t>
      </w:r>
      <w:r w:rsidR="00610B8F" w:rsidRPr="00610B8F">
        <w:rPr>
          <w:snapToGrid w:val="0"/>
          <w:kern w:val="22"/>
          <w:szCs w:val="22"/>
          <w:lang w:val="ru-RU"/>
        </w:rPr>
        <w:t xml:space="preserve"> </w:t>
      </w:r>
      <w:r w:rsidR="00610B8F">
        <w:rPr>
          <w:snapToGrid w:val="0"/>
          <w:kern w:val="22"/>
          <w:szCs w:val="22"/>
          <w:lang w:val="ru-RU"/>
        </w:rPr>
        <w:t>программы</w:t>
      </w:r>
      <w:r w:rsidR="00610B8F" w:rsidRPr="00610B8F">
        <w:rPr>
          <w:snapToGrid w:val="0"/>
          <w:kern w:val="22"/>
          <w:szCs w:val="22"/>
          <w:lang w:val="ru-RU"/>
        </w:rPr>
        <w:t xml:space="preserve"> </w:t>
      </w:r>
      <w:r w:rsidR="00610B8F" w:rsidRPr="007633FD">
        <w:rPr>
          <w:snapToGrid w:val="0"/>
          <w:kern w:val="22"/>
          <w:szCs w:val="22"/>
          <w:lang w:val="ru-RU"/>
        </w:rPr>
        <w:t>повышения</w:t>
      </w:r>
      <w:r w:rsidR="00610B8F" w:rsidRPr="00610B8F">
        <w:rPr>
          <w:snapToGrid w:val="0"/>
          <w:kern w:val="22"/>
          <w:szCs w:val="22"/>
          <w:lang w:val="ru-RU"/>
        </w:rPr>
        <w:t xml:space="preserve"> </w:t>
      </w:r>
      <w:r w:rsidR="00610B8F" w:rsidRPr="007633FD">
        <w:rPr>
          <w:snapToGrid w:val="0"/>
          <w:kern w:val="22"/>
          <w:szCs w:val="22"/>
          <w:lang w:val="ru-RU"/>
        </w:rPr>
        <w:t>осведомленности</w:t>
      </w:r>
      <w:r w:rsidR="00610B8F" w:rsidRPr="00610B8F">
        <w:rPr>
          <w:snapToGrid w:val="0"/>
          <w:kern w:val="22"/>
          <w:szCs w:val="22"/>
          <w:lang w:val="ru-RU"/>
        </w:rPr>
        <w:t xml:space="preserve"> </w:t>
      </w:r>
      <w:r w:rsidR="00610B8F">
        <w:rPr>
          <w:snapToGrid w:val="0"/>
          <w:kern w:val="22"/>
          <w:szCs w:val="22"/>
          <w:lang w:val="ru-RU"/>
        </w:rPr>
        <w:t>в</w:t>
      </w:r>
      <w:r w:rsidR="00610B8F" w:rsidRPr="00610B8F">
        <w:rPr>
          <w:snapToGrid w:val="0"/>
          <w:kern w:val="22"/>
          <w:szCs w:val="22"/>
          <w:lang w:val="ru-RU"/>
        </w:rPr>
        <w:t xml:space="preserve"> </w:t>
      </w:r>
      <w:r w:rsidR="00610B8F">
        <w:rPr>
          <w:snapToGrid w:val="0"/>
          <w:kern w:val="22"/>
          <w:szCs w:val="22"/>
          <w:lang w:val="ru-RU"/>
        </w:rPr>
        <w:t xml:space="preserve">сотрудничестве, например, с </w:t>
      </w:r>
      <w:r w:rsidR="00D81C27">
        <w:rPr>
          <w:snapToGrid w:val="0"/>
          <w:kern w:val="22"/>
          <w:szCs w:val="22"/>
          <w:lang w:val="ru-RU"/>
        </w:rPr>
        <w:t>неправительственными организациями</w:t>
      </w:r>
      <w:r w:rsidR="00610B8F">
        <w:rPr>
          <w:snapToGrid w:val="0"/>
          <w:kern w:val="22"/>
          <w:szCs w:val="22"/>
          <w:lang w:val="ru-RU"/>
        </w:rPr>
        <w:t xml:space="preserve">, </w:t>
      </w:r>
      <w:r w:rsidR="00610B8F">
        <w:rPr>
          <w:snapToGrid w:val="0"/>
          <w:kern w:val="22"/>
          <w:szCs w:val="22"/>
          <w:lang w:val="ru-RU"/>
        </w:rPr>
        <w:lastRenderedPageBreak/>
        <w:t>Африканским союзом,</w:t>
      </w:r>
      <w:r w:rsidR="002A7CEC">
        <w:rPr>
          <w:snapToGrid w:val="0"/>
          <w:kern w:val="22"/>
          <w:szCs w:val="22"/>
          <w:lang w:val="ru-RU"/>
        </w:rPr>
        <w:t xml:space="preserve"> в рамках </w:t>
      </w:r>
      <w:proofErr w:type="spellStart"/>
      <w:r w:rsidR="002A7CEC">
        <w:rPr>
          <w:snapToGrid w:val="0"/>
          <w:kern w:val="22"/>
          <w:szCs w:val="22"/>
          <w:lang w:val="ru-RU"/>
        </w:rPr>
        <w:t>межучрежденческого</w:t>
      </w:r>
      <w:proofErr w:type="spellEnd"/>
      <w:r w:rsidR="002A7CEC">
        <w:rPr>
          <w:snapToGrid w:val="0"/>
          <w:kern w:val="22"/>
          <w:szCs w:val="22"/>
          <w:lang w:val="ru-RU"/>
        </w:rPr>
        <w:t xml:space="preserve"> сотрудничества,</w:t>
      </w:r>
      <w:r w:rsidR="00610B8F" w:rsidRPr="00610B8F">
        <w:rPr>
          <w:snapToGrid w:val="0"/>
          <w:kern w:val="22"/>
          <w:szCs w:val="22"/>
          <w:lang w:val="ru-RU"/>
        </w:rPr>
        <w:t xml:space="preserve"> </w:t>
      </w:r>
      <w:proofErr w:type="spellStart"/>
      <w:r w:rsidR="002A7CEC">
        <w:rPr>
          <w:snapToGrid w:val="0"/>
          <w:kern w:val="22"/>
          <w:szCs w:val="22"/>
          <w:lang w:val="ru-RU"/>
        </w:rPr>
        <w:t>ФАО</w:t>
      </w:r>
      <w:proofErr w:type="spellEnd"/>
      <w:r w:rsidR="002A7CEC">
        <w:rPr>
          <w:snapToGrid w:val="0"/>
          <w:kern w:val="22"/>
          <w:szCs w:val="22"/>
          <w:lang w:val="ru-RU"/>
        </w:rPr>
        <w:t>, СМИ, библиотеками и сетями</w:t>
      </w:r>
      <w:r w:rsidR="004569FB" w:rsidRPr="00610B8F">
        <w:rPr>
          <w:snapToGrid w:val="0"/>
          <w:kern w:val="22"/>
          <w:szCs w:val="22"/>
          <w:lang w:val="ru-RU"/>
        </w:rPr>
        <w:t>.</w:t>
      </w:r>
    </w:p>
    <w:p w14:paraId="101AF152" w14:textId="1F345B4C" w:rsidR="004569FB" w:rsidRPr="007B5B1F" w:rsidRDefault="002A7CEC"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Pr>
          <w:snapToGrid w:val="0"/>
          <w:kern w:val="22"/>
          <w:szCs w:val="22"/>
          <w:lang w:val="ru-RU"/>
        </w:rPr>
        <w:t>В</w:t>
      </w:r>
      <w:r w:rsidRPr="002A7CEC">
        <w:rPr>
          <w:snapToGrid w:val="0"/>
          <w:kern w:val="22"/>
          <w:szCs w:val="22"/>
          <w:lang w:val="ru-RU"/>
        </w:rPr>
        <w:t xml:space="preserve"> </w:t>
      </w:r>
      <w:r>
        <w:rPr>
          <w:snapToGrid w:val="0"/>
          <w:kern w:val="22"/>
          <w:szCs w:val="22"/>
          <w:lang w:val="ru-RU"/>
        </w:rPr>
        <w:t>отношении</w:t>
      </w:r>
      <w:r w:rsidR="004569FB" w:rsidRPr="002A7CEC">
        <w:rPr>
          <w:snapToGrid w:val="0"/>
          <w:kern w:val="22"/>
          <w:szCs w:val="22"/>
          <w:lang w:val="ru-RU"/>
        </w:rPr>
        <w:t xml:space="preserve"> </w:t>
      </w:r>
      <w:r>
        <w:rPr>
          <w:b/>
          <w:snapToGrid w:val="0"/>
          <w:kern w:val="22"/>
          <w:szCs w:val="22"/>
          <w:lang w:val="ru-RU"/>
        </w:rPr>
        <w:t>индикатора</w:t>
      </w:r>
      <w:r w:rsidR="004569FB" w:rsidRPr="002A7CEC">
        <w:rPr>
          <w:b/>
          <w:snapToGrid w:val="0"/>
          <w:kern w:val="22"/>
          <w:szCs w:val="22"/>
          <w:lang w:val="ru-RU"/>
        </w:rPr>
        <w:t xml:space="preserve"> 5.3.3</w:t>
      </w:r>
      <w:r w:rsidR="004569FB" w:rsidRPr="002A7CEC">
        <w:rPr>
          <w:snapToGrid w:val="0"/>
          <w:kern w:val="22"/>
          <w:szCs w:val="22"/>
          <w:lang w:val="ru-RU"/>
        </w:rPr>
        <w:t xml:space="preserve"> </w:t>
      </w:r>
      <w:r w:rsidR="004569FB" w:rsidRPr="002A7CEC">
        <w:rPr>
          <w:iCs/>
          <w:snapToGrid w:val="0"/>
          <w:kern w:val="22"/>
          <w:szCs w:val="22"/>
          <w:lang w:val="ru-RU"/>
        </w:rPr>
        <w:t>(</w:t>
      </w:r>
      <w:r>
        <w:rPr>
          <w:iCs/>
          <w:snapToGrid w:val="0"/>
          <w:kern w:val="22"/>
          <w:szCs w:val="22"/>
          <w:lang w:val="ru-RU"/>
        </w:rPr>
        <w:t>п</w:t>
      </w:r>
      <w:r w:rsidRPr="002A7CEC">
        <w:rPr>
          <w:iCs/>
          <w:snapToGrid w:val="0"/>
          <w:kern w:val="22"/>
          <w:szCs w:val="22"/>
          <w:lang w:val="ru-RU"/>
        </w:rPr>
        <w:t xml:space="preserve">роцентная доля Сторон, располагающих </w:t>
      </w:r>
      <w:proofErr w:type="gramStart"/>
      <w:r w:rsidRPr="002A7CEC">
        <w:rPr>
          <w:iCs/>
          <w:snapToGrid w:val="0"/>
          <w:kern w:val="22"/>
          <w:szCs w:val="22"/>
          <w:lang w:val="ru-RU"/>
        </w:rPr>
        <w:t>национальными</w:t>
      </w:r>
      <w:proofErr w:type="gramEnd"/>
      <w:r w:rsidRPr="002A7CEC">
        <w:rPr>
          <w:iCs/>
          <w:snapToGrid w:val="0"/>
          <w:kern w:val="22"/>
          <w:szCs w:val="22"/>
          <w:lang w:val="ru-RU"/>
        </w:rPr>
        <w:t xml:space="preserve"> веб-сайтами по биобезопасности, включая национальные узлы </w:t>
      </w:r>
      <w:proofErr w:type="spellStart"/>
      <w:r w:rsidRPr="002A7CEC">
        <w:rPr>
          <w:iCs/>
          <w:snapToGrid w:val="0"/>
          <w:kern w:val="22"/>
          <w:szCs w:val="22"/>
          <w:lang w:val="ru-RU"/>
        </w:rPr>
        <w:t>МПБ</w:t>
      </w:r>
      <w:proofErr w:type="spellEnd"/>
      <w:r w:rsidRPr="002A7CEC">
        <w:rPr>
          <w:iCs/>
          <w:snapToGrid w:val="0"/>
          <w:kern w:val="22"/>
          <w:szCs w:val="22"/>
          <w:lang w:val="ru-RU"/>
        </w:rPr>
        <w:t>, доступными и обеспечивающими возможности поиска для общественности</w:t>
      </w:r>
      <w:r>
        <w:rPr>
          <w:iCs/>
          <w:snapToGrid w:val="0"/>
          <w:kern w:val="22"/>
          <w:szCs w:val="22"/>
          <w:lang w:val="ru-RU"/>
        </w:rPr>
        <w:t>)</w:t>
      </w:r>
      <w:r w:rsidR="004569FB" w:rsidRPr="002A7CEC">
        <w:rPr>
          <w:iCs/>
          <w:snapToGrid w:val="0"/>
          <w:kern w:val="22"/>
          <w:szCs w:val="22"/>
          <w:lang w:val="ru-RU"/>
        </w:rPr>
        <w:t xml:space="preserve"> </w:t>
      </w:r>
      <w:bookmarkStart w:id="38" w:name="_Hlk33717515"/>
      <w:r w:rsidR="004569FB" w:rsidRPr="002A7CEC">
        <w:rPr>
          <w:iCs/>
          <w:snapToGrid w:val="0"/>
          <w:kern w:val="22"/>
          <w:szCs w:val="22"/>
          <w:lang w:val="ru-RU"/>
        </w:rPr>
        <w:t>68</w:t>
      </w:r>
      <w:r w:rsidR="007B5B1F">
        <w:rPr>
          <w:iCs/>
          <w:snapToGrid w:val="0"/>
          <w:kern w:val="22"/>
          <w:szCs w:val="22"/>
          <w:lang w:val="ru-RU"/>
        </w:rPr>
        <w:t> </w:t>
      </w:r>
      <w:r w:rsidR="004569FB" w:rsidRPr="002A7CEC">
        <w:rPr>
          <w:iCs/>
          <w:snapToGrid w:val="0"/>
          <w:kern w:val="22"/>
          <w:szCs w:val="22"/>
          <w:lang w:val="ru-RU"/>
        </w:rPr>
        <w:t xml:space="preserve">% </w:t>
      </w:r>
      <w:r w:rsidR="007B5B1F">
        <w:rPr>
          <w:iCs/>
          <w:snapToGrid w:val="0"/>
          <w:kern w:val="22"/>
          <w:szCs w:val="22"/>
          <w:lang w:val="ru-RU"/>
        </w:rPr>
        <w:t xml:space="preserve">Сторон </w:t>
      </w:r>
      <w:r w:rsidR="00FE2BCE" w:rsidRPr="002A7CEC">
        <w:rPr>
          <w:iCs/>
          <w:snapToGrid w:val="0"/>
          <w:kern w:val="22"/>
          <w:szCs w:val="22"/>
          <w:lang w:val="ru-RU"/>
        </w:rPr>
        <w:t xml:space="preserve">(63 </w:t>
      </w:r>
      <w:r w:rsidR="007B5B1F">
        <w:rPr>
          <w:iCs/>
          <w:snapToGrid w:val="0"/>
          <w:kern w:val="22"/>
          <w:szCs w:val="22"/>
          <w:lang w:val="ru-RU"/>
        </w:rPr>
        <w:t>Стороны</w:t>
      </w:r>
      <w:r w:rsidR="00FE2BCE" w:rsidRPr="002A7CEC">
        <w:rPr>
          <w:iCs/>
          <w:snapToGrid w:val="0"/>
          <w:kern w:val="22"/>
          <w:szCs w:val="22"/>
          <w:lang w:val="ru-RU"/>
        </w:rPr>
        <w:t xml:space="preserve">) </w:t>
      </w:r>
      <w:r w:rsidR="007B5B1F">
        <w:rPr>
          <w:iCs/>
          <w:snapToGrid w:val="0"/>
          <w:kern w:val="22"/>
          <w:szCs w:val="22"/>
          <w:lang w:val="ru-RU"/>
        </w:rPr>
        <w:t xml:space="preserve">сообщили о наличии </w:t>
      </w:r>
      <w:r w:rsidR="007B5B1F" w:rsidRPr="002A7CEC">
        <w:rPr>
          <w:iCs/>
          <w:snapToGrid w:val="0"/>
          <w:kern w:val="22"/>
          <w:szCs w:val="22"/>
          <w:lang w:val="ru-RU"/>
        </w:rPr>
        <w:t>национальн</w:t>
      </w:r>
      <w:r w:rsidR="007B5B1F">
        <w:rPr>
          <w:iCs/>
          <w:snapToGrid w:val="0"/>
          <w:kern w:val="22"/>
          <w:szCs w:val="22"/>
          <w:lang w:val="ru-RU"/>
        </w:rPr>
        <w:t>ого веб-сайта</w:t>
      </w:r>
      <w:r w:rsidR="007B5B1F" w:rsidRPr="002A7CEC">
        <w:rPr>
          <w:iCs/>
          <w:snapToGrid w:val="0"/>
          <w:kern w:val="22"/>
          <w:szCs w:val="22"/>
          <w:lang w:val="ru-RU"/>
        </w:rPr>
        <w:t xml:space="preserve"> по биобезопасности</w:t>
      </w:r>
      <w:r w:rsidR="007B5B1F">
        <w:rPr>
          <w:iCs/>
          <w:snapToGrid w:val="0"/>
          <w:kern w:val="22"/>
          <w:szCs w:val="22"/>
          <w:lang w:val="ru-RU"/>
        </w:rPr>
        <w:t>, что соответствует минимальному увеличению</w:t>
      </w:r>
      <w:r w:rsidR="004569FB" w:rsidRPr="002A7CEC">
        <w:rPr>
          <w:iCs/>
          <w:snapToGrid w:val="0"/>
          <w:kern w:val="22"/>
          <w:szCs w:val="22"/>
          <w:lang w:val="ru-RU"/>
        </w:rPr>
        <w:t xml:space="preserve"> </w:t>
      </w:r>
      <w:r w:rsidR="007B5B1F">
        <w:rPr>
          <w:iCs/>
          <w:snapToGrid w:val="0"/>
          <w:kern w:val="22"/>
          <w:szCs w:val="22"/>
          <w:lang w:val="ru-RU"/>
        </w:rPr>
        <w:t xml:space="preserve">на </w:t>
      </w:r>
      <w:r w:rsidR="004569FB" w:rsidRPr="002A7CEC">
        <w:rPr>
          <w:iCs/>
          <w:snapToGrid w:val="0"/>
          <w:kern w:val="22"/>
          <w:szCs w:val="22"/>
          <w:lang w:val="ru-RU"/>
        </w:rPr>
        <w:t>1</w:t>
      </w:r>
      <w:r w:rsidR="007B5B1F">
        <w:rPr>
          <w:iCs/>
          <w:snapToGrid w:val="0"/>
          <w:kern w:val="22"/>
          <w:szCs w:val="22"/>
          <w:lang w:val="ru-RU"/>
        </w:rPr>
        <w:t> </w:t>
      </w:r>
      <w:r w:rsidR="004569FB" w:rsidRPr="002A7CEC">
        <w:rPr>
          <w:iCs/>
          <w:snapToGrid w:val="0"/>
          <w:kern w:val="22"/>
          <w:szCs w:val="22"/>
          <w:lang w:val="ru-RU"/>
        </w:rPr>
        <w:t xml:space="preserve">% </w:t>
      </w:r>
      <w:r w:rsidR="007B5B1F" w:rsidRPr="00CF046B">
        <w:rPr>
          <w:snapToGrid w:val="0"/>
          <w:kern w:val="22"/>
          <w:szCs w:val="22"/>
          <w:lang w:val="ru-RU"/>
        </w:rPr>
        <w:t>по сравнению с исходным уровнем</w:t>
      </w:r>
      <w:r w:rsidR="004569FB" w:rsidRPr="002A7CEC">
        <w:rPr>
          <w:iCs/>
          <w:snapToGrid w:val="0"/>
          <w:kern w:val="22"/>
          <w:szCs w:val="22"/>
          <w:lang w:val="ru-RU"/>
        </w:rPr>
        <w:t xml:space="preserve">. </w:t>
      </w:r>
      <w:bookmarkEnd w:id="38"/>
      <w:r w:rsidR="007B5B1F">
        <w:rPr>
          <w:iCs/>
          <w:snapToGrid w:val="0"/>
          <w:kern w:val="22"/>
          <w:szCs w:val="22"/>
          <w:lang w:val="ru-RU"/>
        </w:rPr>
        <w:t>На</w:t>
      </w:r>
      <w:r w:rsidR="007B5B1F" w:rsidRPr="007B5B1F">
        <w:rPr>
          <w:iCs/>
          <w:snapToGrid w:val="0"/>
          <w:kern w:val="22"/>
          <w:szCs w:val="22"/>
          <w:lang w:val="ru-RU"/>
        </w:rPr>
        <w:t xml:space="preserve"> </w:t>
      </w:r>
      <w:r w:rsidR="007B5B1F">
        <w:rPr>
          <w:iCs/>
          <w:snapToGrid w:val="0"/>
          <w:kern w:val="22"/>
          <w:szCs w:val="22"/>
          <w:lang w:val="ru-RU"/>
        </w:rPr>
        <w:t>региональном</w:t>
      </w:r>
      <w:r w:rsidR="007B5B1F" w:rsidRPr="007B5B1F">
        <w:rPr>
          <w:iCs/>
          <w:snapToGrid w:val="0"/>
          <w:kern w:val="22"/>
          <w:szCs w:val="22"/>
          <w:lang w:val="ru-RU"/>
        </w:rPr>
        <w:t xml:space="preserve"> </w:t>
      </w:r>
      <w:r w:rsidR="007B5B1F">
        <w:rPr>
          <w:iCs/>
          <w:snapToGrid w:val="0"/>
          <w:kern w:val="22"/>
          <w:szCs w:val="22"/>
          <w:lang w:val="ru-RU"/>
        </w:rPr>
        <w:t>уровне</w:t>
      </w:r>
      <w:r w:rsidR="007B5B1F" w:rsidRPr="007B5B1F">
        <w:rPr>
          <w:iCs/>
          <w:snapToGrid w:val="0"/>
          <w:kern w:val="22"/>
          <w:szCs w:val="22"/>
          <w:lang w:val="ru-RU"/>
        </w:rPr>
        <w:t xml:space="preserve"> </w:t>
      </w:r>
      <w:r w:rsidR="007B5B1F">
        <w:rPr>
          <w:iCs/>
          <w:snapToGrid w:val="0"/>
          <w:kern w:val="22"/>
          <w:szCs w:val="22"/>
          <w:lang w:val="ru-RU"/>
        </w:rPr>
        <w:t>было</w:t>
      </w:r>
      <w:r w:rsidR="007B5B1F" w:rsidRPr="007B5B1F">
        <w:rPr>
          <w:iCs/>
          <w:snapToGrid w:val="0"/>
          <w:kern w:val="22"/>
          <w:szCs w:val="22"/>
          <w:lang w:val="ru-RU"/>
        </w:rPr>
        <w:t xml:space="preserve"> </w:t>
      </w:r>
      <w:r w:rsidR="007B5B1F">
        <w:rPr>
          <w:iCs/>
          <w:snapToGrid w:val="0"/>
          <w:kern w:val="22"/>
          <w:szCs w:val="22"/>
          <w:lang w:val="ru-RU"/>
        </w:rPr>
        <w:t>сообщено</w:t>
      </w:r>
      <w:r w:rsidR="007B5B1F" w:rsidRPr="007B5B1F">
        <w:rPr>
          <w:iCs/>
          <w:snapToGrid w:val="0"/>
          <w:kern w:val="22"/>
          <w:szCs w:val="22"/>
          <w:lang w:val="ru-RU"/>
        </w:rPr>
        <w:t xml:space="preserve"> </w:t>
      </w:r>
      <w:r w:rsidR="007B5B1F">
        <w:rPr>
          <w:iCs/>
          <w:snapToGrid w:val="0"/>
          <w:kern w:val="22"/>
          <w:szCs w:val="22"/>
          <w:lang w:val="ru-RU"/>
        </w:rPr>
        <w:t>об</w:t>
      </w:r>
      <w:r w:rsidR="007B5B1F" w:rsidRPr="007B5B1F">
        <w:rPr>
          <w:iCs/>
          <w:snapToGrid w:val="0"/>
          <w:kern w:val="22"/>
          <w:szCs w:val="22"/>
          <w:lang w:val="ru-RU"/>
        </w:rPr>
        <w:t xml:space="preserve"> </w:t>
      </w:r>
      <w:r w:rsidR="007B5B1F">
        <w:rPr>
          <w:iCs/>
          <w:snapToGrid w:val="0"/>
          <w:kern w:val="22"/>
          <w:szCs w:val="22"/>
          <w:lang w:val="ru-RU"/>
        </w:rPr>
        <w:t>увеличении</w:t>
      </w:r>
      <w:r w:rsidR="007B5B1F" w:rsidRPr="007B5B1F">
        <w:rPr>
          <w:iCs/>
          <w:snapToGrid w:val="0"/>
          <w:kern w:val="22"/>
          <w:szCs w:val="22"/>
          <w:lang w:val="ru-RU"/>
        </w:rPr>
        <w:t xml:space="preserve"> </w:t>
      </w:r>
      <w:r w:rsidR="007B5B1F">
        <w:rPr>
          <w:iCs/>
          <w:snapToGrid w:val="0"/>
          <w:kern w:val="22"/>
          <w:szCs w:val="22"/>
          <w:lang w:val="ru-RU"/>
        </w:rPr>
        <w:t>в</w:t>
      </w:r>
      <w:r w:rsidR="007B5B1F" w:rsidRPr="007B5B1F">
        <w:rPr>
          <w:iCs/>
          <w:snapToGrid w:val="0"/>
          <w:kern w:val="22"/>
          <w:szCs w:val="22"/>
          <w:lang w:val="ru-RU"/>
        </w:rPr>
        <w:t xml:space="preserve"> </w:t>
      </w:r>
      <w:proofErr w:type="spellStart"/>
      <w:r w:rsidR="007B5B1F">
        <w:rPr>
          <w:iCs/>
          <w:snapToGrid w:val="0"/>
          <w:kern w:val="22"/>
          <w:szCs w:val="22"/>
          <w:lang w:val="ru-RU"/>
        </w:rPr>
        <w:t>ГРУЛАК</w:t>
      </w:r>
      <w:proofErr w:type="spellEnd"/>
      <w:r w:rsidR="007B5B1F" w:rsidRPr="007B5B1F">
        <w:rPr>
          <w:iCs/>
          <w:snapToGrid w:val="0"/>
          <w:kern w:val="22"/>
          <w:szCs w:val="22"/>
          <w:lang w:val="ru-RU"/>
        </w:rPr>
        <w:t xml:space="preserve"> </w:t>
      </w:r>
      <w:r w:rsidR="007B5B1F">
        <w:rPr>
          <w:iCs/>
          <w:snapToGrid w:val="0"/>
          <w:kern w:val="22"/>
          <w:szCs w:val="22"/>
          <w:lang w:val="ru-RU"/>
        </w:rPr>
        <w:t>на</w:t>
      </w:r>
      <w:r w:rsidR="007B5B1F" w:rsidRPr="007B5B1F">
        <w:rPr>
          <w:iCs/>
          <w:snapToGrid w:val="0"/>
          <w:kern w:val="22"/>
          <w:szCs w:val="22"/>
          <w:lang w:val="ru-RU"/>
        </w:rPr>
        <w:t xml:space="preserve"> </w:t>
      </w:r>
      <w:r w:rsidR="004569FB" w:rsidRPr="007B5B1F">
        <w:rPr>
          <w:iCs/>
          <w:snapToGrid w:val="0"/>
          <w:kern w:val="22"/>
          <w:szCs w:val="22"/>
          <w:lang w:val="ru-RU"/>
        </w:rPr>
        <w:t>15</w:t>
      </w:r>
      <w:r w:rsidR="007B5B1F" w:rsidRPr="007B5B1F">
        <w:rPr>
          <w:iCs/>
          <w:snapToGrid w:val="0"/>
          <w:kern w:val="22"/>
          <w:szCs w:val="22"/>
          <w:lang w:val="en-US"/>
        </w:rPr>
        <w:t> </w:t>
      </w:r>
      <w:r w:rsidR="004569FB" w:rsidRPr="007B5B1F">
        <w:rPr>
          <w:iCs/>
          <w:snapToGrid w:val="0"/>
          <w:kern w:val="22"/>
          <w:szCs w:val="22"/>
          <w:lang w:val="ru-RU"/>
        </w:rPr>
        <w:t xml:space="preserve">% </w:t>
      </w:r>
      <w:r w:rsidR="007B5B1F">
        <w:rPr>
          <w:iCs/>
          <w:snapToGrid w:val="0"/>
          <w:kern w:val="22"/>
          <w:szCs w:val="22"/>
          <w:lang w:val="ru-RU"/>
        </w:rPr>
        <w:t>и</w:t>
      </w:r>
      <w:r w:rsidR="007B5B1F" w:rsidRPr="007B5B1F">
        <w:rPr>
          <w:iCs/>
          <w:snapToGrid w:val="0"/>
          <w:kern w:val="22"/>
          <w:szCs w:val="22"/>
          <w:lang w:val="ru-RU"/>
        </w:rPr>
        <w:t xml:space="preserve"> </w:t>
      </w:r>
      <w:r w:rsidR="007B5B1F">
        <w:rPr>
          <w:iCs/>
          <w:snapToGrid w:val="0"/>
          <w:kern w:val="22"/>
          <w:szCs w:val="22"/>
          <w:lang w:val="ru-RU"/>
        </w:rPr>
        <w:t>в</w:t>
      </w:r>
      <w:r w:rsidR="007B5B1F" w:rsidRPr="007B5B1F">
        <w:rPr>
          <w:iCs/>
          <w:snapToGrid w:val="0"/>
          <w:kern w:val="22"/>
          <w:szCs w:val="22"/>
          <w:lang w:val="ru-RU"/>
        </w:rPr>
        <w:t xml:space="preserve"> </w:t>
      </w:r>
      <w:r w:rsidR="007B5B1F">
        <w:rPr>
          <w:iCs/>
          <w:snapToGrid w:val="0"/>
          <w:kern w:val="22"/>
          <w:szCs w:val="22"/>
          <w:lang w:val="ru-RU"/>
        </w:rPr>
        <w:t>Африке</w:t>
      </w:r>
      <w:r w:rsidR="007B5B1F" w:rsidRPr="007B5B1F">
        <w:rPr>
          <w:iCs/>
          <w:snapToGrid w:val="0"/>
          <w:kern w:val="22"/>
          <w:szCs w:val="22"/>
          <w:lang w:val="ru-RU"/>
        </w:rPr>
        <w:t xml:space="preserve"> </w:t>
      </w:r>
      <w:r w:rsidR="007B5B1F">
        <w:rPr>
          <w:iCs/>
          <w:snapToGrid w:val="0"/>
          <w:kern w:val="22"/>
          <w:szCs w:val="22"/>
          <w:lang w:val="ru-RU"/>
        </w:rPr>
        <w:t>на</w:t>
      </w:r>
      <w:r w:rsidR="007B5B1F" w:rsidRPr="007B5B1F">
        <w:rPr>
          <w:iCs/>
          <w:snapToGrid w:val="0"/>
          <w:kern w:val="22"/>
          <w:szCs w:val="22"/>
          <w:lang w:val="ru-RU"/>
        </w:rPr>
        <w:t xml:space="preserve"> </w:t>
      </w:r>
      <w:r w:rsidR="00D44529" w:rsidRPr="007B5B1F">
        <w:rPr>
          <w:iCs/>
          <w:snapToGrid w:val="0"/>
          <w:kern w:val="22"/>
          <w:szCs w:val="22"/>
          <w:lang w:val="ru-RU"/>
        </w:rPr>
        <w:t>3</w:t>
      </w:r>
      <w:r w:rsidR="007B5B1F" w:rsidRPr="007B5B1F">
        <w:rPr>
          <w:iCs/>
          <w:snapToGrid w:val="0"/>
          <w:kern w:val="22"/>
          <w:szCs w:val="22"/>
          <w:lang w:val="en-US"/>
        </w:rPr>
        <w:t> </w:t>
      </w:r>
      <w:r w:rsidR="004569FB" w:rsidRPr="007B5B1F">
        <w:rPr>
          <w:iCs/>
          <w:snapToGrid w:val="0"/>
          <w:kern w:val="22"/>
          <w:szCs w:val="22"/>
          <w:lang w:val="ru-RU"/>
        </w:rPr>
        <w:t xml:space="preserve">%; </w:t>
      </w:r>
      <w:r w:rsidR="007B5B1F">
        <w:rPr>
          <w:iCs/>
          <w:snapToGrid w:val="0"/>
          <w:kern w:val="22"/>
          <w:szCs w:val="22"/>
          <w:lang w:val="ru-RU"/>
        </w:rPr>
        <w:t>было сообщено об уменьшении в</w:t>
      </w:r>
      <w:r w:rsidR="004569FB" w:rsidRPr="007B5B1F">
        <w:rPr>
          <w:iCs/>
          <w:snapToGrid w:val="0"/>
          <w:kern w:val="22"/>
          <w:szCs w:val="22"/>
          <w:lang w:val="ru-RU"/>
        </w:rPr>
        <w:t xml:space="preserve"> </w:t>
      </w:r>
      <w:proofErr w:type="spellStart"/>
      <w:r w:rsidR="004569FB" w:rsidRPr="00DB5643">
        <w:rPr>
          <w:iCs/>
          <w:snapToGrid w:val="0"/>
          <w:kern w:val="22"/>
          <w:szCs w:val="22"/>
        </w:rPr>
        <w:t>CEE</w:t>
      </w:r>
      <w:proofErr w:type="spellEnd"/>
      <w:r w:rsidR="007B5B1F">
        <w:rPr>
          <w:iCs/>
          <w:snapToGrid w:val="0"/>
          <w:kern w:val="22"/>
          <w:szCs w:val="22"/>
          <w:lang w:val="ru-RU"/>
        </w:rPr>
        <w:t xml:space="preserve"> на </w:t>
      </w:r>
      <w:r w:rsidR="004569FB" w:rsidRPr="007B5B1F">
        <w:rPr>
          <w:iCs/>
          <w:snapToGrid w:val="0"/>
          <w:kern w:val="22"/>
          <w:szCs w:val="22"/>
          <w:lang w:val="ru-RU"/>
        </w:rPr>
        <w:t>1</w:t>
      </w:r>
      <w:r w:rsidR="00D44529" w:rsidRPr="007B5B1F">
        <w:rPr>
          <w:iCs/>
          <w:snapToGrid w:val="0"/>
          <w:kern w:val="22"/>
          <w:szCs w:val="22"/>
          <w:lang w:val="ru-RU"/>
        </w:rPr>
        <w:t>3</w:t>
      </w:r>
      <w:r w:rsidR="007B5B1F">
        <w:rPr>
          <w:iCs/>
          <w:snapToGrid w:val="0"/>
          <w:kern w:val="22"/>
          <w:szCs w:val="22"/>
          <w:lang w:val="ru-RU"/>
        </w:rPr>
        <w:t> </w:t>
      </w:r>
      <w:r w:rsidR="004569FB" w:rsidRPr="007B5B1F">
        <w:rPr>
          <w:iCs/>
          <w:snapToGrid w:val="0"/>
          <w:kern w:val="22"/>
          <w:szCs w:val="22"/>
          <w:lang w:val="ru-RU"/>
        </w:rPr>
        <w:t xml:space="preserve">%; </w:t>
      </w:r>
      <w:r w:rsidR="007B5B1F">
        <w:rPr>
          <w:iCs/>
          <w:snapToGrid w:val="0"/>
          <w:kern w:val="22"/>
          <w:szCs w:val="22"/>
          <w:lang w:val="ru-RU"/>
        </w:rPr>
        <w:t>было сообщено об отсутствии изменений</w:t>
      </w:r>
      <w:r w:rsidR="007B5B1F" w:rsidRPr="007B5B1F">
        <w:rPr>
          <w:snapToGrid w:val="0"/>
          <w:kern w:val="22"/>
          <w:szCs w:val="22"/>
          <w:lang w:val="ru-RU"/>
        </w:rPr>
        <w:t xml:space="preserve"> </w:t>
      </w:r>
      <w:r w:rsidR="007B5B1F" w:rsidRPr="00CF046B">
        <w:rPr>
          <w:snapToGrid w:val="0"/>
          <w:kern w:val="22"/>
          <w:szCs w:val="22"/>
          <w:lang w:val="ru-RU"/>
        </w:rPr>
        <w:t>по сравнению с исходным уровнем</w:t>
      </w:r>
      <w:r w:rsidR="007B5B1F">
        <w:rPr>
          <w:iCs/>
          <w:snapToGrid w:val="0"/>
          <w:kern w:val="22"/>
          <w:szCs w:val="22"/>
          <w:lang w:val="ru-RU"/>
        </w:rPr>
        <w:t xml:space="preserve"> в Азиатско-Тихоокеанском регионе и </w:t>
      </w:r>
      <w:proofErr w:type="spellStart"/>
      <w:r w:rsidR="004569FB" w:rsidRPr="00DB5643">
        <w:rPr>
          <w:iCs/>
          <w:snapToGrid w:val="0"/>
          <w:kern w:val="22"/>
          <w:szCs w:val="22"/>
        </w:rPr>
        <w:t>WEOG</w:t>
      </w:r>
      <w:proofErr w:type="spellEnd"/>
      <w:r w:rsidR="004569FB" w:rsidRPr="007B5B1F">
        <w:rPr>
          <w:iCs/>
          <w:snapToGrid w:val="0"/>
          <w:kern w:val="22"/>
          <w:szCs w:val="22"/>
          <w:lang w:val="ru-RU"/>
        </w:rPr>
        <w:t>.</w:t>
      </w:r>
    </w:p>
    <w:p w14:paraId="74A88CA9" w14:textId="3E3539F3" w:rsidR="004569FB" w:rsidRPr="007B5B1F" w:rsidRDefault="007B5B1F" w:rsidP="004569FB">
      <w:pPr>
        <w:pStyle w:val="a3"/>
        <w:numPr>
          <w:ilvl w:val="0"/>
          <w:numId w:val="9"/>
        </w:numPr>
        <w:suppressLineNumbers/>
        <w:tabs>
          <w:tab w:val="clear" w:pos="3240"/>
        </w:tabs>
        <w:suppressAutoHyphens/>
        <w:snapToGrid w:val="0"/>
        <w:spacing w:before="120" w:after="120"/>
        <w:ind w:left="0" w:firstLine="0"/>
        <w:contextualSpacing w:val="0"/>
        <w:rPr>
          <w:iCs/>
          <w:snapToGrid w:val="0"/>
          <w:kern w:val="22"/>
          <w:szCs w:val="22"/>
          <w:lang w:val="ru-RU"/>
        </w:rPr>
      </w:pPr>
      <w:r>
        <w:rPr>
          <w:snapToGrid w:val="0"/>
          <w:kern w:val="22"/>
          <w:szCs w:val="22"/>
          <w:lang w:val="ru-RU"/>
        </w:rPr>
        <w:t>Наконец</w:t>
      </w:r>
      <w:r w:rsidR="004569FB" w:rsidRPr="007B5B1F">
        <w:rPr>
          <w:snapToGrid w:val="0"/>
          <w:kern w:val="22"/>
          <w:szCs w:val="22"/>
          <w:lang w:val="ru-RU"/>
        </w:rPr>
        <w:t>,</w:t>
      </w:r>
      <w:r w:rsidRPr="007B5B1F">
        <w:rPr>
          <w:snapToGrid w:val="0"/>
          <w:kern w:val="22"/>
          <w:szCs w:val="22"/>
          <w:lang w:val="ru-RU"/>
        </w:rPr>
        <w:t xml:space="preserve"> </w:t>
      </w:r>
      <w:r>
        <w:rPr>
          <w:snapToGrid w:val="0"/>
          <w:kern w:val="22"/>
          <w:szCs w:val="22"/>
          <w:lang w:val="ru-RU"/>
        </w:rPr>
        <w:t>в</w:t>
      </w:r>
      <w:r w:rsidRPr="007B5B1F">
        <w:rPr>
          <w:snapToGrid w:val="0"/>
          <w:kern w:val="22"/>
          <w:szCs w:val="22"/>
          <w:lang w:val="ru-RU"/>
        </w:rPr>
        <w:t xml:space="preserve"> </w:t>
      </w:r>
      <w:r>
        <w:rPr>
          <w:snapToGrid w:val="0"/>
          <w:kern w:val="22"/>
          <w:szCs w:val="22"/>
          <w:lang w:val="ru-RU"/>
        </w:rPr>
        <w:t>отношении</w:t>
      </w:r>
      <w:r w:rsidR="004569FB" w:rsidRPr="007B5B1F">
        <w:rPr>
          <w:snapToGrid w:val="0"/>
          <w:kern w:val="22"/>
          <w:szCs w:val="22"/>
          <w:lang w:val="ru-RU"/>
        </w:rPr>
        <w:t xml:space="preserve"> </w:t>
      </w:r>
      <w:r>
        <w:rPr>
          <w:b/>
          <w:snapToGrid w:val="0"/>
          <w:kern w:val="22"/>
          <w:szCs w:val="22"/>
          <w:lang w:val="ru-RU"/>
        </w:rPr>
        <w:t>индикатора</w:t>
      </w:r>
      <w:r w:rsidR="004569FB" w:rsidRPr="007B5B1F">
        <w:rPr>
          <w:b/>
          <w:snapToGrid w:val="0"/>
          <w:kern w:val="22"/>
          <w:szCs w:val="22"/>
          <w:lang w:val="ru-RU"/>
        </w:rPr>
        <w:t xml:space="preserve"> 5.3.4</w:t>
      </w:r>
      <w:r w:rsidR="004569FB" w:rsidRPr="007B5B1F">
        <w:rPr>
          <w:snapToGrid w:val="0"/>
          <w:kern w:val="22"/>
          <w:szCs w:val="22"/>
          <w:lang w:val="ru-RU"/>
        </w:rPr>
        <w:t xml:space="preserve"> (</w:t>
      </w:r>
      <w:r>
        <w:rPr>
          <w:snapToGrid w:val="0"/>
          <w:kern w:val="22"/>
          <w:szCs w:val="22"/>
          <w:lang w:val="ru-RU"/>
        </w:rPr>
        <w:t>ч</w:t>
      </w:r>
      <w:r w:rsidRPr="007B5B1F">
        <w:rPr>
          <w:snapToGrid w:val="0"/>
          <w:kern w:val="22"/>
          <w:szCs w:val="22"/>
          <w:lang w:val="ru-RU"/>
        </w:rPr>
        <w:t xml:space="preserve">исло Сторон, обеспечивающих распространение </w:t>
      </w:r>
      <w:r>
        <w:rPr>
          <w:snapToGrid w:val="0"/>
          <w:kern w:val="22"/>
          <w:szCs w:val="22"/>
          <w:lang w:val="ru-RU"/>
        </w:rPr>
        <w:t>и доступность для общественности</w:t>
      </w:r>
      <w:r w:rsidRPr="007B5B1F">
        <w:rPr>
          <w:snapToGrid w:val="0"/>
          <w:kern w:val="22"/>
          <w:szCs w:val="22"/>
          <w:lang w:val="ru-RU"/>
        </w:rPr>
        <w:t xml:space="preserve"> просветительских и </w:t>
      </w:r>
      <w:r>
        <w:rPr>
          <w:snapToGrid w:val="0"/>
          <w:kern w:val="22"/>
          <w:szCs w:val="22"/>
          <w:lang w:val="ru-RU"/>
        </w:rPr>
        <w:t>образовательных</w:t>
      </w:r>
      <w:r w:rsidRPr="007B5B1F">
        <w:rPr>
          <w:snapToGrid w:val="0"/>
          <w:kern w:val="22"/>
          <w:szCs w:val="22"/>
          <w:lang w:val="ru-RU"/>
        </w:rPr>
        <w:t xml:space="preserve"> материалов по биобезопасности и Протоколу, включая разнообразие таких материалов</w:t>
      </w:r>
      <w:r>
        <w:rPr>
          <w:snapToGrid w:val="0"/>
          <w:kern w:val="22"/>
          <w:szCs w:val="22"/>
          <w:lang w:val="ru-RU"/>
        </w:rPr>
        <w:t>)</w:t>
      </w:r>
      <w:r w:rsidR="004569FB" w:rsidRPr="007B5B1F">
        <w:rPr>
          <w:snapToGrid w:val="0"/>
          <w:kern w:val="22"/>
          <w:szCs w:val="22"/>
          <w:lang w:val="ru-RU"/>
        </w:rPr>
        <w:t xml:space="preserve"> </w:t>
      </w:r>
      <w:bookmarkStart w:id="39" w:name="_Hlk33717535"/>
      <w:r w:rsidR="004569FB" w:rsidRPr="007B5B1F">
        <w:rPr>
          <w:snapToGrid w:val="0"/>
          <w:kern w:val="22"/>
          <w:szCs w:val="22"/>
          <w:lang w:val="ru-RU"/>
        </w:rPr>
        <w:t>77</w:t>
      </w:r>
      <w:r>
        <w:rPr>
          <w:snapToGrid w:val="0"/>
          <w:kern w:val="22"/>
          <w:szCs w:val="22"/>
          <w:lang w:val="ru-RU"/>
        </w:rPr>
        <w:t> </w:t>
      </w:r>
      <w:r w:rsidR="004569FB" w:rsidRPr="007B5B1F">
        <w:rPr>
          <w:snapToGrid w:val="0"/>
          <w:kern w:val="22"/>
          <w:szCs w:val="22"/>
          <w:lang w:val="ru-RU"/>
        </w:rPr>
        <w:t xml:space="preserve">% </w:t>
      </w:r>
      <w:r>
        <w:rPr>
          <w:snapToGrid w:val="0"/>
          <w:kern w:val="22"/>
          <w:szCs w:val="22"/>
          <w:lang w:val="ru-RU"/>
        </w:rPr>
        <w:t>Сторон</w:t>
      </w:r>
      <w:r w:rsidR="004569FB" w:rsidRPr="007B5B1F">
        <w:rPr>
          <w:snapToGrid w:val="0"/>
          <w:kern w:val="22"/>
          <w:szCs w:val="22"/>
          <w:lang w:val="ru-RU"/>
        </w:rPr>
        <w:t xml:space="preserve"> </w:t>
      </w:r>
      <w:r w:rsidR="00505A7C" w:rsidRPr="007B5B1F">
        <w:rPr>
          <w:snapToGrid w:val="0"/>
          <w:kern w:val="22"/>
          <w:szCs w:val="22"/>
          <w:lang w:val="ru-RU"/>
        </w:rPr>
        <w:t xml:space="preserve">(55 </w:t>
      </w:r>
      <w:r>
        <w:rPr>
          <w:snapToGrid w:val="0"/>
          <w:kern w:val="22"/>
          <w:szCs w:val="22"/>
          <w:lang w:val="ru-RU"/>
        </w:rPr>
        <w:t>Сторон</w:t>
      </w:r>
      <w:r w:rsidR="00505A7C" w:rsidRPr="007B5B1F">
        <w:rPr>
          <w:snapToGrid w:val="0"/>
          <w:kern w:val="22"/>
          <w:szCs w:val="22"/>
          <w:lang w:val="ru-RU"/>
        </w:rPr>
        <w:t xml:space="preserve">) </w:t>
      </w:r>
      <w:r w:rsidR="006529DC">
        <w:rPr>
          <w:snapToGrid w:val="0"/>
          <w:kern w:val="22"/>
          <w:szCs w:val="22"/>
          <w:lang w:val="ru-RU"/>
        </w:rPr>
        <w:t>сообщили о доступности для общественности в их странах образовательных</w:t>
      </w:r>
      <w:r w:rsidR="006529DC" w:rsidRPr="007B5B1F">
        <w:rPr>
          <w:snapToGrid w:val="0"/>
          <w:kern w:val="22"/>
          <w:szCs w:val="22"/>
          <w:lang w:val="ru-RU"/>
        </w:rPr>
        <w:t xml:space="preserve"> материалов</w:t>
      </w:r>
      <w:r w:rsidR="006529DC">
        <w:rPr>
          <w:snapToGrid w:val="0"/>
          <w:kern w:val="22"/>
          <w:szCs w:val="22"/>
          <w:lang w:val="ru-RU"/>
        </w:rPr>
        <w:t xml:space="preserve"> или сетевых модулей</w:t>
      </w:r>
      <w:r w:rsidR="004569FB" w:rsidRPr="007B5B1F">
        <w:rPr>
          <w:snapToGrid w:val="0"/>
          <w:kern w:val="22"/>
          <w:szCs w:val="22"/>
          <w:lang w:val="ru-RU"/>
        </w:rPr>
        <w:t xml:space="preserve">, </w:t>
      </w:r>
      <w:r w:rsidR="006529DC">
        <w:rPr>
          <w:snapToGrid w:val="0"/>
          <w:kern w:val="22"/>
          <w:szCs w:val="22"/>
          <w:lang w:val="ru-RU"/>
        </w:rPr>
        <w:t>что соответствует увеличению на</w:t>
      </w:r>
      <w:r w:rsidR="004569FB" w:rsidRPr="007B5B1F">
        <w:rPr>
          <w:snapToGrid w:val="0"/>
          <w:kern w:val="22"/>
          <w:szCs w:val="22"/>
          <w:lang w:val="ru-RU"/>
        </w:rPr>
        <w:t xml:space="preserve"> 15</w:t>
      </w:r>
      <w:r w:rsidR="006529DC">
        <w:rPr>
          <w:snapToGrid w:val="0"/>
          <w:kern w:val="22"/>
          <w:szCs w:val="22"/>
          <w:lang w:val="ru-RU"/>
        </w:rPr>
        <w:t> </w:t>
      </w:r>
      <w:r w:rsidR="004569FB" w:rsidRPr="007B5B1F">
        <w:rPr>
          <w:snapToGrid w:val="0"/>
          <w:kern w:val="22"/>
          <w:szCs w:val="22"/>
          <w:lang w:val="ru-RU"/>
        </w:rPr>
        <w:t>%</w:t>
      </w:r>
      <w:bookmarkEnd w:id="39"/>
      <w:r w:rsidR="004569FB" w:rsidRPr="007B5B1F">
        <w:rPr>
          <w:snapToGrid w:val="0"/>
          <w:kern w:val="22"/>
          <w:szCs w:val="22"/>
          <w:lang w:val="ru-RU"/>
        </w:rPr>
        <w:t xml:space="preserve"> (</w:t>
      </w:r>
      <w:r w:rsidR="006529DC">
        <w:rPr>
          <w:snapToGrid w:val="0"/>
          <w:kern w:val="22"/>
          <w:szCs w:val="22"/>
          <w:lang w:val="ru-RU"/>
        </w:rPr>
        <w:t>см. также</w:t>
      </w:r>
      <w:r w:rsidR="004569FB" w:rsidRPr="007B5B1F">
        <w:rPr>
          <w:snapToGrid w:val="0"/>
          <w:kern w:val="22"/>
          <w:szCs w:val="22"/>
          <w:lang w:val="ru-RU"/>
        </w:rPr>
        <w:t xml:space="preserve"> </w:t>
      </w:r>
      <w:r w:rsidR="006529DC">
        <w:rPr>
          <w:b/>
          <w:snapToGrid w:val="0"/>
          <w:kern w:val="22"/>
          <w:szCs w:val="22"/>
          <w:lang w:val="ru-RU"/>
        </w:rPr>
        <w:t>индикатор</w:t>
      </w:r>
      <w:r w:rsidR="004569FB" w:rsidRPr="007B5B1F">
        <w:rPr>
          <w:snapToGrid w:val="0"/>
          <w:kern w:val="22"/>
          <w:szCs w:val="22"/>
          <w:lang w:val="ru-RU"/>
        </w:rPr>
        <w:t xml:space="preserve"> </w:t>
      </w:r>
      <w:r w:rsidR="004569FB" w:rsidRPr="007B5B1F">
        <w:rPr>
          <w:b/>
          <w:bCs/>
          <w:snapToGrid w:val="0"/>
          <w:kern w:val="22"/>
          <w:szCs w:val="22"/>
          <w:lang w:val="ru-RU"/>
        </w:rPr>
        <w:t>2.7.2</w:t>
      </w:r>
      <w:r w:rsidR="004569FB" w:rsidRPr="007B5B1F">
        <w:rPr>
          <w:snapToGrid w:val="0"/>
          <w:kern w:val="22"/>
          <w:szCs w:val="22"/>
          <w:lang w:val="ru-RU"/>
        </w:rPr>
        <w:t xml:space="preserve"> </w:t>
      </w:r>
      <w:r w:rsidR="006529DC">
        <w:rPr>
          <w:snapToGrid w:val="0"/>
          <w:kern w:val="22"/>
          <w:szCs w:val="22"/>
          <w:lang w:val="ru-RU"/>
        </w:rPr>
        <w:t>выше</w:t>
      </w:r>
      <w:r w:rsidR="004569FB" w:rsidRPr="007B5B1F">
        <w:rPr>
          <w:snapToGrid w:val="0"/>
          <w:kern w:val="22"/>
          <w:szCs w:val="22"/>
          <w:lang w:val="ru-RU"/>
        </w:rPr>
        <w:t>)</w:t>
      </w:r>
      <w:r w:rsidR="00003262" w:rsidRPr="007B5B1F">
        <w:rPr>
          <w:snapToGrid w:val="0"/>
          <w:kern w:val="22"/>
          <w:szCs w:val="22"/>
          <w:lang w:val="ru-RU"/>
        </w:rPr>
        <w:t>.</w:t>
      </w:r>
    </w:p>
    <w:p w14:paraId="0129203E" w14:textId="332055EF" w:rsidR="004569FB" w:rsidRPr="00D004E3" w:rsidRDefault="006529DC" w:rsidP="004569FB">
      <w:pPr>
        <w:pStyle w:val="a3"/>
        <w:numPr>
          <w:ilvl w:val="0"/>
          <w:numId w:val="9"/>
        </w:numPr>
        <w:suppressLineNumbers/>
        <w:tabs>
          <w:tab w:val="clear" w:pos="3240"/>
        </w:tabs>
        <w:suppressAutoHyphens/>
        <w:snapToGrid w:val="0"/>
        <w:spacing w:before="120" w:after="120"/>
        <w:ind w:left="0" w:firstLine="0"/>
        <w:contextualSpacing w:val="0"/>
        <w:rPr>
          <w:snapToGrid w:val="0"/>
          <w:kern w:val="22"/>
          <w:szCs w:val="22"/>
          <w:lang w:val="ru-RU"/>
        </w:rPr>
      </w:pPr>
      <w:r>
        <w:rPr>
          <w:snapToGrid w:val="0"/>
          <w:kern w:val="22"/>
          <w:szCs w:val="22"/>
          <w:lang w:val="ru-RU"/>
        </w:rPr>
        <w:t>В</w:t>
      </w:r>
      <w:r w:rsidRPr="00363CC7">
        <w:rPr>
          <w:snapToGrid w:val="0"/>
          <w:kern w:val="22"/>
          <w:szCs w:val="22"/>
          <w:lang w:val="ru-RU"/>
        </w:rPr>
        <w:t xml:space="preserve"> </w:t>
      </w:r>
      <w:r w:rsidR="00D81C27">
        <w:rPr>
          <w:snapToGrid w:val="0"/>
          <w:kern w:val="22"/>
          <w:szCs w:val="22"/>
          <w:lang w:val="ru-RU"/>
        </w:rPr>
        <w:t>о</w:t>
      </w:r>
      <w:r>
        <w:rPr>
          <w:snapToGrid w:val="0"/>
          <w:kern w:val="22"/>
          <w:szCs w:val="22"/>
          <w:lang w:val="ru-RU"/>
        </w:rPr>
        <w:t>бследовании</w:t>
      </w:r>
      <w:r w:rsidRPr="00363CC7">
        <w:rPr>
          <w:snapToGrid w:val="0"/>
          <w:kern w:val="22"/>
          <w:szCs w:val="22"/>
          <w:lang w:val="ru-RU"/>
        </w:rPr>
        <w:t xml:space="preserve"> </w:t>
      </w:r>
      <w:r>
        <w:rPr>
          <w:snapToGrid w:val="0"/>
          <w:kern w:val="22"/>
          <w:szCs w:val="22"/>
          <w:lang w:val="ru-RU"/>
        </w:rPr>
        <w:t>по</w:t>
      </w:r>
      <w:r w:rsidRPr="00363CC7">
        <w:rPr>
          <w:snapToGrid w:val="0"/>
          <w:kern w:val="22"/>
          <w:szCs w:val="22"/>
          <w:lang w:val="ru-RU"/>
        </w:rPr>
        <w:t xml:space="preserve"> </w:t>
      </w:r>
      <w:r>
        <w:rPr>
          <w:snapToGrid w:val="0"/>
          <w:kern w:val="22"/>
          <w:szCs w:val="22"/>
          <w:lang w:val="ru-RU"/>
        </w:rPr>
        <w:t>программе</w:t>
      </w:r>
      <w:r w:rsidRPr="00363CC7">
        <w:rPr>
          <w:snapToGrid w:val="0"/>
          <w:kern w:val="22"/>
          <w:szCs w:val="22"/>
          <w:lang w:val="ru-RU"/>
        </w:rPr>
        <w:t xml:space="preserve"> </w:t>
      </w:r>
      <w:r>
        <w:rPr>
          <w:snapToGrid w:val="0"/>
          <w:kern w:val="22"/>
          <w:szCs w:val="22"/>
          <w:lang w:val="ru-RU"/>
        </w:rPr>
        <w:t>работы</w:t>
      </w:r>
      <w:r w:rsidR="00363CC7" w:rsidRPr="00363CC7">
        <w:rPr>
          <w:snapToGrid w:val="0"/>
          <w:kern w:val="22"/>
          <w:szCs w:val="22"/>
          <w:lang w:val="ru-RU"/>
        </w:rPr>
        <w:t xml:space="preserve"> </w:t>
      </w:r>
      <w:r w:rsidR="00363CC7">
        <w:rPr>
          <w:snapToGrid w:val="0"/>
          <w:kern w:val="22"/>
          <w:szCs w:val="22"/>
          <w:lang w:val="ru-RU"/>
        </w:rPr>
        <w:t>около</w:t>
      </w:r>
      <w:r w:rsidR="00363CC7" w:rsidRPr="00363CC7">
        <w:rPr>
          <w:snapToGrid w:val="0"/>
          <w:kern w:val="22"/>
          <w:szCs w:val="22"/>
          <w:lang w:val="ru-RU"/>
        </w:rPr>
        <w:t xml:space="preserve"> </w:t>
      </w:r>
      <w:r w:rsidR="00363CC7">
        <w:rPr>
          <w:snapToGrid w:val="0"/>
          <w:kern w:val="22"/>
          <w:szCs w:val="22"/>
          <w:lang w:val="ru-RU"/>
        </w:rPr>
        <w:t>трети</w:t>
      </w:r>
      <w:r w:rsidR="00363CC7" w:rsidRPr="00363CC7">
        <w:rPr>
          <w:snapToGrid w:val="0"/>
          <w:kern w:val="22"/>
          <w:szCs w:val="22"/>
          <w:lang w:val="ru-RU"/>
        </w:rPr>
        <w:t xml:space="preserve"> </w:t>
      </w:r>
      <w:r w:rsidR="00363CC7">
        <w:rPr>
          <w:snapToGrid w:val="0"/>
          <w:kern w:val="22"/>
          <w:szCs w:val="22"/>
          <w:lang w:val="ru-RU"/>
        </w:rPr>
        <w:t>респондентов</w:t>
      </w:r>
      <w:r w:rsidR="00363CC7" w:rsidRPr="00363CC7">
        <w:rPr>
          <w:snapToGrid w:val="0"/>
          <w:kern w:val="22"/>
          <w:szCs w:val="22"/>
          <w:lang w:val="ru-RU"/>
        </w:rPr>
        <w:t xml:space="preserve"> </w:t>
      </w:r>
      <w:r w:rsidR="00363CC7" w:rsidRPr="00363CC7">
        <w:rPr>
          <w:iCs/>
          <w:snapToGrid w:val="0"/>
          <w:kern w:val="22"/>
          <w:szCs w:val="22"/>
          <w:lang w:val="ru-RU"/>
        </w:rPr>
        <w:t xml:space="preserve">сообщили о размещении материалов по осведомлению, просвещению и участию общественности в </w:t>
      </w:r>
      <w:proofErr w:type="spellStart"/>
      <w:r w:rsidR="00363CC7" w:rsidRPr="00363CC7">
        <w:rPr>
          <w:iCs/>
          <w:snapToGrid w:val="0"/>
          <w:kern w:val="22"/>
          <w:szCs w:val="22"/>
          <w:lang w:val="ru-RU"/>
        </w:rPr>
        <w:t>М</w:t>
      </w:r>
      <w:r w:rsidR="00D81C27">
        <w:rPr>
          <w:iCs/>
          <w:snapToGrid w:val="0"/>
          <w:kern w:val="22"/>
          <w:szCs w:val="22"/>
          <w:lang w:val="ru-RU"/>
        </w:rPr>
        <w:t>ПБ</w:t>
      </w:r>
      <w:proofErr w:type="spellEnd"/>
      <w:r w:rsidR="004569FB" w:rsidRPr="00363CC7">
        <w:rPr>
          <w:snapToGrid w:val="0"/>
          <w:kern w:val="22"/>
          <w:szCs w:val="22"/>
          <w:lang w:val="ru-RU"/>
        </w:rPr>
        <w:t xml:space="preserve">. </w:t>
      </w:r>
      <w:r w:rsidR="00D004E3">
        <w:rPr>
          <w:snapToGrid w:val="0"/>
          <w:kern w:val="22"/>
          <w:szCs w:val="22"/>
          <w:lang w:val="ru-RU"/>
        </w:rPr>
        <w:t>Большинство</w:t>
      </w:r>
      <w:r w:rsidR="004569FB" w:rsidRPr="00D004E3">
        <w:rPr>
          <w:snapToGrid w:val="0"/>
          <w:kern w:val="22"/>
          <w:szCs w:val="22"/>
          <w:lang w:val="ru-RU"/>
        </w:rPr>
        <w:t xml:space="preserve"> </w:t>
      </w:r>
      <w:r w:rsidR="00D004E3">
        <w:rPr>
          <w:snapToGrid w:val="0"/>
          <w:kern w:val="22"/>
          <w:szCs w:val="22"/>
          <w:lang w:val="ru-RU"/>
        </w:rPr>
        <w:t>респондентов</w:t>
      </w:r>
      <w:r w:rsidR="00D004E3" w:rsidRPr="00D004E3">
        <w:rPr>
          <w:snapToGrid w:val="0"/>
          <w:kern w:val="22"/>
          <w:szCs w:val="22"/>
          <w:lang w:val="ru-RU"/>
        </w:rPr>
        <w:t xml:space="preserve"> </w:t>
      </w:r>
      <w:r w:rsidR="00D004E3">
        <w:rPr>
          <w:snapToGrid w:val="0"/>
          <w:kern w:val="22"/>
          <w:szCs w:val="22"/>
          <w:lang w:val="ru-RU"/>
        </w:rPr>
        <w:t>отметили</w:t>
      </w:r>
      <w:r w:rsidR="00D004E3" w:rsidRPr="00D004E3">
        <w:rPr>
          <w:snapToGrid w:val="0"/>
          <w:kern w:val="22"/>
          <w:szCs w:val="22"/>
          <w:lang w:val="ru-RU"/>
        </w:rPr>
        <w:t xml:space="preserve">, </w:t>
      </w:r>
      <w:r w:rsidR="00D004E3">
        <w:rPr>
          <w:snapToGrid w:val="0"/>
          <w:kern w:val="22"/>
          <w:szCs w:val="22"/>
          <w:lang w:val="ru-RU"/>
        </w:rPr>
        <w:t>что</w:t>
      </w:r>
      <w:r w:rsidR="00D004E3" w:rsidRPr="00D004E3">
        <w:rPr>
          <w:snapToGrid w:val="0"/>
          <w:kern w:val="22"/>
          <w:szCs w:val="22"/>
          <w:lang w:val="ru-RU"/>
        </w:rPr>
        <w:t xml:space="preserve"> </w:t>
      </w:r>
      <w:r w:rsidR="00D004E3">
        <w:rPr>
          <w:snapToGrid w:val="0"/>
          <w:kern w:val="22"/>
          <w:szCs w:val="22"/>
          <w:lang w:val="ru-RU"/>
        </w:rPr>
        <w:t>эти</w:t>
      </w:r>
      <w:r w:rsidR="00D004E3" w:rsidRPr="00D004E3">
        <w:rPr>
          <w:snapToGrid w:val="0"/>
          <w:kern w:val="22"/>
          <w:szCs w:val="22"/>
          <w:lang w:val="ru-RU"/>
        </w:rPr>
        <w:t xml:space="preserve"> </w:t>
      </w:r>
      <w:r w:rsidR="00D004E3">
        <w:rPr>
          <w:snapToGrid w:val="0"/>
          <w:kern w:val="22"/>
          <w:szCs w:val="22"/>
          <w:lang w:val="ru-RU"/>
        </w:rPr>
        <w:t>материалы</w:t>
      </w:r>
      <w:r w:rsidR="00D004E3" w:rsidRPr="00D004E3">
        <w:rPr>
          <w:snapToGrid w:val="0"/>
          <w:kern w:val="22"/>
          <w:szCs w:val="22"/>
          <w:lang w:val="ru-RU"/>
        </w:rPr>
        <w:t xml:space="preserve"> </w:t>
      </w:r>
      <w:r w:rsidR="00D004E3">
        <w:rPr>
          <w:snapToGrid w:val="0"/>
          <w:kern w:val="22"/>
          <w:szCs w:val="22"/>
          <w:lang w:val="ru-RU"/>
        </w:rPr>
        <w:t>относятся</w:t>
      </w:r>
      <w:r w:rsidR="00D004E3" w:rsidRPr="00D004E3">
        <w:rPr>
          <w:snapToGrid w:val="0"/>
          <w:kern w:val="22"/>
          <w:szCs w:val="22"/>
          <w:lang w:val="ru-RU"/>
        </w:rPr>
        <w:t xml:space="preserve"> </w:t>
      </w:r>
      <w:r w:rsidR="00D004E3">
        <w:rPr>
          <w:snapToGrid w:val="0"/>
          <w:kern w:val="22"/>
          <w:szCs w:val="22"/>
          <w:lang w:val="ru-RU"/>
        </w:rPr>
        <w:t>к</w:t>
      </w:r>
      <w:r w:rsidR="00D004E3" w:rsidRPr="00D004E3">
        <w:rPr>
          <w:snapToGrid w:val="0"/>
          <w:kern w:val="22"/>
          <w:szCs w:val="22"/>
          <w:lang w:val="ru-RU"/>
        </w:rPr>
        <w:t xml:space="preserve"> </w:t>
      </w:r>
      <w:r w:rsidR="00D004E3">
        <w:rPr>
          <w:snapToGrid w:val="0"/>
          <w:kern w:val="22"/>
          <w:szCs w:val="22"/>
          <w:lang w:val="ru-RU"/>
        </w:rPr>
        <w:t>законодательству</w:t>
      </w:r>
      <w:r w:rsidR="004569FB" w:rsidRPr="00D004E3">
        <w:rPr>
          <w:snapToGrid w:val="0"/>
          <w:kern w:val="22"/>
          <w:szCs w:val="22"/>
          <w:lang w:val="ru-RU"/>
        </w:rPr>
        <w:t xml:space="preserve">, </w:t>
      </w:r>
      <w:r w:rsidR="00D004E3">
        <w:rPr>
          <w:snapToGrid w:val="0"/>
          <w:kern w:val="22"/>
          <w:szCs w:val="22"/>
          <w:lang w:val="ru-RU"/>
        </w:rPr>
        <w:t>уведомлениям</w:t>
      </w:r>
      <w:r w:rsidR="004569FB" w:rsidRPr="00D004E3">
        <w:rPr>
          <w:snapToGrid w:val="0"/>
          <w:kern w:val="22"/>
          <w:szCs w:val="22"/>
          <w:lang w:val="ru-RU"/>
        </w:rPr>
        <w:t xml:space="preserve">, </w:t>
      </w:r>
      <w:r w:rsidR="00D004E3">
        <w:rPr>
          <w:snapToGrid w:val="0"/>
          <w:kern w:val="22"/>
          <w:szCs w:val="22"/>
          <w:lang w:val="ru-RU"/>
        </w:rPr>
        <w:t>разрешениям</w:t>
      </w:r>
      <w:r w:rsidR="004569FB" w:rsidRPr="00D004E3">
        <w:rPr>
          <w:snapToGrid w:val="0"/>
          <w:kern w:val="22"/>
          <w:szCs w:val="22"/>
          <w:lang w:val="ru-RU"/>
        </w:rPr>
        <w:t xml:space="preserve">, </w:t>
      </w:r>
      <w:r w:rsidR="00D004E3">
        <w:rPr>
          <w:snapToGrid w:val="0"/>
          <w:kern w:val="22"/>
          <w:szCs w:val="22"/>
          <w:lang w:val="ru-RU"/>
        </w:rPr>
        <w:t xml:space="preserve">но также включают презентации, новостные материалы и </w:t>
      </w:r>
      <w:proofErr w:type="spellStart"/>
      <w:r w:rsidR="00D004E3">
        <w:rPr>
          <w:snapToGrid w:val="0"/>
          <w:kern w:val="22"/>
          <w:szCs w:val="22"/>
          <w:lang w:val="ru-RU"/>
        </w:rPr>
        <w:t>инфографику</w:t>
      </w:r>
      <w:proofErr w:type="spellEnd"/>
      <w:r w:rsidR="004569FB" w:rsidRPr="00D004E3">
        <w:rPr>
          <w:snapToGrid w:val="0"/>
          <w:kern w:val="22"/>
          <w:szCs w:val="22"/>
          <w:lang w:val="ru-RU"/>
        </w:rPr>
        <w:t xml:space="preserve">. </w:t>
      </w:r>
      <w:r w:rsidR="00D004E3">
        <w:rPr>
          <w:snapToGrid w:val="0"/>
          <w:kern w:val="22"/>
          <w:szCs w:val="22"/>
          <w:lang w:val="ru-RU"/>
        </w:rPr>
        <w:t>Около</w:t>
      </w:r>
      <w:r w:rsidR="00D004E3" w:rsidRPr="00D004E3">
        <w:rPr>
          <w:snapToGrid w:val="0"/>
          <w:kern w:val="22"/>
          <w:szCs w:val="22"/>
          <w:lang w:val="ru-RU"/>
        </w:rPr>
        <w:t xml:space="preserve"> </w:t>
      </w:r>
      <w:r w:rsidR="00D004E3">
        <w:rPr>
          <w:snapToGrid w:val="0"/>
          <w:kern w:val="22"/>
          <w:szCs w:val="22"/>
          <w:lang w:val="ru-RU"/>
        </w:rPr>
        <w:t>половины</w:t>
      </w:r>
      <w:r w:rsidR="00D004E3" w:rsidRPr="00D004E3">
        <w:rPr>
          <w:snapToGrid w:val="0"/>
          <w:kern w:val="22"/>
          <w:szCs w:val="22"/>
          <w:lang w:val="ru-RU"/>
        </w:rPr>
        <w:t xml:space="preserve"> </w:t>
      </w:r>
      <w:r w:rsidR="00D004E3">
        <w:rPr>
          <w:snapToGrid w:val="0"/>
          <w:kern w:val="22"/>
          <w:szCs w:val="22"/>
          <w:lang w:val="ru-RU"/>
        </w:rPr>
        <w:t>Сторон</w:t>
      </w:r>
      <w:r w:rsidR="00D004E3" w:rsidRPr="00D004E3">
        <w:rPr>
          <w:snapToGrid w:val="0"/>
          <w:kern w:val="22"/>
          <w:szCs w:val="22"/>
          <w:lang w:val="ru-RU"/>
        </w:rPr>
        <w:t xml:space="preserve">, </w:t>
      </w:r>
      <w:r w:rsidR="00D004E3">
        <w:rPr>
          <w:snapToGrid w:val="0"/>
          <w:kern w:val="22"/>
          <w:szCs w:val="22"/>
          <w:lang w:val="ru-RU"/>
        </w:rPr>
        <w:t>сообщивших</w:t>
      </w:r>
      <w:r w:rsidR="00D004E3" w:rsidRPr="00D004E3">
        <w:rPr>
          <w:snapToGrid w:val="0"/>
          <w:kern w:val="22"/>
          <w:szCs w:val="22"/>
          <w:lang w:val="ru-RU"/>
        </w:rPr>
        <w:t xml:space="preserve"> </w:t>
      </w:r>
      <w:r w:rsidR="00D004E3">
        <w:rPr>
          <w:snapToGrid w:val="0"/>
          <w:kern w:val="22"/>
          <w:szCs w:val="22"/>
          <w:lang w:val="ru-RU"/>
        </w:rPr>
        <w:t>о</w:t>
      </w:r>
      <w:r w:rsidR="00D004E3" w:rsidRPr="00D004E3">
        <w:rPr>
          <w:snapToGrid w:val="0"/>
          <w:kern w:val="22"/>
          <w:szCs w:val="22"/>
          <w:lang w:val="ru-RU"/>
        </w:rPr>
        <w:t xml:space="preserve"> </w:t>
      </w:r>
      <w:r w:rsidR="00D004E3" w:rsidRPr="00363CC7">
        <w:rPr>
          <w:iCs/>
          <w:snapToGrid w:val="0"/>
          <w:kern w:val="22"/>
          <w:szCs w:val="22"/>
          <w:lang w:val="ru-RU"/>
        </w:rPr>
        <w:t>размещении</w:t>
      </w:r>
      <w:r w:rsidR="00D004E3" w:rsidRPr="00D004E3">
        <w:rPr>
          <w:iCs/>
          <w:snapToGrid w:val="0"/>
          <w:kern w:val="22"/>
          <w:szCs w:val="22"/>
          <w:lang w:val="ru-RU"/>
        </w:rPr>
        <w:t xml:space="preserve"> </w:t>
      </w:r>
      <w:r w:rsidR="00D004E3" w:rsidRPr="00363CC7">
        <w:rPr>
          <w:iCs/>
          <w:snapToGrid w:val="0"/>
          <w:kern w:val="22"/>
          <w:szCs w:val="22"/>
          <w:lang w:val="ru-RU"/>
        </w:rPr>
        <w:t>материалов</w:t>
      </w:r>
      <w:r w:rsidR="00D004E3" w:rsidRPr="00D004E3">
        <w:rPr>
          <w:iCs/>
          <w:snapToGrid w:val="0"/>
          <w:kern w:val="22"/>
          <w:szCs w:val="22"/>
          <w:lang w:val="ru-RU"/>
        </w:rPr>
        <w:t xml:space="preserve">, </w:t>
      </w:r>
      <w:r w:rsidR="00D004E3">
        <w:rPr>
          <w:iCs/>
          <w:snapToGrid w:val="0"/>
          <w:kern w:val="22"/>
          <w:szCs w:val="22"/>
          <w:lang w:val="ru-RU"/>
        </w:rPr>
        <w:t>отметили</w:t>
      </w:r>
      <w:r w:rsidR="00D004E3" w:rsidRPr="00D004E3">
        <w:rPr>
          <w:iCs/>
          <w:snapToGrid w:val="0"/>
          <w:kern w:val="22"/>
          <w:szCs w:val="22"/>
          <w:lang w:val="ru-RU"/>
        </w:rPr>
        <w:t xml:space="preserve">, </w:t>
      </w:r>
      <w:r w:rsidR="00D004E3">
        <w:rPr>
          <w:iCs/>
          <w:snapToGrid w:val="0"/>
          <w:kern w:val="22"/>
          <w:szCs w:val="22"/>
          <w:lang w:val="ru-RU"/>
        </w:rPr>
        <w:t>что</w:t>
      </w:r>
      <w:r w:rsidR="00D004E3" w:rsidRPr="00D004E3">
        <w:rPr>
          <w:iCs/>
          <w:snapToGrid w:val="0"/>
          <w:kern w:val="22"/>
          <w:szCs w:val="22"/>
          <w:lang w:val="ru-RU"/>
        </w:rPr>
        <w:t xml:space="preserve"> </w:t>
      </w:r>
      <w:r w:rsidR="00D004E3">
        <w:rPr>
          <w:iCs/>
          <w:snapToGrid w:val="0"/>
          <w:kern w:val="22"/>
          <w:szCs w:val="22"/>
          <w:lang w:val="ru-RU"/>
        </w:rPr>
        <w:t>эти</w:t>
      </w:r>
      <w:r w:rsidR="00D004E3" w:rsidRPr="00D004E3">
        <w:rPr>
          <w:iCs/>
          <w:snapToGrid w:val="0"/>
          <w:kern w:val="22"/>
          <w:szCs w:val="22"/>
          <w:lang w:val="ru-RU"/>
        </w:rPr>
        <w:t xml:space="preserve"> </w:t>
      </w:r>
      <w:r w:rsidR="00D004E3">
        <w:rPr>
          <w:iCs/>
          <w:snapToGrid w:val="0"/>
          <w:kern w:val="22"/>
          <w:szCs w:val="22"/>
          <w:lang w:val="ru-RU"/>
        </w:rPr>
        <w:t>материалы</w:t>
      </w:r>
      <w:r w:rsidR="00D004E3" w:rsidRPr="00D004E3">
        <w:rPr>
          <w:snapToGrid w:val="0"/>
          <w:kern w:val="22"/>
          <w:szCs w:val="22"/>
          <w:lang w:val="ru-RU"/>
        </w:rPr>
        <w:t xml:space="preserve"> </w:t>
      </w:r>
      <w:r w:rsidR="00D004E3">
        <w:rPr>
          <w:snapToGrid w:val="0"/>
          <w:kern w:val="22"/>
          <w:szCs w:val="22"/>
          <w:lang w:val="ru-RU"/>
        </w:rPr>
        <w:t>представлены</w:t>
      </w:r>
      <w:r w:rsidR="00D004E3" w:rsidRPr="00D004E3">
        <w:rPr>
          <w:snapToGrid w:val="0"/>
          <w:kern w:val="22"/>
          <w:szCs w:val="22"/>
          <w:lang w:val="ru-RU"/>
        </w:rPr>
        <w:t xml:space="preserve"> </w:t>
      </w:r>
      <w:r w:rsidR="00D004E3">
        <w:rPr>
          <w:snapToGrid w:val="0"/>
          <w:kern w:val="22"/>
          <w:szCs w:val="22"/>
          <w:lang w:val="ru-RU"/>
        </w:rPr>
        <w:t>на</w:t>
      </w:r>
      <w:r w:rsidR="00D004E3" w:rsidRPr="00D004E3">
        <w:rPr>
          <w:snapToGrid w:val="0"/>
          <w:kern w:val="22"/>
          <w:szCs w:val="22"/>
          <w:lang w:val="ru-RU"/>
        </w:rPr>
        <w:t xml:space="preserve"> </w:t>
      </w:r>
      <w:r w:rsidR="00D004E3">
        <w:rPr>
          <w:snapToGrid w:val="0"/>
          <w:kern w:val="22"/>
          <w:szCs w:val="22"/>
          <w:lang w:val="ru-RU"/>
        </w:rPr>
        <w:t>национальных</w:t>
      </w:r>
      <w:r w:rsidR="00D004E3" w:rsidRPr="00D004E3">
        <w:rPr>
          <w:snapToGrid w:val="0"/>
          <w:kern w:val="22"/>
          <w:szCs w:val="22"/>
          <w:lang w:val="ru-RU"/>
        </w:rPr>
        <w:t xml:space="preserve"> </w:t>
      </w:r>
      <w:r w:rsidR="00D004E3">
        <w:rPr>
          <w:snapToGrid w:val="0"/>
          <w:kern w:val="22"/>
          <w:szCs w:val="22"/>
          <w:lang w:val="ru-RU"/>
        </w:rPr>
        <w:t>и</w:t>
      </w:r>
      <w:r w:rsidR="00D004E3" w:rsidRPr="00D004E3">
        <w:rPr>
          <w:snapToGrid w:val="0"/>
          <w:kern w:val="22"/>
          <w:szCs w:val="22"/>
          <w:lang w:val="ru-RU"/>
        </w:rPr>
        <w:t>/</w:t>
      </w:r>
      <w:r w:rsidR="00D004E3">
        <w:rPr>
          <w:snapToGrid w:val="0"/>
          <w:kern w:val="22"/>
          <w:szCs w:val="22"/>
          <w:lang w:val="ru-RU"/>
        </w:rPr>
        <w:t>или</w:t>
      </w:r>
      <w:r w:rsidR="00D004E3" w:rsidRPr="00D004E3">
        <w:rPr>
          <w:snapToGrid w:val="0"/>
          <w:kern w:val="22"/>
          <w:szCs w:val="22"/>
          <w:lang w:val="ru-RU"/>
        </w:rPr>
        <w:t xml:space="preserve"> </w:t>
      </w:r>
      <w:r w:rsidR="00D004E3">
        <w:rPr>
          <w:snapToGrid w:val="0"/>
          <w:kern w:val="22"/>
          <w:szCs w:val="22"/>
          <w:lang w:val="ru-RU"/>
        </w:rPr>
        <w:t>местных языках</w:t>
      </w:r>
      <w:r w:rsidR="004569FB" w:rsidRPr="00D004E3">
        <w:rPr>
          <w:snapToGrid w:val="0"/>
          <w:kern w:val="22"/>
          <w:szCs w:val="22"/>
          <w:lang w:val="ru-RU"/>
        </w:rPr>
        <w:t>.</w:t>
      </w:r>
    </w:p>
    <w:p w14:paraId="5AB993C2" w14:textId="7906889C" w:rsidR="00F26CC6" w:rsidRPr="00DB5643" w:rsidRDefault="00F26CC6" w:rsidP="00D81C27">
      <w:pPr>
        <w:spacing w:afterLines="60" w:after="144"/>
        <w:jc w:val="center"/>
        <w:rPr>
          <w:rFonts w:eastAsia="Times New Roman"/>
          <w:snapToGrid w:val="0"/>
          <w:kern w:val="22"/>
          <w:szCs w:val="22"/>
        </w:rPr>
      </w:pPr>
      <w:r w:rsidRPr="00DB5643">
        <w:rPr>
          <w:rFonts w:eastAsia="Times New Roman"/>
          <w:snapToGrid w:val="0"/>
          <w:kern w:val="22"/>
          <w:szCs w:val="22"/>
        </w:rPr>
        <w:t>__________</w:t>
      </w:r>
    </w:p>
    <w:sectPr w:rsidR="00F26CC6" w:rsidRPr="00DB5643" w:rsidSect="00497555">
      <w:headerReference w:type="even" r:id="rId26"/>
      <w:headerReference w:type="default" r:id="rId27"/>
      <w:footerReference w:type="first" r:id="rId28"/>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A68E6" w14:textId="77777777" w:rsidR="00640691" w:rsidRDefault="00640691">
      <w:r>
        <w:separator/>
      </w:r>
    </w:p>
  </w:endnote>
  <w:endnote w:type="continuationSeparator" w:id="0">
    <w:p w14:paraId="378AF5B5" w14:textId="77777777" w:rsidR="00640691" w:rsidRDefault="00640691">
      <w:r>
        <w:continuationSeparator/>
      </w:r>
    </w:p>
  </w:endnote>
  <w:endnote w:type="continuationNotice" w:id="1">
    <w:p w14:paraId="63A64164" w14:textId="77777777" w:rsidR="00640691" w:rsidRDefault="00640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F1CB" w14:textId="77777777" w:rsidR="003926D8" w:rsidRDefault="003926D8" w:rsidP="00497555">
    <w:pPr>
      <w:pStyle w:val="a8"/>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E1285" w14:textId="77777777" w:rsidR="00640691" w:rsidRDefault="00640691">
      <w:r>
        <w:separator/>
      </w:r>
    </w:p>
  </w:footnote>
  <w:footnote w:type="continuationSeparator" w:id="0">
    <w:p w14:paraId="629C1246" w14:textId="77777777" w:rsidR="00640691" w:rsidRDefault="00640691">
      <w:r>
        <w:continuationSeparator/>
      </w:r>
    </w:p>
  </w:footnote>
  <w:footnote w:type="continuationNotice" w:id="1">
    <w:p w14:paraId="7E21BC4B" w14:textId="77777777" w:rsidR="00640691" w:rsidRDefault="00640691"/>
  </w:footnote>
  <w:footnote w:id="2">
    <w:p w14:paraId="763776CE" w14:textId="0195D8CD" w:rsidR="003926D8" w:rsidRPr="009A3EF2" w:rsidRDefault="003926D8" w:rsidP="00253344">
      <w:pPr>
        <w:pStyle w:val="aa"/>
        <w:spacing w:after="60"/>
        <w:rPr>
          <w:sz w:val="18"/>
          <w:szCs w:val="18"/>
          <w:lang w:val="en-US"/>
        </w:rPr>
      </w:pPr>
      <w:r w:rsidRPr="009A3EF2">
        <w:rPr>
          <w:rStyle w:val="ac"/>
          <w:sz w:val="18"/>
          <w:szCs w:val="18"/>
        </w:rPr>
        <w:t>*</w:t>
      </w:r>
      <w:r w:rsidRPr="009A3EF2">
        <w:rPr>
          <w:sz w:val="18"/>
          <w:szCs w:val="18"/>
        </w:rPr>
        <w:t xml:space="preserve"> </w:t>
      </w:r>
      <w:proofErr w:type="spellStart"/>
      <w:proofErr w:type="gramStart"/>
      <w:r w:rsidRPr="009A3EF2">
        <w:rPr>
          <w:sz w:val="18"/>
          <w:szCs w:val="18"/>
          <w:lang w:val="en-US"/>
        </w:rPr>
        <w:t>CBD</w:t>
      </w:r>
      <w:proofErr w:type="spellEnd"/>
      <w:r w:rsidRPr="009A3EF2">
        <w:rPr>
          <w:sz w:val="18"/>
          <w:szCs w:val="18"/>
          <w:lang w:val="en-US"/>
        </w:rPr>
        <w:t>/</w:t>
      </w:r>
      <w:proofErr w:type="spellStart"/>
      <w:r w:rsidRPr="009A3EF2">
        <w:rPr>
          <w:sz w:val="18"/>
          <w:szCs w:val="18"/>
          <w:lang w:val="en-US"/>
        </w:rPr>
        <w:t>SBI</w:t>
      </w:r>
      <w:proofErr w:type="spellEnd"/>
      <w:r w:rsidRPr="009A3EF2">
        <w:rPr>
          <w:sz w:val="18"/>
          <w:szCs w:val="18"/>
          <w:lang w:val="en-US"/>
        </w:rPr>
        <w:t>/3/1.</w:t>
      </w:r>
      <w:proofErr w:type="gramEnd"/>
    </w:p>
  </w:footnote>
  <w:footnote w:id="3">
    <w:p w14:paraId="15FF34A6" w14:textId="7BF523E2" w:rsidR="003926D8" w:rsidRPr="00FD2B3D" w:rsidRDefault="003926D8">
      <w:pPr>
        <w:pStyle w:val="aa"/>
        <w:rPr>
          <w:lang w:val="en-US"/>
        </w:rPr>
      </w:pPr>
      <w:r w:rsidRPr="00CD6B3A">
        <w:rPr>
          <w:rStyle w:val="ac"/>
          <w:sz w:val="18"/>
        </w:rPr>
        <w:footnoteRef/>
      </w:r>
      <w:r>
        <w:t xml:space="preserve"> </w:t>
      </w:r>
      <w:hyperlink r:id="rId1" w:history="1">
        <w:r w:rsidRPr="00EC4E70">
          <w:rPr>
            <w:rStyle w:val="af6"/>
          </w:rPr>
          <w:t>https://beta.bch.cbd.int/register/NR4</w:t>
        </w:r>
      </w:hyperlink>
    </w:p>
  </w:footnote>
  <w:footnote w:id="4">
    <w:p w14:paraId="2142F5E4" w14:textId="46126686" w:rsidR="003926D8" w:rsidRPr="009A3EF2" w:rsidRDefault="003926D8" w:rsidP="009A3EF2">
      <w:pPr>
        <w:pStyle w:val="aa"/>
        <w:spacing w:after="60"/>
        <w:rPr>
          <w:sz w:val="18"/>
          <w:szCs w:val="18"/>
          <w:lang w:val="en-CA"/>
        </w:rPr>
      </w:pPr>
      <w:r w:rsidRPr="009A3EF2">
        <w:rPr>
          <w:rStyle w:val="ac"/>
          <w:sz w:val="18"/>
          <w:szCs w:val="18"/>
        </w:rPr>
        <w:footnoteRef/>
      </w:r>
      <w:r w:rsidRPr="009A3EF2">
        <w:rPr>
          <w:sz w:val="18"/>
          <w:szCs w:val="18"/>
        </w:rPr>
        <w:t xml:space="preserve"> </w:t>
      </w:r>
      <w:r w:rsidRPr="009A3EF2">
        <w:rPr>
          <w:sz w:val="18"/>
          <w:szCs w:val="18"/>
          <w:lang w:val="ru-RU"/>
        </w:rPr>
        <w:t>См</w:t>
      </w:r>
      <w:r w:rsidRPr="009A3EF2">
        <w:rPr>
          <w:sz w:val="18"/>
          <w:szCs w:val="18"/>
          <w:lang w:val="en-US"/>
        </w:rPr>
        <w:t xml:space="preserve">. </w:t>
      </w:r>
      <w:r w:rsidRPr="009A3EF2">
        <w:rPr>
          <w:sz w:val="18"/>
          <w:szCs w:val="18"/>
          <w:lang w:val="ru-RU"/>
        </w:rPr>
        <w:t>документы</w:t>
      </w:r>
      <w:r w:rsidRPr="009A3EF2">
        <w:rPr>
          <w:sz w:val="18"/>
          <w:szCs w:val="18"/>
          <w:lang w:val="en-CA"/>
        </w:rPr>
        <w:t xml:space="preserve"> </w:t>
      </w:r>
      <w:proofErr w:type="spellStart"/>
      <w:r w:rsidRPr="009A3EF2">
        <w:rPr>
          <w:sz w:val="18"/>
          <w:szCs w:val="18"/>
          <w:lang w:val="en-CA"/>
        </w:rPr>
        <w:t>CBD</w:t>
      </w:r>
      <w:proofErr w:type="spellEnd"/>
      <w:r w:rsidRPr="009A3EF2">
        <w:rPr>
          <w:sz w:val="18"/>
          <w:szCs w:val="18"/>
          <w:lang w:val="en-CA"/>
        </w:rPr>
        <w:t>/</w:t>
      </w:r>
      <w:proofErr w:type="spellStart"/>
      <w:r w:rsidRPr="009A3EF2">
        <w:rPr>
          <w:sz w:val="18"/>
          <w:szCs w:val="18"/>
          <w:lang w:val="en-CA"/>
        </w:rPr>
        <w:t>CP</w:t>
      </w:r>
      <w:proofErr w:type="spellEnd"/>
      <w:r w:rsidRPr="009A3EF2">
        <w:rPr>
          <w:sz w:val="18"/>
          <w:szCs w:val="18"/>
          <w:lang w:val="en-CA"/>
        </w:rPr>
        <w:t xml:space="preserve">/CC/17/INF/1 </w:t>
      </w:r>
      <w:r w:rsidRPr="009A3EF2">
        <w:rPr>
          <w:sz w:val="18"/>
          <w:szCs w:val="18"/>
          <w:lang w:val="ru-RU"/>
        </w:rPr>
        <w:t>и</w:t>
      </w:r>
      <w:r w:rsidRPr="009A3EF2">
        <w:rPr>
          <w:sz w:val="18"/>
          <w:szCs w:val="18"/>
          <w:lang w:val="en-CA"/>
        </w:rPr>
        <w:t xml:space="preserve"> </w:t>
      </w:r>
      <w:proofErr w:type="spellStart"/>
      <w:r w:rsidRPr="009A3EF2">
        <w:rPr>
          <w:sz w:val="18"/>
          <w:szCs w:val="18"/>
          <w:lang w:val="en-CA"/>
        </w:rPr>
        <w:t>CBD</w:t>
      </w:r>
      <w:proofErr w:type="spellEnd"/>
      <w:r w:rsidRPr="009A3EF2">
        <w:rPr>
          <w:sz w:val="18"/>
          <w:szCs w:val="18"/>
          <w:lang w:val="en-CA"/>
        </w:rPr>
        <w:t>/</w:t>
      </w:r>
      <w:proofErr w:type="spellStart"/>
      <w:r w:rsidRPr="009A3EF2">
        <w:rPr>
          <w:sz w:val="18"/>
          <w:szCs w:val="18"/>
          <w:lang w:val="en-CA"/>
        </w:rPr>
        <w:t>CP</w:t>
      </w:r>
      <w:proofErr w:type="spellEnd"/>
      <w:r w:rsidRPr="009A3EF2">
        <w:rPr>
          <w:sz w:val="18"/>
          <w:szCs w:val="18"/>
          <w:lang w:val="en-CA"/>
        </w:rPr>
        <w:t xml:space="preserve">/LG/2020/1/INF/1. </w:t>
      </w:r>
    </w:p>
  </w:footnote>
  <w:footnote w:id="5">
    <w:p w14:paraId="6884F4F2" w14:textId="6256BA95" w:rsidR="003926D8" w:rsidRPr="00377498" w:rsidRDefault="003926D8" w:rsidP="009A3EF2">
      <w:pPr>
        <w:pStyle w:val="aa"/>
        <w:spacing w:after="60"/>
        <w:rPr>
          <w:sz w:val="18"/>
          <w:szCs w:val="18"/>
          <w:lang w:val="ru-RU"/>
        </w:rPr>
      </w:pPr>
      <w:r w:rsidRPr="008D6A50">
        <w:rPr>
          <w:rStyle w:val="ac"/>
          <w:sz w:val="18"/>
          <w:szCs w:val="18"/>
        </w:rPr>
        <w:footnoteRef/>
      </w:r>
      <w:r w:rsidRPr="00377498">
        <w:rPr>
          <w:sz w:val="18"/>
          <w:szCs w:val="18"/>
          <w:lang w:val="ru-RU"/>
        </w:rPr>
        <w:t xml:space="preserve"> </w:t>
      </w:r>
      <w:r>
        <w:rPr>
          <w:sz w:val="18"/>
          <w:szCs w:val="18"/>
          <w:lang w:val="ru-RU"/>
        </w:rPr>
        <w:t>В</w:t>
      </w:r>
      <w:r w:rsidRPr="00377498">
        <w:rPr>
          <w:sz w:val="18"/>
          <w:szCs w:val="18"/>
          <w:lang w:val="ru-RU"/>
        </w:rPr>
        <w:t xml:space="preserve"> </w:t>
      </w:r>
      <w:r>
        <w:rPr>
          <w:sz w:val="18"/>
          <w:szCs w:val="18"/>
          <w:lang w:val="ru-RU"/>
        </w:rPr>
        <w:t>уведомлении</w:t>
      </w:r>
      <w:hyperlink r:id="rId2" w:history="1">
        <w:r w:rsidRPr="00377498">
          <w:rPr>
            <w:sz w:val="18"/>
            <w:szCs w:val="18"/>
            <w:lang w:val="ru-RU"/>
          </w:rPr>
          <w:t xml:space="preserve"> 2019-19</w:t>
        </w:r>
      </w:hyperlink>
      <w:r w:rsidRPr="00377498">
        <w:rPr>
          <w:sz w:val="18"/>
          <w:szCs w:val="18"/>
          <w:lang w:val="ru-RU"/>
        </w:rPr>
        <w:t xml:space="preserve"> </w:t>
      </w:r>
      <w:r>
        <w:rPr>
          <w:sz w:val="18"/>
          <w:szCs w:val="18"/>
          <w:lang w:val="ru-RU"/>
        </w:rPr>
        <w:t>от</w:t>
      </w:r>
      <w:r w:rsidRPr="00377498">
        <w:rPr>
          <w:sz w:val="18"/>
          <w:szCs w:val="18"/>
          <w:lang w:val="ru-RU"/>
        </w:rPr>
        <w:t xml:space="preserve"> 13 </w:t>
      </w:r>
      <w:r>
        <w:rPr>
          <w:sz w:val="18"/>
          <w:szCs w:val="18"/>
          <w:lang w:val="ru-RU"/>
        </w:rPr>
        <w:t>февраля</w:t>
      </w:r>
      <w:r w:rsidRPr="00377498">
        <w:rPr>
          <w:sz w:val="18"/>
          <w:szCs w:val="18"/>
          <w:lang w:val="ru-RU"/>
        </w:rPr>
        <w:t xml:space="preserve"> 2019 </w:t>
      </w:r>
      <w:r>
        <w:rPr>
          <w:sz w:val="18"/>
          <w:szCs w:val="18"/>
          <w:lang w:val="ru-RU"/>
        </w:rPr>
        <w:t>года</w:t>
      </w:r>
      <w:r w:rsidRPr="00377498">
        <w:rPr>
          <w:sz w:val="18"/>
          <w:szCs w:val="18"/>
          <w:lang w:val="ru-RU"/>
        </w:rPr>
        <w:t xml:space="preserve"> </w:t>
      </w:r>
      <w:r>
        <w:rPr>
          <w:sz w:val="18"/>
          <w:szCs w:val="18"/>
          <w:lang w:val="ru-RU"/>
        </w:rPr>
        <w:t>Сторонам</w:t>
      </w:r>
      <w:r w:rsidRPr="00377498">
        <w:rPr>
          <w:sz w:val="18"/>
          <w:szCs w:val="18"/>
          <w:lang w:val="ru-RU"/>
        </w:rPr>
        <w:t xml:space="preserve"> </w:t>
      </w:r>
      <w:r>
        <w:rPr>
          <w:sz w:val="18"/>
          <w:szCs w:val="18"/>
          <w:lang w:val="ru-RU"/>
        </w:rPr>
        <w:t>было</w:t>
      </w:r>
      <w:r w:rsidRPr="00377498">
        <w:rPr>
          <w:sz w:val="18"/>
          <w:szCs w:val="18"/>
          <w:lang w:val="ru-RU"/>
        </w:rPr>
        <w:t xml:space="preserve"> </w:t>
      </w:r>
      <w:r>
        <w:rPr>
          <w:sz w:val="18"/>
          <w:szCs w:val="18"/>
          <w:lang w:val="ru-RU"/>
        </w:rPr>
        <w:t>предложено</w:t>
      </w:r>
      <w:r w:rsidRPr="00377498">
        <w:rPr>
          <w:sz w:val="18"/>
          <w:szCs w:val="18"/>
          <w:lang w:val="ru-RU"/>
        </w:rPr>
        <w:t xml:space="preserve"> </w:t>
      </w:r>
      <w:r>
        <w:rPr>
          <w:sz w:val="18"/>
          <w:szCs w:val="18"/>
          <w:lang w:val="ru-RU"/>
        </w:rPr>
        <w:t>представить</w:t>
      </w:r>
      <w:r w:rsidRPr="00377498">
        <w:rPr>
          <w:sz w:val="18"/>
          <w:szCs w:val="18"/>
          <w:lang w:val="ru-RU"/>
        </w:rPr>
        <w:t xml:space="preserve"> </w:t>
      </w:r>
      <w:r>
        <w:rPr>
          <w:sz w:val="18"/>
          <w:szCs w:val="18"/>
          <w:lang w:val="ru-RU"/>
        </w:rPr>
        <w:t>их</w:t>
      </w:r>
      <w:r w:rsidRPr="00377498">
        <w:rPr>
          <w:sz w:val="18"/>
          <w:szCs w:val="18"/>
          <w:lang w:val="ru-RU"/>
        </w:rPr>
        <w:t xml:space="preserve"> </w:t>
      </w:r>
      <w:r>
        <w:rPr>
          <w:sz w:val="18"/>
          <w:szCs w:val="18"/>
          <w:lang w:val="ru-RU"/>
        </w:rPr>
        <w:t>четвертые</w:t>
      </w:r>
      <w:r w:rsidRPr="00377498">
        <w:rPr>
          <w:sz w:val="18"/>
          <w:szCs w:val="18"/>
          <w:lang w:val="ru-RU"/>
        </w:rPr>
        <w:t xml:space="preserve"> </w:t>
      </w:r>
      <w:r>
        <w:rPr>
          <w:sz w:val="18"/>
          <w:szCs w:val="18"/>
          <w:lang w:val="ru-RU"/>
        </w:rPr>
        <w:t xml:space="preserve">национальные доклады не позднее </w:t>
      </w:r>
      <w:r w:rsidRPr="00377498">
        <w:rPr>
          <w:sz w:val="18"/>
          <w:szCs w:val="18"/>
          <w:lang w:val="ru-RU"/>
        </w:rPr>
        <w:t xml:space="preserve">1 </w:t>
      </w:r>
      <w:r>
        <w:rPr>
          <w:sz w:val="18"/>
          <w:szCs w:val="18"/>
          <w:lang w:val="ru-RU"/>
        </w:rPr>
        <w:t>октября</w:t>
      </w:r>
      <w:r w:rsidRPr="00377498">
        <w:rPr>
          <w:sz w:val="18"/>
          <w:szCs w:val="18"/>
          <w:lang w:val="ru-RU"/>
        </w:rPr>
        <w:t xml:space="preserve"> 2019</w:t>
      </w:r>
      <w:r>
        <w:rPr>
          <w:sz w:val="18"/>
          <w:szCs w:val="18"/>
          <w:lang w:val="ru-RU"/>
        </w:rPr>
        <w:t xml:space="preserve"> года</w:t>
      </w:r>
      <w:r w:rsidRPr="00377498">
        <w:rPr>
          <w:sz w:val="18"/>
          <w:szCs w:val="18"/>
          <w:lang w:val="ru-RU"/>
        </w:rPr>
        <w:t>.</w:t>
      </w:r>
    </w:p>
  </w:footnote>
  <w:footnote w:id="6">
    <w:p w14:paraId="4FB5C8F2" w14:textId="7C676451" w:rsidR="003926D8" w:rsidRPr="008C4C7E" w:rsidRDefault="003926D8" w:rsidP="009A3EF2">
      <w:pPr>
        <w:pStyle w:val="aa"/>
        <w:spacing w:after="60"/>
        <w:rPr>
          <w:sz w:val="18"/>
          <w:szCs w:val="18"/>
          <w:lang w:val="ru-RU"/>
        </w:rPr>
      </w:pPr>
      <w:r w:rsidRPr="008D6A50">
        <w:rPr>
          <w:rStyle w:val="ac"/>
          <w:sz w:val="18"/>
          <w:szCs w:val="18"/>
        </w:rPr>
        <w:footnoteRef/>
      </w:r>
      <w:r w:rsidRPr="00377498">
        <w:rPr>
          <w:sz w:val="18"/>
          <w:szCs w:val="18"/>
          <w:lang w:val="ru-RU"/>
        </w:rPr>
        <w:t xml:space="preserve"> </w:t>
      </w:r>
      <w:r>
        <w:rPr>
          <w:sz w:val="18"/>
          <w:szCs w:val="18"/>
          <w:lang w:val="ru-RU"/>
        </w:rPr>
        <w:t>Для</w:t>
      </w:r>
      <w:r w:rsidRPr="00377498">
        <w:rPr>
          <w:sz w:val="18"/>
          <w:szCs w:val="18"/>
          <w:lang w:val="ru-RU"/>
        </w:rPr>
        <w:t xml:space="preserve"> </w:t>
      </w:r>
      <w:r>
        <w:rPr>
          <w:sz w:val="18"/>
          <w:szCs w:val="18"/>
          <w:lang w:val="ru-RU"/>
        </w:rPr>
        <w:t>поддержки</w:t>
      </w:r>
      <w:r w:rsidRPr="00377498">
        <w:rPr>
          <w:sz w:val="18"/>
          <w:szCs w:val="18"/>
          <w:lang w:val="ru-RU"/>
        </w:rPr>
        <w:t xml:space="preserve"> </w:t>
      </w:r>
      <w:r>
        <w:rPr>
          <w:sz w:val="18"/>
          <w:szCs w:val="18"/>
          <w:lang w:val="ru-RU"/>
        </w:rPr>
        <w:t>анализа</w:t>
      </w:r>
      <w:r w:rsidRPr="00377498">
        <w:rPr>
          <w:sz w:val="18"/>
          <w:szCs w:val="18"/>
          <w:lang w:val="ru-RU"/>
        </w:rPr>
        <w:t xml:space="preserve"> </w:t>
      </w:r>
      <w:r>
        <w:rPr>
          <w:sz w:val="18"/>
          <w:szCs w:val="18"/>
          <w:lang w:val="ru-RU"/>
        </w:rPr>
        <w:t>были</w:t>
      </w:r>
      <w:r w:rsidRPr="00377498">
        <w:rPr>
          <w:sz w:val="18"/>
          <w:szCs w:val="18"/>
          <w:lang w:val="ru-RU"/>
        </w:rPr>
        <w:t xml:space="preserve"> </w:t>
      </w:r>
      <w:r>
        <w:rPr>
          <w:sz w:val="18"/>
          <w:szCs w:val="18"/>
          <w:lang w:val="ru-RU"/>
        </w:rPr>
        <w:t>использованы</w:t>
      </w:r>
      <w:r w:rsidRPr="00377498">
        <w:rPr>
          <w:sz w:val="18"/>
          <w:szCs w:val="18"/>
          <w:lang w:val="ru-RU"/>
        </w:rPr>
        <w:t xml:space="preserve"> </w:t>
      </w:r>
      <w:r>
        <w:rPr>
          <w:sz w:val="18"/>
          <w:szCs w:val="18"/>
          <w:lang w:val="ru-RU"/>
        </w:rPr>
        <w:t>некоторые</w:t>
      </w:r>
      <w:r w:rsidRPr="00377498">
        <w:rPr>
          <w:sz w:val="18"/>
          <w:szCs w:val="18"/>
          <w:lang w:val="ru-RU"/>
        </w:rPr>
        <w:t xml:space="preserve"> </w:t>
      </w:r>
      <w:r>
        <w:rPr>
          <w:sz w:val="18"/>
          <w:szCs w:val="18"/>
          <w:lang w:val="ru-RU"/>
        </w:rPr>
        <w:t>дополнительные</w:t>
      </w:r>
      <w:r w:rsidRPr="00377498">
        <w:rPr>
          <w:sz w:val="18"/>
          <w:szCs w:val="18"/>
          <w:lang w:val="ru-RU"/>
        </w:rPr>
        <w:t xml:space="preserve"> </w:t>
      </w:r>
      <w:r>
        <w:rPr>
          <w:sz w:val="18"/>
          <w:szCs w:val="18"/>
          <w:lang w:val="ru-RU"/>
        </w:rPr>
        <w:t>источники</w:t>
      </w:r>
      <w:r w:rsidRPr="00377498">
        <w:rPr>
          <w:sz w:val="18"/>
          <w:szCs w:val="18"/>
          <w:lang w:val="ru-RU"/>
        </w:rPr>
        <w:t xml:space="preserve"> </w:t>
      </w:r>
      <w:r>
        <w:rPr>
          <w:sz w:val="18"/>
          <w:szCs w:val="18"/>
          <w:lang w:val="ru-RU"/>
        </w:rPr>
        <w:t>информации, такие как данные обзоров</w:t>
      </w:r>
      <w:r w:rsidRPr="00377498">
        <w:rPr>
          <w:sz w:val="18"/>
          <w:szCs w:val="18"/>
          <w:lang w:val="ru-RU"/>
        </w:rPr>
        <w:t xml:space="preserve">. </w:t>
      </w:r>
      <w:r>
        <w:rPr>
          <w:sz w:val="18"/>
          <w:szCs w:val="18"/>
          <w:lang w:val="ru-RU"/>
        </w:rPr>
        <w:t>К</w:t>
      </w:r>
      <w:r w:rsidRPr="008C4C7E">
        <w:rPr>
          <w:sz w:val="18"/>
          <w:szCs w:val="18"/>
          <w:lang w:val="ru-RU"/>
        </w:rPr>
        <w:t xml:space="preserve"> </w:t>
      </w:r>
      <w:r>
        <w:rPr>
          <w:sz w:val="18"/>
          <w:szCs w:val="18"/>
          <w:lang w:val="ru-RU"/>
        </w:rPr>
        <w:t>примеру</w:t>
      </w:r>
      <w:r w:rsidRPr="008C4C7E">
        <w:rPr>
          <w:sz w:val="18"/>
          <w:szCs w:val="18"/>
          <w:lang w:val="ru-RU"/>
        </w:rPr>
        <w:t>, «</w:t>
      </w:r>
      <w:r>
        <w:rPr>
          <w:sz w:val="18"/>
          <w:szCs w:val="18"/>
          <w:lang w:val="ru-RU"/>
        </w:rPr>
        <w:t>обзор</w:t>
      </w:r>
      <w:r w:rsidRPr="008C4C7E">
        <w:rPr>
          <w:sz w:val="18"/>
          <w:szCs w:val="18"/>
          <w:lang w:val="ru-RU"/>
        </w:rPr>
        <w:t xml:space="preserve"> </w:t>
      </w:r>
      <w:r>
        <w:rPr>
          <w:sz w:val="18"/>
          <w:szCs w:val="18"/>
          <w:lang w:val="ru-RU"/>
        </w:rPr>
        <w:t>ключевых</w:t>
      </w:r>
      <w:r w:rsidRPr="008C4C7E">
        <w:rPr>
          <w:sz w:val="18"/>
          <w:szCs w:val="18"/>
          <w:lang w:val="ru-RU"/>
        </w:rPr>
        <w:t xml:space="preserve"> </w:t>
      </w:r>
      <w:r>
        <w:rPr>
          <w:sz w:val="18"/>
          <w:szCs w:val="18"/>
          <w:lang w:val="ru-RU"/>
        </w:rPr>
        <w:t>индикаторов</w:t>
      </w:r>
      <w:r w:rsidRPr="008C4C7E">
        <w:rPr>
          <w:sz w:val="18"/>
          <w:szCs w:val="18"/>
          <w:lang w:val="ru-RU"/>
        </w:rPr>
        <w:t xml:space="preserve"> </w:t>
      </w:r>
      <w:r>
        <w:rPr>
          <w:sz w:val="18"/>
          <w:szCs w:val="18"/>
          <w:lang w:val="ru-RU"/>
        </w:rPr>
        <w:t>программы</w:t>
      </w:r>
      <w:r w:rsidRPr="008C4C7E">
        <w:rPr>
          <w:sz w:val="18"/>
          <w:szCs w:val="18"/>
          <w:lang w:val="ru-RU"/>
        </w:rPr>
        <w:t xml:space="preserve"> </w:t>
      </w:r>
      <w:r>
        <w:rPr>
          <w:sz w:val="18"/>
          <w:szCs w:val="18"/>
          <w:lang w:val="ru-RU"/>
        </w:rPr>
        <w:t>работы</w:t>
      </w:r>
      <w:r w:rsidRPr="008C4C7E">
        <w:rPr>
          <w:sz w:val="18"/>
          <w:szCs w:val="18"/>
          <w:lang w:val="ru-RU"/>
        </w:rPr>
        <w:t xml:space="preserve"> </w:t>
      </w:r>
      <w:r>
        <w:rPr>
          <w:sz w:val="18"/>
          <w:szCs w:val="18"/>
          <w:lang w:val="ru-RU"/>
        </w:rPr>
        <w:t>по</w:t>
      </w:r>
      <w:r w:rsidRPr="008C4C7E">
        <w:rPr>
          <w:sz w:val="18"/>
          <w:szCs w:val="18"/>
          <w:lang w:val="ru-RU"/>
        </w:rPr>
        <w:t xml:space="preserve"> </w:t>
      </w:r>
      <w:r>
        <w:rPr>
          <w:sz w:val="18"/>
          <w:szCs w:val="18"/>
          <w:lang w:val="ru-RU"/>
        </w:rPr>
        <w:t>осведомлению</w:t>
      </w:r>
      <w:r w:rsidRPr="008C4C7E">
        <w:rPr>
          <w:snapToGrid w:val="0"/>
          <w:kern w:val="22"/>
          <w:sz w:val="18"/>
          <w:szCs w:val="18"/>
          <w:lang w:val="ru-RU"/>
        </w:rPr>
        <w:t xml:space="preserve">, </w:t>
      </w:r>
      <w:r>
        <w:rPr>
          <w:snapToGrid w:val="0"/>
          <w:kern w:val="22"/>
          <w:sz w:val="18"/>
          <w:szCs w:val="18"/>
          <w:lang w:val="ru-RU"/>
        </w:rPr>
        <w:t>просвещению и участию общественности в отношении живых измененных организмов»</w:t>
      </w:r>
      <w:r w:rsidRPr="008C4C7E">
        <w:rPr>
          <w:snapToGrid w:val="0"/>
          <w:kern w:val="22"/>
          <w:sz w:val="18"/>
          <w:szCs w:val="18"/>
          <w:lang w:val="ru-RU"/>
        </w:rPr>
        <w:t xml:space="preserve"> </w:t>
      </w:r>
      <w:r>
        <w:rPr>
          <w:snapToGrid w:val="0"/>
          <w:kern w:val="22"/>
          <w:sz w:val="18"/>
          <w:szCs w:val="18"/>
          <w:lang w:val="ru-RU"/>
        </w:rPr>
        <w:t>был использован для поддержки анализа, приведенного в разделах</w:t>
      </w:r>
      <w:r w:rsidRPr="008C4C7E">
        <w:rPr>
          <w:snapToGrid w:val="0"/>
          <w:kern w:val="22"/>
          <w:sz w:val="18"/>
          <w:szCs w:val="18"/>
          <w:lang w:val="ru-RU"/>
        </w:rPr>
        <w:t xml:space="preserve"> </w:t>
      </w:r>
      <w:r w:rsidRPr="008D6A50">
        <w:rPr>
          <w:snapToGrid w:val="0"/>
          <w:kern w:val="22"/>
          <w:sz w:val="18"/>
          <w:szCs w:val="18"/>
          <w:lang w:val="en-US"/>
        </w:rPr>
        <w:t>III</w:t>
      </w:r>
      <w:r>
        <w:rPr>
          <w:snapToGrid w:val="0"/>
          <w:kern w:val="22"/>
          <w:sz w:val="18"/>
          <w:szCs w:val="18"/>
          <w:lang w:val="ru-RU"/>
        </w:rPr>
        <w:t> </w:t>
      </w:r>
      <w:r w:rsidRPr="008D6A50">
        <w:rPr>
          <w:snapToGrid w:val="0"/>
          <w:kern w:val="22"/>
          <w:sz w:val="18"/>
          <w:szCs w:val="18"/>
          <w:lang w:val="en-US"/>
        </w:rPr>
        <w:t>k</w:t>
      </w:r>
      <w:r w:rsidRPr="008C4C7E">
        <w:rPr>
          <w:snapToGrid w:val="0"/>
          <w:kern w:val="22"/>
          <w:sz w:val="18"/>
          <w:szCs w:val="18"/>
          <w:lang w:val="ru-RU"/>
        </w:rPr>
        <w:t xml:space="preserve">) </w:t>
      </w:r>
      <w:r>
        <w:rPr>
          <w:snapToGrid w:val="0"/>
          <w:kern w:val="22"/>
          <w:sz w:val="18"/>
          <w:szCs w:val="18"/>
          <w:lang w:val="ru-RU"/>
        </w:rPr>
        <w:t>и</w:t>
      </w:r>
      <w:r w:rsidRPr="008C4C7E">
        <w:rPr>
          <w:snapToGrid w:val="0"/>
          <w:kern w:val="22"/>
          <w:sz w:val="18"/>
          <w:szCs w:val="18"/>
          <w:lang w:val="ru-RU"/>
        </w:rPr>
        <w:t xml:space="preserve"> </w:t>
      </w:r>
      <w:r w:rsidRPr="008D6A50">
        <w:rPr>
          <w:snapToGrid w:val="0"/>
          <w:kern w:val="22"/>
          <w:sz w:val="18"/>
          <w:szCs w:val="18"/>
          <w:lang w:val="en-US"/>
        </w:rPr>
        <w:t>III</w:t>
      </w:r>
      <w:r>
        <w:rPr>
          <w:snapToGrid w:val="0"/>
          <w:kern w:val="22"/>
          <w:sz w:val="18"/>
          <w:szCs w:val="18"/>
          <w:lang w:val="ru-RU"/>
        </w:rPr>
        <w:t> </w:t>
      </w:r>
      <w:r w:rsidRPr="008D6A50">
        <w:rPr>
          <w:snapToGrid w:val="0"/>
          <w:kern w:val="22"/>
          <w:sz w:val="18"/>
          <w:szCs w:val="18"/>
          <w:lang w:val="en-US"/>
        </w:rPr>
        <w:t>l</w:t>
      </w:r>
      <w:r w:rsidRPr="008C4C7E">
        <w:rPr>
          <w:snapToGrid w:val="0"/>
          <w:kern w:val="22"/>
          <w:sz w:val="18"/>
          <w:szCs w:val="18"/>
          <w:lang w:val="ru-RU"/>
        </w:rPr>
        <w:t>)</w:t>
      </w:r>
      <w:r w:rsidRPr="008C4C7E">
        <w:rPr>
          <w:sz w:val="18"/>
          <w:szCs w:val="18"/>
          <w:lang w:val="ru-RU"/>
        </w:rPr>
        <w:t xml:space="preserve">. </w:t>
      </w:r>
      <w:r>
        <w:rPr>
          <w:sz w:val="18"/>
          <w:szCs w:val="18"/>
          <w:lang w:val="ru-RU"/>
        </w:rPr>
        <w:t>В</w:t>
      </w:r>
      <w:r w:rsidRPr="008C4C7E">
        <w:rPr>
          <w:sz w:val="18"/>
          <w:szCs w:val="18"/>
          <w:lang w:val="ru-RU"/>
        </w:rPr>
        <w:t xml:space="preserve"> </w:t>
      </w:r>
      <w:r>
        <w:rPr>
          <w:sz w:val="18"/>
          <w:szCs w:val="18"/>
          <w:lang w:val="ru-RU"/>
        </w:rPr>
        <w:t>тех</w:t>
      </w:r>
      <w:r w:rsidRPr="008C4C7E">
        <w:rPr>
          <w:sz w:val="18"/>
          <w:szCs w:val="18"/>
          <w:lang w:val="ru-RU"/>
        </w:rPr>
        <w:t xml:space="preserve"> </w:t>
      </w:r>
      <w:r>
        <w:rPr>
          <w:sz w:val="18"/>
          <w:szCs w:val="18"/>
          <w:lang w:val="ru-RU"/>
        </w:rPr>
        <w:t>случаях</w:t>
      </w:r>
      <w:r w:rsidRPr="008C4C7E">
        <w:rPr>
          <w:sz w:val="18"/>
          <w:szCs w:val="18"/>
          <w:lang w:val="ru-RU"/>
        </w:rPr>
        <w:t xml:space="preserve">, </w:t>
      </w:r>
      <w:r>
        <w:rPr>
          <w:sz w:val="18"/>
          <w:szCs w:val="18"/>
          <w:lang w:val="ru-RU"/>
        </w:rPr>
        <w:t>когда</w:t>
      </w:r>
      <w:r w:rsidRPr="008C4C7E">
        <w:rPr>
          <w:sz w:val="18"/>
          <w:szCs w:val="18"/>
          <w:lang w:val="ru-RU"/>
        </w:rPr>
        <w:t xml:space="preserve"> </w:t>
      </w:r>
      <w:r>
        <w:rPr>
          <w:sz w:val="18"/>
          <w:szCs w:val="18"/>
          <w:lang w:val="ru-RU"/>
        </w:rPr>
        <w:t>использовались</w:t>
      </w:r>
      <w:r w:rsidRPr="008C4C7E">
        <w:rPr>
          <w:sz w:val="18"/>
          <w:szCs w:val="18"/>
          <w:lang w:val="ru-RU"/>
        </w:rPr>
        <w:t xml:space="preserve"> </w:t>
      </w:r>
      <w:r>
        <w:rPr>
          <w:sz w:val="18"/>
          <w:szCs w:val="18"/>
          <w:lang w:val="ru-RU"/>
        </w:rPr>
        <w:t>дополнительные</w:t>
      </w:r>
      <w:r w:rsidRPr="008C4C7E">
        <w:rPr>
          <w:sz w:val="18"/>
          <w:szCs w:val="18"/>
          <w:lang w:val="ru-RU"/>
        </w:rPr>
        <w:t xml:space="preserve"> </w:t>
      </w:r>
      <w:r>
        <w:rPr>
          <w:sz w:val="18"/>
          <w:szCs w:val="18"/>
          <w:lang w:val="ru-RU"/>
        </w:rPr>
        <w:t>источники</w:t>
      </w:r>
      <w:r w:rsidRPr="008C4C7E">
        <w:rPr>
          <w:sz w:val="18"/>
          <w:szCs w:val="18"/>
          <w:lang w:val="ru-RU"/>
        </w:rPr>
        <w:t xml:space="preserve"> </w:t>
      </w:r>
      <w:r>
        <w:rPr>
          <w:sz w:val="18"/>
          <w:szCs w:val="18"/>
          <w:lang w:val="ru-RU"/>
        </w:rPr>
        <w:t>информации</w:t>
      </w:r>
      <w:r w:rsidRPr="008C4C7E">
        <w:rPr>
          <w:sz w:val="18"/>
          <w:szCs w:val="18"/>
          <w:lang w:val="ru-RU"/>
        </w:rPr>
        <w:t xml:space="preserve">, </w:t>
      </w:r>
      <w:r>
        <w:rPr>
          <w:sz w:val="18"/>
          <w:szCs w:val="18"/>
          <w:lang w:val="ru-RU"/>
        </w:rPr>
        <w:t>на эти источники были сделаны ссылки в настоящем документе</w:t>
      </w:r>
      <w:r w:rsidRPr="008C4C7E">
        <w:rPr>
          <w:sz w:val="18"/>
          <w:szCs w:val="18"/>
          <w:lang w:val="ru-RU"/>
        </w:rPr>
        <w:t xml:space="preserve">. </w:t>
      </w:r>
    </w:p>
  </w:footnote>
  <w:footnote w:id="7">
    <w:p w14:paraId="63541AE4" w14:textId="1197353D" w:rsidR="003926D8" w:rsidRPr="005B25C1" w:rsidRDefault="003926D8" w:rsidP="009A3EF2">
      <w:pPr>
        <w:pStyle w:val="aa"/>
        <w:snapToGrid w:val="0"/>
        <w:spacing w:after="60"/>
        <w:rPr>
          <w:kern w:val="18"/>
          <w:sz w:val="18"/>
          <w:szCs w:val="18"/>
          <w:lang w:val="ru-RU"/>
        </w:rPr>
      </w:pPr>
      <w:r w:rsidRPr="008D6A50">
        <w:rPr>
          <w:rStyle w:val="ac"/>
          <w:kern w:val="18"/>
          <w:sz w:val="18"/>
          <w:szCs w:val="18"/>
        </w:rPr>
        <w:footnoteRef/>
      </w:r>
      <w:r w:rsidRPr="005B25C1">
        <w:rPr>
          <w:kern w:val="18"/>
          <w:sz w:val="18"/>
          <w:szCs w:val="18"/>
          <w:lang w:val="ru-RU"/>
        </w:rPr>
        <w:t xml:space="preserve"> </w:t>
      </w:r>
      <w:r>
        <w:rPr>
          <w:kern w:val="18"/>
          <w:sz w:val="18"/>
          <w:szCs w:val="18"/>
          <w:lang w:val="ru-RU"/>
        </w:rPr>
        <w:t>Анализ</w:t>
      </w:r>
      <w:r w:rsidRPr="005B25C1">
        <w:rPr>
          <w:kern w:val="18"/>
          <w:sz w:val="18"/>
          <w:szCs w:val="18"/>
          <w:lang w:val="ru-RU"/>
        </w:rPr>
        <w:t xml:space="preserve">, </w:t>
      </w:r>
      <w:r>
        <w:rPr>
          <w:kern w:val="18"/>
          <w:sz w:val="18"/>
          <w:szCs w:val="18"/>
          <w:lang w:val="ru-RU"/>
        </w:rPr>
        <w:t>на</w:t>
      </w:r>
      <w:r w:rsidRPr="005B25C1">
        <w:rPr>
          <w:kern w:val="18"/>
          <w:sz w:val="18"/>
          <w:szCs w:val="18"/>
          <w:lang w:val="ru-RU"/>
        </w:rPr>
        <w:t xml:space="preserve"> </w:t>
      </w:r>
      <w:r>
        <w:rPr>
          <w:kern w:val="18"/>
          <w:sz w:val="18"/>
          <w:szCs w:val="18"/>
          <w:lang w:val="ru-RU"/>
        </w:rPr>
        <w:t>основе</w:t>
      </w:r>
      <w:r w:rsidRPr="005B25C1">
        <w:rPr>
          <w:kern w:val="18"/>
          <w:sz w:val="18"/>
          <w:szCs w:val="18"/>
          <w:lang w:val="ru-RU"/>
        </w:rPr>
        <w:t xml:space="preserve"> </w:t>
      </w:r>
      <w:r>
        <w:rPr>
          <w:kern w:val="18"/>
          <w:sz w:val="18"/>
          <w:szCs w:val="18"/>
          <w:lang w:val="ru-RU"/>
        </w:rPr>
        <w:t>которого</w:t>
      </w:r>
      <w:r w:rsidRPr="005B25C1">
        <w:rPr>
          <w:kern w:val="18"/>
          <w:sz w:val="18"/>
          <w:szCs w:val="18"/>
          <w:lang w:val="ru-RU"/>
        </w:rPr>
        <w:t xml:space="preserve"> </w:t>
      </w:r>
      <w:r>
        <w:rPr>
          <w:kern w:val="18"/>
          <w:sz w:val="18"/>
          <w:szCs w:val="18"/>
          <w:lang w:val="ru-RU"/>
        </w:rPr>
        <w:t>был</w:t>
      </w:r>
      <w:r w:rsidRPr="005B25C1">
        <w:rPr>
          <w:kern w:val="18"/>
          <w:sz w:val="18"/>
          <w:szCs w:val="18"/>
          <w:lang w:val="ru-RU"/>
        </w:rPr>
        <w:t xml:space="preserve"> </w:t>
      </w:r>
      <w:r>
        <w:rPr>
          <w:kern w:val="18"/>
          <w:sz w:val="18"/>
          <w:szCs w:val="18"/>
          <w:lang w:val="ru-RU"/>
        </w:rPr>
        <w:t>сформирован</w:t>
      </w:r>
      <w:r w:rsidRPr="005B25C1">
        <w:rPr>
          <w:kern w:val="18"/>
          <w:sz w:val="18"/>
          <w:szCs w:val="18"/>
          <w:lang w:val="ru-RU"/>
        </w:rPr>
        <w:t xml:space="preserve"> </w:t>
      </w:r>
      <w:r>
        <w:rPr>
          <w:kern w:val="18"/>
          <w:sz w:val="18"/>
          <w:szCs w:val="18"/>
          <w:lang w:val="ru-RU"/>
        </w:rPr>
        <w:t>исходный</w:t>
      </w:r>
      <w:r w:rsidRPr="005B25C1">
        <w:rPr>
          <w:kern w:val="18"/>
          <w:sz w:val="18"/>
          <w:szCs w:val="18"/>
          <w:lang w:val="ru-RU"/>
        </w:rPr>
        <w:t xml:space="preserve"> </w:t>
      </w:r>
      <w:r>
        <w:rPr>
          <w:kern w:val="18"/>
          <w:sz w:val="18"/>
          <w:szCs w:val="18"/>
          <w:lang w:val="ru-RU"/>
        </w:rPr>
        <w:t>уровень</w:t>
      </w:r>
      <w:r w:rsidRPr="005B25C1">
        <w:rPr>
          <w:kern w:val="18"/>
          <w:sz w:val="18"/>
          <w:szCs w:val="18"/>
          <w:lang w:val="ru-RU"/>
        </w:rPr>
        <w:t>,</w:t>
      </w:r>
      <w:r>
        <w:rPr>
          <w:kern w:val="18"/>
          <w:sz w:val="18"/>
          <w:szCs w:val="18"/>
          <w:lang w:val="ru-RU"/>
        </w:rPr>
        <w:t xml:space="preserve"> был выполнен с использованием вторых национальных докладов, полученных к </w:t>
      </w:r>
      <w:r w:rsidRPr="005B25C1">
        <w:rPr>
          <w:kern w:val="18"/>
          <w:sz w:val="18"/>
          <w:szCs w:val="18"/>
          <w:lang w:val="ru-RU"/>
        </w:rPr>
        <w:t xml:space="preserve">31 </w:t>
      </w:r>
      <w:r>
        <w:rPr>
          <w:kern w:val="18"/>
          <w:sz w:val="18"/>
          <w:szCs w:val="18"/>
          <w:lang w:val="ru-RU"/>
        </w:rPr>
        <w:t>декабря</w:t>
      </w:r>
      <w:r w:rsidRPr="005B25C1">
        <w:rPr>
          <w:kern w:val="18"/>
          <w:sz w:val="18"/>
          <w:szCs w:val="18"/>
          <w:lang w:val="ru-RU"/>
        </w:rPr>
        <w:t xml:space="preserve"> 2011</w:t>
      </w:r>
      <w:r>
        <w:rPr>
          <w:kern w:val="18"/>
          <w:sz w:val="18"/>
          <w:szCs w:val="18"/>
          <w:lang w:val="ru-RU"/>
        </w:rPr>
        <w:t xml:space="preserve"> года</w:t>
      </w:r>
      <w:r w:rsidRPr="005B25C1">
        <w:rPr>
          <w:kern w:val="18"/>
          <w:sz w:val="18"/>
          <w:szCs w:val="18"/>
          <w:lang w:val="ru-RU"/>
        </w:rPr>
        <w:t xml:space="preserve"> (</w:t>
      </w:r>
      <w:proofErr w:type="spellStart"/>
      <w:r w:rsidRPr="00FD36FE">
        <w:rPr>
          <w:kern w:val="18"/>
          <w:sz w:val="18"/>
          <w:szCs w:val="18"/>
        </w:rPr>
        <w:t>UNEP</w:t>
      </w:r>
      <w:proofErr w:type="spellEnd"/>
      <w:r w:rsidRPr="005B25C1">
        <w:rPr>
          <w:kern w:val="18"/>
          <w:sz w:val="18"/>
          <w:szCs w:val="18"/>
          <w:lang w:val="ru-RU"/>
        </w:rPr>
        <w:t>/</w:t>
      </w:r>
      <w:proofErr w:type="spellStart"/>
      <w:r w:rsidRPr="00FD36FE">
        <w:rPr>
          <w:kern w:val="18"/>
          <w:sz w:val="18"/>
          <w:szCs w:val="18"/>
        </w:rPr>
        <w:t>CBD</w:t>
      </w:r>
      <w:proofErr w:type="spellEnd"/>
      <w:r w:rsidRPr="005B25C1">
        <w:rPr>
          <w:kern w:val="18"/>
          <w:sz w:val="18"/>
          <w:szCs w:val="18"/>
          <w:lang w:val="ru-RU"/>
        </w:rPr>
        <w:t>/</w:t>
      </w:r>
      <w:r w:rsidRPr="00FD36FE">
        <w:rPr>
          <w:kern w:val="18"/>
          <w:sz w:val="18"/>
          <w:szCs w:val="18"/>
        </w:rPr>
        <w:t>BS</w:t>
      </w:r>
      <w:r w:rsidRPr="005B25C1">
        <w:rPr>
          <w:kern w:val="18"/>
          <w:sz w:val="18"/>
          <w:szCs w:val="18"/>
          <w:lang w:val="ru-RU"/>
        </w:rPr>
        <w:t>/</w:t>
      </w:r>
      <w:r w:rsidRPr="00FD36FE">
        <w:rPr>
          <w:kern w:val="18"/>
          <w:sz w:val="18"/>
          <w:szCs w:val="18"/>
        </w:rPr>
        <w:t>COP</w:t>
      </w:r>
      <w:r w:rsidRPr="005B25C1">
        <w:rPr>
          <w:kern w:val="18"/>
          <w:sz w:val="18"/>
          <w:szCs w:val="18"/>
          <w:lang w:val="ru-RU"/>
        </w:rPr>
        <w:t>-</w:t>
      </w:r>
      <w:r w:rsidRPr="00FD36FE">
        <w:rPr>
          <w:kern w:val="18"/>
          <w:sz w:val="18"/>
          <w:szCs w:val="18"/>
        </w:rPr>
        <w:t>MOP</w:t>
      </w:r>
      <w:r w:rsidRPr="005B25C1">
        <w:rPr>
          <w:kern w:val="18"/>
          <w:sz w:val="18"/>
          <w:szCs w:val="18"/>
          <w:lang w:val="ru-RU"/>
        </w:rPr>
        <w:t>/6/17/</w:t>
      </w:r>
      <w:r w:rsidRPr="00FD36FE">
        <w:rPr>
          <w:kern w:val="18"/>
          <w:sz w:val="18"/>
          <w:szCs w:val="18"/>
        </w:rPr>
        <w:t>Add</w:t>
      </w:r>
      <w:r w:rsidRPr="005B25C1">
        <w:rPr>
          <w:kern w:val="18"/>
          <w:sz w:val="18"/>
          <w:szCs w:val="18"/>
          <w:lang w:val="ru-RU"/>
        </w:rPr>
        <w:t xml:space="preserve">.1). </w:t>
      </w:r>
      <w:r>
        <w:rPr>
          <w:kern w:val="18"/>
          <w:sz w:val="18"/>
          <w:szCs w:val="18"/>
          <w:lang w:val="ru-RU"/>
        </w:rPr>
        <w:t>Обследование</w:t>
      </w:r>
      <w:r w:rsidRPr="005B25C1">
        <w:rPr>
          <w:kern w:val="18"/>
          <w:sz w:val="18"/>
          <w:szCs w:val="18"/>
          <w:lang w:val="ru-RU"/>
        </w:rPr>
        <w:t xml:space="preserve"> </w:t>
      </w:r>
      <w:r>
        <w:rPr>
          <w:kern w:val="18"/>
          <w:sz w:val="18"/>
          <w:szCs w:val="18"/>
          <w:lang w:val="ru-RU"/>
        </w:rPr>
        <w:t>было</w:t>
      </w:r>
      <w:r w:rsidRPr="005B25C1">
        <w:rPr>
          <w:kern w:val="18"/>
          <w:sz w:val="18"/>
          <w:szCs w:val="18"/>
          <w:lang w:val="ru-RU"/>
        </w:rPr>
        <w:t xml:space="preserve"> </w:t>
      </w:r>
      <w:r>
        <w:rPr>
          <w:kern w:val="18"/>
          <w:sz w:val="18"/>
          <w:szCs w:val="18"/>
          <w:lang w:val="ru-RU"/>
        </w:rPr>
        <w:t>проведено</w:t>
      </w:r>
      <w:r w:rsidRPr="005B25C1">
        <w:rPr>
          <w:kern w:val="18"/>
          <w:sz w:val="18"/>
          <w:szCs w:val="18"/>
          <w:lang w:val="ru-RU"/>
        </w:rPr>
        <w:t xml:space="preserve"> </w:t>
      </w:r>
      <w:r>
        <w:rPr>
          <w:kern w:val="18"/>
          <w:sz w:val="18"/>
          <w:szCs w:val="18"/>
          <w:lang w:val="ru-RU"/>
        </w:rPr>
        <w:t>в</w:t>
      </w:r>
      <w:r w:rsidRPr="005B25C1">
        <w:rPr>
          <w:kern w:val="18"/>
          <w:sz w:val="18"/>
          <w:szCs w:val="18"/>
          <w:lang w:val="ru-RU"/>
        </w:rPr>
        <w:t xml:space="preserve"> 2013 </w:t>
      </w:r>
      <w:r>
        <w:rPr>
          <w:kern w:val="18"/>
          <w:sz w:val="18"/>
          <w:szCs w:val="18"/>
          <w:lang w:val="ru-RU"/>
        </w:rPr>
        <w:t>году</w:t>
      </w:r>
      <w:r w:rsidRPr="005B25C1">
        <w:rPr>
          <w:kern w:val="18"/>
          <w:sz w:val="18"/>
          <w:szCs w:val="18"/>
          <w:lang w:val="ru-RU"/>
        </w:rPr>
        <w:t xml:space="preserve">, </w:t>
      </w:r>
      <w:r>
        <w:rPr>
          <w:kern w:val="18"/>
          <w:sz w:val="18"/>
          <w:szCs w:val="18"/>
          <w:lang w:val="ru-RU"/>
        </w:rPr>
        <w:t>и ответы на него прислали</w:t>
      </w:r>
      <w:r w:rsidRPr="005B25C1">
        <w:rPr>
          <w:kern w:val="18"/>
          <w:sz w:val="18"/>
          <w:szCs w:val="18"/>
          <w:lang w:val="ru-RU"/>
        </w:rPr>
        <w:t xml:space="preserve"> 109 </w:t>
      </w:r>
      <w:r>
        <w:rPr>
          <w:kern w:val="18"/>
          <w:sz w:val="18"/>
          <w:szCs w:val="18"/>
          <w:lang w:val="ru-RU"/>
        </w:rPr>
        <w:t>Сторон</w:t>
      </w:r>
      <w:r w:rsidRPr="005B25C1">
        <w:rPr>
          <w:kern w:val="18"/>
          <w:sz w:val="18"/>
          <w:szCs w:val="18"/>
          <w:lang w:val="ru-RU"/>
        </w:rPr>
        <w:t xml:space="preserve">. </w:t>
      </w:r>
      <w:r>
        <w:rPr>
          <w:kern w:val="18"/>
          <w:sz w:val="18"/>
          <w:szCs w:val="18"/>
          <w:lang w:val="ru-RU"/>
        </w:rPr>
        <w:t>Результаты</w:t>
      </w:r>
      <w:r w:rsidRPr="005B25C1">
        <w:rPr>
          <w:kern w:val="18"/>
          <w:sz w:val="18"/>
          <w:szCs w:val="18"/>
          <w:lang w:val="ru-RU"/>
        </w:rPr>
        <w:t xml:space="preserve"> </w:t>
      </w:r>
      <w:r>
        <w:rPr>
          <w:kern w:val="18"/>
          <w:sz w:val="18"/>
          <w:szCs w:val="18"/>
          <w:lang w:val="ru-RU"/>
        </w:rPr>
        <w:t>Обследования</w:t>
      </w:r>
      <w:r w:rsidRPr="005B25C1">
        <w:rPr>
          <w:kern w:val="18"/>
          <w:sz w:val="18"/>
          <w:szCs w:val="18"/>
          <w:lang w:val="ru-RU"/>
        </w:rPr>
        <w:t xml:space="preserve"> </w:t>
      </w:r>
      <w:r>
        <w:rPr>
          <w:kern w:val="18"/>
          <w:sz w:val="18"/>
          <w:szCs w:val="18"/>
          <w:lang w:val="ru-RU"/>
        </w:rPr>
        <w:t>доступны по адресу</w:t>
      </w:r>
      <w:r w:rsidRPr="005B25C1">
        <w:rPr>
          <w:kern w:val="18"/>
          <w:sz w:val="18"/>
          <w:szCs w:val="18"/>
          <w:lang w:val="ru-RU"/>
        </w:rPr>
        <w:t xml:space="preserve"> </w:t>
      </w:r>
      <w:hyperlink r:id="rId3" w:history="1">
        <w:r w:rsidRPr="000E679E">
          <w:rPr>
            <w:rStyle w:val="af6"/>
            <w:kern w:val="18"/>
            <w:sz w:val="18"/>
            <w:szCs w:val="18"/>
          </w:rPr>
          <w:t>http</w:t>
        </w:r>
        <w:r w:rsidRPr="005B25C1">
          <w:rPr>
            <w:rStyle w:val="af6"/>
            <w:kern w:val="18"/>
            <w:sz w:val="18"/>
            <w:szCs w:val="18"/>
            <w:lang w:val="ru-RU"/>
          </w:rPr>
          <w:t>://</w:t>
        </w:r>
        <w:r w:rsidRPr="000E679E">
          <w:rPr>
            <w:rStyle w:val="af6"/>
            <w:kern w:val="18"/>
            <w:sz w:val="18"/>
            <w:szCs w:val="18"/>
          </w:rPr>
          <w:t>bch</w:t>
        </w:r>
        <w:r w:rsidRPr="005B25C1">
          <w:rPr>
            <w:rStyle w:val="af6"/>
            <w:kern w:val="18"/>
            <w:sz w:val="18"/>
            <w:szCs w:val="18"/>
            <w:lang w:val="ru-RU"/>
          </w:rPr>
          <w:t>.</w:t>
        </w:r>
        <w:proofErr w:type="spellStart"/>
        <w:r w:rsidRPr="000E679E">
          <w:rPr>
            <w:rStyle w:val="af6"/>
            <w:kern w:val="18"/>
            <w:sz w:val="18"/>
            <w:szCs w:val="18"/>
          </w:rPr>
          <w:t>cbd</w:t>
        </w:r>
        <w:proofErr w:type="spellEnd"/>
        <w:r w:rsidRPr="005B25C1">
          <w:rPr>
            <w:rStyle w:val="af6"/>
            <w:kern w:val="18"/>
            <w:sz w:val="18"/>
            <w:szCs w:val="18"/>
            <w:lang w:val="ru-RU"/>
          </w:rPr>
          <w:t>.</w:t>
        </w:r>
        <w:proofErr w:type="spellStart"/>
        <w:r w:rsidRPr="000E679E">
          <w:rPr>
            <w:rStyle w:val="af6"/>
            <w:kern w:val="18"/>
            <w:sz w:val="18"/>
            <w:szCs w:val="18"/>
          </w:rPr>
          <w:t>int</w:t>
        </w:r>
        <w:proofErr w:type="spellEnd"/>
        <w:r w:rsidRPr="005B25C1">
          <w:rPr>
            <w:rStyle w:val="af6"/>
            <w:kern w:val="18"/>
            <w:sz w:val="18"/>
            <w:szCs w:val="18"/>
            <w:lang w:val="ru-RU"/>
          </w:rPr>
          <w:t>/</w:t>
        </w:r>
        <w:r w:rsidRPr="000E679E">
          <w:rPr>
            <w:rStyle w:val="af6"/>
            <w:kern w:val="18"/>
            <w:sz w:val="18"/>
            <w:szCs w:val="18"/>
          </w:rPr>
          <w:t>database</w:t>
        </w:r>
        <w:r w:rsidRPr="005B25C1">
          <w:rPr>
            <w:rStyle w:val="af6"/>
            <w:kern w:val="18"/>
            <w:sz w:val="18"/>
            <w:szCs w:val="18"/>
            <w:lang w:val="ru-RU"/>
          </w:rPr>
          <w:t>/</w:t>
        </w:r>
        <w:r w:rsidRPr="000E679E">
          <w:rPr>
            <w:rStyle w:val="af6"/>
            <w:kern w:val="18"/>
            <w:sz w:val="18"/>
            <w:szCs w:val="18"/>
          </w:rPr>
          <w:t>reports</w:t>
        </w:r>
        <w:r w:rsidRPr="005B25C1">
          <w:rPr>
            <w:rStyle w:val="af6"/>
            <w:kern w:val="18"/>
            <w:sz w:val="18"/>
            <w:szCs w:val="18"/>
            <w:lang w:val="ru-RU"/>
          </w:rPr>
          <w:t>/</w:t>
        </w:r>
        <w:proofErr w:type="spellStart"/>
        <w:r w:rsidRPr="000E679E">
          <w:rPr>
            <w:rStyle w:val="af6"/>
            <w:kern w:val="18"/>
            <w:sz w:val="18"/>
            <w:szCs w:val="18"/>
          </w:rPr>
          <w:t>surveyonindicators</w:t>
        </w:r>
        <w:proofErr w:type="spellEnd"/>
        <w:r w:rsidRPr="005B25C1">
          <w:rPr>
            <w:rStyle w:val="af6"/>
            <w:kern w:val="18"/>
            <w:sz w:val="18"/>
            <w:szCs w:val="18"/>
            <w:lang w:val="ru-RU"/>
          </w:rPr>
          <w:t>.</w:t>
        </w:r>
        <w:proofErr w:type="spellStart"/>
        <w:r w:rsidRPr="000E679E">
          <w:rPr>
            <w:rStyle w:val="af6"/>
            <w:kern w:val="18"/>
            <w:sz w:val="18"/>
            <w:szCs w:val="18"/>
          </w:rPr>
          <w:t>shtml</w:t>
        </w:r>
        <w:proofErr w:type="spellEnd"/>
      </w:hyperlink>
      <w:r w:rsidRPr="005B25C1">
        <w:rPr>
          <w:kern w:val="18"/>
          <w:sz w:val="18"/>
          <w:szCs w:val="18"/>
          <w:lang w:val="ru-RU"/>
        </w:rPr>
        <w:t>.</w:t>
      </w:r>
    </w:p>
  </w:footnote>
  <w:footnote w:id="8">
    <w:p w14:paraId="5EC9DFD5" w14:textId="2F899931" w:rsidR="003926D8" w:rsidRPr="005B25C1" w:rsidRDefault="003926D8" w:rsidP="009A3EF2">
      <w:pPr>
        <w:pStyle w:val="aa"/>
        <w:tabs>
          <w:tab w:val="left" w:pos="270"/>
        </w:tabs>
        <w:snapToGrid w:val="0"/>
        <w:spacing w:after="60"/>
        <w:rPr>
          <w:snapToGrid w:val="0"/>
          <w:kern w:val="18"/>
          <w:sz w:val="18"/>
          <w:szCs w:val="18"/>
          <w:lang w:val="ru-RU"/>
        </w:rPr>
      </w:pPr>
      <w:r w:rsidRPr="008D6A50">
        <w:rPr>
          <w:rStyle w:val="ac"/>
          <w:snapToGrid w:val="0"/>
          <w:kern w:val="18"/>
          <w:sz w:val="18"/>
          <w:szCs w:val="18"/>
        </w:rPr>
        <w:footnoteRef/>
      </w:r>
      <w:r w:rsidRPr="005B25C1">
        <w:rPr>
          <w:snapToGrid w:val="0"/>
          <w:kern w:val="18"/>
          <w:sz w:val="18"/>
          <w:szCs w:val="18"/>
          <w:lang w:val="ru-RU"/>
        </w:rPr>
        <w:t xml:space="preserve"> </w:t>
      </w:r>
      <w:r>
        <w:rPr>
          <w:sz w:val="18"/>
          <w:szCs w:val="18"/>
          <w:lang w:val="ru-RU"/>
        </w:rPr>
        <w:t>Анализатор докладов доступен по адресу</w:t>
      </w:r>
      <w:r w:rsidRPr="005B25C1">
        <w:rPr>
          <w:sz w:val="18"/>
          <w:szCs w:val="18"/>
          <w:lang w:val="ru-RU"/>
        </w:rPr>
        <w:t xml:space="preserve"> </w:t>
      </w:r>
      <w:hyperlink r:id="rId4" w:history="1">
        <w:r w:rsidRPr="008D6A50">
          <w:rPr>
            <w:rStyle w:val="af6"/>
            <w:snapToGrid w:val="0"/>
            <w:kern w:val="18"/>
            <w:sz w:val="18"/>
            <w:szCs w:val="18"/>
          </w:rPr>
          <w:t>http</w:t>
        </w:r>
        <w:r w:rsidRPr="005B25C1">
          <w:rPr>
            <w:rStyle w:val="af6"/>
            <w:snapToGrid w:val="0"/>
            <w:kern w:val="18"/>
            <w:sz w:val="18"/>
            <w:szCs w:val="18"/>
            <w:lang w:val="ru-RU"/>
          </w:rPr>
          <w:t>://</w:t>
        </w:r>
        <w:r w:rsidRPr="008D6A50">
          <w:rPr>
            <w:rStyle w:val="af6"/>
            <w:snapToGrid w:val="0"/>
            <w:kern w:val="18"/>
            <w:sz w:val="18"/>
            <w:szCs w:val="18"/>
          </w:rPr>
          <w:t>bch</w:t>
        </w:r>
        <w:r w:rsidRPr="005B25C1">
          <w:rPr>
            <w:rStyle w:val="af6"/>
            <w:snapToGrid w:val="0"/>
            <w:kern w:val="18"/>
            <w:sz w:val="18"/>
            <w:szCs w:val="18"/>
            <w:lang w:val="ru-RU"/>
          </w:rPr>
          <w:t>.</w:t>
        </w:r>
        <w:proofErr w:type="spellStart"/>
        <w:r w:rsidRPr="008D6A50">
          <w:rPr>
            <w:rStyle w:val="af6"/>
            <w:snapToGrid w:val="0"/>
            <w:kern w:val="18"/>
            <w:sz w:val="18"/>
            <w:szCs w:val="18"/>
          </w:rPr>
          <w:t>cbd</w:t>
        </w:r>
        <w:proofErr w:type="spellEnd"/>
        <w:r w:rsidRPr="005B25C1">
          <w:rPr>
            <w:rStyle w:val="af6"/>
            <w:snapToGrid w:val="0"/>
            <w:kern w:val="18"/>
            <w:sz w:val="18"/>
            <w:szCs w:val="18"/>
            <w:lang w:val="ru-RU"/>
          </w:rPr>
          <w:t>.</w:t>
        </w:r>
        <w:proofErr w:type="spellStart"/>
        <w:r w:rsidRPr="008D6A50">
          <w:rPr>
            <w:rStyle w:val="af6"/>
            <w:snapToGrid w:val="0"/>
            <w:kern w:val="18"/>
            <w:sz w:val="18"/>
            <w:szCs w:val="18"/>
          </w:rPr>
          <w:t>int</w:t>
        </w:r>
        <w:proofErr w:type="spellEnd"/>
        <w:r w:rsidRPr="005B25C1">
          <w:rPr>
            <w:rStyle w:val="af6"/>
            <w:snapToGrid w:val="0"/>
            <w:kern w:val="18"/>
            <w:sz w:val="18"/>
            <w:szCs w:val="18"/>
            <w:lang w:val="ru-RU"/>
          </w:rPr>
          <w:t>/</w:t>
        </w:r>
        <w:r w:rsidRPr="008D6A50">
          <w:rPr>
            <w:rStyle w:val="af6"/>
            <w:snapToGrid w:val="0"/>
            <w:kern w:val="18"/>
            <w:sz w:val="18"/>
            <w:szCs w:val="18"/>
          </w:rPr>
          <w:t>database</w:t>
        </w:r>
        <w:r w:rsidRPr="005B25C1">
          <w:rPr>
            <w:rStyle w:val="af6"/>
            <w:snapToGrid w:val="0"/>
            <w:kern w:val="18"/>
            <w:sz w:val="18"/>
            <w:szCs w:val="18"/>
            <w:lang w:val="ru-RU"/>
          </w:rPr>
          <w:t>/</w:t>
        </w:r>
        <w:r w:rsidRPr="008D6A50">
          <w:rPr>
            <w:rStyle w:val="af6"/>
            <w:snapToGrid w:val="0"/>
            <w:kern w:val="18"/>
            <w:sz w:val="18"/>
            <w:szCs w:val="18"/>
          </w:rPr>
          <w:t>reports</w:t>
        </w:r>
        <w:r w:rsidRPr="005B25C1">
          <w:rPr>
            <w:rStyle w:val="af6"/>
            <w:snapToGrid w:val="0"/>
            <w:kern w:val="18"/>
            <w:sz w:val="18"/>
            <w:szCs w:val="18"/>
            <w:lang w:val="ru-RU"/>
          </w:rPr>
          <w:t>/</w:t>
        </w:r>
        <w:proofErr w:type="spellStart"/>
        <w:r w:rsidRPr="008D6A50">
          <w:rPr>
            <w:rStyle w:val="af6"/>
            <w:snapToGrid w:val="0"/>
            <w:kern w:val="18"/>
            <w:sz w:val="18"/>
            <w:szCs w:val="18"/>
          </w:rPr>
          <w:t>analyzer</w:t>
        </w:r>
        <w:proofErr w:type="spellEnd"/>
      </w:hyperlink>
      <w:r w:rsidRPr="005B25C1">
        <w:rPr>
          <w:snapToGrid w:val="0"/>
          <w:kern w:val="18"/>
          <w:sz w:val="18"/>
          <w:szCs w:val="18"/>
          <w:lang w:val="ru-RU"/>
        </w:rPr>
        <w:t xml:space="preserve">. </w:t>
      </w:r>
      <w:r>
        <w:rPr>
          <w:snapToGrid w:val="0"/>
          <w:kern w:val="18"/>
          <w:sz w:val="18"/>
          <w:szCs w:val="18"/>
          <w:lang w:val="ru-RU"/>
        </w:rPr>
        <w:t>Этот</w:t>
      </w:r>
      <w:r w:rsidRPr="005B25C1">
        <w:rPr>
          <w:snapToGrid w:val="0"/>
          <w:kern w:val="18"/>
          <w:sz w:val="18"/>
          <w:szCs w:val="18"/>
          <w:lang w:val="ru-RU"/>
        </w:rPr>
        <w:t xml:space="preserve"> </w:t>
      </w:r>
      <w:r>
        <w:rPr>
          <w:snapToGrid w:val="0"/>
          <w:kern w:val="18"/>
          <w:sz w:val="18"/>
          <w:szCs w:val="18"/>
          <w:lang w:val="ru-RU"/>
        </w:rPr>
        <w:t>инструмент</w:t>
      </w:r>
      <w:r w:rsidRPr="005B25C1">
        <w:rPr>
          <w:snapToGrid w:val="0"/>
          <w:kern w:val="18"/>
          <w:sz w:val="18"/>
          <w:szCs w:val="18"/>
          <w:lang w:val="ru-RU"/>
        </w:rPr>
        <w:t xml:space="preserve"> </w:t>
      </w:r>
      <w:r>
        <w:rPr>
          <w:snapToGrid w:val="0"/>
          <w:kern w:val="18"/>
          <w:sz w:val="18"/>
          <w:szCs w:val="18"/>
          <w:lang w:val="ru-RU"/>
        </w:rPr>
        <w:t>обеспечивает</w:t>
      </w:r>
      <w:r w:rsidRPr="005B25C1">
        <w:rPr>
          <w:snapToGrid w:val="0"/>
          <w:kern w:val="18"/>
          <w:sz w:val="18"/>
          <w:szCs w:val="18"/>
          <w:lang w:val="ru-RU"/>
        </w:rPr>
        <w:t xml:space="preserve"> </w:t>
      </w:r>
      <w:r>
        <w:rPr>
          <w:snapToGrid w:val="0"/>
          <w:kern w:val="18"/>
          <w:sz w:val="18"/>
          <w:szCs w:val="18"/>
          <w:lang w:val="ru-RU"/>
        </w:rPr>
        <w:t>сравнение</w:t>
      </w:r>
      <w:r w:rsidRPr="005B25C1">
        <w:rPr>
          <w:snapToGrid w:val="0"/>
          <w:kern w:val="18"/>
          <w:sz w:val="18"/>
          <w:szCs w:val="18"/>
          <w:lang w:val="ru-RU"/>
        </w:rPr>
        <w:t xml:space="preserve"> </w:t>
      </w:r>
      <w:r>
        <w:rPr>
          <w:snapToGrid w:val="0"/>
          <w:kern w:val="18"/>
          <w:sz w:val="18"/>
          <w:szCs w:val="18"/>
          <w:lang w:val="ru-RU"/>
        </w:rPr>
        <w:t>информации</w:t>
      </w:r>
      <w:r w:rsidRPr="005B25C1">
        <w:rPr>
          <w:snapToGrid w:val="0"/>
          <w:kern w:val="18"/>
          <w:sz w:val="18"/>
          <w:szCs w:val="18"/>
          <w:lang w:val="ru-RU"/>
        </w:rPr>
        <w:t xml:space="preserve">, </w:t>
      </w:r>
      <w:r>
        <w:rPr>
          <w:snapToGrid w:val="0"/>
          <w:kern w:val="18"/>
          <w:sz w:val="18"/>
          <w:szCs w:val="18"/>
          <w:lang w:val="ru-RU"/>
        </w:rPr>
        <w:t>представленной</w:t>
      </w:r>
      <w:r w:rsidRPr="005B25C1">
        <w:rPr>
          <w:snapToGrid w:val="0"/>
          <w:kern w:val="18"/>
          <w:sz w:val="18"/>
          <w:szCs w:val="18"/>
          <w:lang w:val="ru-RU"/>
        </w:rPr>
        <w:t xml:space="preserve"> </w:t>
      </w:r>
      <w:r>
        <w:rPr>
          <w:snapToGrid w:val="0"/>
          <w:kern w:val="18"/>
          <w:sz w:val="18"/>
          <w:szCs w:val="18"/>
          <w:lang w:val="ru-RU"/>
        </w:rPr>
        <w:t>в</w:t>
      </w:r>
      <w:r w:rsidRPr="005B25C1">
        <w:rPr>
          <w:snapToGrid w:val="0"/>
          <w:kern w:val="18"/>
          <w:sz w:val="18"/>
          <w:szCs w:val="18"/>
          <w:lang w:val="ru-RU"/>
        </w:rPr>
        <w:t xml:space="preserve"> </w:t>
      </w:r>
      <w:r>
        <w:rPr>
          <w:snapToGrid w:val="0"/>
          <w:kern w:val="18"/>
          <w:sz w:val="18"/>
          <w:szCs w:val="18"/>
          <w:lang w:val="ru-RU"/>
        </w:rPr>
        <w:t>четвертых</w:t>
      </w:r>
      <w:r w:rsidRPr="005B25C1">
        <w:rPr>
          <w:snapToGrid w:val="0"/>
          <w:kern w:val="18"/>
          <w:sz w:val="18"/>
          <w:szCs w:val="18"/>
          <w:lang w:val="ru-RU"/>
        </w:rPr>
        <w:t xml:space="preserve">, </w:t>
      </w:r>
      <w:r>
        <w:rPr>
          <w:snapToGrid w:val="0"/>
          <w:kern w:val="18"/>
          <w:sz w:val="18"/>
          <w:szCs w:val="18"/>
          <w:lang w:val="ru-RU"/>
        </w:rPr>
        <w:t>третьих</w:t>
      </w:r>
      <w:r w:rsidRPr="005B25C1">
        <w:rPr>
          <w:snapToGrid w:val="0"/>
          <w:kern w:val="18"/>
          <w:sz w:val="18"/>
          <w:szCs w:val="18"/>
          <w:lang w:val="ru-RU"/>
        </w:rPr>
        <w:t xml:space="preserve"> </w:t>
      </w:r>
      <w:r>
        <w:rPr>
          <w:snapToGrid w:val="0"/>
          <w:kern w:val="18"/>
          <w:sz w:val="18"/>
          <w:szCs w:val="18"/>
          <w:lang w:val="ru-RU"/>
        </w:rPr>
        <w:t>и</w:t>
      </w:r>
      <w:r w:rsidRPr="005B25C1">
        <w:rPr>
          <w:snapToGrid w:val="0"/>
          <w:kern w:val="18"/>
          <w:sz w:val="18"/>
          <w:szCs w:val="18"/>
          <w:lang w:val="ru-RU"/>
        </w:rPr>
        <w:t xml:space="preserve"> </w:t>
      </w:r>
      <w:r>
        <w:rPr>
          <w:snapToGrid w:val="0"/>
          <w:kern w:val="18"/>
          <w:sz w:val="18"/>
          <w:szCs w:val="18"/>
          <w:lang w:val="ru-RU"/>
        </w:rPr>
        <w:t>вторых</w:t>
      </w:r>
      <w:r w:rsidRPr="005B25C1">
        <w:rPr>
          <w:snapToGrid w:val="0"/>
          <w:kern w:val="18"/>
          <w:sz w:val="18"/>
          <w:szCs w:val="18"/>
          <w:lang w:val="ru-RU"/>
        </w:rPr>
        <w:t xml:space="preserve"> </w:t>
      </w:r>
      <w:r>
        <w:rPr>
          <w:snapToGrid w:val="0"/>
          <w:kern w:val="18"/>
          <w:sz w:val="18"/>
          <w:szCs w:val="18"/>
          <w:lang w:val="ru-RU"/>
        </w:rPr>
        <w:t>национальных</w:t>
      </w:r>
      <w:r w:rsidRPr="005B25C1">
        <w:rPr>
          <w:snapToGrid w:val="0"/>
          <w:kern w:val="18"/>
          <w:sz w:val="18"/>
          <w:szCs w:val="18"/>
          <w:lang w:val="ru-RU"/>
        </w:rPr>
        <w:t xml:space="preserve"> </w:t>
      </w:r>
      <w:r>
        <w:rPr>
          <w:snapToGrid w:val="0"/>
          <w:kern w:val="18"/>
          <w:sz w:val="18"/>
          <w:szCs w:val="18"/>
          <w:lang w:val="ru-RU"/>
        </w:rPr>
        <w:t>докладах</w:t>
      </w:r>
      <w:r w:rsidRPr="005B25C1">
        <w:rPr>
          <w:snapToGrid w:val="0"/>
          <w:kern w:val="18"/>
          <w:sz w:val="18"/>
          <w:szCs w:val="18"/>
          <w:lang w:val="ru-RU"/>
        </w:rPr>
        <w:t>,</w:t>
      </w:r>
      <w:r>
        <w:rPr>
          <w:snapToGrid w:val="0"/>
          <w:kern w:val="18"/>
          <w:sz w:val="18"/>
          <w:szCs w:val="18"/>
          <w:lang w:val="ru-RU"/>
        </w:rPr>
        <w:t xml:space="preserve"> а также в обследовании</w:t>
      </w:r>
      <w:r w:rsidRPr="005B25C1">
        <w:rPr>
          <w:snapToGrid w:val="0"/>
          <w:kern w:val="18"/>
          <w:sz w:val="18"/>
          <w:szCs w:val="18"/>
          <w:lang w:val="ru-RU"/>
        </w:rPr>
        <w:t>.</w:t>
      </w:r>
    </w:p>
  </w:footnote>
  <w:footnote w:id="9">
    <w:p w14:paraId="019CE7B1" w14:textId="061A8D85" w:rsidR="003926D8" w:rsidRPr="005B25C1" w:rsidRDefault="003926D8" w:rsidP="009A3EF2">
      <w:pPr>
        <w:pStyle w:val="aa"/>
        <w:spacing w:after="60"/>
        <w:rPr>
          <w:sz w:val="18"/>
          <w:szCs w:val="18"/>
          <w:lang w:val="ru-RU"/>
        </w:rPr>
      </w:pPr>
      <w:r w:rsidRPr="008D6A50">
        <w:rPr>
          <w:rStyle w:val="ac"/>
          <w:sz w:val="18"/>
          <w:szCs w:val="18"/>
        </w:rPr>
        <w:footnoteRef/>
      </w:r>
      <w:r w:rsidRPr="005B25C1">
        <w:rPr>
          <w:sz w:val="18"/>
          <w:szCs w:val="18"/>
          <w:lang w:val="ru-RU"/>
        </w:rPr>
        <w:t xml:space="preserve"> </w:t>
      </w:r>
      <w:r>
        <w:rPr>
          <w:sz w:val="18"/>
          <w:szCs w:val="18"/>
          <w:lang w:val="ru-RU"/>
        </w:rPr>
        <w:t>Таблица</w:t>
      </w:r>
      <w:r w:rsidRPr="005B25C1">
        <w:rPr>
          <w:sz w:val="18"/>
          <w:szCs w:val="18"/>
          <w:lang w:val="ru-RU"/>
        </w:rPr>
        <w:t xml:space="preserve">, </w:t>
      </w:r>
      <w:r>
        <w:rPr>
          <w:sz w:val="18"/>
          <w:szCs w:val="18"/>
          <w:lang w:val="ru-RU"/>
        </w:rPr>
        <w:t>содержащая</w:t>
      </w:r>
      <w:r w:rsidRPr="005B25C1">
        <w:rPr>
          <w:sz w:val="18"/>
          <w:szCs w:val="18"/>
          <w:lang w:val="ru-RU"/>
        </w:rPr>
        <w:t xml:space="preserve"> </w:t>
      </w:r>
      <w:r>
        <w:rPr>
          <w:sz w:val="18"/>
          <w:szCs w:val="18"/>
          <w:lang w:val="ru-RU"/>
        </w:rPr>
        <w:t>источники</w:t>
      </w:r>
      <w:r w:rsidRPr="005B25C1">
        <w:rPr>
          <w:sz w:val="18"/>
          <w:szCs w:val="18"/>
          <w:lang w:val="ru-RU"/>
        </w:rPr>
        <w:t xml:space="preserve"> </w:t>
      </w:r>
      <w:r>
        <w:rPr>
          <w:sz w:val="18"/>
          <w:szCs w:val="18"/>
          <w:lang w:val="ru-RU"/>
        </w:rPr>
        <w:t>информации</w:t>
      </w:r>
      <w:r w:rsidRPr="005B25C1">
        <w:rPr>
          <w:sz w:val="18"/>
          <w:szCs w:val="18"/>
          <w:lang w:val="ru-RU"/>
        </w:rPr>
        <w:t>,</w:t>
      </w:r>
      <w:r>
        <w:rPr>
          <w:sz w:val="18"/>
          <w:szCs w:val="18"/>
          <w:lang w:val="ru-RU"/>
        </w:rPr>
        <w:t xml:space="preserve"> на основе которой был проанализирован каждый индикатор, расположена по адресу</w:t>
      </w:r>
      <w:r w:rsidRPr="005B25C1">
        <w:rPr>
          <w:sz w:val="18"/>
          <w:szCs w:val="18"/>
          <w:lang w:val="ru-RU"/>
        </w:rPr>
        <w:t xml:space="preserve"> </w:t>
      </w:r>
      <w:hyperlink r:id="rId5" w:history="1">
        <w:r w:rsidRPr="00805746">
          <w:rPr>
            <w:rStyle w:val="af6"/>
            <w:sz w:val="18"/>
            <w:szCs w:val="18"/>
          </w:rPr>
          <w:t>http</w:t>
        </w:r>
        <w:r w:rsidRPr="005B25C1">
          <w:rPr>
            <w:rStyle w:val="af6"/>
            <w:sz w:val="18"/>
            <w:szCs w:val="18"/>
            <w:lang w:val="ru-RU"/>
          </w:rPr>
          <w:t>://</w:t>
        </w:r>
        <w:r w:rsidRPr="00805746">
          <w:rPr>
            <w:rStyle w:val="af6"/>
            <w:sz w:val="18"/>
            <w:szCs w:val="18"/>
          </w:rPr>
          <w:t>bch</w:t>
        </w:r>
        <w:r w:rsidRPr="005B25C1">
          <w:rPr>
            <w:rStyle w:val="af6"/>
            <w:sz w:val="18"/>
            <w:szCs w:val="18"/>
            <w:lang w:val="ru-RU"/>
          </w:rPr>
          <w:t>.</w:t>
        </w:r>
        <w:proofErr w:type="spellStart"/>
        <w:r w:rsidRPr="00805746">
          <w:rPr>
            <w:rStyle w:val="af6"/>
            <w:sz w:val="18"/>
            <w:szCs w:val="18"/>
          </w:rPr>
          <w:t>cbd</w:t>
        </w:r>
        <w:proofErr w:type="spellEnd"/>
        <w:r w:rsidRPr="005B25C1">
          <w:rPr>
            <w:rStyle w:val="af6"/>
            <w:sz w:val="18"/>
            <w:szCs w:val="18"/>
            <w:lang w:val="ru-RU"/>
          </w:rPr>
          <w:t>.</w:t>
        </w:r>
        <w:proofErr w:type="spellStart"/>
        <w:r w:rsidRPr="00805746">
          <w:rPr>
            <w:rStyle w:val="af6"/>
            <w:sz w:val="18"/>
            <w:szCs w:val="18"/>
          </w:rPr>
          <w:t>int</w:t>
        </w:r>
        <w:proofErr w:type="spellEnd"/>
        <w:r w:rsidRPr="005B25C1">
          <w:rPr>
            <w:rStyle w:val="af6"/>
            <w:sz w:val="18"/>
            <w:szCs w:val="18"/>
            <w:lang w:val="ru-RU"/>
          </w:rPr>
          <w:t>/</w:t>
        </w:r>
        <w:r w:rsidRPr="00805746">
          <w:rPr>
            <w:rStyle w:val="af6"/>
            <w:sz w:val="18"/>
            <w:szCs w:val="18"/>
          </w:rPr>
          <w:t>protocol</w:t>
        </w:r>
        <w:r w:rsidRPr="005B25C1">
          <w:rPr>
            <w:rStyle w:val="af6"/>
            <w:sz w:val="18"/>
            <w:szCs w:val="18"/>
            <w:lang w:val="ru-RU"/>
          </w:rPr>
          <w:t>/</w:t>
        </w:r>
        <w:r w:rsidRPr="00805746">
          <w:rPr>
            <w:rStyle w:val="af6"/>
            <w:sz w:val="18"/>
            <w:szCs w:val="18"/>
          </w:rPr>
          <w:t>issues</w:t>
        </w:r>
        <w:r w:rsidRPr="005B25C1">
          <w:rPr>
            <w:rStyle w:val="af6"/>
            <w:sz w:val="18"/>
            <w:szCs w:val="18"/>
            <w:lang w:val="ru-RU"/>
          </w:rPr>
          <w:t>/</w:t>
        </w:r>
        <w:r w:rsidRPr="00805746">
          <w:rPr>
            <w:rStyle w:val="af6"/>
            <w:sz w:val="18"/>
            <w:szCs w:val="18"/>
          </w:rPr>
          <w:t>final</w:t>
        </w:r>
        <w:r w:rsidRPr="005B25C1">
          <w:rPr>
            <w:rStyle w:val="af6"/>
            <w:sz w:val="18"/>
            <w:szCs w:val="18"/>
            <w:lang w:val="ru-RU"/>
          </w:rPr>
          <w:t>_</w:t>
        </w:r>
        <w:r w:rsidRPr="00805746">
          <w:rPr>
            <w:rStyle w:val="af6"/>
            <w:sz w:val="18"/>
            <w:szCs w:val="18"/>
          </w:rPr>
          <w:t>evaluation</w:t>
        </w:r>
        <w:r w:rsidRPr="005B25C1">
          <w:rPr>
            <w:rStyle w:val="af6"/>
            <w:sz w:val="18"/>
            <w:szCs w:val="18"/>
            <w:lang w:val="ru-RU"/>
          </w:rPr>
          <w:t>.</w:t>
        </w:r>
        <w:proofErr w:type="spellStart"/>
        <w:r w:rsidRPr="00805746">
          <w:rPr>
            <w:rStyle w:val="af6"/>
            <w:sz w:val="18"/>
            <w:szCs w:val="18"/>
          </w:rPr>
          <w:t>shtml</w:t>
        </w:r>
        <w:proofErr w:type="spellEnd"/>
      </w:hyperlink>
      <w:r w:rsidRPr="005B25C1">
        <w:rPr>
          <w:snapToGrid w:val="0"/>
          <w:kern w:val="18"/>
          <w:sz w:val="18"/>
          <w:szCs w:val="18"/>
          <w:lang w:val="ru-RU"/>
        </w:rPr>
        <w:t>.</w:t>
      </w:r>
    </w:p>
  </w:footnote>
  <w:footnote w:id="10">
    <w:p w14:paraId="210C223A" w14:textId="073467D9" w:rsidR="003926D8" w:rsidRPr="00E70034" w:rsidRDefault="003926D8" w:rsidP="009A3EF2">
      <w:pPr>
        <w:pStyle w:val="aa"/>
        <w:spacing w:after="60"/>
        <w:rPr>
          <w:sz w:val="18"/>
          <w:szCs w:val="18"/>
          <w:lang w:val="ru-RU"/>
        </w:rPr>
      </w:pPr>
      <w:r w:rsidRPr="008D6A50">
        <w:rPr>
          <w:rStyle w:val="ac"/>
          <w:sz w:val="18"/>
          <w:szCs w:val="18"/>
        </w:rPr>
        <w:footnoteRef/>
      </w:r>
      <w:r w:rsidRPr="00E70034">
        <w:rPr>
          <w:sz w:val="18"/>
          <w:szCs w:val="18"/>
          <w:lang w:val="ru-RU"/>
        </w:rPr>
        <w:t xml:space="preserve"> </w:t>
      </w:r>
      <w:r>
        <w:rPr>
          <w:sz w:val="18"/>
          <w:szCs w:val="18"/>
          <w:lang w:val="ru-RU"/>
        </w:rPr>
        <w:t>Сравнительный</w:t>
      </w:r>
      <w:r w:rsidRPr="00E70034">
        <w:rPr>
          <w:sz w:val="18"/>
          <w:szCs w:val="18"/>
          <w:lang w:val="ru-RU"/>
        </w:rPr>
        <w:t xml:space="preserve"> </w:t>
      </w:r>
      <w:r>
        <w:rPr>
          <w:sz w:val="18"/>
          <w:szCs w:val="18"/>
          <w:lang w:val="ru-RU"/>
        </w:rPr>
        <w:t>анализ</w:t>
      </w:r>
      <w:r w:rsidRPr="00E70034">
        <w:rPr>
          <w:sz w:val="18"/>
          <w:szCs w:val="18"/>
          <w:lang w:val="ru-RU"/>
        </w:rPr>
        <w:t xml:space="preserve"> </w:t>
      </w:r>
      <w:r>
        <w:rPr>
          <w:sz w:val="18"/>
          <w:szCs w:val="18"/>
          <w:lang w:val="ru-RU"/>
        </w:rPr>
        <w:t>информации</w:t>
      </w:r>
      <w:r w:rsidRPr="00E70034">
        <w:rPr>
          <w:sz w:val="18"/>
          <w:szCs w:val="18"/>
          <w:lang w:val="ru-RU"/>
        </w:rPr>
        <w:t xml:space="preserve"> </w:t>
      </w:r>
      <w:r>
        <w:rPr>
          <w:sz w:val="18"/>
          <w:szCs w:val="18"/>
          <w:lang w:val="ru-RU"/>
        </w:rPr>
        <w:t>для</w:t>
      </w:r>
      <w:r w:rsidRPr="00E70034">
        <w:rPr>
          <w:sz w:val="18"/>
          <w:szCs w:val="18"/>
          <w:lang w:val="ru-RU"/>
        </w:rPr>
        <w:t xml:space="preserve"> </w:t>
      </w:r>
      <w:r>
        <w:rPr>
          <w:sz w:val="18"/>
          <w:szCs w:val="18"/>
          <w:lang w:val="ru-RU"/>
        </w:rPr>
        <w:t>третьей</w:t>
      </w:r>
      <w:r w:rsidRPr="00E70034">
        <w:rPr>
          <w:sz w:val="18"/>
          <w:szCs w:val="18"/>
          <w:lang w:val="ru-RU"/>
        </w:rPr>
        <w:t xml:space="preserve"> </w:t>
      </w:r>
      <w:r>
        <w:rPr>
          <w:sz w:val="18"/>
          <w:szCs w:val="18"/>
          <w:lang w:val="ru-RU"/>
        </w:rPr>
        <w:t>оценки</w:t>
      </w:r>
      <w:r w:rsidRPr="00E70034">
        <w:rPr>
          <w:sz w:val="18"/>
          <w:szCs w:val="18"/>
          <w:lang w:val="ru-RU"/>
        </w:rPr>
        <w:t xml:space="preserve"> </w:t>
      </w:r>
      <w:r>
        <w:rPr>
          <w:sz w:val="18"/>
          <w:szCs w:val="18"/>
          <w:lang w:val="ru-RU"/>
        </w:rPr>
        <w:t>и</w:t>
      </w:r>
      <w:r w:rsidRPr="00E70034">
        <w:rPr>
          <w:sz w:val="18"/>
          <w:szCs w:val="18"/>
          <w:lang w:val="ru-RU"/>
        </w:rPr>
        <w:t xml:space="preserve"> </w:t>
      </w:r>
      <w:r>
        <w:rPr>
          <w:sz w:val="18"/>
          <w:szCs w:val="18"/>
          <w:lang w:val="ru-RU"/>
        </w:rPr>
        <w:t>обзора</w:t>
      </w:r>
      <w:r w:rsidRPr="00E70034">
        <w:rPr>
          <w:sz w:val="18"/>
          <w:szCs w:val="18"/>
          <w:lang w:val="ru-RU"/>
        </w:rPr>
        <w:t xml:space="preserve"> </w:t>
      </w:r>
      <w:r>
        <w:rPr>
          <w:sz w:val="18"/>
          <w:szCs w:val="18"/>
          <w:lang w:val="ru-RU"/>
        </w:rPr>
        <w:t>Протокола</w:t>
      </w:r>
      <w:r w:rsidRPr="00E70034">
        <w:rPr>
          <w:sz w:val="18"/>
          <w:szCs w:val="18"/>
          <w:lang w:val="ru-RU"/>
        </w:rPr>
        <w:t xml:space="preserve"> </w:t>
      </w:r>
      <w:r>
        <w:rPr>
          <w:sz w:val="18"/>
          <w:szCs w:val="18"/>
          <w:lang w:val="ru-RU"/>
        </w:rPr>
        <w:t>и</w:t>
      </w:r>
      <w:r w:rsidRPr="00E70034">
        <w:rPr>
          <w:sz w:val="18"/>
          <w:szCs w:val="18"/>
          <w:lang w:val="ru-RU"/>
        </w:rPr>
        <w:t xml:space="preserve"> </w:t>
      </w:r>
      <w:r>
        <w:rPr>
          <w:sz w:val="18"/>
          <w:szCs w:val="18"/>
          <w:lang w:val="ru-RU"/>
        </w:rPr>
        <w:t>промежуточной</w:t>
      </w:r>
      <w:r w:rsidRPr="00E70034">
        <w:rPr>
          <w:sz w:val="18"/>
          <w:szCs w:val="18"/>
          <w:lang w:val="ru-RU"/>
        </w:rPr>
        <w:t xml:space="preserve"> </w:t>
      </w:r>
      <w:r>
        <w:rPr>
          <w:sz w:val="18"/>
          <w:szCs w:val="18"/>
          <w:lang w:val="ru-RU"/>
        </w:rPr>
        <w:t>оценки</w:t>
      </w:r>
      <w:r w:rsidRPr="00E70034">
        <w:rPr>
          <w:sz w:val="18"/>
          <w:szCs w:val="18"/>
          <w:lang w:val="ru-RU"/>
        </w:rPr>
        <w:t xml:space="preserve"> </w:t>
      </w:r>
      <w:r>
        <w:rPr>
          <w:sz w:val="18"/>
          <w:szCs w:val="18"/>
          <w:lang w:val="ru-RU"/>
        </w:rPr>
        <w:t>Стратегического</w:t>
      </w:r>
      <w:r w:rsidRPr="00E70034">
        <w:rPr>
          <w:sz w:val="18"/>
          <w:szCs w:val="18"/>
          <w:lang w:val="ru-RU"/>
        </w:rPr>
        <w:t xml:space="preserve"> </w:t>
      </w:r>
      <w:r>
        <w:rPr>
          <w:sz w:val="18"/>
          <w:szCs w:val="18"/>
          <w:lang w:val="ru-RU"/>
        </w:rPr>
        <w:t>плана</w:t>
      </w:r>
      <w:r w:rsidRPr="00E70034">
        <w:rPr>
          <w:sz w:val="18"/>
          <w:szCs w:val="18"/>
          <w:lang w:val="ru-RU"/>
        </w:rPr>
        <w:t xml:space="preserve"> </w:t>
      </w:r>
      <w:r>
        <w:rPr>
          <w:sz w:val="18"/>
          <w:szCs w:val="18"/>
          <w:lang w:val="ru-RU"/>
        </w:rPr>
        <w:t>был</w:t>
      </w:r>
      <w:r w:rsidRPr="00E70034">
        <w:rPr>
          <w:sz w:val="18"/>
          <w:szCs w:val="18"/>
          <w:lang w:val="ru-RU"/>
        </w:rPr>
        <w:t xml:space="preserve"> </w:t>
      </w:r>
      <w:r>
        <w:rPr>
          <w:sz w:val="18"/>
          <w:szCs w:val="18"/>
          <w:lang w:val="ru-RU"/>
        </w:rPr>
        <w:t>основан</w:t>
      </w:r>
      <w:r w:rsidRPr="00E70034">
        <w:rPr>
          <w:sz w:val="18"/>
          <w:szCs w:val="18"/>
          <w:lang w:val="ru-RU"/>
        </w:rPr>
        <w:t xml:space="preserve"> </w:t>
      </w:r>
      <w:r>
        <w:rPr>
          <w:sz w:val="18"/>
          <w:szCs w:val="18"/>
          <w:lang w:val="ru-RU"/>
        </w:rPr>
        <w:t>на</w:t>
      </w:r>
      <w:r w:rsidRPr="00E70034">
        <w:rPr>
          <w:sz w:val="18"/>
          <w:szCs w:val="18"/>
          <w:lang w:val="ru-RU"/>
        </w:rPr>
        <w:t xml:space="preserve"> 105 </w:t>
      </w:r>
      <w:r>
        <w:rPr>
          <w:sz w:val="18"/>
          <w:szCs w:val="18"/>
          <w:lang w:val="ru-RU"/>
        </w:rPr>
        <w:t>третьих национальных докладах</w:t>
      </w:r>
      <w:r w:rsidR="009A3EF2">
        <w:rPr>
          <w:sz w:val="18"/>
          <w:szCs w:val="18"/>
          <w:lang w:val="ru-RU"/>
        </w:rPr>
        <w:t>;</w:t>
      </w:r>
      <w:r w:rsidRPr="00E70034">
        <w:rPr>
          <w:sz w:val="18"/>
          <w:szCs w:val="18"/>
          <w:lang w:val="ru-RU"/>
        </w:rPr>
        <w:t xml:space="preserve"> </w:t>
      </w:r>
      <w:r>
        <w:rPr>
          <w:sz w:val="18"/>
          <w:szCs w:val="18"/>
          <w:lang w:val="ru-RU"/>
        </w:rPr>
        <w:t>см</w:t>
      </w:r>
      <w:r w:rsidRPr="00E70034">
        <w:rPr>
          <w:sz w:val="18"/>
          <w:szCs w:val="18"/>
          <w:lang w:val="ru-RU"/>
        </w:rPr>
        <w:t>.</w:t>
      </w:r>
      <w:r w:rsidR="009A3EF2">
        <w:rPr>
          <w:sz w:val="18"/>
          <w:szCs w:val="18"/>
          <w:lang w:val="ru-RU"/>
        </w:rPr>
        <w:t xml:space="preserve"> документ</w:t>
      </w:r>
      <w:r w:rsidRPr="00E70034">
        <w:rPr>
          <w:sz w:val="18"/>
          <w:szCs w:val="18"/>
          <w:lang w:val="ru-RU"/>
        </w:rPr>
        <w:t xml:space="preserve"> </w:t>
      </w:r>
      <w:proofErr w:type="spellStart"/>
      <w:r w:rsidRPr="008D6A50">
        <w:rPr>
          <w:sz w:val="18"/>
          <w:szCs w:val="18"/>
          <w:lang w:val="en-US"/>
        </w:rPr>
        <w:t>UNEP</w:t>
      </w:r>
      <w:proofErr w:type="spellEnd"/>
      <w:r w:rsidRPr="00E70034">
        <w:rPr>
          <w:sz w:val="18"/>
          <w:szCs w:val="18"/>
          <w:lang w:val="ru-RU"/>
        </w:rPr>
        <w:t>/</w:t>
      </w:r>
      <w:proofErr w:type="spellStart"/>
      <w:r w:rsidRPr="008D6A50">
        <w:rPr>
          <w:sz w:val="18"/>
          <w:szCs w:val="18"/>
          <w:lang w:val="en-US"/>
        </w:rPr>
        <w:t>CBD</w:t>
      </w:r>
      <w:proofErr w:type="spellEnd"/>
      <w:r w:rsidRPr="00E70034">
        <w:rPr>
          <w:sz w:val="18"/>
          <w:szCs w:val="18"/>
          <w:lang w:val="ru-RU"/>
        </w:rPr>
        <w:t>/</w:t>
      </w:r>
      <w:proofErr w:type="spellStart"/>
      <w:r w:rsidRPr="008D6A50">
        <w:rPr>
          <w:sz w:val="18"/>
          <w:szCs w:val="18"/>
          <w:lang w:val="en-US"/>
        </w:rPr>
        <w:t>SBI</w:t>
      </w:r>
      <w:proofErr w:type="spellEnd"/>
      <w:r w:rsidRPr="00E70034">
        <w:rPr>
          <w:sz w:val="18"/>
          <w:szCs w:val="18"/>
          <w:lang w:val="ru-RU"/>
        </w:rPr>
        <w:t>/1/4.</w:t>
      </w:r>
    </w:p>
  </w:footnote>
  <w:footnote w:id="11">
    <w:p w14:paraId="6E60E73F" w14:textId="60AEFE3F" w:rsidR="003926D8" w:rsidRPr="003D2FC9" w:rsidRDefault="003926D8" w:rsidP="009A3EF2">
      <w:pPr>
        <w:pStyle w:val="aa"/>
        <w:spacing w:after="60"/>
        <w:rPr>
          <w:sz w:val="18"/>
          <w:szCs w:val="18"/>
          <w:lang w:val="ru-RU"/>
        </w:rPr>
      </w:pPr>
      <w:r w:rsidRPr="00CD6B3A">
        <w:rPr>
          <w:rStyle w:val="ac"/>
          <w:sz w:val="18"/>
        </w:rPr>
        <w:footnoteRef/>
      </w:r>
      <w:r w:rsidRPr="003D2FC9">
        <w:rPr>
          <w:lang w:val="ru-RU"/>
        </w:rPr>
        <w:t xml:space="preserve"> </w:t>
      </w:r>
      <w:r>
        <w:rPr>
          <w:sz w:val="18"/>
          <w:szCs w:val="18"/>
          <w:lang w:val="ru-RU"/>
        </w:rPr>
        <w:t>К</w:t>
      </w:r>
      <w:r w:rsidRPr="003D2FC9">
        <w:rPr>
          <w:sz w:val="18"/>
          <w:szCs w:val="18"/>
          <w:lang w:val="ru-RU"/>
        </w:rPr>
        <w:t xml:space="preserve"> </w:t>
      </w:r>
      <w:r>
        <w:rPr>
          <w:sz w:val="18"/>
          <w:szCs w:val="18"/>
          <w:lang w:val="ru-RU"/>
        </w:rPr>
        <w:t>примеру</w:t>
      </w:r>
      <w:r w:rsidRPr="003D2FC9">
        <w:rPr>
          <w:sz w:val="18"/>
          <w:szCs w:val="18"/>
          <w:lang w:val="ru-RU"/>
        </w:rPr>
        <w:t xml:space="preserve">, </w:t>
      </w:r>
      <w:r>
        <w:rPr>
          <w:sz w:val="18"/>
          <w:szCs w:val="18"/>
          <w:lang w:val="ru-RU"/>
        </w:rPr>
        <w:t>если</w:t>
      </w:r>
      <w:r w:rsidRPr="003D2FC9">
        <w:rPr>
          <w:sz w:val="18"/>
          <w:szCs w:val="18"/>
          <w:lang w:val="ru-RU"/>
        </w:rPr>
        <w:t xml:space="preserve"> </w:t>
      </w:r>
      <w:r>
        <w:rPr>
          <w:sz w:val="18"/>
          <w:szCs w:val="18"/>
          <w:lang w:val="ru-RU"/>
        </w:rPr>
        <w:t>некоторые</w:t>
      </w:r>
      <w:r w:rsidRPr="003D2FC9">
        <w:rPr>
          <w:sz w:val="18"/>
          <w:szCs w:val="18"/>
          <w:lang w:val="ru-RU"/>
        </w:rPr>
        <w:t xml:space="preserve"> </w:t>
      </w:r>
      <w:r>
        <w:rPr>
          <w:sz w:val="18"/>
          <w:szCs w:val="18"/>
          <w:lang w:val="ru-RU"/>
        </w:rPr>
        <w:t>Стороны</w:t>
      </w:r>
      <w:r w:rsidRPr="003D2FC9">
        <w:rPr>
          <w:sz w:val="18"/>
          <w:szCs w:val="18"/>
          <w:lang w:val="ru-RU"/>
        </w:rPr>
        <w:t xml:space="preserve"> </w:t>
      </w:r>
      <w:r>
        <w:rPr>
          <w:sz w:val="18"/>
          <w:szCs w:val="18"/>
          <w:lang w:val="ru-RU"/>
        </w:rPr>
        <w:t>в</w:t>
      </w:r>
      <w:r w:rsidRPr="003D2FC9">
        <w:rPr>
          <w:sz w:val="18"/>
          <w:szCs w:val="18"/>
          <w:lang w:val="ru-RU"/>
        </w:rPr>
        <w:t xml:space="preserve"> </w:t>
      </w:r>
      <w:r>
        <w:rPr>
          <w:sz w:val="18"/>
          <w:szCs w:val="18"/>
          <w:lang w:val="ru-RU"/>
        </w:rPr>
        <w:t>данном</w:t>
      </w:r>
      <w:r w:rsidRPr="003D2FC9">
        <w:rPr>
          <w:sz w:val="18"/>
          <w:szCs w:val="18"/>
          <w:lang w:val="ru-RU"/>
        </w:rPr>
        <w:t xml:space="preserve"> </w:t>
      </w:r>
      <w:r>
        <w:rPr>
          <w:sz w:val="18"/>
          <w:szCs w:val="18"/>
          <w:lang w:val="ru-RU"/>
        </w:rPr>
        <w:t>регионе</w:t>
      </w:r>
      <w:r w:rsidRPr="003D2FC9">
        <w:rPr>
          <w:sz w:val="18"/>
          <w:szCs w:val="18"/>
          <w:lang w:val="ru-RU"/>
        </w:rPr>
        <w:t xml:space="preserve"> </w:t>
      </w:r>
      <w:r>
        <w:rPr>
          <w:sz w:val="18"/>
          <w:szCs w:val="18"/>
          <w:lang w:val="ru-RU"/>
        </w:rPr>
        <w:t>сообщили</w:t>
      </w:r>
      <w:r w:rsidRPr="003D2FC9">
        <w:rPr>
          <w:sz w:val="18"/>
          <w:szCs w:val="18"/>
          <w:lang w:val="ru-RU"/>
        </w:rPr>
        <w:t xml:space="preserve"> </w:t>
      </w:r>
      <w:r>
        <w:rPr>
          <w:sz w:val="18"/>
          <w:szCs w:val="18"/>
          <w:lang w:val="ru-RU"/>
        </w:rPr>
        <w:t>о</w:t>
      </w:r>
      <w:r w:rsidRPr="003D2FC9">
        <w:rPr>
          <w:sz w:val="18"/>
          <w:szCs w:val="18"/>
          <w:lang w:val="ru-RU"/>
        </w:rPr>
        <w:t xml:space="preserve"> </w:t>
      </w:r>
      <w:r>
        <w:rPr>
          <w:sz w:val="18"/>
          <w:szCs w:val="18"/>
          <w:lang w:val="ru-RU"/>
        </w:rPr>
        <w:t>прогрессе</w:t>
      </w:r>
      <w:r w:rsidRPr="003D2FC9">
        <w:rPr>
          <w:sz w:val="18"/>
          <w:szCs w:val="18"/>
          <w:lang w:val="ru-RU"/>
        </w:rPr>
        <w:t xml:space="preserve"> </w:t>
      </w:r>
      <w:r>
        <w:rPr>
          <w:sz w:val="18"/>
          <w:szCs w:val="18"/>
          <w:lang w:val="ru-RU"/>
        </w:rPr>
        <w:t>по</w:t>
      </w:r>
      <w:r w:rsidRPr="003D2FC9">
        <w:rPr>
          <w:sz w:val="18"/>
          <w:szCs w:val="18"/>
          <w:lang w:val="ru-RU"/>
        </w:rPr>
        <w:t xml:space="preserve"> </w:t>
      </w:r>
      <w:r>
        <w:rPr>
          <w:sz w:val="18"/>
          <w:szCs w:val="18"/>
          <w:lang w:val="ru-RU"/>
        </w:rPr>
        <w:t>определенному</w:t>
      </w:r>
      <w:r w:rsidRPr="003D2FC9">
        <w:rPr>
          <w:sz w:val="18"/>
          <w:szCs w:val="18"/>
          <w:lang w:val="ru-RU"/>
        </w:rPr>
        <w:t xml:space="preserve"> </w:t>
      </w:r>
      <w:r>
        <w:rPr>
          <w:sz w:val="18"/>
          <w:szCs w:val="18"/>
          <w:lang w:val="ru-RU"/>
        </w:rPr>
        <w:t>вопросу</w:t>
      </w:r>
      <w:r w:rsidRPr="003D2FC9">
        <w:rPr>
          <w:sz w:val="18"/>
          <w:szCs w:val="18"/>
          <w:lang w:val="ru-RU"/>
        </w:rPr>
        <w:t xml:space="preserve">, </w:t>
      </w:r>
      <w:r>
        <w:rPr>
          <w:sz w:val="18"/>
          <w:szCs w:val="18"/>
          <w:lang w:val="ru-RU"/>
        </w:rPr>
        <w:t>это</w:t>
      </w:r>
      <w:r w:rsidRPr="003D2FC9">
        <w:rPr>
          <w:sz w:val="18"/>
          <w:szCs w:val="18"/>
          <w:lang w:val="ru-RU"/>
        </w:rPr>
        <w:t xml:space="preserve"> </w:t>
      </w:r>
      <w:r>
        <w:rPr>
          <w:sz w:val="18"/>
          <w:szCs w:val="18"/>
          <w:lang w:val="ru-RU"/>
        </w:rPr>
        <w:t>не</w:t>
      </w:r>
      <w:r w:rsidRPr="003D2FC9">
        <w:rPr>
          <w:sz w:val="18"/>
          <w:szCs w:val="18"/>
          <w:lang w:val="ru-RU"/>
        </w:rPr>
        <w:t xml:space="preserve"> </w:t>
      </w:r>
      <w:r>
        <w:rPr>
          <w:sz w:val="18"/>
          <w:szCs w:val="18"/>
          <w:lang w:val="ru-RU"/>
        </w:rPr>
        <w:t>будет</w:t>
      </w:r>
      <w:r w:rsidRPr="003D2FC9">
        <w:rPr>
          <w:sz w:val="18"/>
          <w:szCs w:val="18"/>
          <w:lang w:val="ru-RU"/>
        </w:rPr>
        <w:t xml:space="preserve"> </w:t>
      </w:r>
      <w:r>
        <w:rPr>
          <w:sz w:val="18"/>
          <w:szCs w:val="18"/>
          <w:lang w:val="ru-RU"/>
        </w:rPr>
        <w:t>отражено</w:t>
      </w:r>
      <w:r w:rsidRPr="003D2FC9">
        <w:rPr>
          <w:sz w:val="18"/>
          <w:szCs w:val="18"/>
          <w:lang w:val="ru-RU"/>
        </w:rPr>
        <w:t xml:space="preserve"> </w:t>
      </w:r>
      <w:r>
        <w:rPr>
          <w:sz w:val="18"/>
          <w:szCs w:val="18"/>
          <w:lang w:val="ru-RU"/>
        </w:rPr>
        <w:t>в</w:t>
      </w:r>
      <w:r w:rsidRPr="003D2FC9">
        <w:rPr>
          <w:sz w:val="18"/>
          <w:szCs w:val="18"/>
          <w:lang w:val="ru-RU"/>
        </w:rPr>
        <w:t xml:space="preserve"> </w:t>
      </w:r>
      <w:r>
        <w:rPr>
          <w:sz w:val="18"/>
          <w:szCs w:val="18"/>
          <w:lang w:val="ru-RU"/>
        </w:rPr>
        <w:t>анализе</w:t>
      </w:r>
      <w:r w:rsidRPr="003D2FC9">
        <w:rPr>
          <w:sz w:val="18"/>
          <w:szCs w:val="18"/>
          <w:lang w:val="ru-RU"/>
        </w:rPr>
        <w:t xml:space="preserve">, </w:t>
      </w:r>
      <w:r>
        <w:rPr>
          <w:sz w:val="18"/>
          <w:szCs w:val="18"/>
          <w:lang w:val="ru-RU"/>
        </w:rPr>
        <w:t>если</w:t>
      </w:r>
      <w:r w:rsidRPr="003D2FC9">
        <w:rPr>
          <w:sz w:val="18"/>
          <w:szCs w:val="18"/>
          <w:lang w:val="ru-RU"/>
        </w:rPr>
        <w:t xml:space="preserve"> </w:t>
      </w:r>
      <w:r>
        <w:rPr>
          <w:sz w:val="18"/>
          <w:szCs w:val="18"/>
          <w:lang w:val="ru-RU"/>
        </w:rPr>
        <w:t>то</w:t>
      </w:r>
      <w:r w:rsidRPr="003D2FC9">
        <w:rPr>
          <w:sz w:val="18"/>
          <w:szCs w:val="18"/>
          <w:lang w:val="ru-RU"/>
        </w:rPr>
        <w:t xml:space="preserve"> </w:t>
      </w:r>
      <w:r>
        <w:rPr>
          <w:sz w:val="18"/>
          <w:szCs w:val="18"/>
          <w:lang w:val="ru-RU"/>
        </w:rPr>
        <w:t>же</w:t>
      </w:r>
      <w:r w:rsidRPr="003D2FC9">
        <w:rPr>
          <w:sz w:val="18"/>
          <w:szCs w:val="18"/>
          <w:lang w:val="ru-RU"/>
        </w:rPr>
        <w:t xml:space="preserve"> </w:t>
      </w:r>
      <w:r>
        <w:rPr>
          <w:sz w:val="18"/>
          <w:szCs w:val="18"/>
          <w:lang w:val="ru-RU"/>
        </w:rPr>
        <w:t>число</w:t>
      </w:r>
      <w:r w:rsidRPr="003D2FC9">
        <w:rPr>
          <w:sz w:val="18"/>
          <w:szCs w:val="18"/>
          <w:lang w:val="ru-RU"/>
        </w:rPr>
        <w:t xml:space="preserve"> </w:t>
      </w:r>
      <w:r>
        <w:rPr>
          <w:sz w:val="18"/>
          <w:szCs w:val="18"/>
          <w:lang w:val="ru-RU"/>
        </w:rPr>
        <w:t xml:space="preserve">Сторон в этом регионе сообщило </w:t>
      </w:r>
      <w:proofErr w:type="gramStart"/>
      <w:r>
        <w:rPr>
          <w:sz w:val="18"/>
          <w:szCs w:val="18"/>
          <w:lang w:val="ru-RU"/>
        </w:rPr>
        <w:t>об</w:t>
      </w:r>
      <w:proofErr w:type="gramEnd"/>
      <w:r>
        <w:rPr>
          <w:sz w:val="18"/>
          <w:szCs w:val="18"/>
          <w:lang w:val="ru-RU"/>
        </w:rPr>
        <w:t xml:space="preserve"> обратном</w:t>
      </w:r>
      <w:r w:rsidRPr="003D2FC9">
        <w:rPr>
          <w:sz w:val="18"/>
          <w:szCs w:val="18"/>
          <w:lang w:val="ru-RU"/>
        </w:rPr>
        <w:t xml:space="preserve">. </w:t>
      </w:r>
    </w:p>
  </w:footnote>
  <w:footnote w:id="12">
    <w:p w14:paraId="6A048578" w14:textId="38183859" w:rsidR="003926D8" w:rsidRPr="007A1902" w:rsidRDefault="003926D8" w:rsidP="009A3EF2">
      <w:pPr>
        <w:pStyle w:val="aa"/>
        <w:snapToGrid w:val="0"/>
        <w:spacing w:after="60"/>
        <w:rPr>
          <w:snapToGrid w:val="0"/>
          <w:kern w:val="18"/>
          <w:sz w:val="18"/>
          <w:szCs w:val="18"/>
          <w:lang w:val="ru-RU"/>
        </w:rPr>
      </w:pPr>
      <w:r w:rsidRPr="008D6A50">
        <w:rPr>
          <w:rStyle w:val="ac"/>
          <w:snapToGrid w:val="0"/>
          <w:kern w:val="18"/>
          <w:sz w:val="18"/>
          <w:szCs w:val="18"/>
        </w:rPr>
        <w:footnoteRef/>
      </w:r>
      <w:r w:rsidRPr="007A1902">
        <w:rPr>
          <w:snapToGrid w:val="0"/>
          <w:kern w:val="18"/>
          <w:sz w:val="18"/>
          <w:szCs w:val="18"/>
          <w:lang w:val="ru-RU"/>
        </w:rPr>
        <w:t xml:space="preserve"> </w:t>
      </w:r>
      <w:r>
        <w:rPr>
          <w:snapToGrid w:val="0"/>
          <w:kern w:val="18"/>
          <w:sz w:val="18"/>
          <w:szCs w:val="18"/>
          <w:lang w:val="ru-RU"/>
        </w:rPr>
        <w:t>Для</w:t>
      </w:r>
      <w:r w:rsidRPr="007A1902">
        <w:rPr>
          <w:snapToGrid w:val="0"/>
          <w:kern w:val="18"/>
          <w:sz w:val="18"/>
          <w:szCs w:val="18"/>
          <w:lang w:val="ru-RU"/>
        </w:rPr>
        <w:t xml:space="preserve"> </w:t>
      </w:r>
      <w:r>
        <w:rPr>
          <w:snapToGrid w:val="0"/>
          <w:kern w:val="18"/>
          <w:sz w:val="18"/>
          <w:szCs w:val="18"/>
          <w:lang w:val="ru-RU"/>
        </w:rPr>
        <w:t>удобства</w:t>
      </w:r>
      <w:r w:rsidRPr="007A1902">
        <w:rPr>
          <w:snapToGrid w:val="0"/>
          <w:kern w:val="18"/>
          <w:sz w:val="18"/>
          <w:szCs w:val="18"/>
          <w:lang w:val="ru-RU"/>
        </w:rPr>
        <w:t xml:space="preserve"> </w:t>
      </w:r>
      <w:r>
        <w:rPr>
          <w:snapToGrid w:val="0"/>
          <w:kern w:val="18"/>
          <w:sz w:val="18"/>
          <w:szCs w:val="18"/>
          <w:lang w:val="ru-RU"/>
        </w:rPr>
        <w:t>пользования</w:t>
      </w:r>
      <w:r w:rsidRPr="007A1902">
        <w:rPr>
          <w:snapToGrid w:val="0"/>
          <w:kern w:val="18"/>
          <w:sz w:val="18"/>
          <w:szCs w:val="18"/>
          <w:lang w:val="ru-RU"/>
        </w:rPr>
        <w:t xml:space="preserve"> </w:t>
      </w:r>
      <w:r>
        <w:rPr>
          <w:snapToGrid w:val="0"/>
          <w:kern w:val="18"/>
          <w:sz w:val="18"/>
          <w:szCs w:val="18"/>
          <w:lang w:val="ru-RU"/>
        </w:rPr>
        <w:t>в</w:t>
      </w:r>
      <w:r w:rsidRPr="007A1902">
        <w:rPr>
          <w:snapToGrid w:val="0"/>
          <w:kern w:val="18"/>
          <w:sz w:val="18"/>
          <w:szCs w:val="18"/>
          <w:lang w:val="ru-RU"/>
        </w:rPr>
        <w:t xml:space="preserve"> </w:t>
      </w:r>
      <w:r>
        <w:rPr>
          <w:snapToGrid w:val="0"/>
          <w:kern w:val="18"/>
          <w:sz w:val="18"/>
          <w:szCs w:val="18"/>
          <w:lang w:val="ru-RU"/>
        </w:rPr>
        <w:t>тексте</w:t>
      </w:r>
      <w:r w:rsidRPr="007A1902">
        <w:rPr>
          <w:snapToGrid w:val="0"/>
          <w:kern w:val="18"/>
          <w:sz w:val="18"/>
          <w:szCs w:val="18"/>
          <w:lang w:val="ru-RU"/>
        </w:rPr>
        <w:t xml:space="preserve"> </w:t>
      </w:r>
      <w:r>
        <w:rPr>
          <w:snapToGrid w:val="0"/>
          <w:kern w:val="18"/>
          <w:sz w:val="18"/>
          <w:szCs w:val="18"/>
          <w:lang w:val="ru-RU"/>
        </w:rPr>
        <w:t>настоящего</w:t>
      </w:r>
      <w:r w:rsidRPr="007A1902">
        <w:rPr>
          <w:snapToGrid w:val="0"/>
          <w:kern w:val="18"/>
          <w:sz w:val="18"/>
          <w:szCs w:val="18"/>
          <w:lang w:val="ru-RU"/>
        </w:rPr>
        <w:t xml:space="preserve"> </w:t>
      </w:r>
      <w:r>
        <w:rPr>
          <w:snapToGrid w:val="0"/>
          <w:kern w:val="18"/>
          <w:sz w:val="18"/>
          <w:szCs w:val="18"/>
          <w:lang w:val="ru-RU"/>
        </w:rPr>
        <w:t>документа</w:t>
      </w:r>
      <w:r w:rsidRPr="007A1902">
        <w:rPr>
          <w:snapToGrid w:val="0"/>
          <w:kern w:val="18"/>
          <w:sz w:val="18"/>
          <w:szCs w:val="18"/>
          <w:lang w:val="ru-RU"/>
        </w:rPr>
        <w:t xml:space="preserve"> </w:t>
      </w:r>
      <w:r>
        <w:rPr>
          <w:snapToGrid w:val="0"/>
          <w:kern w:val="18"/>
          <w:sz w:val="18"/>
          <w:szCs w:val="18"/>
          <w:lang w:val="ru-RU"/>
        </w:rPr>
        <w:t>используется</w:t>
      </w:r>
      <w:r w:rsidRPr="007A1902">
        <w:rPr>
          <w:snapToGrid w:val="0"/>
          <w:kern w:val="18"/>
          <w:sz w:val="18"/>
          <w:szCs w:val="18"/>
          <w:lang w:val="ru-RU"/>
        </w:rPr>
        <w:t xml:space="preserve"> </w:t>
      </w:r>
      <w:r>
        <w:rPr>
          <w:snapToGrid w:val="0"/>
          <w:kern w:val="18"/>
          <w:sz w:val="18"/>
          <w:szCs w:val="18"/>
          <w:lang w:val="ru-RU"/>
        </w:rPr>
        <w:t>система</w:t>
      </w:r>
      <w:r w:rsidRPr="007A1902">
        <w:rPr>
          <w:snapToGrid w:val="0"/>
          <w:kern w:val="18"/>
          <w:sz w:val="18"/>
          <w:szCs w:val="18"/>
          <w:lang w:val="ru-RU"/>
        </w:rPr>
        <w:t xml:space="preserve"> </w:t>
      </w:r>
      <w:r>
        <w:rPr>
          <w:snapToGrid w:val="0"/>
          <w:kern w:val="18"/>
          <w:sz w:val="18"/>
          <w:szCs w:val="18"/>
          <w:lang w:val="ru-RU"/>
        </w:rPr>
        <w:t>нумерации</w:t>
      </w:r>
      <w:r w:rsidRPr="007A1902">
        <w:rPr>
          <w:snapToGrid w:val="0"/>
          <w:kern w:val="18"/>
          <w:sz w:val="18"/>
          <w:szCs w:val="18"/>
          <w:lang w:val="ru-RU"/>
        </w:rPr>
        <w:t xml:space="preserve"> </w:t>
      </w:r>
      <w:r>
        <w:rPr>
          <w:snapToGrid w:val="0"/>
          <w:kern w:val="18"/>
          <w:sz w:val="18"/>
          <w:szCs w:val="18"/>
          <w:lang w:val="ru-RU"/>
        </w:rPr>
        <w:t xml:space="preserve">Стратегического плана в </w:t>
      </w:r>
      <w:proofErr w:type="spellStart"/>
      <w:r>
        <w:rPr>
          <w:snapToGrid w:val="0"/>
          <w:kern w:val="18"/>
          <w:sz w:val="18"/>
          <w:szCs w:val="18"/>
          <w:lang w:val="ru-RU"/>
        </w:rPr>
        <w:t>МПБ</w:t>
      </w:r>
      <w:proofErr w:type="spellEnd"/>
      <w:r>
        <w:rPr>
          <w:snapToGrid w:val="0"/>
          <w:kern w:val="18"/>
          <w:sz w:val="18"/>
          <w:szCs w:val="18"/>
          <w:lang w:val="ru-RU"/>
        </w:rPr>
        <w:t>, приведенная по адресу</w:t>
      </w:r>
      <w:r w:rsidRPr="007A1902">
        <w:rPr>
          <w:snapToGrid w:val="0"/>
          <w:kern w:val="18"/>
          <w:sz w:val="18"/>
          <w:szCs w:val="18"/>
          <w:lang w:val="ru-RU"/>
        </w:rPr>
        <w:t xml:space="preserve"> </w:t>
      </w:r>
      <w:hyperlink r:id="rId6" w:anchor="elements" w:history="1">
        <w:r w:rsidRPr="008D6A50">
          <w:rPr>
            <w:rStyle w:val="af6"/>
            <w:snapToGrid w:val="0"/>
            <w:kern w:val="18"/>
            <w:sz w:val="18"/>
            <w:szCs w:val="18"/>
          </w:rPr>
          <w:t>http</w:t>
        </w:r>
        <w:r w:rsidRPr="007A1902">
          <w:rPr>
            <w:rStyle w:val="af6"/>
            <w:snapToGrid w:val="0"/>
            <w:kern w:val="18"/>
            <w:sz w:val="18"/>
            <w:szCs w:val="18"/>
            <w:lang w:val="ru-RU"/>
          </w:rPr>
          <w:t>://</w:t>
        </w:r>
        <w:r w:rsidRPr="008D6A50">
          <w:rPr>
            <w:rStyle w:val="af6"/>
            <w:snapToGrid w:val="0"/>
            <w:kern w:val="18"/>
            <w:sz w:val="18"/>
            <w:szCs w:val="18"/>
          </w:rPr>
          <w:t>bch</w:t>
        </w:r>
        <w:r w:rsidRPr="007A1902">
          <w:rPr>
            <w:rStyle w:val="af6"/>
            <w:snapToGrid w:val="0"/>
            <w:kern w:val="18"/>
            <w:sz w:val="18"/>
            <w:szCs w:val="18"/>
            <w:lang w:val="ru-RU"/>
          </w:rPr>
          <w:t>.</w:t>
        </w:r>
        <w:proofErr w:type="spellStart"/>
        <w:r w:rsidRPr="008D6A50">
          <w:rPr>
            <w:rStyle w:val="af6"/>
            <w:snapToGrid w:val="0"/>
            <w:kern w:val="18"/>
            <w:sz w:val="18"/>
            <w:szCs w:val="18"/>
          </w:rPr>
          <w:t>cbd</w:t>
        </w:r>
        <w:proofErr w:type="spellEnd"/>
        <w:r w:rsidRPr="007A1902">
          <w:rPr>
            <w:rStyle w:val="af6"/>
            <w:snapToGrid w:val="0"/>
            <w:kern w:val="18"/>
            <w:sz w:val="18"/>
            <w:szCs w:val="18"/>
            <w:lang w:val="ru-RU"/>
          </w:rPr>
          <w:t>.</w:t>
        </w:r>
        <w:proofErr w:type="spellStart"/>
        <w:r w:rsidRPr="008D6A50">
          <w:rPr>
            <w:rStyle w:val="af6"/>
            <w:snapToGrid w:val="0"/>
            <w:kern w:val="18"/>
            <w:sz w:val="18"/>
            <w:szCs w:val="18"/>
          </w:rPr>
          <w:t>int</w:t>
        </w:r>
        <w:proofErr w:type="spellEnd"/>
        <w:r w:rsidRPr="007A1902">
          <w:rPr>
            <w:rStyle w:val="af6"/>
            <w:snapToGrid w:val="0"/>
            <w:kern w:val="18"/>
            <w:sz w:val="18"/>
            <w:szCs w:val="18"/>
            <w:lang w:val="ru-RU"/>
          </w:rPr>
          <w:t>/</w:t>
        </w:r>
        <w:r w:rsidRPr="008D6A50">
          <w:rPr>
            <w:rStyle w:val="af6"/>
            <w:snapToGrid w:val="0"/>
            <w:kern w:val="18"/>
            <w:sz w:val="18"/>
            <w:szCs w:val="18"/>
          </w:rPr>
          <w:t>protocol</w:t>
        </w:r>
        <w:r w:rsidRPr="007A1902">
          <w:rPr>
            <w:rStyle w:val="af6"/>
            <w:snapToGrid w:val="0"/>
            <w:kern w:val="18"/>
            <w:sz w:val="18"/>
            <w:szCs w:val="18"/>
            <w:lang w:val="ru-RU"/>
          </w:rPr>
          <w:t>/</w:t>
        </w:r>
        <w:r w:rsidRPr="008D6A50">
          <w:rPr>
            <w:rStyle w:val="af6"/>
            <w:snapToGrid w:val="0"/>
            <w:kern w:val="18"/>
            <w:sz w:val="18"/>
            <w:szCs w:val="18"/>
          </w:rPr>
          <w:t>issues</w:t>
        </w:r>
        <w:r w:rsidRPr="007A1902">
          <w:rPr>
            <w:rStyle w:val="af6"/>
            <w:snapToGrid w:val="0"/>
            <w:kern w:val="18"/>
            <w:sz w:val="18"/>
            <w:szCs w:val="18"/>
            <w:lang w:val="ru-RU"/>
          </w:rPr>
          <w:t>/</w:t>
        </w:r>
        <w:proofErr w:type="spellStart"/>
        <w:r w:rsidRPr="008D6A50">
          <w:rPr>
            <w:rStyle w:val="af6"/>
            <w:snapToGrid w:val="0"/>
            <w:kern w:val="18"/>
            <w:sz w:val="18"/>
            <w:szCs w:val="18"/>
          </w:rPr>
          <w:t>cpb</w:t>
        </w:r>
        <w:proofErr w:type="spellEnd"/>
        <w:r w:rsidRPr="007A1902">
          <w:rPr>
            <w:rStyle w:val="af6"/>
            <w:snapToGrid w:val="0"/>
            <w:kern w:val="18"/>
            <w:sz w:val="18"/>
            <w:szCs w:val="18"/>
            <w:lang w:val="ru-RU"/>
          </w:rPr>
          <w:t>_</w:t>
        </w:r>
        <w:proofErr w:type="spellStart"/>
        <w:r w:rsidRPr="008D6A50">
          <w:rPr>
            <w:rStyle w:val="af6"/>
            <w:snapToGrid w:val="0"/>
            <w:kern w:val="18"/>
            <w:sz w:val="18"/>
            <w:szCs w:val="18"/>
          </w:rPr>
          <w:t>stplan</w:t>
        </w:r>
        <w:proofErr w:type="spellEnd"/>
        <w:r w:rsidRPr="007A1902">
          <w:rPr>
            <w:rStyle w:val="af6"/>
            <w:snapToGrid w:val="0"/>
            <w:kern w:val="18"/>
            <w:sz w:val="18"/>
            <w:szCs w:val="18"/>
            <w:lang w:val="ru-RU"/>
          </w:rPr>
          <w:t>_</w:t>
        </w:r>
        <w:r w:rsidRPr="008D6A50">
          <w:rPr>
            <w:rStyle w:val="af6"/>
            <w:snapToGrid w:val="0"/>
            <w:kern w:val="18"/>
            <w:sz w:val="18"/>
            <w:szCs w:val="18"/>
          </w:rPr>
          <w:t>txt</w:t>
        </w:r>
        <w:r w:rsidRPr="007A1902">
          <w:rPr>
            <w:rStyle w:val="af6"/>
            <w:snapToGrid w:val="0"/>
            <w:kern w:val="18"/>
            <w:sz w:val="18"/>
            <w:szCs w:val="18"/>
            <w:lang w:val="ru-RU"/>
          </w:rPr>
          <w:t>.</w:t>
        </w:r>
        <w:proofErr w:type="spellStart"/>
        <w:r w:rsidRPr="008D6A50">
          <w:rPr>
            <w:rStyle w:val="af6"/>
            <w:snapToGrid w:val="0"/>
            <w:kern w:val="18"/>
            <w:sz w:val="18"/>
            <w:szCs w:val="18"/>
          </w:rPr>
          <w:t>shtml</w:t>
        </w:r>
        <w:proofErr w:type="spellEnd"/>
        <w:r w:rsidRPr="007A1902">
          <w:rPr>
            <w:rStyle w:val="af6"/>
            <w:snapToGrid w:val="0"/>
            <w:kern w:val="18"/>
            <w:sz w:val="18"/>
            <w:szCs w:val="18"/>
            <w:lang w:val="ru-RU"/>
          </w:rPr>
          <w:t>#</w:t>
        </w:r>
        <w:r w:rsidRPr="008D6A50">
          <w:rPr>
            <w:rStyle w:val="af6"/>
            <w:snapToGrid w:val="0"/>
            <w:kern w:val="18"/>
            <w:sz w:val="18"/>
            <w:szCs w:val="18"/>
          </w:rPr>
          <w:t>elements</w:t>
        </w:r>
      </w:hyperlink>
      <w:r w:rsidRPr="007A1902">
        <w:rPr>
          <w:snapToGrid w:val="0"/>
          <w:kern w:val="18"/>
          <w:sz w:val="18"/>
          <w:szCs w:val="18"/>
          <w:lang w:val="ru-RU"/>
        </w:rPr>
        <w:t>.</w:t>
      </w:r>
    </w:p>
  </w:footnote>
  <w:footnote w:id="13">
    <w:p w14:paraId="4A812F59" w14:textId="0B996AFC" w:rsidR="003926D8" w:rsidRPr="005E5DF1" w:rsidRDefault="003926D8" w:rsidP="00BE501F">
      <w:pPr>
        <w:pStyle w:val="aa"/>
        <w:spacing w:after="60"/>
        <w:rPr>
          <w:sz w:val="18"/>
          <w:szCs w:val="18"/>
          <w:lang w:val="fr-FR"/>
        </w:rPr>
      </w:pPr>
      <w:r w:rsidRPr="008D6A50">
        <w:rPr>
          <w:rStyle w:val="ac"/>
          <w:sz w:val="18"/>
          <w:szCs w:val="18"/>
        </w:rPr>
        <w:footnoteRef/>
      </w:r>
      <w:r w:rsidRPr="005E5DF1">
        <w:rPr>
          <w:sz w:val="18"/>
          <w:szCs w:val="18"/>
          <w:lang w:val="fr-FR"/>
        </w:rPr>
        <w:t xml:space="preserve"> </w:t>
      </w:r>
      <w:r>
        <w:rPr>
          <w:sz w:val="18"/>
          <w:szCs w:val="18"/>
          <w:lang w:val="ru-RU"/>
        </w:rPr>
        <w:t>Ирак</w:t>
      </w:r>
      <w:r w:rsidRPr="001B2CBB">
        <w:rPr>
          <w:sz w:val="18"/>
          <w:szCs w:val="18"/>
          <w:lang w:val="ru-RU"/>
        </w:rPr>
        <w:t xml:space="preserve">, </w:t>
      </w:r>
      <w:r>
        <w:rPr>
          <w:sz w:val="18"/>
          <w:szCs w:val="18"/>
          <w:lang w:val="ru-RU"/>
        </w:rPr>
        <w:t>Кот</w:t>
      </w:r>
      <w:r w:rsidRPr="001B2CBB">
        <w:rPr>
          <w:sz w:val="18"/>
          <w:szCs w:val="18"/>
          <w:lang w:val="ru-RU"/>
        </w:rPr>
        <w:t>-</w:t>
      </w:r>
      <w:r>
        <w:rPr>
          <w:sz w:val="18"/>
          <w:szCs w:val="18"/>
          <w:lang w:val="ru-RU"/>
        </w:rPr>
        <w:t>д</w:t>
      </w:r>
      <w:r w:rsidRPr="001B2CBB">
        <w:rPr>
          <w:sz w:val="18"/>
          <w:szCs w:val="18"/>
          <w:lang w:val="ru-RU"/>
        </w:rPr>
        <w:t>’</w:t>
      </w:r>
      <w:r>
        <w:rPr>
          <w:sz w:val="18"/>
          <w:szCs w:val="18"/>
          <w:lang w:val="ru-RU"/>
        </w:rPr>
        <w:t>Ивуар, Кувейт</w:t>
      </w:r>
      <w:r w:rsidRPr="005E5DF1">
        <w:rPr>
          <w:sz w:val="18"/>
          <w:szCs w:val="18"/>
          <w:lang w:val="fr-FR"/>
        </w:rPr>
        <w:t>,</w:t>
      </w:r>
      <w:r>
        <w:rPr>
          <w:sz w:val="18"/>
          <w:szCs w:val="18"/>
          <w:lang w:val="ru-RU"/>
        </w:rPr>
        <w:t xml:space="preserve"> Объединенные Арабские Эмираты</w:t>
      </w:r>
      <w:r w:rsidRPr="005E5DF1">
        <w:rPr>
          <w:sz w:val="18"/>
          <w:szCs w:val="18"/>
          <w:lang w:val="fr-FR"/>
        </w:rPr>
        <w:t xml:space="preserve">. </w:t>
      </w:r>
    </w:p>
  </w:footnote>
  <w:footnote w:id="14">
    <w:p w14:paraId="5902529B" w14:textId="153E9DA4" w:rsidR="003926D8" w:rsidRPr="00E15DDF" w:rsidRDefault="003926D8" w:rsidP="00BE501F">
      <w:pPr>
        <w:pStyle w:val="aa"/>
        <w:spacing w:after="60"/>
        <w:rPr>
          <w:sz w:val="18"/>
          <w:szCs w:val="18"/>
          <w:lang w:val="ru-RU"/>
        </w:rPr>
      </w:pPr>
      <w:r w:rsidRPr="008D6A50">
        <w:rPr>
          <w:rStyle w:val="ac"/>
          <w:sz w:val="18"/>
          <w:szCs w:val="18"/>
        </w:rPr>
        <w:footnoteRef/>
      </w:r>
      <w:r w:rsidRPr="00E15DDF">
        <w:rPr>
          <w:sz w:val="18"/>
          <w:szCs w:val="18"/>
          <w:lang w:val="ru-RU"/>
        </w:rPr>
        <w:t xml:space="preserve"> </w:t>
      </w:r>
      <w:r>
        <w:rPr>
          <w:sz w:val="18"/>
          <w:szCs w:val="18"/>
          <w:lang w:val="ru-RU"/>
        </w:rPr>
        <w:t>Узбекистан</w:t>
      </w:r>
      <w:r w:rsidRPr="00E15DDF">
        <w:rPr>
          <w:sz w:val="18"/>
          <w:szCs w:val="18"/>
          <w:lang w:val="ru-RU"/>
        </w:rPr>
        <w:t>.</w:t>
      </w:r>
    </w:p>
  </w:footnote>
  <w:footnote w:id="15">
    <w:p w14:paraId="4927E604" w14:textId="5A5B7568" w:rsidR="003926D8" w:rsidRPr="001B2CBB" w:rsidRDefault="003926D8" w:rsidP="00BE501F">
      <w:pPr>
        <w:pStyle w:val="aa"/>
        <w:spacing w:after="60"/>
        <w:rPr>
          <w:sz w:val="18"/>
          <w:szCs w:val="18"/>
          <w:lang w:val="ru-RU"/>
        </w:rPr>
      </w:pPr>
      <w:r w:rsidRPr="008D6A50">
        <w:rPr>
          <w:rStyle w:val="ac"/>
          <w:sz w:val="18"/>
          <w:szCs w:val="18"/>
        </w:rPr>
        <w:footnoteRef/>
      </w:r>
      <w:r w:rsidRPr="001B2CBB">
        <w:rPr>
          <w:sz w:val="18"/>
          <w:szCs w:val="18"/>
          <w:lang w:val="ru-RU"/>
        </w:rPr>
        <w:t xml:space="preserve"> </w:t>
      </w:r>
      <w:r w:rsidR="00BE501F">
        <w:rPr>
          <w:sz w:val="18"/>
          <w:szCs w:val="18"/>
          <w:lang w:val="ru-RU"/>
        </w:rPr>
        <w:t xml:space="preserve">Ирак и </w:t>
      </w:r>
      <w:r>
        <w:rPr>
          <w:sz w:val="18"/>
          <w:szCs w:val="18"/>
          <w:lang w:val="ru-RU"/>
        </w:rPr>
        <w:t>Кот</w:t>
      </w:r>
      <w:r w:rsidRPr="001B2CBB">
        <w:rPr>
          <w:sz w:val="18"/>
          <w:szCs w:val="18"/>
          <w:lang w:val="ru-RU"/>
        </w:rPr>
        <w:t>-</w:t>
      </w:r>
      <w:r>
        <w:rPr>
          <w:sz w:val="18"/>
          <w:szCs w:val="18"/>
          <w:lang w:val="ru-RU"/>
        </w:rPr>
        <w:t>д</w:t>
      </w:r>
      <w:r w:rsidRPr="001B2CBB">
        <w:rPr>
          <w:sz w:val="18"/>
          <w:szCs w:val="18"/>
          <w:lang w:val="ru-RU"/>
        </w:rPr>
        <w:t>’</w:t>
      </w:r>
      <w:r>
        <w:rPr>
          <w:sz w:val="18"/>
          <w:szCs w:val="18"/>
          <w:lang w:val="ru-RU"/>
        </w:rPr>
        <w:t>Ивуар</w:t>
      </w:r>
      <w:r w:rsidRPr="001B2CBB">
        <w:rPr>
          <w:sz w:val="18"/>
          <w:szCs w:val="18"/>
          <w:lang w:val="ru-RU"/>
        </w:rPr>
        <w:t xml:space="preserve"> </w:t>
      </w:r>
      <w:r>
        <w:rPr>
          <w:sz w:val="18"/>
          <w:szCs w:val="18"/>
          <w:lang w:val="ru-RU"/>
        </w:rPr>
        <w:t>представили свои четвертые национальные доклады</w:t>
      </w:r>
      <w:r w:rsidRPr="001B2CBB">
        <w:rPr>
          <w:sz w:val="18"/>
          <w:szCs w:val="18"/>
          <w:lang w:val="ru-RU"/>
        </w:rPr>
        <w:t xml:space="preserve">. </w:t>
      </w:r>
      <w:r>
        <w:rPr>
          <w:sz w:val="18"/>
          <w:szCs w:val="18"/>
          <w:lang w:val="ru-RU"/>
        </w:rPr>
        <w:t>Так</w:t>
      </w:r>
      <w:r w:rsidRPr="001B2CBB">
        <w:rPr>
          <w:sz w:val="18"/>
          <w:szCs w:val="18"/>
          <w:lang w:val="ru-RU"/>
        </w:rPr>
        <w:t xml:space="preserve"> </w:t>
      </w:r>
      <w:r>
        <w:rPr>
          <w:sz w:val="18"/>
          <w:szCs w:val="18"/>
          <w:lang w:val="ru-RU"/>
        </w:rPr>
        <w:t>как</w:t>
      </w:r>
      <w:r w:rsidRPr="001B2CBB">
        <w:rPr>
          <w:sz w:val="18"/>
          <w:szCs w:val="18"/>
          <w:lang w:val="ru-RU"/>
        </w:rPr>
        <w:t xml:space="preserve"> </w:t>
      </w:r>
      <w:r>
        <w:rPr>
          <w:sz w:val="18"/>
          <w:szCs w:val="18"/>
          <w:lang w:val="ru-RU"/>
        </w:rPr>
        <w:t>вторые</w:t>
      </w:r>
      <w:r w:rsidRPr="001B2CBB">
        <w:rPr>
          <w:sz w:val="18"/>
          <w:szCs w:val="18"/>
          <w:lang w:val="ru-RU"/>
        </w:rPr>
        <w:t xml:space="preserve"> </w:t>
      </w:r>
      <w:r>
        <w:rPr>
          <w:sz w:val="18"/>
          <w:szCs w:val="18"/>
          <w:lang w:val="ru-RU"/>
        </w:rPr>
        <w:t>национальные</w:t>
      </w:r>
      <w:r w:rsidRPr="001B2CBB">
        <w:rPr>
          <w:sz w:val="18"/>
          <w:szCs w:val="18"/>
          <w:lang w:val="ru-RU"/>
        </w:rPr>
        <w:t xml:space="preserve"> </w:t>
      </w:r>
      <w:r>
        <w:rPr>
          <w:sz w:val="18"/>
          <w:szCs w:val="18"/>
          <w:lang w:val="ru-RU"/>
        </w:rPr>
        <w:t>доклады</w:t>
      </w:r>
      <w:r w:rsidRPr="001B2CBB">
        <w:rPr>
          <w:sz w:val="18"/>
          <w:szCs w:val="18"/>
          <w:lang w:val="ru-RU"/>
        </w:rPr>
        <w:t xml:space="preserve"> </w:t>
      </w:r>
      <w:r>
        <w:rPr>
          <w:sz w:val="18"/>
          <w:szCs w:val="18"/>
          <w:lang w:val="ru-RU"/>
        </w:rPr>
        <w:t>ни</w:t>
      </w:r>
      <w:r w:rsidRPr="001B2CBB">
        <w:rPr>
          <w:sz w:val="18"/>
          <w:szCs w:val="18"/>
          <w:lang w:val="ru-RU"/>
        </w:rPr>
        <w:t xml:space="preserve"> </w:t>
      </w:r>
      <w:r>
        <w:rPr>
          <w:sz w:val="18"/>
          <w:szCs w:val="18"/>
          <w:lang w:val="ru-RU"/>
        </w:rPr>
        <w:t>одной</w:t>
      </w:r>
      <w:r w:rsidRPr="001B2CBB">
        <w:rPr>
          <w:sz w:val="18"/>
          <w:szCs w:val="18"/>
          <w:lang w:val="ru-RU"/>
        </w:rPr>
        <w:t xml:space="preserve"> </w:t>
      </w:r>
      <w:r>
        <w:rPr>
          <w:sz w:val="18"/>
          <w:szCs w:val="18"/>
          <w:lang w:val="ru-RU"/>
        </w:rPr>
        <w:t>из</w:t>
      </w:r>
      <w:r w:rsidRPr="001B2CBB">
        <w:rPr>
          <w:sz w:val="18"/>
          <w:szCs w:val="18"/>
          <w:lang w:val="ru-RU"/>
        </w:rPr>
        <w:t xml:space="preserve"> </w:t>
      </w:r>
      <w:r>
        <w:rPr>
          <w:sz w:val="18"/>
          <w:szCs w:val="18"/>
          <w:lang w:val="ru-RU"/>
        </w:rPr>
        <w:t>этих</w:t>
      </w:r>
      <w:r w:rsidRPr="001B2CBB">
        <w:rPr>
          <w:sz w:val="18"/>
          <w:szCs w:val="18"/>
          <w:lang w:val="ru-RU"/>
        </w:rPr>
        <w:t xml:space="preserve"> </w:t>
      </w:r>
      <w:r>
        <w:rPr>
          <w:sz w:val="18"/>
          <w:szCs w:val="18"/>
          <w:lang w:val="ru-RU"/>
        </w:rPr>
        <w:t>Сторон</w:t>
      </w:r>
      <w:r w:rsidRPr="001B2CBB">
        <w:rPr>
          <w:sz w:val="18"/>
          <w:szCs w:val="18"/>
          <w:lang w:val="ru-RU"/>
        </w:rPr>
        <w:t xml:space="preserve"> </w:t>
      </w:r>
      <w:r>
        <w:rPr>
          <w:sz w:val="18"/>
          <w:szCs w:val="18"/>
          <w:lang w:val="ru-RU"/>
        </w:rPr>
        <w:t>не</w:t>
      </w:r>
      <w:r w:rsidRPr="001B2CBB">
        <w:rPr>
          <w:sz w:val="18"/>
          <w:szCs w:val="18"/>
          <w:lang w:val="ru-RU"/>
        </w:rPr>
        <w:t xml:space="preserve"> </w:t>
      </w:r>
      <w:r>
        <w:rPr>
          <w:sz w:val="18"/>
          <w:szCs w:val="18"/>
          <w:lang w:val="ru-RU"/>
        </w:rPr>
        <w:t>доступны</w:t>
      </w:r>
      <w:r w:rsidRPr="001B2CBB">
        <w:rPr>
          <w:sz w:val="18"/>
          <w:szCs w:val="18"/>
          <w:lang w:val="ru-RU"/>
        </w:rPr>
        <w:t xml:space="preserve">, </w:t>
      </w:r>
      <w:r>
        <w:rPr>
          <w:sz w:val="18"/>
          <w:szCs w:val="18"/>
          <w:lang w:val="ru-RU"/>
        </w:rPr>
        <w:t>данные, представленные в их четвертых национальных докладах, не влияют на сравнительный анализ</w:t>
      </w:r>
      <w:r w:rsidRPr="001B2CBB">
        <w:rPr>
          <w:sz w:val="18"/>
          <w:szCs w:val="18"/>
          <w:lang w:val="ru-RU"/>
        </w:rPr>
        <w:t>.</w:t>
      </w:r>
    </w:p>
  </w:footnote>
  <w:footnote w:id="16">
    <w:p w14:paraId="1AAFFBE6" w14:textId="76AF7EE3" w:rsidR="003926D8" w:rsidRPr="00295FA4" w:rsidRDefault="003926D8" w:rsidP="00BE501F">
      <w:pPr>
        <w:pStyle w:val="aa"/>
        <w:snapToGrid w:val="0"/>
        <w:spacing w:after="60"/>
        <w:rPr>
          <w:snapToGrid w:val="0"/>
          <w:kern w:val="18"/>
          <w:sz w:val="18"/>
          <w:szCs w:val="18"/>
          <w:lang w:val="ru-RU"/>
        </w:rPr>
      </w:pPr>
      <w:r w:rsidRPr="008D6A50">
        <w:rPr>
          <w:rStyle w:val="ac"/>
          <w:snapToGrid w:val="0"/>
          <w:kern w:val="18"/>
          <w:sz w:val="18"/>
          <w:szCs w:val="18"/>
        </w:rPr>
        <w:footnoteRef/>
      </w:r>
      <w:r w:rsidRPr="00295FA4">
        <w:rPr>
          <w:snapToGrid w:val="0"/>
          <w:kern w:val="18"/>
          <w:sz w:val="18"/>
          <w:szCs w:val="18"/>
          <w:lang w:val="ru-RU"/>
        </w:rPr>
        <w:t xml:space="preserve"> </w:t>
      </w:r>
      <w:r>
        <w:rPr>
          <w:snapToGrid w:val="0"/>
          <w:kern w:val="18"/>
          <w:sz w:val="18"/>
          <w:szCs w:val="18"/>
          <w:lang w:val="ru-RU"/>
        </w:rPr>
        <w:t>Бангладеш</w:t>
      </w:r>
      <w:r w:rsidRPr="00295FA4">
        <w:rPr>
          <w:snapToGrid w:val="0"/>
          <w:kern w:val="18"/>
          <w:sz w:val="18"/>
          <w:szCs w:val="18"/>
          <w:lang w:val="ru-RU"/>
        </w:rPr>
        <w:t xml:space="preserve">, </w:t>
      </w:r>
      <w:r>
        <w:rPr>
          <w:snapToGrid w:val="0"/>
          <w:kern w:val="18"/>
          <w:sz w:val="18"/>
          <w:szCs w:val="18"/>
          <w:lang w:val="ru-RU"/>
        </w:rPr>
        <w:t>Босния</w:t>
      </w:r>
      <w:r w:rsidRPr="00295FA4">
        <w:rPr>
          <w:snapToGrid w:val="0"/>
          <w:kern w:val="18"/>
          <w:sz w:val="18"/>
          <w:szCs w:val="18"/>
          <w:lang w:val="ru-RU"/>
        </w:rPr>
        <w:t xml:space="preserve"> </w:t>
      </w:r>
      <w:r>
        <w:rPr>
          <w:snapToGrid w:val="0"/>
          <w:kern w:val="18"/>
          <w:sz w:val="18"/>
          <w:szCs w:val="18"/>
          <w:lang w:val="ru-RU"/>
        </w:rPr>
        <w:t>и</w:t>
      </w:r>
      <w:r w:rsidRPr="00295FA4">
        <w:rPr>
          <w:snapToGrid w:val="0"/>
          <w:kern w:val="18"/>
          <w:sz w:val="18"/>
          <w:szCs w:val="18"/>
          <w:lang w:val="ru-RU"/>
        </w:rPr>
        <w:t xml:space="preserve"> </w:t>
      </w:r>
      <w:r>
        <w:rPr>
          <w:snapToGrid w:val="0"/>
          <w:kern w:val="18"/>
          <w:sz w:val="18"/>
          <w:szCs w:val="18"/>
          <w:lang w:val="ru-RU"/>
        </w:rPr>
        <w:t>Герцеговина</w:t>
      </w:r>
      <w:r w:rsidRPr="00295FA4">
        <w:rPr>
          <w:snapToGrid w:val="0"/>
          <w:kern w:val="18"/>
          <w:sz w:val="18"/>
          <w:szCs w:val="18"/>
          <w:lang w:val="ru-RU"/>
        </w:rPr>
        <w:t xml:space="preserve">, </w:t>
      </w:r>
      <w:r>
        <w:rPr>
          <w:snapToGrid w:val="0"/>
          <w:kern w:val="18"/>
          <w:sz w:val="18"/>
          <w:szCs w:val="18"/>
          <w:lang w:val="ru-RU"/>
        </w:rPr>
        <w:t>Вьетнам, Египет</w:t>
      </w:r>
      <w:r w:rsidRPr="00295FA4">
        <w:rPr>
          <w:snapToGrid w:val="0"/>
          <w:kern w:val="18"/>
          <w:sz w:val="18"/>
          <w:szCs w:val="18"/>
          <w:lang w:val="ru-RU"/>
        </w:rPr>
        <w:t xml:space="preserve">, </w:t>
      </w:r>
      <w:r>
        <w:rPr>
          <w:snapToGrid w:val="0"/>
          <w:kern w:val="18"/>
          <w:sz w:val="18"/>
          <w:szCs w:val="18"/>
          <w:lang w:val="ru-RU"/>
        </w:rPr>
        <w:t>Индия, Индонезия, Испания, Италия, Казахстан, Камбоджа</w:t>
      </w:r>
      <w:r w:rsidRPr="00295FA4">
        <w:rPr>
          <w:snapToGrid w:val="0"/>
          <w:kern w:val="18"/>
          <w:sz w:val="18"/>
          <w:szCs w:val="18"/>
          <w:lang w:val="ru-RU"/>
        </w:rPr>
        <w:t xml:space="preserve">, </w:t>
      </w:r>
      <w:r>
        <w:rPr>
          <w:snapToGrid w:val="0"/>
          <w:kern w:val="18"/>
          <w:sz w:val="18"/>
          <w:szCs w:val="18"/>
          <w:lang w:val="ru-RU"/>
        </w:rPr>
        <w:t>Китай</w:t>
      </w:r>
      <w:r w:rsidRPr="00295FA4">
        <w:rPr>
          <w:snapToGrid w:val="0"/>
          <w:kern w:val="18"/>
          <w:sz w:val="18"/>
          <w:szCs w:val="18"/>
          <w:lang w:val="ru-RU"/>
        </w:rPr>
        <w:t xml:space="preserve">, </w:t>
      </w:r>
      <w:r>
        <w:rPr>
          <w:snapToGrid w:val="0"/>
          <w:kern w:val="18"/>
          <w:sz w:val="18"/>
          <w:szCs w:val="18"/>
          <w:lang w:val="ru-RU"/>
        </w:rPr>
        <w:t>Коста-Рика</w:t>
      </w:r>
      <w:r w:rsidRPr="00295FA4">
        <w:rPr>
          <w:snapToGrid w:val="0"/>
          <w:kern w:val="18"/>
          <w:sz w:val="18"/>
          <w:szCs w:val="18"/>
          <w:lang w:val="ru-RU"/>
        </w:rPr>
        <w:t>,</w:t>
      </w:r>
      <w:r>
        <w:rPr>
          <w:snapToGrid w:val="0"/>
          <w:kern w:val="18"/>
          <w:sz w:val="18"/>
          <w:szCs w:val="18"/>
          <w:lang w:val="ru-RU"/>
        </w:rPr>
        <w:t xml:space="preserve"> Лаос</w:t>
      </w:r>
      <w:r w:rsidR="00BE501F">
        <w:rPr>
          <w:snapToGrid w:val="0"/>
          <w:kern w:val="18"/>
          <w:sz w:val="18"/>
          <w:szCs w:val="18"/>
          <w:lang w:val="ru-RU"/>
        </w:rPr>
        <w:t>ская Народно-Демократическая Республика</w:t>
      </w:r>
      <w:r>
        <w:rPr>
          <w:snapToGrid w:val="0"/>
          <w:kern w:val="18"/>
          <w:sz w:val="18"/>
          <w:szCs w:val="18"/>
          <w:lang w:val="ru-RU"/>
        </w:rPr>
        <w:t>, Малайзия, Мексика, Перу, Республика Корея, Словения, Таиланд, Турция, Франция, Хорватия, Эквадор,</w:t>
      </w:r>
      <w:r w:rsidRPr="00295FA4">
        <w:rPr>
          <w:snapToGrid w:val="0"/>
          <w:kern w:val="18"/>
          <w:sz w:val="18"/>
          <w:szCs w:val="18"/>
          <w:lang w:val="ru-RU"/>
        </w:rPr>
        <w:t xml:space="preserve"> </w:t>
      </w:r>
      <w:r>
        <w:rPr>
          <w:snapToGrid w:val="0"/>
          <w:kern w:val="18"/>
          <w:sz w:val="18"/>
          <w:szCs w:val="18"/>
          <w:lang w:val="ru-RU"/>
        </w:rPr>
        <w:t>Эфиопия</w:t>
      </w:r>
      <w:r w:rsidRPr="00295FA4">
        <w:rPr>
          <w:snapToGrid w:val="0"/>
          <w:kern w:val="18"/>
          <w:sz w:val="18"/>
          <w:szCs w:val="18"/>
          <w:lang w:val="ru-RU"/>
        </w:rPr>
        <w:t>.</w:t>
      </w:r>
    </w:p>
  </w:footnote>
  <w:footnote w:id="17">
    <w:p w14:paraId="252127A3" w14:textId="0085A2DB" w:rsidR="003926D8" w:rsidRPr="00A3339B" w:rsidRDefault="003926D8" w:rsidP="00E27BF3">
      <w:pPr>
        <w:pStyle w:val="aa"/>
        <w:spacing w:after="60"/>
        <w:rPr>
          <w:sz w:val="18"/>
          <w:szCs w:val="18"/>
          <w:lang w:val="ru-RU"/>
        </w:rPr>
      </w:pPr>
      <w:r w:rsidRPr="008D6A50">
        <w:rPr>
          <w:rStyle w:val="ac"/>
          <w:sz w:val="18"/>
          <w:szCs w:val="18"/>
        </w:rPr>
        <w:footnoteRef/>
      </w:r>
      <w:r w:rsidRPr="00A3339B">
        <w:rPr>
          <w:sz w:val="18"/>
          <w:szCs w:val="18"/>
          <w:lang w:val="ru-RU"/>
        </w:rPr>
        <w:t xml:space="preserve"> </w:t>
      </w:r>
      <w:r>
        <w:rPr>
          <w:sz w:val="18"/>
          <w:szCs w:val="18"/>
          <w:lang w:val="ru-RU"/>
        </w:rPr>
        <w:t>Поскольку</w:t>
      </w:r>
      <w:r w:rsidRPr="00A3339B">
        <w:rPr>
          <w:sz w:val="18"/>
          <w:szCs w:val="18"/>
          <w:lang w:val="ru-RU"/>
        </w:rPr>
        <w:t xml:space="preserve"> </w:t>
      </w:r>
      <w:r>
        <w:rPr>
          <w:sz w:val="18"/>
          <w:szCs w:val="18"/>
          <w:lang w:val="ru-RU"/>
        </w:rPr>
        <w:t>вопрос</w:t>
      </w:r>
      <w:r w:rsidRPr="00A3339B">
        <w:rPr>
          <w:sz w:val="18"/>
          <w:szCs w:val="18"/>
          <w:lang w:val="ru-RU"/>
        </w:rPr>
        <w:t xml:space="preserve"> </w:t>
      </w:r>
      <w:r>
        <w:rPr>
          <w:sz w:val="18"/>
          <w:szCs w:val="18"/>
          <w:lang w:val="ru-RU"/>
        </w:rPr>
        <w:t>допускает</w:t>
      </w:r>
      <w:r w:rsidRPr="00A3339B">
        <w:rPr>
          <w:sz w:val="18"/>
          <w:szCs w:val="18"/>
          <w:lang w:val="ru-RU"/>
        </w:rPr>
        <w:t xml:space="preserve"> </w:t>
      </w:r>
      <w:r>
        <w:rPr>
          <w:sz w:val="18"/>
          <w:szCs w:val="18"/>
          <w:lang w:val="ru-RU"/>
        </w:rPr>
        <w:t>несколько</w:t>
      </w:r>
      <w:r w:rsidRPr="00A3339B">
        <w:rPr>
          <w:sz w:val="18"/>
          <w:szCs w:val="18"/>
          <w:lang w:val="ru-RU"/>
        </w:rPr>
        <w:t xml:space="preserve"> </w:t>
      </w:r>
      <w:r>
        <w:rPr>
          <w:sz w:val="18"/>
          <w:szCs w:val="18"/>
          <w:lang w:val="ru-RU"/>
        </w:rPr>
        <w:t>вариантов</w:t>
      </w:r>
      <w:r w:rsidRPr="00A3339B">
        <w:rPr>
          <w:sz w:val="18"/>
          <w:szCs w:val="18"/>
          <w:lang w:val="ru-RU"/>
        </w:rPr>
        <w:t xml:space="preserve"> </w:t>
      </w:r>
      <w:r>
        <w:rPr>
          <w:sz w:val="18"/>
          <w:szCs w:val="18"/>
          <w:lang w:val="ru-RU"/>
        </w:rPr>
        <w:t>ответов</w:t>
      </w:r>
      <w:r w:rsidRPr="00A3339B">
        <w:rPr>
          <w:sz w:val="18"/>
          <w:szCs w:val="18"/>
          <w:lang w:val="ru-RU"/>
        </w:rPr>
        <w:t xml:space="preserve">, </w:t>
      </w:r>
      <w:r>
        <w:rPr>
          <w:sz w:val="18"/>
          <w:szCs w:val="18"/>
          <w:lang w:val="ru-RU"/>
        </w:rPr>
        <w:t>сравнение представлено по числу Сторон</w:t>
      </w:r>
      <w:r w:rsidRPr="00A3339B">
        <w:rPr>
          <w:sz w:val="18"/>
          <w:szCs w:val="18"/>
          <w:lang w:val="ru-RU"/>
        </w:rPr>
        <w:t xml:space="preserve">, </w:t>
      </w:r>
      <w:r>
        <w:rPr>
          <w:sz w:val="18"/>
          <w:szCs w:val="18"/>
          <w:lang w:val="ru-RU"/>
        </w:rPr>
        <w:t>а не в процентах</w:t>
      </w:r>
      <w:r w:rsidRPr="00A3339B">
        <w:rPr>
          <w:sz w:val="18"/>
          <w:szCs w:val="18"/>
          <w:lang w:val="ru-RU"/>
        </w:rPr>
        <w:t>.</w:t>
      </w:r>
    </w:p>
  </w:footnote>
  <w:footnote w:id="18">
    <w:p w14:paraId="03FA4B8B" w14:textId="5F2A3B04" w:rsidR="003926D8" w:rsidRPr="00827900" w:rsidRDefault="003926D8" w:rsidP="00E27BF3">
      <w:pPr>
        <w:pStyle w:val="aa"/>
        <w:spacing w:after="60"/>
        <w:rPr>
          <w:sz w:val="18"/>
          <w:szCs w:val="18"/>
          <w:lang w:val="ru-RU"/>
        </w:rPr>
      </w:pPr>
      <w:r w:rsidRPr="008D6A50">
        <w:rPr>
          <w:rStyle w:val="ac"/>
          <w:sz w:val="18"/>
          <w:szCs w:val="18"/>
        </w:rPr>
        <w:footnoteRef/>
      </w:r>
      <w:r w:rsidRPr="00DB19B3">
        <w:rPr>
          <w:sz w:val="18"/>
          <w:szCs w:val="18"/>
          <w:lang w:val="ru-RU"/>
        </w:rPr>
        <w:t xml:space="preserve"> </w:t>
      </w:r>
      <w:bookmarkStart w:id="4" w:name="_Hlk30771187"/>
      <w:r>
        <w:rPr>
          <w:sz w:val="18"/>
          <w:szCs w:val="18"/>
          <w:lang w:val="ru-RU"/>
        </w:rPr>
        <w:t>Во</w:t>
      </w:r>
      <w:r w:rsidRPr="00DB19B3">
        <w:rPr>
          <w:sz w:val="18"/>
          <w:szCs w:val="18"/>
          <w:lang w:val="ru-RU"/>
        </w:rPr>
        <w:t xml:space="preserve"> </w:t>
      </w:r>
      <w:r>
        <w:rPr>
          <w:sz w:val="18"/>
          <w:szCs w:val="18"/>
          <w:lang w:val="ru-RU"/>
        </w:rPr>
        <w:t>втором</w:t>
      </w:r>
      <w:r w:rsidRPr="00DB19B3">
        <w:rPr>
          <w:sz w:val="18"/>
          <w:szCs w:val="18"/>
          <w:lang w:val="ru-RU"/>
        </w:rPr>
        <w:t xml:space="preserve"> </w:t>
      </w:r>
      <w:r>
        <w:rPr>
          <w:sz w:val="18"/>
          <w:szCs w:val="18"/>
          <w:lang w:val="ru-RU"/>
        </w:rPr>
        <w:t>национальном</w:t>
      </w:r>
      <w:r w:rsidRPr="00DB19B3">
        <w:rPr>
          <w:sz w:val="18"/>
          <w:szCs w:val="18"/>
          <w:lang w:val="ru-RU"/>
        </w:rPr>
        <w:t xml:space="preserve"> </w:t>
      </w:r>
      <w:r>
        <w:rPr>
          <w:sz w:val="18"/>
          <w:szCs w:val="18"/>
          <w:lang w:val="ru-RU"/>
        </w:rPr>
        <w:t>докладе</w:t>
      </w:r>
      <w:r w:rsidRPr="00DB19B3">
        <w:rPr>
          <w:sz w:val="18"/>
          <w:szCs w:val="18"/>
          <w:lang w:val="ru-RU"/>
        </w:rPr>
        <w:t xml:space="preserve"> </w:t>
      </w:r>
      <w:r>
        <w:rPr>
          <w:sz w:val="18"/>
          <w:szCs w:val="18"/>
          <w:lang w:val="ru-RU"/>
        </w:rPr>
        <w:t>не было возможности</w:t>
      </w:r>
      <w:r w:rsidRPr="00DB19B3">
        <w:rPr>
          <w:sz w:val="18"/>
          <w:szCs w:val="18"/>
          <w:lang w:val="ru-RU"/>
        </w:rPr>
        <w:t xml:space="preserve"> </w:t>
      </w:r>
      <w:r>
        <w:rPr>
          <w:sz w:val="18"/>
          <w:szCs w:val="18"/>
          <w:lang w:val="ru-RU"/>
        </w:rPr>
        <w:t>ответить</w:t>
      </w:r>
      <w:r w:rsidRPr="00DB19B3">
        <w:rPr>
          <w:sz w:val="18"/>
          <w:szCs w:val="18"/>
          <w:lang w:val="ru-RU"/>
        </w:rPr>
        <w:t xml:space="preserve"> </w:t>
      </w:r>
      <w:r>
        <w:rPr>
          <w:sz w:val="18"/>
          <w:szCs w:val="18"/>
          <w:lang w:val="ru-RU"/>
        </w:rPr>
        <w:t>на</w:t>
      </w:r>
      <w:r w:rsidRPr="00DB19B3">
        <w:rPr>
          <w:sz w:val="18"/>
          <w:szCs w:val="18"/>
          <w:lang w:val="ru-RU"/>
        </w:rPr>
        <w:t xml:space="preserve"> </w:t>
      </w:r>
      <w:r>
        <w:rPr>
          <w:sz w:val="18"/>
          <w:szCs w:val="18"/>
          <w:lang w:val="ru-RU"/>
        </w:rPr>
        <w:t>соответствующий</w:t>
      </w:r>
      <w:r w:rsidRPr="00DB19B3">
        <w:rPr>
          <w:sz w:val="18"/>
          <w:szCs w:val="18"/>
          <w:lang w:val="ru-RU"/>
        </w:rPr>
        <w:t xml:space="preserve"> </w:t>
      </w:r>
      <w:r w:rsidRPr="00827900">
        <w:rPr>
          <w:sz w:val="18"/>
          <w:szCs w:val="18"/>
          <w:lang w:val="ru-RU"/>
        </w:rPr>
        <w:t>вопрос «</w:t>
      </w:r>
      <w:r w:rsidRPr="00827900">
        <w:rPr>
          <w:snapToGrid w:val="0"/>
          <w:kern w:val="22"/>
          <w:sz w:val="18"/>
          <w:szCs w:val="18"/>
          <w:lang w:val="ru-RU"/>
        </w:rPr>
        <w:t>в некоторой степени</w:t>
      </w:r>
      <w:r w:rsidRPr="00827900">
        <w:rPr>
          <w:sz w:val="18"/>
          <w:szCs w:val="18"/>
          <w:lang w:val="ru-RU"/>
        </w:rPr>
        <w:t>»</w:t>
      </w:r>
      <w:r w:rsidRPr="00827900">
        <w:rPr>
          <w:snapToGrid w:val="0"/>
          <w:kern w:val="18"/>
          <w:sz w:val="18"/>
          <w:szCs w:val="18"/>
          <w:lang w:val="ru-RU"/>
        </w:rPr>
        <w:t>. Это могло повлиять на сообщенные изменения по сравнению с исходным уровнем.</w:t>
      </w:r>
      <w:bookmarkEnd w:id="4"/>
    </w:p>
  </w:footnote>
  <w:footnote w:id="19">
    <w:p w14:paraId="5D2FAC42" w14:textId="5E56AF6F" w:rsidR="003926D8" w:rsidRPr="004F1E2F" w:rsidRDefault="003926D8" w:rsidP="00E27BF3">
      <w:pPr>
        <w:pStyle w:val="aa"/>
        <w:spacing w:after="60"/>
        <w:rPr>
          <w:lang w:val="ru-RU"/>
        </w:rPr>
      </w:pPr>
      <w:r w:rsidRPr="00A3339B">
        <w:rPr>
          <w:rStyle w:val="ac"/>
          <w:sz w:val="18"/>
          <w:szCs w:val="18"/>
        </w:rPr>
        <w:footnoteRef/>
      </w:r>
      <w:r w:rsidR="00946F2E">
        <w:rPr>
          <w:sz w:val="18"/>
          <w:szCs w:val="18"/>
          <w:lang w:val="ru-RU"/>
        </w:rPr>
        <w:t xml:space="preserve"> </w:t>
      </w:r>
      <w:r>
        <w:rPr>
          <w:sz w:val="18"/>
          <w:szCs w:val="18"/>
          <w:lang w:val="ru-RU"/>
        </w:rPr>
        <w:t>Вследствие</w:t>
      </w:r>
      <w:r w:rsidRPr="004F1E2F">
        <w:rPr>
          <w:sz w:val="18"/>
          <w:szCs w:val="18"/>
          <w:lang w:val="ru-RU"/>
        </w:rPr>
        <w:t xml:space="preserve"> </w:t>
      </w:r>
      <w:r>
        <w:rPr>
          <w:sz w:val="18"/>
          <w:szCs w:val="18"/>
          <w:lang w:val="ru-RU"/>
        </w:rPr>
        <w:t>округления</w:t>
      </w:r>
      <w:r w:rsidRPr="004F1E2F">
        <w:rPr>
          <w:sz w:val="18"/>
          <w:szCs w:val="18"/>
          <w:lang w:val="ru-RU"/>
        </w:rPr>
        <w:t xml:space="preserve"> </w:t>
      </w:r>
      <w:r>
        <w:rPr>
          <w:sz w:val="18"/>
          <w:szCs w:val="18"/>
          <w:lang w:val="ru-RU"/>
        </w:rPr>
        <w:t>десятичных</w:t>
      </w:r>
      <w:r w:rsidRPr="004F1E2F">
        <w:rPr>
          <w:sz w:val="18"/>
          <w:szCs w:val="18"/>
          <w:lang w:val="ru-RU"/>
        </w:rPr>
        <w:t xml:space="preserve"> </w:t>
      </w:r>
      <w:r>
        <w:rPr>
          <w:sz w:val="18"/>
          <w:szCs w:val="18"/>
          <w:lang w:val="ru-RU"/>
        </w:rPr>
        <w:t>знаков</w:t>
      </w:r>
      <w:r w:rsidRPr="004F1E2F">
        <w:rPr>
          <w:sz w:val="18"/>
          <w:szCs w:val="18"/>
          <w:lang w:val="ru-RU"/>
        </w:rPr>
        <w:t xml:space="preserve"> </w:t>
      </w:r>
      <w:r>
        <w:rPr>
          <w:sz w:val="18"/>
          <w:szCs w:val="18"/>
          <w:lang w:val="ru-RU"/>
        </w:rPr>
        <w:t xml:space="preserve">сумма процентных величин </w:t>
      </w:r>
      <w:r w:rsidR="00946F2E">
        <w:rPr>
          <w:sz w:val="18"/>
          <w:szCs w:val="18"/>
          <w:lang w:val="ru-RU"/>
        </w:rPr>
        <w:t>составляет</w:t>
      </w:r>
      <w:r>
        <w:rPr>
          <w:sz w:val="18"/>
          <w:szCs w:val="18"/>
          <w:lang w:val="ru-RU"/>
        </w:rPr>
        <w:t xml:space="preserve"> </w:t>
      </w:r>
      <w:r w:rsidRPr="004F1E2F">
        <w:rPr>
          <w:sz w:val="18"/>
          <w:szCs w:val="18"/>
          <w:lang w:val="ru-RU"/>
        </w:rPr>
        <w:t>14</w:t>
      </w:r>
      <w:r>
        <w:rPr>
          <w:sz w:val="18"/>
          <w:szCs w:val="18"/>
          <w:lang w:val="ru-RU"/>
        </w:rPr>
        <w:t> </w:t>
      </w:r>
      <w:r w:rsidRPr="004F1E2F">
        <w:rPr>
          <w:sz w:val="18"/>
          <w:szCs w:val="18"/>
          <w:lang w:val="ru-RU"/>
        </w:rPr>
        <w:t>%</w:t>
      </w:r>
      <w:r>
        <w:rPr>
          <w:sz w:val="18"/>
          <w:szCs w:val="18"/>
          <w:lang w:val="ru-RU"/>
        </w:rPr>
        <w:t xml:space="preserve">, </w:t>
      </w:r>
      <w:r w:rsidR="00946F2E">
        <w:rPr>
          <w:sz w:val="18"/>
          <w:szCs w:val="18"/>
          <w:lang w:val="ru-RU"/>
        </w:rPr>
        <w:t>а не</w:t>
      </w:r>
      <w:r w:rsidRPr="004F1E2F">
        <w:rPr>
          <w:sz w:val="18"/>
          <w:szCs w:val="18"/>
          <w:lang w:val="ru-RU"/>
        </w:rPr>
        <w:t xml:space="preserve"> 15</w:t>
      </w:r>
      <w:r>
        <w:rPr>
          <w:sz w:val="18"/>
          <w:szCs w:val="18"/>
          <w:lang w:val="ru-RU"/>
        </w:rPr>
        <w:t xml:space="preserve"> </w:t>
      </w:r>
      <w:r w:rsidRPr="004F1E2F">
        <w:rPr>
          <w:sz w:val="18"/>
          <w:szCs w:val="18"/>
          <w:lang w:val="ru-RU"/>
        </w:rPr>
        <w:t xml:space="preserve">%. </w:t>
      </w:r>
    </w:p>
  </w:footnote>
  <w:footnote w:id="20">
    <w:p w14:paraId="50BDD411" w14:textId="7B0B82B9" w:rsidR="003926D8" w:rsidRPr="00765FE9" w:rsidRDefault="003926D8" w:rsidP="004569FB">
      <w:pPr>
        <w:pStyle w:val="aa"/>
        <w:snapToGrid w:val="0"/>
        <w:spacing w:after="60"/>
        <w:rPr>
          <w:snapToGrid w:val="0"/>
          <w:kern w:val="18"/>
          <w:sz w:val="18"/>
          <w:szCs w:val="18"/>
          <w:lang w:val="ru-RU"/>
        </w:rPr>
      </w:pPr>
      <w:r w:rsidRPr="008D6A50">
        <w:rPr>
          <w:rStyle w:val="ac"/>
          <w:snapToGrid w:val="0"/>
          <w:kern w:val="18"/>
          <w:sz w:val="18"/>
          <w:szCs w:val="18"/>
        </w:rPr>
        <w:footnoteRef/>
      </w:r>
      <w:r w:rsidRPr="00765FE9">
        <w:rPr>
          <w:snapToGrid w:val="0"/>
          <w:kern w:val="18"/>
          <w:sz w:val="18"/>
          <w:szCs w:val="18"/>
          <w:lang w:val="ru-RU"/>
        </w:rPr>
        <w:t xml:space="preserve"> </w:t>
      </w:r>
      <w:r>
        <w:rPr>
          <w:snapToGrid w:val="0"/>
          <w:kern w:val="18"/>
          <w:sz w:val="18"/>
          <w:szCs w:val="18"/>
          <w:lang w:val="ru-RU"/>
        </w:rPr>
        <w:t>Например</w:t>
      </w:r>
      <w:r w:rsidRPr="00765FE9">
        <w:rPr>
          <w:snapToGrid w:val="0"/>
          <w:kern w:val="18"/>
          <w:sz w:val="18"/>
          <w:szCs w:val="18"/>
          <w:lang w:val="ru-RU"/>
        </w:rPr>
        <w:t xml:space="preserve">, </w:t>
      </w:r>
      <w:r>
        <w:rPr>
          <w:snapToGrid w:val="0"/>
          <w:kern w:val="18"/>
          <w:sz w:val="18"/>
          <w:szCs w:val="18"/>
          <w:lang w:val="ru-RU"/>
        </w:rPr>
        <w:t>вопросы</w:t>
      </w:r>
      <w:r w:rsidRPr="00765FE9">
        <w:rPr>
          <w:snapToGrid w:val="0"/>
          <w:kern w:val="18"/>
          <w:sz w:val="18"/>
          <w:szCs w:val="18"/>
          <w:lang w:val="ru-RU"/>
        </w:rPr>
        <w:t xml:space="preserve"> 17, 18 </w:t>
      </w:r>
      <w:r>
        <w:rPr>
          <w:snapToGrid w:val="0"/>
          <w:kern w:val="18"/>
          <w:sz w:val="18"/>
          <w:szCs w:val="18"/>
          <w:lang w:val="ru-RU"/>
        </w:rPr>
        <w:t>и</w:t>
      </w:r>
      <w:r w:rsidRPr="00765FE9">
        <w:rPr>
          <w:snapToGrid w:val="0"/>
          <w:kern w:val="18"/>
          <w:sz w:val="18"/>
          <w:szCs w:val="18"/>
          <w:lang w:val="ru-RU"/>
        </w:rPr>
        <w:t xml:space="preserve"> 109 </w:t>
      </w:r>
      <w:r>
        <w:rPr>
          <w:snapToGrid w:val="0"/>
          <w:kern w:val="18"/>
          <w:sz w:val="18"/>
          <w:szCs w:val="18"/>
          <w:lang w:val="ru-RU"/>
        </w:rPr>
        <w:t>формата четвертого национального доклада</w:t>
      </w:r>
      <w:r w:rsidRPr="00765FE9">
        <w:rPr>
          <w:snapToGrid w:val="0"/>
          <w:kern w:val="18"/>
          <w:sz w:val="18"/>
          <w:szCs w:val="18"/>
          <w:lang w:val="ru-RU"/>
        </w:rPr>
        <w:t xml:space="preserve">. </w:t>
      </w:r>
      <w:r>
        <w:rPr>
          <w:snapToGrid w:val="0"/>
          <w:kern w:val="18"/>
          <w:sz w:val="18"/>
          <w:szCs w:val="18"/>
          <w:lang w:val="ru-RU"/>
        </w:rPr>
        <w:t>Кроме</w:t>
      </w:r>
      <w:r w:rsidRPr="00765FE9">
        <w:rPr>
          <w:snapToGrid w:val="0"/>
          <w:kern w:val="18"/>
          <w:sz w:val="18"/>
          <w:szCs w:val="18"/>
          <w:lang w:val="ru-RU"/>
        </w:rPr>
        <w:t xml:space="preserve"> </w:t>
      </w:r>
      <w:r>
        <w:rPr>
          <w:snapToGrid w:val="0"/>
          <w:kern w:val="18"/>
          <w:sz w:val="18"/>
          <w:szCs w:val="18"/>
          <w:lang w:val="ru-RU"/>
        </w:rPr>
        <w:t>того</w:t>
      </w:r>
      <w:r w:rsidRPr="00765FE9">
        <w:rPr>
          <w:snapToGrid w:val="0"/>
          <w:kern w:val="18"/>
          <w:sz w:val="18"/>
          <w:szCs w:val="18"/>
          <w:lang w:val="ru-RU"/>
        </w:rPr>
        <w:t xml:space="preserve">, </w:t>
      </w:r>
      <w:r>
        <w:rPr>
          <w:snapToGrid w:val="0"/>
          <w:kern w:val="18"/>
          <w:sz w:val="18"/>
          <w:szCs w:val="18"/>
          <w:lang w:val="ru-RU"/>
        </w:rPr>
        <w:t>вопрос</w:t>
      </w:r>
      <w:r w:rsidRPr="00765FE9">
        <w:rPr>
          <w:snapToGrid w:val="0"/>
          <w:kern w:val="18"/>
          <w:sz w:val="18"/>
          <w:szCs w:val="18"/>
          <w:lang w:val="ru-RU"/>
        </w:rPr>
        <w:t xml:space="preserve"> 39 </w:t>
      </w:r>
      <w:r>
        <w:rPr>
          <w:snapToGrid w:val="0"/>
          <w:kern w:val="18"/>
          <w:sz w:val="18"/>
          <w:szCs w:val="18"/>
          <w:lang w:val="ru-RU"/>
        </w:rPr>
        <w:t>относится</w:t>
      </w:r>
      <w:r w:rsidRPr="00765FE9">
        <w:rPr>
          <w:snapToGrid w:val="0"/>
          <w:kern w:val="18"/>
          <w:sz w:val="18"/>
          <w:szCs w:val="18"/>
          <w:lang w:val="ru-RU"/>
        </w:rPr>
        <w:t xml:space="preserve"> </w:t>
      </w:r>
      <w:r>
        <w:rPr>
          <w:snapToGrid w:val="0"/>
          <w:kern w:val="18"/>
          <w:sz w:val="18"/>
          <w:szCs w:val="18"/>
          <w:lang w:val="ru-RU"/>
        </w:rPr>
        <w:t>к</w:t>
      </w:r>
      <w:r w:rsidRPr="00765FE9">
        <w:rPr>
          <w:snapToGrid w:val="0"/>
          <w:kern w:val="18"/>
          <w:sz w:val="18"/>
          <w:szCs w:val="18"/>
          <w:lang w:val="ru-RU"/>
        </w:rPr>
        <w:t xml:space="preserve"> </w:t>
      </w:r>
      <w:r>
        <w:rPr>
          <w:snapToGrid w:val="0"/>
          <w:kern w:val="18"/>
          <w:sz w:val="18"/>
          <w:szCs w:val="18"/>
          <w:lang w:val="ru-RU"/>
        </w:rPr>
        <w:t>административным</w:t>
      </w:r>
      <w:r w:rsidRPr="00765FE9">
        <w:rPr>
          <w:snapToGrid w:val="0"/>
          <w:kern w:val="18"/>
          <w:sz w:val="18"/>
          <w:szCs w:val="18"/>
          <w:lang w:val="ru-RU"/>
        </w:rPr>
        <w:t xml:space="preserve"> </w:t>
      </w:r>
      <w:r>
        <w:rPr>
          <w:snapToGrid w:val="0"/>
          <w:kern w:val="18"/>
          <w:sz w:val="18"/>
          <w:szCs w:val="18"/>
          <w:lang w:val="ru-RU"/>
        </w:rPr>
        <w:t>мерам</w:t>
      </w:r>
      <w:r w:rsidRPr="00765FE9">
        <w:rPr>
          <w:snapToGrid w:val="0"/>
          <w:kern w:val="18"/>
          <w:sz w:val="18"/>
          <w:szCs w:val="18"/>
          <w:lang w:val="ru-RU"/>
        </w:rPr>
        <w:t xml:space="preserve"> </w:t>
      </w:r>
      <w:r>
        <w:rPr>
          <w:snapToGrid w:val="0"/>
          <w:kern w:val="18"/>
          <w:sz w:val="18"/>
          <w:szCs w:val="18"/>
          <w:lang w:val="ru-RU"/>
        </w:rPr>
        <w:t>в</w:t>
      </w:r>
      <w:r w:rsidRPr="00765FE9">
        <w:rPr>
          <w:snapToGrid w:val="0"/>
          <w:kern w:val="18"/>
          <w:sz w:val="18"/>
          <w:szCs w:val="18"/>
          <w:lang w:val="ru-RU"/>
        </w:rPr>
        <w:t xml:space="preserve"> </w:t>
      </w:r>
      <w:r>
        <w:rPr>
          <w:snapToGrid w:val="0"/>
          <w:kern w:val="18"/>
          <w:sz w:val="18"/>
          <w:szCs w:val="18"/>
          <w:lang w:val="ru-RU"/>
        </w:rPr>
        <w:t>отношении процесса</w:t>
      </w:r>
      <w:r w:rsidRPr="00765FE9">
        <w:rPr>
          <w:snapToGrid w:val="0"/>
          <w:kern w:val="18"/>
          <w:sz w:val="18"/>
          <w:szCs w:val="18"/>
          <w:lang w:val="ru-RU"/>
        </w:rPr>
        <w:t xml:space="preserve"> </w:t>
      </w:r>
      <w:r>
        <w:rPr>
          <w:snapToGrid w:val="0"/>
          <w:kern w:val="18"/>
          <w:sz w:val="18"/>
          <w:szCs w:val="18"/>
          <w:lang w:val="ru-RU"/>
        </w:rPr>
        <w:t>принятия</w:t>
      </w:r>
      <w:r w:rsidRPr="00765FE9">
        <w:rPr>
          <w:snapToGrid w:val="0"/>
          <w:kern w:val="18"/>
          <w:sz w:val="18"/>
          <w:szCs w:val="18"/>
          <w:lang w:val="ru-RU"/>
        </w:rPr>
        <w:t xml:space="preserve"> </w:t>
      </w:r>
      <w:r>
        <w:rPr>
          <w:snapToGrid w:val="0"/>
          <w:kern w:val="18"/>
          <w:sz w:val="18"/>
          <w:szCs w:val="18"/>
          <w:lang w:val="ru-RU"/>
        </w:rPr>
        <w:t>решений</w:t>
      </w:r>
      <w:r w:rsidRPr="00765FE9">
        <w:rPr>
          <w:snapToGrid w:val="0"/>
          <w:kern w:val="18"/>
          <w:sz w:val="18"/>
          <w:szCs w:val="18"/>
          <w:lang w:val="ru-RU"/>
        </w:rPr>
        <w:t xml:space="preserve"> </w:t>
      </w:r>
      <w:r>
        <w:rPr>
          <w:snapToGrid w:val="0"/>
          <w:kern w:val="18"/>
          <w:sz w:val="18"/>
          <w:szCs w:val="18"/>
          <w:lang w:val="ru-RU"/>
        </w:rPr>
        <w:t>о</w:t>
      </w:r>
      <w:r w:rsidRPr="00765FE9">
        <w:rPr>
          <w:snapToGrid w:val="0"/>
          <w:kern w:val="18"/>
          <w:sz w:val="18"/>
          <w:szCs w:val="18"/>
          <w:lang w:val="ru-RU"/>
        </w:rPr>
        <w:t xml:space="preserve"> </w:t>
      </w:r>
      <w:proofErr w:type="spellStart"/>
      <w:r>
        <w:rPr>
          <w:snapToGrid w:val="0"/>
          <w:kern w:val="18"/>
          <w:sz w:val="18"/>
          <w:szCs w:val="18"/>
          <w:lang w:val="ru-RU"/>
        </w:rPr>
        <w:t>ЖИО</w:t>
      </w:r>
      <w:proofErr w:type="spellEnd"/>
      <w:r w:rsidRPr="00765FE9">
        <w:rPr>
          <w:snapToGrid w:val="0"/>
          <w:kern w:val="18"/>
          <w:sz w:val="18"/>
          <w:szCs w:val="18"/>
          <w:lang w:val="ru-RU"/>
        </w:rPr>
        <w:t xml:space="preserve">, </w:t>
      </w:r>
      <w:r>
        <w:rPr>
          <w:snapToGrid w:val="0"/>
          <w:kern w:val="18"/>
          <w:sz w:val="18"/>
          <w:szCs w:val="18"/>
          <w:lang w:val="ru-RU"/>
        </w:rPr>
        <w:t>который был рассмотрен выше в рамках оперативной цели</w:t>
      </w:r>
      <w:r w:rsidRPr="00765FE9">
        <w:rPr>
          <w:snapToGrid w:val="0"/>
          <w:kern w:val="18"/>
          <w:sz w:val="18"/>
          <w:szCs w:val="18"/>
          <w:lang w:val="ru-RU"/>
        </w:rPr>
        <w:t xml:space="preserve"> 1.1.</w:t>
      </w:r>
    </w:p>
  </w:footnote>
  <w:footnote w:id="21">
    <w:p w14:paraId="1D7D5DA7" w14:textId="117E825C" w:rsidR="003926D8" w:rsidRPr="00EE60ED" w:rsidRDefault="003926D8" w:rsidP="00AC56CB">
      <w:pPr>
        <w:pStyle w:val="aa"/>
        <w:spacing w:after="60"/>
        <w:rPr>
          <w:sz w:val="18"/>
          <w:szCs w:val="18"/>
          <w:lang w:val="ru-RU"/>
        </w:rPr>
      </w:pPr>
      <w:r w:rsidRPr="008D6A50">
        <w:rPr>
          <w:rStyle w:val="ac"/>
          <w:sz w:val="18"/>
          <w:szCs w:val="18"/>
        </w:rPr>
        <w:footnoteRef/>
      </w:r>
      <w:r w:rsidRPr="00EE60ED">
        <w:rPr>
          <w:sz w:val="18"/>
          <w:szCs w:val="18"/>
          <w:lang w:val="ru-RU"/>
        </w:rPr>
        <w:t xml:space="preserve"> </w:t>
      </w:r>
      <w:r>
        <w:rPr>
          <w:sz w:val="18"/>
          <w:szCs w:val="18"/>
          <w:lang w:val="ru-RU"/>
        </w:rPr>
        <w:t>Формат</w:t>
      </w:r>
      <w:r w:rsidRPr="00EE60ED">
        <w:rPr>
          <w:sz w:val="18"/>
          <w:szCs w:val="18"/>
          <w:lang w:val="ru-RU"/>
        </w:rPr>
        <w:t xml:space="preserve"> </w:t>
      </w:r>
      <w:r>
        <w:rPr>
          <w:sz w:val="18"/>
          <w:szCs w:val="18"/>
          <w:lang w:val="ru-RU"/>
        </w:rPr>
        <w:t>второго</w:t>
      </w:r>
      <w:r w:rsidRPr="00EE60ED">
        <w:rPr>
          <w:sz w:val="18"/>
          <w:szCs w:val="18"/>
          <w:lang w:val="ru-RU"/>
        </w:rPr>
        <w:t xml:space="preserve"> </w:t>
      </w:r>
      <w:r>
        <w:rPr>
          <w:sz w:val="18"/>
          <w:szCs w:val="18"/>
          <w:lang w:val="ru-RU"/>
        </w:rPr>
        <w:t>национального</w:t>
      </w:r>
      <w:r w:rsidRPr="00EE60ED">
        <w:rPr>
          <w:sz w:val="18"/>
          <w:szCs w:val="18"/>
          <w:lang w:val="ru-RU"/>
        </w:rPr>
        <w:t xml:space="preserve"> </w:t>
      </w:r>
      <w:r>
        <w:rPr>
          <w:sz w:val="18"/>
          <w:szCs w:val="18"/>
          <w:lang w:val="ru-RU"/>
        </w:rPr>
        <w:t>доклада</w:t>
      </w:r>
      <w:r w:rsidRPr="00EE60ED">
        <w:rPr>
          <w:sz w:val="18"/>
          <w:szCs w:val="18"/>
          <w:lang w:val="ru-RU"/>
        </w:rPr>
        <w:t xml:space="preserve"> </w:t>
      </w:r>
      <w:r>
        <w:rPr>
          <w:sz w:val="18"/>
          <w:szCs w:val="18"/>
          <w:lang w:val="ru-RU"/>
        </w:rPr>
        <w:t>не</w:t>
      </w:r>
      <w:r w:rsidRPr="00EE60ED">
        <w:rPr>
          <w:sz w:val="18"/>
          <w:szCs w:val="18"/>
          <w:lang w:val="ru-RU"/>
        </w:rPr>
        <w:t xml:space="preserve"> </w:t>
      </w:r>
      <w:r>
        <w:rPr>
          <w:sz w:val="18"/>
          <w:szCs w:val="18"/>
          <w:lang w:val="ru-RU"/>
        </w:rPr>
        <w:t>предусматривал</w:t>
      </w:r>
      <w:r w:rsidRPr="00EE60ED">
        <w:rPr>
          <w:sz w:val="18"/>
          <w:szCs w:val="18"/>
          <w:lang w:val="ru-RU"/>
        </w:rPr>
        <w:t xml:space="preserve"> </w:t>
      </w:r>
      <w:r>
        <w:rPr>
          <w:sz w:val="18"/>
          <w:szCs w:val="18"/>
          <w:lang w:val="ru-RU"/>
        </w:rPr>
        <w:t>вариант</w:t>
      </w:r>
      <w:r w:rsidRPr="00EE60ED">
        <w:rPr>
          <w:sz w:val="18"/>
          <w:szCs w:val="18"/>
          <w:lang w:val="ru-RU"/>
        </w:rPr>
        <w:t xml:space="preserve"> </w:t>
      </w:r>
      <w:r>
        <w:rPr>
          <w:sz w:val="18"/>
          <w:szCs w:val="18"/>
          <w:lang w:val="ru-RU"/>
        </w:rPr>
        <w:t>ответа</w:t>
      </w:r>
      <w:r w:rsidRPr="00EE60ED">
        <w:rPr>
          <w:sz w:val="18"/>
          <w:szCs w:val="18"/>
          <w:lang w:val="ru-RU"/>
        </w:rPr>
        <w:t xml:space="preserve"> «</w:t>
      </w:r>
      <w:r>
        <w:rPr>
          <w:sz w:val="18"/>
          <w:szCs w:val="18"/>
          <w:lang w:val="ru-RU"/>
        </w:rPr>
        <w:t>Да</w:t>
      </w:r>
      <w:r w:rsidRPr="00EE60ED">
        <w:rPr>
          <w:sz w:val="18"/>
          <w:szCs w:val="18"/>
          <w:lang w:val="ru-RU"/>
        </w:rPr>
        <w:t xml:space="preserve">, </w:t>
      </w:r>
      <w:r w:rsidRPr="00827900">
        <w:rPr>
          <w:sz w:val="18"/>
          <w:szCs w:val="18"/>
          <w:lang w:val="ru-RU"/>
        </w:rPr>
        <w:t>в некоторой степени</w:t>
      </w:r>
      <w:r>
        <w:rPr>
          <w:sz w:val="18"/>
          <w:szCs w:val="18"/>
          <w:lang w:val="ru-RU"/>
        </w:rPr>
        <w:t>»</w:t>
      </w:r>
      <w:r w:rsidRPr="00EE60ED">
        <w:rPr>
          <w:sz w:val="18"/>
          <w:szCs w:val="18"/>
          <w:lang w:val="ru-RU"/>
        </w:rPr>
        <w:t>.</w:t>
      </w:r>
    </w:p>
  </w:footnote>
  <w:footnote w:id="22">
    <w:p w14:paraId="19602755" w14:textId="7A5F439A" w:rsidR="003926D8" w:rsidRPr="004C7845" w:rsidRDefault="003926D8">
      <w:pPr>
        <w:pStyle w:val="aa"/>
        <w:rPr>
          <w:lang w:val="ru-RU"/>
        </w:rPr>
      </w:pPr>
      <w:r w:rsidRPr="00C36236">
        <w:rPr>
          <w:rStyle w:val="ac"/>
        </w:rPr>
        <w:footnoteRef/>
      </w:r>
      <w:r w:rsidRPr="004C7845">
        <w:rPr>
          <w:sz w:val="18"/>
          <w:szCs w:val="18"/>
          <w:lang w:val="ru-RU"/>
        </w:rPr>
        <w:t xml:space="preserve"> </w:t>
      </w:r>
      <w:r>
        <w:rPr>
          <w:sz w:val="18"/>
          <w:szCs w:val="18"/>
          <w:lang w:val="ru-RU"/>
        </w:rPr>
        <w:t>Информация</w:t>
      </w:r>
      <w:r w:rsidRPr="004C7845">
        <w:rPr>
          <w:sz w:val="18"/>
          <w:szCs w:val="18"/>
          <w:lang w:val="ru-RU"/>
        </w:rPr>
        <w:t xml:space="preserve"> </w:t>
      </w:r>
      <w:r>
        <w:rPr>
          <w:sz w:val="18"/>
          <w:szCs w:val="18"/>
          <w:lang w:val="ru-RU"/>
        </w:rPr>
        <w:t>о</w:t>
      </w:r>
      <w:r w:rsidRPr="004C7845">
        <w:rPr>
          <w:sz w:val="18"/>
          <w:szCs w:val="18"/>
          <w:lang w:val="ru-RU"/>
        </w:rPr>
        <w:t xml:space="preserve"> </w:t>
      </w:r>
      <w:r>
        <w:rPr>
          <w:sz w:val="18"/>
          <w:szCs w:val="18"/>
          <w:lang w:val="ru-RU"/>
        </w:rPr>
        <w:t>достаточности</w:t>
      </w:r>
      <w:r w:rsidRPr="004C7845">
        <w:rPr>
          <w:sz w:val="18"/>
          <w:szCs w:val="18"/>
          <w:lang w:val="ru-RU"/>
        </w:rPr>
        <w:t xml:space="preserve"> </w:t>
      </w:r>
      <w:r>
        <w:rPr>
          <w:sz w:val="18"/>
          <w:szCs w:val="18"/>
          <w:lang w:val="ru-RU"/>
        </w:rPr>
        <w:t>численности</w:t>
      </w:r>
      <w:r w:rsidRPr="004C7845">
        <w:rPr>
          <w:sz w:val="18"/>
          <w:szCs w:val="18"/>
          <w:lang w:val="ru-RU"/>
        </w:rPr>
        <w:t xml:space="preserve"> </w:t>
      </w:r>
      <w:r>
        <w:rPr>
          <w:sz w:val="18"/>
          <w:szCs w:val="18"/>
          <w:lang w:val="ru-RU"/>
        </w:rPr>
        <w:t>персонала</w:t>
      </w:r>
      <w:r w:rsidRPr="004C7845">
        <w:rPr>
          <w:sz w:val="18"/>
          <w:szCs w:val="18"/>
          <w:lang w:val="ru-RU"/>
        </w:rPr>
        <w:t xml:space="preserve"> </w:t>
      </w:r>
      <w:r>
        <w:rPr>
          <w:sz w:val="18"/>
          <w:szCs w:val="18"/>
          <w:lang w:val="ru-RU"/>
        </w:rPr>
        <w:t>не</w:t>
      </w:r>
      <w:r w:rsidRPr="004C7845">
        <w:rPr>
          <w:sz w:val="18"/>
          <w:szCs w:val="18"/>
          <w:lang w:val="ru-RU"/>
        </w:rPr>
        <w:t xml:space="preserve"> </w:t>
      </w:r>
      <w:r>
        <w:rPr>
          <w:sz w:val="18"/>
          <w:szCs w:val="18"/>
          <w:lang w:val="ru-RU"/>
        </w:rPr>
        <w:t>предоставлялась</w:t>
      </w:r>
      <w:r w:rsidRPr="004C7845">
        <w:rPr>
          <w:sz w:val="18"/>
          <w:szCs w:val="18"/>
          <w:lang w:val="ru-RU"/>
        </w:rPr>
        <w:t xml:space="preserve"> </w:t>
      </w:r>
      <w:r>
        <w:rPr>
          <w:sz w:val="18"/>
          <w:szCs w:val="18"/>
          <w:lang w:val="ru-RU"/>
        </w:rPr>
        <w:t>во</w:t>
      </w:r>
      <w:r w:rsidRPr="004C7845">
        <w:rPr>
          <w:sz w:val="18"/>
          <w:szCs w:val="18"/>
          <w:lang w:val="ru-RU"/>
        </w:rPr>
        <w:t xml:space="preserve"> </w:t>
      </w:r>
      <w:r>
        <w:rPr>
          <w:sz w:val="18"/>
          <w:szCs w:val="18"/>
          <w:lang w:val="ru-RU"/>
        </w:rPr>
        <w:t>вторых</w:t>
      </w:r>
      <w:r w:rsidRPr="004C7845">
        <w:rPr>
          <w:sz w:val="18"/>
          <w:szCs w:val="18"/>
          <w:lang w:val="ru-RU"/>
        </w:rPr>
        <w:t xml:space="preserve"> </w:t>
      </w:r>
      <w:r>
        <w:rPr>
          <w:sz w:val="18"/>
          <w:szCs w:val="18"/>
          <w:lang w:val="ru-RU"/>
        </w:rPr>
        <w:t>национальных</w:t>
      </w:r>
      <w:r w:rsidRPr="004C7845">
        <w:rPr>
          <w:sz w:val="18"/>
          <w:szCs w:val="18"/>
          <w:lang w:val="ru-RU"/>
        </w:rPr>
        <w:t xml:space="preserve"> </w:t>
      </w:r>
      <w:r>
        <w:rPr>
          <w:sz w:val="18"/>
          <w:szCs w:val="18"/>
          <w:lang w:val="ru-RU"/>
        </w:rPr>
        <w:t xml:space="preserve">докладах </w:t>
      </w:r>
      <w:r w:rsidR="00AC56CB">
        <w:rPr>
          <w:sz w:val="18"/>
          <w:szCs w:val="18"/>
          <w:lang w:val="ru-RU"/>
        </w:rPr>
        <w:t>в качестве</w:t>
      </w:r>
      <w:r>
        <w:rPr>
          <w:sz w:val="18"/>
          <w:szCs w:val="18"/>
          <w:lang w:val="ru-RU"/>
        </w:rPr>
        <w:t xml:space="preserve"> исходного уровня</w:t>
      </w:r>
      <w:r w:rsidRPr="004C7845">
        <w:rPr>
          <w:sz w:val="18"/>
          <w:szCs w:val="18"/>
          <w:lang w:val="ru-RU"/>
        </w:rPr>
        <w:t>.</w:t>
      </w:r>
    </w:p>
  </w:footnote>
  <w:footnote w:id="23">
    <w:p w14:paraId="6D7EA276" w14:textId="357B1B6B" w:rsidR="003926D8" w:rsidRPr="00A5406D" w:rsidRDefault="003926D8" w:rsidP="004569FB">
      <w:pPr>
        <w:pStyle w:val="aa"/>
        <w:rPr>
          <w:sz w:val="18"/>
          <w:szCs w:val="18"/>
          <w:lang w:val="ru-RU"/>
        </w:rPr>
      </w:pPr>
      <w:r w:rsidRPr="008A67CA">
        <w:rPr>
          <w:rStyle w:val="ac"/>
          <w:sz w:val="18"/>
          <w:szCs w:val="18"/>
        </w:rPr>
        <w:footnoteRef/>
      </w:r>
      <w:r w:rsidRPr="00A5406D">
        <w:rPr>
          <w:sz w:val="18"/>
          <w:szCs w:val="18"/>
          <w:lang w:val="ru-RU"/>
        </w:rPr>
        <w:t xml:space="preserve"> </w:t>
      </w:r>
      <w:r w:rsidRPr="00A5406D">
        <w:rPr>
          <w:snapToGrid w:val="0"/>
          <w:kern w:val="18"/>
          <w:sz w:val="18"/>
          <w:szCs w:val="18"/>
          <w:lang w:val="ru-RU"/>
        </w:rPr>
        <w:t>Во втором национальном докладе не было возможности ответить на соответствующий вопрос «</w:t>
      </w:r>
      <w:r w:rsidRPr="00827900">
        <w:rPr>
          <w:snapToGrid w:val="0"/>
          <w:kern w:val="18"/>
          <w:sz w:val="18"/>
          <w:szCs w:val="18"/>
          <w:lang w:val="ru-RU"/>
        </w:rPr>
        <w:t>в некоторой степени</w:t>
      </w:r>
      <w:r w:rsidRPr="00A5406D">
        <w:rPr>
          <w:snapToGrid w:val="0"/>
          <w:kern w:val="18"/>
          <w:sz w:val="18"/>
          <w:szCs w:val="18"/>
          <w:lang w:val="ru-RU"/>
        </w:rPr>
        <w:t>». Это могло повлиять на сообщенные изменения по сравнению с исходным уровнем.</w:t>
      </w:r>
    </w:p>
  </w:footnote>
  <w:footnote w:id="24">
    <w:p w14:paraId="2E2B7E0E" w14:textId="4A3ACA3C" w:rsidR="003926D8" w:rsidRPr="000F2993" w:rsidRDefault="003926D8" w:rsidP="00967553">
      <w:pPr>
        <w:pStyle w:val="aa"/>
        <w:spacing w:after="60"/>
        <w:rPr>
          <w:sz w:val="18"/>
          <w:szCs w:val="18"/>
          <w:lang w:val="ru-RU"/>
        </w:rPr>
      </w:pPr>
      <w:r w:rsidRPr="008D6A50">
        <w:rPr>
          <w:rStyle w:val="ac"/>
          <w:sz w:val="18"/>
          <w:szCs w:val="18"/>
        </w:rPr>
        <w:footnoteRef/>
      </w:r>
      <w:r w:rsidRPr="000F2993">
        <w:rPr>
          <w:sz w:val="18"/>
          <w:szCs w:val="18"/>
          <w:lang w:val="ru-RU"/>
        </w:rPr>
        <w:t xml:space="preserve"> </w:t>
      </w:r>
      <w:r>
        <w:rPr>
          <w:sz w:val="18"/>
          <w:szCs w:val="18"/>
          <w:lang w:val="ru-RU"/>
        </w:rPr>
        <w:t>В вопросе</w:t>
      </w:r>
      <w:r w:rsidRPr="000F2993">
        <w:rPr>
          <w:sz w:val="18"/>
          <w:szCs w:val="18"/>
          <w:lang w:val="ru-RU"/>
        </w:rPr>
        <w:t xml:space="preserve"> 71(</w:t>
      </w:r>
      <w:r w:rsidRPr="008D6A50">
        <w:rPr>
          <w:sz w:val="18"/>
          <w:szCs w:val="18"/>
          <w:lang w:val="en-US"/>
        </w:rPr>
        <w:t>a</w:t>
      </w:r>
      <w:r w:rsidRPr="000F2993">
        <w:rPr>
          <w:sz w:val="18"/>
          <w:szCs w:val="18"/>
          <w:lang w:val="ru-RU"/>
        </w:rPr>
        <w:t xml:space="preserve">) </w:t>
      </w:r>
      <w:r>
        <w:rPr>
          <w:sz w:val="18"/>
          <w:szCs w:val="18"/>
          <w:lang w:val="ru-RU"/>
        </w:rPr>
        <w:t>и</w:t>
      </w:r>
      <w:r w:rsidRPr="000F2993">
        <w:rPr>
          <w:sz w:val="18"/>
          <w:szCs w:val="18"/>
          <w:lang w:val="ru-RU"/>
        </w:rPr>
        <w:t xml:space="preserve"> 71(</w:t>
      </w:r>
      <w:r w:rsidRPr="008D6A50">
        <w:rPr>
          <w:sz w:val="18"/>
          <w:szCs w:val="18"/>
          <w:lang w:val="en-US"/>
        </w:rPr>
        <w:t>b</w:t>
      </w:r>
      <w:r w:rsidRPr="000F2993">
        <w:rPr>
          <w:sz w:val="18"/>
          <w:szCs w:val="18"/>
          <w:lang w:val="ru-RU"/>
        </w:rPr>
        <w:t xml:space="preserve">) </w:t>
      </w:r>
      <w:r>
        <w:rPr>
          <w:sz w:val="18"/>
          <w:szCs w:val="18"/>
          <w:lang w:val="ru-RU"/>
        </w:rPr>
        <w:t>спрашивается</w:t>
      </w:r>
      <w:r w:rsidRPr="000F2993">
        <w:rPr>
          <w:sz w:val="18"/>
          <w:szCs w:val="18"/>
          <w:lang w:val="ru-RU"/>
        </w:rPr>
        <w:t xml:space="preserve">, </w:t>
      </w:r>
      <w:r>
        <w:rPr>
          <w:sz w:val="18"/>
          <w:szCs w:val="18"/>
          <w:lang w:val="ru-RU"/>
        </w:rPr>
        <w:t>приняли</w:t>
      </w:r>
      <w:r w:rsidRPr="000F2993">
        <w:rPr>
          <w:sz w:val="18"/>
          <w:szCs w:val="18"/>
          <w:lang w:val="ru-RU"/>
        </w:rPr>
        <w:t xml:space="preserve"> </w:t>
      </w:r>
      <w:r>
        <w:rPr>
          <w:sz w:val="18"/>
          <w:szCs w:val="18"/>
          <w:lang w:val="ru-RU"/>
        </w:rPr>
        <w:t>ли</w:t>
      </w:r>
      <w:r w:rsidRPr="000F2993">
        <w:rPr>
          <w:sz w:val="18"/>
          <w:szCs w:val="18"/>
          <w:lang w:val="ru-RU"/>
        </w:rPr>
        <w:t xml:space="preserve"> </w:t>
      </w:r>
      <w:r>
        <w:rPr>
          <w:sz w:val="18"/>
          <w:szCs w:val="18"/>
          <w:lang w:val="ru-RU"/>
        </w:rPr>
        <w:t>или</w:t>
      </w:r>
      <w:r w:rsidRPr="000F2993">
        <w:rPr>
          <w:sz w:val="18"/>
          <w:szCs w:val="18"/>
          <w:lang w:val="ru-RU"/>
        </w:rPr>
        <w:t xml:space="preserve"> </w:t>
      </w:r>
      <w:r>
        <w:rPr>
          <w:sz w:val="18"/>
          <w:szCs w:val="18"/>
          <w:lang w:val="ru-RU"/>
        </w:rPr>
        <w:t>использовали</w:t>
      </w:r>
      <w:r w:rsidRPr="000F2993">
        <w:rPr>
          <w:sz w:val="18"/>
          <w:szCs w:val="18"/>
          <w:lang w:val="ru-RU"/>
        </w:rPr>
        <w:t xml:space="preserve"> </w:t>
      </w:r>
      <w:r>
        <w:rPr>
          <w:sz w:val="18"/>
          <w:szCs w:val="18"/>
          <w:lang w:val="ru-RU"/>
        </w:rPr>
        <w:t>ли</w:t>
      </w:r>
      <w:r w:rsidRPr="000F2993">
        <w:rPr>
          <w:sz w:val="18"/>
          <w:szCs w:val="18"/>
          <w:lang w:val="ru-RU"/>
        </w:rPr>
        <w:t xml:space="preserve"> </w:t>
      </w:r>
      <w:r>
        <w:rPr>
          <w:sz w:val="18"/>
          <w:szCs w:val="18"/>
          <w:lang w:val="ru-RU"/>
        </w:rPr>
        <w:t>страны</w:t>
      </w:r>
      <w:r w:rsidRPr="000F2993">
        <w:rPr>
          <w:sz w:val="18"/>
          <w:szCs w:val="18"/>
          <w:lang w:val="ru-RU"/>
        </w:rPr>
        <w:t xml:space="preserve"> </w:t>
      </w:r>
      <w:r>
        <w:rPr>
          <w:sz w:val="18"/>
          <w:szCs w:val="18"/>
          <w:lang w:val="ru-RU"/>
        </w:rPr>
        <w:t>какой</w:t>
      </w:r>
      <w:r w:rsidRPr="000F2993">
        <w:rPr>
          <w:sz w:val="18"/>
          <w:szCs w:val="18"/>
          <w:lang w:val="ru-RU"/>
        </w:rPr>
        <w:t>-</w:t>
      </w:r>
      <w:r>
        <w:rPr>
          <w:sz w:val="18"/>
          <w:szCs w:val="18"/>
          <w:lang w:val="ru-RU"/>
        </w:rPr>
        <w:t>либо</w:t>
      </w:r>
      <w:r w:rsidRPr="000F2993">
        <w:rPr>
          <w:sz w:val="18"/>
          <w:szCs w:val="18"/>
          <w:lang w:val="ru-RU"/>
        </w:rPr>
        <w:t xml:space="preserve"> </w:t>
      </w:r>
      <w:r>
        <w:rPr>
          <w:sz w:val="18"/>
          <w:szCs w:val="18"/>
          <w:lang w:val="ru-RU"/>
        </w:rPr>
        <w:t>инструктивный</w:t>
      </w:r>
      <w:r w:rsidRPr="000F2993">
        <w:rPr>
          <w:sz w:val="18"/>
          <w:szCs w:val="18"/>
          <w:lang w:val="ru-RU"/>
        </w:rPr>
        <w:t xml:space="preserve"> </w:t>
      </w:r>
      <w:r>
        <w:rPr>
          <w:sz w:val="18"/>
          <w:szCs w:val="18"/>
          <w:lang w:val="ru-RU"/>
        </w:rPr>
        <w:t>документ</w:t>
      </w:r>
      <w:r w:rsidRPr="000F2993">
        <w:rPr>
          <w:sz w:val="18"/>
          <w:szCs w:val="18"/>
          <w:lang w:val="ru-RU"/>
        </w:rPr>
        <w:t xml:space="preserve"> </w:t>
      </w:r>
      <w:r>
        <w:rPr>
          <w:sz w:val="18"/>
          <w:szCs w:val="18"/>
          <w:lang w:val="ru-RU"/>
        </w:rPr>
        <w:t>для</w:t>
      </w:r>
      <w:r w:rsidRPr="000F2993">
        <w:rPr>
          <w:sz w:val="18"/>
          <w:szCs w:val="18"/>
          <w:lang w:val="ru-RU"/>
        </w:rPr>
        <w:t xml:space="preserve"> </w:t>
      </w:r>
      <w:r>
        <w:rPr>
          <w:sz w:val="18"/>
          <w:szCs w:val="18"/>
          <w:lang w:val="ru-RU"/>
        </w:rPr>
        <w:t>целей</w:t>
      </w:r>
      <w:r w:rsidRPr="000F2993">
        <w:rPr>
          <w:snapToGrid w:val="0"/>
          <w:kern w:val="22"/>
          <w:sz w:val="22"/>
          <w:szCs w:val="22"/>
          <w:lang w:val="ru-RU"/>
        </w:rPr>
        <w:t xml:space="preserve"> </w:t>
      </w:r>
      <w:r w:rsidRPr="00CB7692">
        <w:rPr>
          <w:sz w:val="18"/>
          <w:szCs w:val="18"/>
          <w:lang w:val="ru-RU"/>
        </w:rPr>
        <w:t>проведения</w:t>
      </w:r>
      <w:r w:rsidRPr="000F2993">
        <w:rPr>
          <w:sz w:val="18"/>
          <w:szCs w:val="18"/>
          <w:lang w:val="ru-RU"/>
        </w:rPr>
        <w:t xml:space="preserve"> </w:t>
      </w:r>
      <w:r w:rsidRPr="00CB7692">
        <w:rPr>
          <w:sz w:val="18"/>
          <w:szCs w:val="18"/>
          <w:lang w:val="ru-RU"/>
        </w:rPr>
        <w:t>оценки</w:t>
      </w:r>
      <w:r w:rsidRPr="000F2993">
        <w:rPr>
          <w:sz w:val="18"/>
          <w:szCs w:val="18"/>
          <w:lang w:val="ru-RU"/>
        </w:rPr>
        <w:t xml:space="preserve"> </w:t>
      </w:r>
      <w:r w:rsidRPr="00CB7692">
        <w:rPr>
          <w:sz w:val="18"/>
          <w:szCs w:val="18"/>
          <w:lang w:val="ru-RU"/>
        </w:rPr>
        <w:t>рисков</w:t>
      </w:r>
      <w:r w:rsidRPr="000F2993">
        <w:rPr>
          <w:sz w:val="18"/>
          <w:szCs w:val="18"/>
          <w:lang w:val="ru-RU"/>
        </w:rPr>
        <w:t xml:space="preserve"> </w:t>
      </w:r>
      <w:r w:rsidRPr="00CB7692">
        <w:rPr>
          <w:sz w:val="18"/>
          <w:szCs w:val="18"/>
          <w:lang w:val="ru-RU"/>
        </w:rPr>
        <w:t>и</w:t>
      </w:r>
      <w:r w:rsidRPr="000F2993">
        <w:rPr>
          <w:sz w:val="18"/>
          <w:szCs w:val="18"/>
          <w:lang w:val="ru-RU"/>
        </w:rPr>
        <w:t xml:space="preserve"> </w:t>
      </w:r>
      <w:r w:rsidRPr="00CB7692">
        <w:rPr>
          <w:sz w:val="18"/>
          <w:szCs w:val="18"/>
          <w:lang w:val="ru-RU"/>
        </w:rPr>
        <w:t>регулирования</w:t>
      </w:r>
      <w:r w:rsidRPr="000F2993">
        <w:rPr>
          <w:sz w:val="18"/>
          <w:szCs w:val="18"/>
          <w:lang w:val="ru-RU"/>
        </w:rPr>
        <w:t xml:space="preserve"> </w:t>
      </w:r>
      <w:r w:rsidRPr="00CB7692">
        <w:rPr>
          <w:sz w:val="18"/>
          <w:szCs w:val="18"/>
          <w:lang w:val="ru-RU"/>
        </w:rPr>
        <w:t>рисков</w:t>
      </w:r>
      <w:r w:rsidRPr="000F2993">
        <w:rPr>
          <w:sz w:val="18"/>
          <w:szCs w:val="18"/>
          <w:lang w:val="ru-RU"/>
        </w:rPr>
        <w:t xml:space="preserve"> </w:t>
      </w:r>
      <w:r>
        <w:rPr>
          <w:sz w:val="18"/>
          <w:szCs w:val="18"/>
          <w:lang w:val="ru-RU"/>
        </w:rPr>
        <w:t>или</w:t>
      </w:r>
      <w:r w:rsidRPr="000F2993">
        <w:rPr>
          <w:sz w:val="18"/>
          <w:szCs w:val="18"/>
          <w:lang w:val="ru-RU"/>
        </w:rPr>
        <w:t xml:space="preserve"> </w:t>
      </w:r>
      <w:r>
        <w:rPr>
          <w:sz w:val="18"/>
          <w:szCs w:val="18"/>
          <w:lang w:val="ru-RU"/>
        </w:rPr>
        <w:t>для</w:t>
      </w:r>
      <w:r w:rsidRPr="000F2993">
        <w:rPr>
          <w:sz w:val="18"/>
          <w:szCs w:val="18"/>
          <w:lang w:val="ru-RU"/>
        </w:rPr>
        <w:t xml:space="preserve"> целей анализа докладов об оценке рисков, представленных заявителями,</w:t>
      </w:r>
      <w:r>
        <w:rPr>
          <w:sz w:val="18"/>
          <w:szCs w:val="18"/>
          <w:lang w:val="ru-RU"/>
        </w:rPr>
        <w:t xml:space="preserve"> и предлагаются следующие возможные варианты ответов</w:t>
      </w:r>
      <w:r w:rsidRPr="000F2993">
        <w:rPr>
          <w:sz w:val="18"/>
          <w:szCs w:val="18"/>
          <w:lang w:val="ru-RU"/>
        </w:rPr>
        <w:t xml:space="preserve">: </w:t>
      </w:r>
      <w:r>
        <w:rPr>
          <w:sz w:val="18"/>
          <w:szCs w:val="18"/>
          <w:lang w:val="en-US"/>
        </w:rPr>
        <w:t>a</w:t>
      </w:r>
      <w:r w:rsidRPr="000F2993">
        <w:rPr>
          <w:sz w:val="18"/>
          <w:szCs w:val="18"/>
          <w:lang w:val="ru-RU"/>
        </w:rPr>
        <w:t xml:space="preserve">) </w:t>
      </w:r>
      <w:r>
        <w:rPr>
          <w:sz w:val="18"/>
          <w:szCs w:val="18"/>
          <w:lang w:val="ru-RU"/>
        </w:rPr>
        <w:t>оценка рисков</w:t>
      </w:r>
      <w:r w:rsidRPr="000F2993">
        <w:rPr>
          <w:sz w:val="18"/>
          <w:szCs w:val="18"/>
          <w:lang w:val="ru-RU"/>
        </w:rPr>
        <w:t xml:space="preserve"> (</w:t>
      </w:r>
      <w:r>
        <w:rPr>
          <w:sz w:val="18"/>
          <w:szCs w:val="18"/>
          <w:lang w:val="ru-RU"/>
        </w:rPr>
        <w:t>да</w:t>
      </w:r>
      <w:r w:rsidRPr="000F2993">
        <w:rPr>
          <w:sz w:val="18"/>
          <w:szCs w:val="18"/>
          <w:lang w:val="ru-RU"/>
        </w:rPr>
        <w:t>/</w:t>
      </w:r>
      <w:r>
        <w:rPr>
          <w:sz w:val="18"/>
          <w:szCs w:val="18"/>
          <w:lang w:val="ru-RU"/>
        </w:rPr>
        <w:t>нет</w:t>
      </w:r>
      <w:r w:rsidRPr="000F2993">
        <w:rPr>
          <w:sz w:val="18"/>
          <w:szCs w:val="18"/>
          <w:lang w:val="ru-RU"/>
        </w:rPr>
        <w:t xml:space="preserve">); </w:t>
      </w:r>
      <w:r>
        <w:rPr>
          <w:sz w:val="18"/>
          <w:szCs w:val="18"/>
          <w:lang w:val="en-US"/>
        </w:rPr>
        <w:t>b</w:t>
      </w:r>
      <w:r w:rsidRPr="000F2993">
        <w:rPr>
          <w:sz w:val="18"/>
          <w:szCs w:val="18"/>
          <w:lang w:val="ru-RU"/>
        </w:rPr>
        <w:t xml:space="preserve">) </w:t>
      </w:r>
      <w:r>
        <w:rPr>
          <w:sz w:val="18"/>
          <w:szCs w:val="18"/>
          <w:lang w:val="ru-RU"/>
        </w:rPr>
        <w:t>регулирование рисков</w:t>
      </w:r>
      <w:r w:rsidRPr="000F2993">
        <w:rPr>
          <w:sz w:val="18"/>
          <w:szCs w:val="18"/>
          <w:lang w:val="ru-RU"/>
        </w:rPr>
        <w:t xml:space="preserve"> (</w:t>
      </w:r>
      <w:r>
        <w:rPr>
          <w:sz w:val="18"/>
          <w:szCs w:val="18"/>
          <w:lang w:val="ru-RU"/>
        </w:rPr>
        <w:t>да</w:t>
      </w:r>
      <w:r w:rsidRPr="000F2993">
        <w:rPr>
          <w:sz w:val="18"/>
          <w:szCs w:val="18"/>
          <w:lang w:val="ru-RU"/>
        </w:rPr>
        <w:t>/</w:t>
      </w:r>
      <w:r>
        <w:rPr>
          <w:sz w:val="18"/>
          <w:szCs w:val="18"/>
          <w:lang w:val="ru-RU"/>
        </w:rPr>
        <w:t>нет</w:t>
      </w:r>
      <w:r w:rsidRPr="000F2993">
        <w:rPr>
          <w:sz w:val="18"/>
          <w:szCs w:val="18"/>
          <w:lang w:val="ru-RU"/>
        </w:rPr>
        <w:t xml:space="preserve">). </w:t>
      </w:r>
    </w:p>
  </w:footnote>
  <w:footnote w:id="25">
    <w:p w14:paraId="558FBC39" w14:textId="48EBF80E" w:rsidR="003926D8" w:rsidRPr="00B13DE8" w:rsidRDefault="003926D8" w:rsidP="00967553">
      <w:pPr>
        <w:pStyle w:val="aa"/>
        <w:spacing w:after="60"/>
        <w:rPr>
          <w:sz w:val="18"/>
          <w:szCs w:val="18"/>
          <w:lang w:val="ru-RU"/>
        </w:rPr>
      </w:pPr>
      <w:r w:rsidRPr="008D6A50">
        <w:rPr>
          <w:rStyle w:val="ac"/>
          <w:sz w:val="18"/>
          <w:szCs w:val="18"/>
        </w:rPr>
        <w:footnoteRef/>
      </w:r>
      <w:r w:rsidRPr="00B13DE8">
        <w:rPr>
          <w:sz w:val="18"/>
          <w:szCs w:val="18"/>
          <w:lang w:val="ru-RU"/>
        </w:rPr>
        <w:t xml:space="preserve"> Руководств</w:t>
      </w:r>
      <w:r>
        <w:rPr>
          <w:sz w:val="18"/>
          <w:szCs w:val="18"/>
          <w:lang w:val="ru-RU"/>
        </w:rPr>
        <w:t>о</w:t>
      </w:r>
      <w:r w:rsidRPr="00B13DE8">
        <w:rPr>
          <w:sz w:val="18"/>
          <w:szCs w:val="18"/>
          <w:lang w:val="ru-RU"/>
        </w:rPr>
        <w:t xml:space="preserve"> по оценке рисков в отношении </w:t>
      </w:r>
      <w:proofErr w:type="spellStart"/>
      <w:r w:rsidRPr="00B13DE8">
        <w:rPr>
          <w:sz w:val="18"/>
          <w:szCs w:val="18"/>
          <w:lang w:val="ru-RU"/>
        </w:rPr>
        <w:t>ЖИО</w:t>
      </w:r>
      <w:proofErr w:type="spellEnd"/>
      <w:r w:rsidRPr="00B13DE8">
        <w:rPr>
          <w:sz w:val="18"/>
          <w:szCs w:val="18"/>
          <w:lang w:val="ru-RU"/>
        </w:rPr>
        <w:t xml:space="preserve"> </w:t>
      </w:r>
      <w:r>
        <w:rPr>
          <w:sz w:val="18"/>
          <w:szCs w:val="18"/>
          <w:lang w:val="ru-RU"/>
        </w:rPr>
        <w:t>еще не было доступно на момент установления исходного уровня</w:t>
      </w:r>
      <w:r w:rsidRPr="00B13DE8">
        <w:rPr>
          <w:sz w:val="18"/>
          <w:szCs w:val="18"/>
          <w:lang w:val="ru-RU"/>
        </w:rPr>
        <w:t xml:space="preserve">. </w:t>
      </w:r>
      <w:r>
        <w:rPr>
          <w:sz w:val="18"/>
          <w:szCs w:val="18"/>
          <w:lang w:val="ru-RU"/>
        </w:rPr>
        <w:t>По</w:t>
      </w:r>
      <w:r w:rsidRPr="00B13DE8">
        <w:rPr>
          <w:sz w:val="18"/>
          <w:szCs w:val="18"/>
          <w:lang w:val="ru-RU"/>
        </w:rPr>
        <w:t xml:space="preserve"> </w:t>
      </w:r>
      <w:r>
        <w:rPr>
          <w:sz w:val="18"/>
          <w:szCs w:val="18"/>
          <w:lang w:val="ru-RU"/>
        </w:rPr>
        <w:t>этой</w:t>
      </w:r>
      <w:r w:rsidRPr="00B13DE8">
        <w:rPr>
          <w:sz w:val="18"/>
          <w:szCs w:val="18"/>
          <w:lang w:val="ru-RU"/>
        </w:rPr>
        <w:t xml:space="preserve"> </w:t>
      </w:r>
      <w:r>
        <w:rPr>
          <w:sz w:val="18"/>
          <w:szCs w:val="18"/>
          <w:lang w:val="ru-RU"/>
        </w:rPr>
        <w:t>причине</w:t>
      </w:r>
      <w:r w:rsidRPr="00B13DE8">
        <w:rPr>
          <w:sz w:val="18"/>
          <w:szCs w:val="18"/>
          <w:lang w:val="ru-RU"/>
        </w:rPr>
        <w:t xml:space="preserve"> </w:t>
      </w:r>
      <w:r>
        <w:rPr>
          <w:sz w:val="18"/>
          <w:szCs w:val="18"/>
          <w:lang w:val="ru-RU"/>
        </w:rPr>
        <w:t>информация</w:t>
      </w:r>
      <w:r w:rsidRPr="00B13DE8">
        <w:rPr>
          <w:sz w:val="18"/>
          <w:szCs w:val="18"/>
          <w:lang w:val="ru-RU"/>
        </w:rPr>
        <w:t xml:space="preserve"> </w:t>
      </w:r>
      <w:r>
        <w:rPr>
          <w:sz w:val="18"/>
          <w:szCs w:val="18"/>
          <w:lang w:val="ru-RU"/>
        </w:rPr>
        <w:t>по</w:t>
      </w:r>
      <w:r w:rsidRPr="00B13DE8">
        <w:rPr>
          <w:sz w:val="18"/>
          <w:szCs w:val="18"/>
          <w:lang w:val="ru-RU"/>
        </w:rPr>
        <w:t xml:space="preserve"> </w:t>
      </w:r>
      <w:r>
        <w:rPr>
          <w:sz w:val="18"/>
          <w:szCs w:val="18"/>
          <w:lang w:val="ru-RU"/>
        </w:rPr>
        <w:t>данному</w:t>
      </w:r>
      <w:r w:rsidRPr="00B13DE8">
        <w:rPr>
          <w:sz w:val="18"/>
          <w:szCs w:val="18"/>
          <w:lang w:val="ru-RU"/>
        </w:rPr>
        <w:t xml:space="preserve"> </w:t>
      </w:r>
      <w:r>
        <w:rPr>
          <w:sz w:val="18"/>
          <w:szCs w:val="18"/>
          <w:lang w:val="ru-RU"/>
        </w:rPr>
        <w:t>индикатору</w:t>
      </w:r>
      <w:r w:rsidRPr="00B13DE8">
        <w:rPr>
          <w:sz w:val="18"/>
          <w:szCs w:val="18"/>
          <w:lang w:val="ru-RU"/>
        </w:rPr>
        <w:t xml:space="preserve">, </w:t>
      </w:r>
      <w:r>
        <w:rPr>
          <w:sz w:val="18"/>
          <w:szCs w:val="18"/>
          <w:lang w:val="ru-RU"/>
        </w:rPr>
        <w:t>представленная</w:t>
      </w:r>
      <w:r w:rsidRPr="00B13DE8">
        <w:rPr>
          <w:sz w:val="18"/>
          <w:szCs w:val="18"/>
          <w:lang w:val="ru-RU"/>
        </w:rPr>
        <w:t xml:space="preserve"> </w:t>
      </w:r>
      <w:r>
        <w:rPr>
          <w:sz w:val="18"/>
          <w:szCs w:val="18"/>
          <w:lang w:val="ru-RU"/>
        </w:rPr>
        <w:t>в</w:t>
      </w:r>
      <w:r w:rsidRPr="00B13DE8">
        <w:rPr>
          <w:sz w:val="18"/>
          <w:szCs w:val="18"/>
          <w:lang w:val="ru-RU"/>
        </w:rPr>
        <w:t xml:space="preserve"> </w:t>
      </w:r>
      <w:r>
        <w:rPr>
          <w:sz w:val="18"/>
          <w:szCs w:val="18"/>
          <w:lang w:val="ru-RU"/>
        </w:rPr>
        <w:t>четвертых</w:t>
      </w:r>
      <w:r w:rsidRPr="00B13DE8">
        <w:rPr>
          <w:sz w:val="18"/>
          <w:szCs w:val="18"/>
          <w:lang w:val="ru-RU"/>
        </w:rPr>
        <w:t xml:space="preserve"> </w:t>
      </w:r>
      <w:r>
        <w:rPr>
          <w:sz w:val="18"/>
          <w:szCs w:val="18"/>
          <w:lang w:val="ru-RU"/>
        </w:rPr>
        <w:t>национальных</w:t>
      </w:r>
      <w:r w:rsidRPr="00B13DE8">
        <w:rPr>
          <w:sz w:val="18"/>
          <w:szCs w:val="18"/>
          <w:lang w:val="ru-RU"/>
        </w:rPr>
        <w:t xml:space="preserve"> </w:t>
      </w:r>
      <w:r>
        <w:rPr>
          <w:sz w:val="18"/>
          <w:szCs w:val="18"/>
          <w:lang w:val="ru-RU"/>
        </w:rPr>
        <w:t>докладах</w:t>
      </w:r>
      <w:r w:rsidRPr="00B13DE8">
        <w:rPr>
          <w:sz w:val="18"/>
          <w:szCs w:val="18"/>
          <w:lang w:val="ru-RU"/>
        </w:rPr>
        <w:t>,</w:t>
      </w:r>
      <w:r>
        <w:rPr>
          <w:sz w:val="18"/>
          <w:szCs w:val="18"/>
          <w:lang w:val="ru-RU"/>
        </w:rPr>
        <w:t xml:space="preserve"> сравнивалась с информацией, представленной в третьих</w:t>
      </w:r>
      <w:r w:rsidRPr="00B13DE8">
        <w:rPr>
          <w:sz w:val="18"/>
          <w:szCs w:val="18"/>
          <w:lang w:val="ru-RU"/>
        </w:rPr>
        <w:t xml:space="preserve"> </w:t>
      </w:r>
      <w:r>
        <w:rPr>
          <w:sz w:val="18"/>
          <w:szCs w:val="18"/>
          <w:lang w:val="ru-RU"/>
        </w:rPr>
        <w:t>национальных</w:t>
      </w:r>
      <w:r w:rsidRPr="00B13DE8">
        <w:rPr>
          <w:sz w:val="18"/>
          <w:szCs w:val="18"/>
          <w:lang w:val="ru-RU"/>
        </w:rPr>
        <w:t xml:space="preserve"> </w:t>
      </w:r>
      <w:r>
        <w:rPr>
          <w:sz w:val="18"/>
          <w:szCs w:val="18"/>
          <w:lang w:val="ru-RU"/>
        </w:rPr>
        <w:t>докладах, в рамках вопроса</w:t>
      </w:r>
      <w:r w:rsidRPr="00B13DE8">
        <w:rPr>
          <w:sz w:val="18"/>
          <w:szCs w:val="18"/>
          <w:lang w:val="ru-RU"/>
        </w:rPr>
        <w:t xml:space="preserve"> 86.</w:t>
      </w:r>
    </w:p>
  </w:footnote>
  <w:footnote w:id="26">
    <w:p w14:paraId="0634A815" w14:textId="355B0C4C" w:rsidR="003926D8" w:rsidRPr="008636E7" w:rsidRDefault="003926D8" w:rsidP="004569FB">
      <w:pPr>
        <w:pStyle w:val="aa"/>
        <w:rPr>
          <w:sz w:val="18"/>
          <w:szCs w:val="18"/>
          <w:lang w:val="ru-RU"/>
        </w:rPr>
      </w:pPr>
      <w:r w:rsidRPr="008D6A50">
        <w:rPr>
          <w:rStyle w:val="ac"/>
          <w:sz w:val="18"/>
          <w:szCs w:val="18"/>
        </w:rPr>
        <w:footnoteRef/>
      </w:r>
      <w:r w:rsidRPr="008636E7">
        <w:rPr>
          <w:sz w:val="18"/>
          <w:szCs w:val="18"/>
          <w:lang w:val="ru-RU"/>
        </w:rPr>
        <w:t xml:space="preserve"> </w:t>
      </w:r>
      <w:r>
        <w:rPr>
          <w:sz w:val="18"/>
          <w:szCs w:val="18"/>
          <w:lang w:val="ru-RU"/>
        </w:rPr>
        <w:t>Информация о количестве проведенных оценок рисков не предоставлялась во втором национальном докладе</w:t>
      </w:r>
      <w:r w:rsidRPr="008636E7">
        <w:rPr>
          <w:sz w:val="18"/>
          <w:szCs w:val="18"/>
          <w:lang w:val="ru-RU"/>
        </w:rPr>
        <w:t>.</w:t>
      </w:r>
    </w:p>
  </w:footnote>
  <w:footnote w:id="27">
    <w:p w14:paraId="2D20EB26" w14:textId="28F90F56" w:rsidR="003926D8" w:rsidRPr="00962D27" w:rsidRDefault="003926D8" w:rsidP="00011397">
      <w:pPr>
        <w:pStyle w:val="aa"/>
        <w:spacing w:after="60"/>
        <w:rPr>
          <w:sz w:val="18"/>
          <w:szCs w:val="18"/>
          <w:lang w:val="ru-RU"/>
        </w:rPr>
      </w:pPr>
      <w:r w:rsidRPr="008D6A50">
        <w:rPr>
          <w:rStyle w:val="ac"/>
          <w:sz w:val="18"/>
          <w:szCs w:val="18"/>
        </w:rPr>
        <w:footnoteRef/>
      </w:r>
      <w:r w:rsidRPr="009064B6">
        <w:rPr>
          <w:sz w:val="18"/>
          <w:szCs w:val="18"/>
          <w:lang w:val="ru-RU"/>
        </w:rPr>
        <w:t xml:space="preserve"> </w:t>
      </w:r>
      <w:r>
        <w:rPr>
          <w:sz w:val="18"/>
          <w:szCs w:val="18"/>
          <w:lang w:val="ru-RU"/>
        </w:rPr>
        <w:t>Для</w:t>
      </w:r>
      <w:r w:rsidRPr="009064B6">
        <w:rPr>
          <w:sz w:val="18"/>
          <w:szCs w:val="18"/>
          <w:lang w:val="ru-RU"/>
        </w:rPr>
        <w:t xml:space="preserve"> </w:t>
      </w:r>
      <w:r>
        <w:rPr>
          <w:sz w:val="18"/>
          <w:szCs w:val="18"/>
          <w:lang w:val="ru-RU"/>
        </w:rPr>
        <w:t>этой</w:t>
      </w:r>
      <w:r w:rsidRPr="009064B6">
        <w:rPr>
          <w:sz w:val="18"/>
          <w:szCs w:val="18"/>
          <w:lang w:val="ru-RU"/>
        </w:rPr>
        <w:t xml:space="preserve"> </w:t>
      </w:r>
      <w:r>
        <w:rPr>
          <w:sz w:val="18"/>
          <w:szCs w:val="18"/>
          <w:lang w:val="ru-RU"/>
        </w:rPr>
        <w:t>цели</w:t>
      </w:r>
      <w:r w:rsidRPr="009064B6">
        <w:rPr>
          <w:sz w:val="18"/>
          <w:szCs w:val="18"/>
          <w:lang w:val="ru-RU"/>
        </w:rPr>
        <w:t xml:space="preserve"> </w:t>
      </w:r>
      <w:r>
        <w:rPr>
          <w:sz w:val="18"/>
          <w:szCs w:val="18"/>
          <w:lang w:val="ru-RU"/>
        </w:rPr>
        <w:t>рассматривались решения</w:t>
      </w:r>
      <w:r w:rsidRPr="009064B6">
        <w:rPr>
          <w:sz w:val="18"/>
          <w:szCs w:val="18"/>
          <w:lang w:val="ru-RU"/>
        </w:rPr>
        <w:t xml:space="preserve"> </w:t>
      </w:r>
      <w:r>
        <w:rPr>
          <w:sz w:val="18"/>
          <w:szCs w:val="18"/>
          <w:lang w:val="ru-RU"/>
        </w:rPr>
        <w:t>Сторон</w:t>
      </w:r>
      <w:r w:rsidRPr="009064B6">
        <w:rPr>
          <w:sz w:val="18"/>
          <w:szCs w:val="18"/>
          <w:lang w:val="ru-RU"/>
        </w:rPr>
        <w:t xml:space="preserve"> </w:t>
      </w:r>
      <w:r>
        <w:rPr>
          <w:sz w:val="18"/>
          <w:szCs w:val="18"/>
          <w:lang w:val="ru-RU"/>
        </w:rPr>
        <w:t>касательно</w:t>
      </w:r>
      <w:r w:rsidRPr="009064B6">
        <w:rPr>
          <w:sz w:val="18"/>
          <w:szCs w:val="18"/>
          <w:lang w:val="ru-RU"/>
        </w:rPr>
        <w:t xml:space="preserve"> </w:t>
      </w:r>
      <w:r>
        <w:rPr>
          <w:sz w:val="18"/>
          <w:szCs w:val="18"/>
          <w:lang w:val="ru-RU"/>
        </w:rPr>
        <w:t>трансграничного</w:t>
      </w:r>
      <w:r w:rsidRPr="009064B6">
        <w:rPr>
          <w:sz w:val="18"/>
          <w:szCs w:val="18"/>
          <w:lang w:val="ru-RU"/>
        </w:rPr>
        <w:t xml:space="preserve"> </w:t>
      </w:r>
      <w:r>
        <w:rPr>
          <w:sz w:val="18"/>
          <w:szCs w:val="18"/>
          <w:lang w:val="ru-RU"/>
        </w:rPr>
        <w:t>перемещения</w:t>
      </w:r>
      <w:r w:rsidRPr="009064B6">
        <w:rPr>
          <w:sz w:val="18"/>
          <w:szCs w:val="18"/>
          <w:lang w:val="ru-RU"/>
        </w:rPr>
        <w:t xml:space="preserve"> </w:t>
      </w:r>
      <w:proofErr w:type="spellStart"/>
      <w:r>
        <w:rPr>
          <w:sz w:val="18"/>
          <w:szCs w:val="18"/>
          <w:lang w:val="ru-RU"/>
        </w:rPr>
        <w:t>ЖИО</w:t>
      </w:r>
      <w:proofErr w:type="spellEnd"/>
      <w:r w:rsidRPr="009064B6">
        <w:rPr>
          <w:sz w:val="18"/>
          <w:szCs w:val="18"/>
          <w:lang w:val="ru-RU"/>
        </w:rPr>
        <w:t xml:space="preserve"> </w:t>
      </w:r>
      <w:r>
        <w:rPr>
          <w:sz w:val="18"/>
          <w:szCs w:val="18"/>
          <w:lang w:val="ru-RU"/>
        </w:rPr>
        <w:t>для</w:t>
      </w:r>
      <w:r w:rsidRPr="009064B6">
        <w:rPr>
          <w:sz w:val="18"/>
          <w:szCs w:val="18"/>
          <w:lang w:val="ru-RU"/>
        </w:rPr>
        <w:t xml:space="preserve"> </w:t>
      </w:r>
      <w:r>
        <w:rPr>
          <w:sz w:val="18"/>
          <w:szCs w:val="18"/>
          <w:lang w:val="ru-RU"/>
        </w:rPr>
        <w:t>преднамеренной</w:t>
      </w:r>
      <w:r w:rsidRPr="009064B6">
        <w:rPr>
          <w:sz w:val="18"/>
          <w:szCs w:val="18"/>
          <w:lang w:val="ru-RU"/>
        </w:rPr>
        <w:t xml:space="preserve"> </w:t>
      </w:r>
      <w:r>
        <w:rPr>
          <w:sz w:val="18"/>
          <w:szCs w:val="18"/>
          <w:lang w:val="ru-RU"/>
        </w:rPr>
        <w:t>интродукции</w:t>
      </w:r>
      <w:r w:rsidRPr="009064B6">
        <w:rPr>
          <w:sz w:val="18"/>
          <w:szCs w:val="18"/>
          <w:lang w:val="ru-RU"/>
        </w:rPr>
        <w:t xml:space="preserve"> </w:t>
      </w:r>
      <w:r>
        <w:rPr>
          <w:sz w:val="18"/>
          <w:szCs w:val="18"/>
          <w:lang w:val="ru-RU"/>
        </w:rPr>
        <w:t>в</w:t>
      </w:r>
      <w:r w:rsidRPr="009064B6">
        <w:rPr>
          <w:sz w:val="18"/>
          <w:szCs w:val="18"/>
          <w:lang w:val="ru-RU"/>
        </w:rPr>
        <w:t xml:space="preserve"> </w:t>
      </w:r>
      <w:r>
        <w:rPr>
          <w:sz w:val="18"/>
          <w:szCs w:val="18"/>
          <w:lang w:val="ru-RU"/>
        </w:rPr>
        <w:t>окружающую</w:t>
      </w:r>
      <w:r w:rsidRPr="009064B6">
        <w:rPr>
          <w:sz w:val="18"/>
          <w:szCs w:val="18"/>
          <w:lang w:val="ru-RU"/>
        </w:rPr>
        <w:t xml:space="preserve"> </w:t>
      </w:r>
      <w:r>
        <w:rPr>
          <w:sz w:val="18"/>
          <w:szCs w:val="18"/>
          <w:lang w:val="ru-RU"/>
        </w:rPr>
        <w:t>среду</w:t>
      </w:r>
      <w:r w:rsidRPr="009064B6">
        <w:rPr>
          <w:sz w:val="18"/>
          <w:szCs w:val="18"/>
          <w:lang w:val="ru-RU"/>
        </w:rPr>
        <w:t xml:space="preserve"> (</w:t>
      </w:r>
      <w:r>
        <w:rPr>
          <w:sz w:val="18"/>
          <w:szCs w:val="18"/>
          <w:lang w:val="ru-RU"/>
        </w:rPr>
        <w:t>в</w:t>
      </w:r>
      <w:r w:rsidRPr="009064B6">
        <w:rPr>
          <w:sz w:val="18"/>
          <w:szCs w:val="18"/>
          <w:lang w:val="ru-RU"/>
        </w:rPr>
        <w:t xml:space="preserve"> </w:t>
      </w:r>
      <w:r>
        <w:rPr>
          <w:sz w:val="18"/>
          <w:szCs w:val="18"/>
          <w:lang w:val="ru-RU"/>
        </w:rPr>
        <w:t>соответствии</w:t>
      </w:r>
      <w:r w:rsidRPr="009064B6">
        <w:rPr>
          <w:sz w:val="18"/>
          <w:szCs w:val="18"/>
          <w:lang w:val="ru-RU"/>
        </w:rPr>
        <w:t xml:space="preserve"> </w:t>
      </w:r>
      <w:r>
        <w:rPr>
          <w:sz w:val="18"/>
          <w:szCs w:val="18"/>
          <w:lang w:val="ru-RU"/>
        </w:rPr>
        <w:t>со</w:t>
      </w:r>
      <w:r w:rsidRPr="009064B6">
        <w:rPr>
          <w:sz w:val="18"/>
          <w:szCs w:val="18"/>
          <w:lang w:val="ru-RU"/>
        </w:rPr>
        <w:t xml:space="preserve"> </w:t>
      </w:r>
      <w:r>
        <w:rPr>
          <w:sz w:val="18"/>
          <w:szCs w:val="18"/>
          <w:lang w:val="ru-RU"/>
        </w:rPr>
        <w:t>статьей</w:t>
      </w:r>
      <w:r w:rsidRPr="009064B6">
        <w:rPr>
          <w:sz w:val="18"/>
          <w:szCs w:val="18"/>
          <w:lang w:val="ru-RU"/>
        </w:rPr>
        <w:t xml:space="preserve"> 10 </w:t>
      </w:r>
      <w:r>
        <w:rPr>
          <w:sz w:val="18"/>
          <w:szCs w:val="18"/>
          <w:lang w:val="ru-RU"/>
        </w:rPr>
        <w:t>Протокола</w:t>
      </w:r>
      <w:r w:rsidRPr="009064B6">
        <w:rPr>
          <w:sz w:val="18"/>
          <w:szCs w:val="18"/>
          <w:lang w:val="ru-RU"/>
        </w:rPr>
        <w:t>)</w:t>
      </w:r>
      <w:r>
        <w:rPr>
          <w:sz w:val="18"/>
          <w:szCs w:val="18"/>
          <w:lang w:val="ru-RU"/>
        </w:rPr>
        <w:t xml:space="preserve"> и решения касательно импорта или внутреннего использования </w:t>
      </w:r>
      <w:proofErr w:type="spellStart"/>
      <w:r>
        <w:rPr>
          <w:sz w:val="18"/>
          <w:szCs w:val="18"/>
          <w:lang w:val="ru-RU"/>
        </w:rPr>
        <w:t>ЖИО</w:t>
      </w:r>
      <w:proofErr w:type="spellEnd"/>
      <w:r>
        <w:rPr>
          <w:sz w:val="18"/>
          <w:szCs w:val="18"/>
          <w:lang w:val="ru-RU"/>
        </w:rPr>
        <w:t>, предназначенных для н</w:t>
      </w:r>
      <w:r w:rsidRPr="009064B6">
        <w:rPr>
          <w:sz w:val="18"/>
          <w:szCs w:val="18"/>
          <w:lang w:val="ru-RU"/>
        </w:rPr>
        <w:t xml:space="preserve">епосредственного использования в качестве продовольствия или корма </w:t>
      </w:r>
      <w:r>
        <w:rPr>
          <w:sz w:val="18"/>
          <w:szCs w:val="18"/>
          <w:lang w:val="ru-RU"/>
        </w:rPr>
        <w:t>или для обработки</w:t>
      </w:r>
      <w:r w:rsidRPr="009064B6">
        <w:rPr>
          <w:sz w:val="18"/>
          <w:szCs w:val="18"/>
          <w:lang w:val="ru-RU"/>
        </w:rPr>
        <w:t xml:space="preserve"> (</w:t>
      </w:r>
      <w:r>
        <w:rPr>
          <w:sz w:val="18"/>
          <w:szCs w:val="18"/>
          <w:lang w:val="ru-RU"/>
        </w:rPr>
        <w:t>в соответствии со статьей</w:t>
      </w:r>
      <w:r w:rsidRPr="009064B6">
        <w:rPr>
          <w:sz w:val="18"/>
          <w:szCs w:val="18"/>
          <w:lang w:val="ru-RU"/>
        </w:rPr>
        <w:t xml:space="preserve"> 11 </w:t>
      </w:r>
      <w:r>
        <w:rPr>
          <w:sz w:val="18"/>
          <w:szCs w:val="18"/>
          <w:lang w:val="ru-RU"/>
        </w:rPr>
        <w:t>Протокола или внутренним законодательством</w:t>
      </w:r>
      <w:r w:rsidRPr="009064B6">
        <w:rPr>
          <w:sz w:val="18"/>
          <w:szCs w:val="18"/>
          <w:lang w:val="ru-RU"/>
        </w:rPr>
        <w:t xml:space="preserve">). </w:t>
      </w:r>
      <w:r>
        <w:rPr>
          <w:sz w:val="18"/>
          <w:szCs w:val="18"/>
          <w:lang w:val="ru-RU"/>
        </w:rPr>
        <w:t>Для</w:t>
      </w:r>
      <w:r w:rsidRPr="00962D27">
        <w:rPr>
          <w:sz w:val="18"/>
          <w:szCs w:val="18"/>
          <w:lang w:val="ru-RU"/>
        </w:rPr>
        <w:t xml:space="preserve"> </w:t>
      </w:r>
      <w:r>
        <w:rPr>
          <w:sz w:val="18"/>
          <w:szCs w:val="18"/>
          <w:lang w:val="ru-RU"/>
        </w:rPr>
        <w:t>каждого</w:t>
      </w:r>
      <w:r w:rsidRPr="00962D27">
        <w:rPr>
          <w:sz w:val="18"/>
          <w:szCs w:val="18"/>
          <w:lang w:val="ru-RU"/>
        </w:rPr>
        <w:t xml:space="preserve"> </w:t>
      </w:r>
      <w:r>
        <w:rPr>
          <w:sz w:val="18"/>
          <w:szCs w:val="18"/>
          <w:lang w:val="ru-RU"/>
        </w:rPr>
        <w:t>из</w:t>
      </w:r>
      <w:r w:rsidRPr="00962D27">
        <w:rPr>
          <w:sz w:val="18"/>
          <w:szCs w:val="18"/>
          <w:lang w:val="ru-RU"/>
        </w:rPr>
        <w:t xml:space="preserve"> </w:t>
      </w:r>
      <w:r>
        <w:rPr>
          <w:sz w:val="18"/>
          <w:szCs w:val="18"/>
          <w:lang w:val="ru-RU"/>
        </w:rPr>
        <w:t>этих</w:t>
      </w:r>
      <w:r w:rsidRPr="00962D27">
        <w:rPr>
          <w:sz w:val="18"/>
          <w:szCs w:val="18"/>
          <w:lang w:val="ru-RU"/>
        </w:rPr>
        <w:t xml:space="preserve"> </w:t>
      </w:r>
      <w:r>
        <w:rPr>
          <w:sz w:val="18"/>
          <w:szCs w:val="18"/>
          <w:lang w:val="ru-RU"/>
        </w:rPr>
        <w:t>решений</w:t>
      </w:r>
      <w:r w:rsidRPr="00962D27">
        <w:rPr>
          <w:sz w:val="18"/>
          <w:szCs w:val="18"/>
          <w:lang w:val="ru-RU"/>
        </w:rPr>
        <w:t xml:space="preserve"> </w:t>
      </w:r>
      <w:r>
        <w:rPr>
          <w:sz w:val="18"/>
          <w:szCs w:val="18"/>
          <w:lang w:val="ru-RU"/>
        </w:rPr>
        <w:t>было</w:t>
      </w:r>
      <w:r w:rsidRPr="00962D27">
        <w:rPr>
          <w:sz w:val="18"/>
          <w:szCs w:val="18"/>
          <w:lang w:val="ru-RU"/>
        </w:rPr>
        <w:t xml:space="preserve"> </w:t>
      </w:r>
      <w:r>
        <w:rPr>
          <w:sz w:val="18"/>
          <w:szCs w:val="18"/>
          <w:lang w:val="ru-RU"/>
        </w:rPr>
        <w:t>проверено</w:t>
      </w:r>
      <w:r w:rsidRPr="00962D27">
        <w:rPr>
          <w:sz w:val="18"/>
          <w:szCs w:val="18"/>
          <w:lang w:val="ru-RU"/>
        </w:rPr>
        <w:t xml:space="preserve">, </w:t>
      </w:r>
      <w:r>
        <w:rPr>
          <w:sz w:val="18"/>
          <w:szCs w:val="18"/>
          <w:lang w:val="ru-RU"/>
        </w:rPr>
        <w:t>представлен</w:t>
      </w:r>
      <w:r w:rsidRPr="00962D27">
        <w:rPr>
          <w:sz w:val="18"/>
          <w:szCs w:val="18"/>
          <w:lang w:val="ru-RU"/>
        </w:rPr>
        <w:t xml:space="preserve"> </w:t>
      </w:r>
      <w:r>
        <w:rPr>
          <w:sz w:val="18"/>
          <w:szCs w:val="18"/>
          <w:lang w:val="ru-RU"/>
        </w:rPr>
        <w:t>ли</w:t>
      </w:r>
      <w:r w:rsidRPr="00962D27">
        <w:rPr>
          <w:sz w:val="18"/>
          <w:szCs w:val="18"/>
          <w:lang w:val="ru-RU"/>
        </w:rPr>
        <w:t xml:space="preserve"> </w:t>
      </w:r>
      <w:r>
        <w:rPr>
          <w:sz w:val="18"/>
          <w:szCs w:val="18"/>
          <w:lang w:val="ru-RU"/>
        </w:rPr>
        <w:t>в</w:t>
      </w:r>
      <w:r w:rsidRPr="00962D27">
        <w:rPr>
          <w:sz w:val="18"/>
          <w:szCs w:val="18"/>
          <w:lang w:val="ru-RU"/>
        </w:rPr>
        <w:t xml:space="preserve"> </w:t>
      </w:r>
      <w:proofErr w:type="spellStart"/>
      <w:r>
        <w:rPr>
          <w:sz w:val="18"/>
          <w:szCs w:val="18"/>
          <w:lang w:val="ru-RU"/>
        </w:rPr>
        <w:t>МПБ</w:t>
      </w:r>
      <w:proofErr w:type="spellEnd"/>
      <w:r>
        <w:rPr>
          <w:sz w:val="18"/>
          <w:szCs w:val="18"/>
          <w:lang w:val="ru-RU"/>
        </w:rPr>
        <w:t xml:space="preserve"> соответствующий</w:t>
      </w:r>
      <w:r w:rsidRPr="00962D27">
        <w:rPr>
          <w:sz w:val="18"/>
          <w:szCs w:val="18"/>
          <w:lang w:val="ru-RU"/>
        </w:rPr>
        <w:t xml:space="preserve"> </w:t>
      </w:r>
      <w:r>
        <w:rPr>
          <w:sz w:val="18"/>
          <w:szCs w:val="18"/>
          <w:lang w:val="ru-RU"/>
        </w:rPr>
        <w:t>доклад</w:t>
      </w:r>
      <w:r w:rsidRPr="00962D27">
        <w:rPr>
          <w:sz w:val="18"/>
          <w:szCs w:val="18"/>
          <w:lang w:val="ru-RU"/>
        </w:rPr>
        <w:t xml:space="preserve"> </w:t>
      </w:r>
      <w:r>
        <w:rPr>
          <w:sz w:val="18"/>
          <w:szCs w:val="18"/>
          <w:lang w:val="ru-RU"/>
        </w:rPr>
        <w:t>об</w:t>
      </w:r>
      <w:r w:rsidRPr="00962D27">
        <w:rPr>
          <w:sz w:val="18"/>
          <w:szCs w:val="18"/>
          <w:lang w:val="ru-RU"/>
        </w:rPr>
        <w:t xml:space="preserve"> </w:t>
      </w:r>
      <w:r>
        <w:rPr>
          <w:sz w:val="18"/>
          <w:szCs w:val="18"/>
          <w:lang w:val="ru-RU"/>
        </w:rPr>
        <w:t>оценке</w:t>
      </w:r>
      <w:r w:rsidRPr="00962D27">
        <w:rPr>
          <w:sz w:val="18"/>
          <w:szCs w:val="18"/>
          <w:lang w:val="ru-RU"/>
        </w:rPr>
        <w:t xml:space="preserve"> </w:t>
      </w:r>
      <w:r>
        <w:rPr>
          <w:sz w:val="18"/>
          <w:szCs w:val="18"/>
          <w:lang w:val="ru-RU"/>
        </w:rPr>
        <w:t>рисков</w:t>
      </w:r>
      <w:r w:rsidRPr="00962D27">
        <w:rPr>
          <w:sz w:val="18"/>
          <w:szCs w:val="18"/>
          <w:lang w:val="ru-RU"/>
        </w:rPr>
        <w:t>.</w:t>
      </w:r>
    </w:p>
  </w:footnote>
  <w:footnote w:id="28">
    <w:p w14:paraId="62E9C926" w14:textId="7F914DA7" w:rsidR="003926D8" w:rsidRPr="00E20D5B" w:rsidRDefault="003926D8" w:rsidP="004569FB">
      <w:pPr>
        <w:pStyle w:val="aa"/>
        <w:rPr>
          <w:sz w:val="18"/>
          <w:szCs w:val="18"/>
          <w:lang w:val="ru-RU"/>
        </w:rPr>
      </w:pPr>
      <w:r w:rsidRPr="008D6A50">
        <w:rPr>
          <w:rStyle w:val="ac"/>
          <w:sz w:val="18"/>
          <w:szCs w:val="18"/>
        </w:rPr>
        <w:footnoteRef/>
      </w:r>
      <w:r w:rsidRPr="00E20D5B">
        <w:rPr>
          <w:sz w:val="18"/>
          <w:szCs w:val="18"/>
          <w:lang w:val="ru-RU"/>
        </w:rPr>
        <w:t xml:space="preserve"> Отсутствуют данные для измерения индикатора 2.2.2 (число </w:t>
      </w:r>
      <w:r>
        <w:rPr>
          <w:sz w:val="18"/>
          <w:szCs w:val="18"/>
          <w:lang w:val="ru-RU"/>
        </w:rPr>
        <w:t>итоговых</w:t>
      </w:r>
      <w:r w:rsidRPr="00E20D5B">
        <w:rPr>
          <w:sz w:val="18"/>
          <w:szCs w:val="18"/>
          <w:lang w:val="ru-RU"/>
        </w:rPr>
        <w:t xml:space="preserve"> докладов об оценке рисков</w:t>
      </w:r>
      <w:r>
        <w:rPr>
          <w:sz w:val="18"/>
          <w:szCs w:val="18"/>
          <w:lang w:val="ru-RU"/>
        </w:rPr>
        <w:t>, размещен</w:t>
      </w:r>
      <w:r w:rsidR="002C651F">
        <w:rPr>
          <w:sz w:val="18"/>
          <w:szCs w:val="18"/>
          <w:lang w:val="ru-RU"/>
        </w:rPr>
        <w:t>н</w:t>
      </w:r>
      <w:r>
        <w:rPr>
          <w:sz w:val="18"/>
          <w:szCs w:val="18"/>
          <w:lang w:val="ru-RU"/>
        </w:rPr>
        <w:t>ых</w:t>
      </w:r>
      <w:r w:rsidRPr="00E20D5B">
        <w:rPr>
          <w:sz w:val="18"/>
          <w:szCs w:val="18"/>
          <w:lang w:val="ru-RU"/>
        </w:rPr>
        <w:t xml:space="preserve"> в </w:t>
      </w:r>
      <w:proofErr w:type="spellStart"/>
      <w:r w:rsidRPr="00E20D5B">
        <w:rPr>
          <w:sz w:val="18"/>
          <w:szCs w:val="18"/>
          <w:lang w:val="ru-RU"/>
        </w:rPr>
        <w:t>МПБ</w:t>
      </w:r>
      <w:proofErr w:type="spellEnd"/>
      <w:r w:rsidRPr="00E20D5B">
        <w:rPr>
          <w:sz w:val="18"/>
          <w:szCs w:val="18"/>
          <w:lang w:val="ru-RU"/>
        </w:rPr>
        <w:t xml:space="preserve">, которые соответствуют положениям Протокола). Подразумевается, что для обеспечения соответствия </w:t>
      </w:r>
      <w:r>
        <w:rPr>
          <w:sz w:val="18"/>
          <w:szCs w:val="18"/>
          <w:lang w:val="ru-RU"/>
        </w:rPr>
        <w:t>итогового доклада об</w:t>
      </w:r>
      <w:r w:rsidRPr="00E20D5B">
        <w:rPr>
          <w:sz w:val="18"/>
          <w:szCs w:val="18"/>
          <w:lang w:val="ru-RU"/>
        </w:rPr>
        <w:t xml:space="preserve"> оценк</w:t>
      </w:r>
      <w:r>
        <w:rPr>
          <w:sz w:val="18"/>
          <w:szCs w:val="18"/>
          <w:lang w:val="ru-RU"/>
        </w:rPr>
        <w:t>е</w:t>
      </w:r>
      <w:r w:rsidRPr="00E20D5B">
        <w:rPr>
          <w:sz w:val="18"/>
          <w:szCs w:val="18"/>
          <w:lang w:val="ru-RU"/>
        </w:rPr>
        <w:t xml:space="preserve"> рисков положениям Протокола в нем должно содержаться резюме оценки рисков, проведенной научно-обоснованным и прозрачным методом по каждому </w:t>
      </w:r>
      <w:proofErr w:type="spellStart"/>
      <w:r w:rsidRPr="00E20D5B">
        <w:rPr>
          <w:sz w:val="18"/>
          <w:szCs w:val="18"/>
          <w:lang w:val="ru-RU"/>
        </w:rPr>
        <w:t>ЖИО</w:t>
      </w:r>
      <w:proofErr w:type="spellEnd"/>
      <w:r>
        <w:rPr>
          <w:sz w:val="18"/>
          <w:szCs w:val="18"/>
          <w:lang w:val="ru-RU"/>
        </w:rPr>
        <w:t xml:space="preserve"> с учетом </w:t>
      </w:r>
      <w:r w:rsidRPr="00E20D5B">
        <w:rPr>
          <w:sz w:val="18"/>
          <w:szCs w:val="18"/>
          <w:lang w:val="ru-RU"/>
        </w:rPr>
        <w:t>предполагаемо</w:t>
      </w:r>
      <w:r>
        <w:rPr>
          <w:sz w:val="18"/>
          <w:szCs w:val="18"/>
          <w:lang w:val="ru-RU"/>
        </w:rPr>
        <w:t>го</w:t>
      </w:r>
      <w:r w:rsidRPr="00E20D5B">
        <w:rPr>
          <w:sz w:val="18"/>
          <w:szCs w:val="18"/>
          <w:lang w:val="ru-RU"/>
        </w:rPr>
        <w:t xml:space="preserve"> вид</w:t>
      </w:r>
      <w:r>
        <w:rPr>
          <w:sz w:val="18"/>
          <w:szCs w:val="18"/>
          <w:lang w:val="ru-RU"/>
        </w:rPr>
        <w:t>а</w:t>
      </w:r>
      <w:r w:rsidRPr="00E20D5B">
        <w:rPr>
          <w:sz w:val="18"/>
          <w:szCs w:val="18"/>
          <w:lang w:val="ru-RU"/>
        </w:rPr>
        <w:t xml:space="preserve"> его использования и </w:t>
      </w:r>
      <w:r>
        <w:rPr>
          <w:sz w:val="18"/>
          <w:szCs w:val="18"/>
          <w:lang w:val="ru-RU"/>
        </w:rPr>
        <w:t>вероятной</w:t>
      </w:r>
      <w:r w:rsidRPr="00E20D5B">
        <w:rPr>
          <w:sz w:val="18"/>
          <w:szCs w:val="18"/>
          <w:lang w:val="ru-RU"/>
        </w:rPr>
        <w:t xml:space="preserve"> потенциальной принимающей сред</w:t>
      </w:r>
      <w:r w:rsidR="002C651F">
        <w:rPr>
          <w:sz w:val="18"/>
          <w:szCs w:val="18"/>
          <w:lang w:val="ru-RU"/>
        </w:rPr>
        <w:t>ы</w:t>
      </w:r>
      <w:r w:rsidRPr="00E20D5B">
        <w:rPr>
          <w:sz w:val="18"/>
          <w:szCs w:val="18"/>
          <w:lang w:val="ru-RU"/>
        </w:rPr>
        <w:t xml:space="preserve">. В </w:t>
      </w:r>
      <w:proofErr w:type="spellStart"/>
      <w:r w:rsidRPr="00E20D5B">
        <w:rPr>
          <w:sz w:val="18"/>
          <w:szCs w:val="18"/>
          <w:lang w:val="ru-RU"/>
        </w:rPr>
        <w:t>МПБ</w:t>
      </w:r>
      <w:proofErr w:type="spellEnd"/>
      <w:r w:rsidRPr="00E20D5B">
        <w:rPr>
          <w:sz w:val="18"/>
          <w:szCs w:val="18"/>
          <w:lang w:val="ru-RU"/>
        </w:rPr>
        <w:t xml:space="preserve"> не существует информации о числе </w:t>
      </w:r>
      <w:r>
        <w:rPr>
          <w:sz w:val="18"/>
          <w:szCs w:val="18"/>
          <w:lang w:val="ru-RU"/>
        </w:rPr>
        <w:t>итоговых</w:t>
      </w:r>
      <w:r w:rsidRPr="00E20D5B">
        <w:rPr>
          <w:sz w:val="18"/>
          <w:szCs w:val="18"/>
          <w:lang w:val="ru-RU"/>
        </w:rPr>
        <w:t xml:space="preserve"> </w:t>
      </w:r>
      <w:r>
        <w:rPr>
          <w:sz w:val="18"/>
          <w:szCs w:val="18"/>
          <w:lang w:val="ru-RU"/>
        </w:rPr>
        <w:t>докладов об</w:t>
      </w:r>
      <w:r w:rsidRPr="00E20D5B">
        <w:rPr>
          <w:sz w:val="18"/>
          <w:szCs w:val="18"/>
          <w:lang w:val="ru-RU"/>
        </w:rPr>
        <w:t xml:space="preserve"> оцен</w:t>
      </w:r>
      <w:r>
        <w:rPr>
          <w:sz w:val="18"/>
          <w:szCs w:val="18"/>
          <w:lang w:val="ru-RU"/>
        </w:rPr>
        <w:t>ке</w:t>
      </w:r>
      <w:r w:rsidRPr="00E20D5B">
        <w:rPr>
          <w:sz w:val="18"/>
          <w:szCs w:val="18"/>
          <w:lang w:val="ru-RU"/>
        </w:rPr>
        <w:t xml:space="preserve"> рисков, отвечающих данным принципам.</w:t>
      </w:r>
    </w:p>
  </w:footnote>
  <w:footnote w:id="29">
    <w:p w14:paraId="63CEAE2F" w14:textId="01019BC5" w:rsidR="003926D8" w:rsidRPr="00BD2EB5" w:rsidRDefault="003926D8" w:rsidP="006604A0">
      <w:pPr>
        <w:pStyle w:val="aa"/>
        <w:spacing w:after="60"/>
        <w:rPr>
          <w:sz w:val="18"/>
          <w:szCs w:val="18"/>
          <w:lang w:val="ru-RU"/>
        </w:rPr>
      </w:pPr>
      <w:r w:rsidRPr="008D6A50">
        <w:rPr>
          <w:rStyle w:val="ac"/>
          <w:sz w:val="18"/>
          <w:szCs w:val="18"/>
        </w:rPr>
        <w:footnoteRef/>
      </w:r>
      <w:r w:rsidRPr="008E4E72">
        <w:rPr>
          <w:sz w:val="18"/>
          <w:szCs w:val="18"/>
          <w:lang w:val="ru-RU"/>
        </w:rPr>
        <w:t xml:space="preserve"> </w:t>
      </w:r>
      <w:r>
        <w:rPr>
          <w:sz w:val="18"/>
          <w:szCs w:val="18"/>
          <w:lang w:val="ru-RU"/>
        </w:rPr>
        <w:t>Пособие</w:t>
      </w:r>
      <w:r w:rsidRPr="008E4E72">
        <w:rPr>
          <w:sz w:val="18"/>
          <w:szCs w:val="18"/>
          <w:lang w:val="ru-RU"/>
        </w:rPr>
        <w:t xml:space="preserve"> </w:t>
      </w:r>
      <w:r>
        <w:rPr>
          <w:sz w:val="18"/>
          <w:szCs w:val="18"/>
          <w:lang w:val="ru-RU"/>
        </w:rPr>
        <w:t>и</w:t>
      </w:r>
      <w:r w:rsidRPr="008E4E72">
        <w:rPr>
          <w:sz w:val="18"/>
          <w:szCs w:val="18"/>
          <w:lang w:val="ru-RU"/>
        </w:rPr>
        <w:t xml:space="preserve"> </w:t>
      </w:r>
      <w:r>
        <w:rPr>
          <w:sz w:val="18"/>
          <w:szCs w:val="18"/>
          <w:lang w:val="ru-RU"/>
        </w:rPr>
        <w:t>Руководство</w:t>
      </w:r>
      <w:r w:rsidRPr="008E4E72">
        <w:rPr>
          <w:sz w:val="18"/>
          <w:szCs w:val="18"/>
          <w:lang w:val="ru-RU"/>
        </w:rPr>
        <w:t xml:space="preserve"> </w:t>
      </w:r>
      <w:r>
        <w:rPr>
          <w:sz w:val="18"/>
          <w:szCs w:val="18"/>
          <w:lang w:val="ru-RU"/>
        </w:rPr>
        <w:t>еще</w:t>
      </w:r>
      <w:r w:rsidRPr="008E4E72">
        <w:rPr>
          <w:sz w:val="18"/>
          <w:szCs w:val="18"/>
          <w:lang w:val="ru-RU"/>
        </w:rPr>
        <w:t xml:space="preserve"> </w:t>
      </w:r>
      <w:r>
        <w:rPr>
          <w:sz w:val="18"/>
          <w:szCs w:val="18"/>
          <w:lang w:val="ru-RU"/>
        </w:rPr>
        <w:t>не</w:t>
      </w:r>
      <w:r w:rsidRPr="008E4E72">
        <w:rPr>
          <w:sz w:val="18"/>
          <w:szCs w:val="18"/>
          <w:lang w:val="ru-RU"/>
        </w:rPr>
        <w:t xml:space="preserve"> </w:t>
      </w:r>
      <w:r>
        <w:rPr>
          <w:sz w:val="18"/>
          <w:szCs w:val="18"/>
          <w:lang w:val="ru-RU"/>
        </w:rPr>
        <w:t>были</w:t>
      </w:r>
      <w:r w:rsidRPr="008E4E72">
        <w:rPr>
          <w:sz w:val="18"/>
          <w:szCs w:val="18"/>
          <w:lang w:val="ru-RU"/>
        </w:rPr>
        <w:t xml:space="preserve"> </w:t>
      </w:r>
      <w:r>
        <w:rPr>
          <w:sz w:val="18"/>
          <w:szCs w:val="18"/>
          <w:lang w:val="ru-RU"/>
        </w:rPr>
        <w:t>доступны</w:t>
      </w:r>
      <w:r w:rsidRPr="008E4E72">
        <w:rPr>
          <w:sz w:val="18"/>
          <w:szCs w:val="18"/>
          <w:lang w:val="ru-RU"/>
        </w:rPr>
        <w:t xml:space="preserve"> </w:t>
      </w:r>
      <w:r>
        <w:rPr>
          <w:sz w:val="18"/>
          <w:szCs w:val="18"/>
          <w:lang w:val="ru-RU"/>
        </w:rPr>
        <w:t>на момент установления исходного уровня</w:t>
      </w:r>
      <w:r w:rsidRPr="008E4E72">
        <w:rPr>
          <w:sz w:val="18"/>
          <w:szCs w:val="18"/>
          <w:lang w:val="ru-RU"/>
        </w:rPr>
        <w:t xml:space="preserve">. </w:t>
      </w:r>
      <w:r>
        <w:rPr>
          <w:sz w:val="18"/>
          <w:szCs w:val="18"/>
          <w:lang w:val="ru-RU"/>
        </w:rPr>
        <w:t>И</w:t>
      </w:r>
      <w:r w:rsidRPr="008E4E72">
        <w:rPr>
          <w:sz w:val="18"/>
          <w:szCs w:val="18"/>
          <w:lang w:val="ru-RU"/>
        </w:rPr>
        <w:t>нформация</w:t>
      </w:r>
      <w:r w:rsidRPr="00BD2EB5">
        <w:rPr>
          <w:sz w:val="18"/>
          <w:szCs w:val="18"/>
          <w:lang w:val="ru-RU"/>
        </w:rPr>
        <w:t xml:space="preserve"> </w:t>
      </w:r>
      <w:r w:rsidRPr="008E4E72">
        <w:rPr>
          <w:sz w:val="18"/>
          <w:szCs w:val="18"/>
          <w:lang w:val="ru-RU"/>
        </w:rPr>
        <w:t>по</w:t>
      </w:r>
      <w:r w:rsidRPr="00BD2EB5">
        <w:rPr>
          <w:sz w:val="18"/>
          <w:szCs w:val="18"/>
          <w:lang w:val="ru-RU"/>
        </w:rPr>
        <w:t xml:space="preserve"> </w:t>
      </w:r>
      <w:r w:rsidRPr="008E4E72">
        <w:rPr>
          <w:sz w:val="18"/>
          <w:szCs w:val="18"/>
          <w:lang w:val="ru-RU"/>
        </w:rPr>
        <w:t>данному</w:t>
      </w:r>
      <w:r w:rsidRPr="00BD2EB5">
        <w:rPr>
          <w:sz w:val="18"/>
          <w:szCs w:val="18"/>
          <w:lang w:val="ru-RU"/>
        </w:rPr>
        <w:t xml:space="preserve"> </w:t>
      </w:r>
      <w:r w:rsidRPr="008E4E72">
        <w:rPr>
          <w:sz w:val="18"/>
          <w:szCs w:val="18"/>
          <w:lang w:val="ru-RU"/>
        </w:rPr>
        <w:t>индикатору</w:t>
      </w:r>
      <w:r w:rsidRPr="00BD2EB5">
        <w:rPr>
          <w:sz w:val="18"/>
          <w:szCs w:val="18"/>
          <w:lang w:val="ru-RU"/>
        </w:rPr>
        <w:t xml:space="preserve">, </w:t>
      </w:r>
      <w:r w:rsidRPr="008E4E72">
        <w:rPr>
          <w:sz w:val="18"/>
          <w:szCs w:val="18"/>
          <w:lang w:val="ru-RU"/>
        </w:rPr>
        <w:t>представленная</w:t>
      </w:r>
      <w:r w:rsidRPr="00BD2EB5">
        <w:rPr>
          <w:sz w:val="18"/>
          <w:szCs w:val="18"/>
          <w:lang w:val="ru-RU"/>
        </w:rPr>
        <w:t xml:space="preserve"> </w:t>
      </w:r>
      <w:r w:rsidRPr="008E4E72">
        <w:rPr>
          <w:sz w:val="18"/>
          <w:szCs w:val="18"/>
          <w:lang w:val="ru-RU"/>
        </w:rPr>
        <w:t>в</w:t>
      </w:r>
      <w:r w:rsidRPr="00BD2EB5">
        <w:rPr>
          <w:sz w:val="18"/>
          <w:szCs w:val="18"/>
          <w:lang w:val="ru-RU"/>
        </w:rPr>
        <w:t xml:space="preserve"> </w:t>
      </w:r>
      <w:r w:rsidRPr="008E4E72">
        <w:rPr>
          <w:sz w:val="18"/>
          <w:szCs w:val="18"/>
          <w:lang w:val="ru-RU"/>
        </w:rPr>
        <w:t>четвертых</w:t>
      </w:r>
      <w:r w:rsidRPr="00BD2EB5">
        <w:rPr>
          <w:sz w:val="18"/>
          <w:szCs w:val="18"/>
          <w:lang w:val="ru-RU"/>
        </w:rPr>
        <w:t xml:space="preserve"> </w:t>
      </w:r>
      <w:r w:rsidRPr="008E4E72">
        <w:rPr>
          <w:sz w:val="18"/>
          <w:szCs w:val="18"/>
          <w:lang w:val="ru-RU"/>
        </w:rPr>
        <w:t>национальных</w:t>
      </w:r>
      <w:r w:rsidRPr="00BD2EB5">
        <w:rPr>
          <w:sz w:val="18"/>
          <w:szCs w:val="18"/>
          <w:lang w:val="ru-RU"/>
        </w:rPr>
        <w:t xml:space="preserve"> </w:t>
      </w:r>
      <w:r w:rsidRPr="008E4E72">
        <w:rPr>
          <w:sz w:val="18"/>
          <w:szCs w:val="18"/>
          <w:lang w:val="ru-RU"/>
        </w:rPr>
        <w:t>докладах</w:t>
      </w:r>
      <w:r w:rsidRPr="00BD2EB5">
        <w:rPr>
          <w:sz w:val="18"/>
          <w:szCs w:val="18"/>
          <w:lang w:val="ru-RU"/>
        </w:rPr>
        <w:t xml:space="preserve">, </w:t>
      </w:r>
      <w:r w:rsidRPr="008E4E72">
        <w:rPr>
          <w:sz w:val="18"/>
          <w:szCs w:val="18"/>
          <w:lang w:val="ru-RU"/>
        </w:rPr>
        <w:t>сравнивалась</w:t>
      </w:r>
      <w:r w:rsidRPr="00BD2EB5">
        <w:rPr>
          <w:sz w:val="18"/>
          <w:szCs w:val="18"/>
          <w:lang w:val="ru-RU"/>
        </w:rPr>
        <w:t xml:space="preserve"> </w:t>
      </w:r>
      <w:r w:rsidRPr="008E4E72">
        <w:rPr>
          <w:sz w:val="18"/>
          <w:szCs w:val="18"/>
          <w:lang w:val="ru-RU"/>
        </w:rPr>
        <w:t>с</w:t>
      </w:r>
      <w:r w:rsidRPr="00BD2EB5">
        <w:rPr>
          <w:sz w:val="18"/>
          <w:szCs w:val="18"/>
          <w:lang w:val="ru-RU"/>
        </w:rPr>
        <w:t xml:space="preserve"> </w:t>
      </w:r>
      <w:r w:rsidRPr="008E4E72">
        <w:rPr>
          <w:sz w:val="18"/>
          <w:szCs w:val="18"/>
          <w:lang w:val="ru-RU"/>
        </w:rPr>
        <w:t>информацией</w:t>
      </w:r>
      <w:r w:rsidRPr="00BD2EB5">
        <w:rPr>
          <w:sz w:val="18"/>
          <w:szCs w:val="18"/>
          <w:lang w:val="ru-RU"/>
        </w:rPr>
        <w:t xml:space="preserve">, </w:t>
      </w:r>
      <w:r w:rsidRPr="008E4E72">
        <w:rPr>
          <w:sz w:val="18"/>
          <w:szCs w:val="18"/>
          <w:lang w:val="ru-RU"/>
        </w:rPr>
        <w:t>представленной</w:t>
      </w:r>
      <w:r w:rsidRPr="00BD2EB5">
        <w:rPr>
          <w:sz w:val="18"/>
          <w:szCs w:val="18"/>
          <w:lang w:val="ru-RU"/>
        </w:rPr>
        <w:t xml:space="preserve"> </w:t>
      </w:r>
      <w:r w:rsidRPr="008E4E72">
        <w:rPr>
          <w:sz w:val="18"/>
          <w:szCs w:val="18"/>
          <w:lang w:val="ru-RU"/>
        </w:rPr>
        <w:t>в</w:t>
      </w:r>
      <w:r w:rsidRPr="00BD2EB5">
        <w:rPr>
          <w:sz w:val="18"/>
          <w:szCs w:val="18"/>
          <w:lang w:val="ru-RU"/>
        </w:rPr>
        <w:t xml:space="preserve"> </w:t>
      </w:r>
      <w:r w:rsidRPr="008E4E72">
        <w:rPr>
          <w:sz w:val="18"/>
          <w:szCs w:val="18"/>
          <w:lang w:val="ru-RU"/>
        </w:rPr>
        <w:t>третьих</w:t>
      </w:r>
      <w:r w:rsidRPr="00BD2EB5">
        <w:rPr>
          <w:sz w:val="18"/>
          <w:szCs w:val="18"/>
          <w:lang w:val="ru-RU"/>
        </w:rPr>
        <w:t xml:space="preserve"> </w:t>
      </w:r>
      <w:r w:rsidRPr="008E4E72">
        <w:rPr>
          <w:sz w:val="18"/>
          <w:szCs w:val="18"/>
          <w:lang w:val="ru-RU"/>
        </w:rPr>
        <w:t>национальных</w:t>
      </w:r>
      <w:r w:rsidRPr="00BD2EB5">
        <w:rPr>
          <w:sz w:val="18"/>
          <w:szCs w:val="18"/>
          <w:lang w:val="ru-RU"/>
        </w:rPr>
        <w:t xml:space="preserve"> </w:t>
      </w:r>
      <w:r w:rsidRPr="008E4E72">
        <w:rPr>
          <w:sz w:val="18"/>
          <w:szCs w:val="18"/>
          <w:lang w:val="ru-RU"/>
        </w:rPr>
        <w:t>докладах</w:t>
      </w:r>
      <w:r w:rsidRPr="00BD2EB5">
        <w:rPr>
          <w:sz w:val="18"/>
          <w:szCs w:val="18"/>
          <w:lang w:val="ru-RU"/>
        </w:rPr>
        <w:t xml:space="preserve">, </w:t>
      </w:r>
      <w:r w:rsidRPr="008E4E72">
        <w:rPr>
          <w:sz w:val="18"/>
          <w:szCs w:val="18"/>
          <w:lang w:val="ru-RU"/>
        </w:rPr>
        <w:t>в</w:t>
      </w:r>
      <w:r w:rsidRPr="00BD2EB5">
        <w:rPr>
          <w:sz w:val="18"/>
          <w:szCs w:val="18"/>
          <w:lang w:val="ru-RU"/>
        </w:rPr>
        <w:t xml:space="preserve"> </w:t>
      </w:r>
      <w:r w:rsidRPr="008E4E72">
        <w:rPr>
          <w:sz w:val="18"/>
          <w:szCs w:val="18"/>
          <w:lang w:val="ru-RU"/>
        </w:rPr>
        <w:t>рамках</w:t>
      </w:r>
      <w:r w:rsidRPr="00BD2EB5">
        <w:rPr>
          <w:sz w:val="18"/>
          <w:szCs w:val="18"/>
          <w:lang w:val="ru-RU"/>
        </w:rPr>
        <w:t xml:space="preserve"> </w:t>
      </w:r>
      <w:r w:rsidRPr="008E4E72">
        <w:rPr>
          <w:sz w:val="18"/>
          <w:szCs w:val="18"/>
          <w:lang w:val="ru-RU"/>
        </w:rPr>
        <w:t>вопрос</w:t>
      </w:r>
      <w:r>
        <w:rPr>
          <w:sz w:val="18"/>
          <w:szCs w:val="18"/>
          <w:lang w:val="ru-RU"/>
        </w:rPr>
        <w:t>ов</w:t>
      </w:r>
      <w:r w:rsidRPr="00BD2EB5">
        <w:rPr>
          <w:sz w:val="18"/>
          <w:szCs w:val="18"/>
          <w:lang w:val="ru-RU"/>
        </w:rPr>
        <w:t xml:space="preserve"> 81 </w:t>
      </w:r>
      <w:r>
        <w:rPr>
          <w:sz w:val="18"/>
          <w:szCs w:val="18"/>
          <w:lang w:val="ru-RU"/>
        </w:rPr>
        <w:t>и</w:t>
      </w:r>
      <w:r w:rsidRPr="00BD2EB5">
        <w:rPr>
          <w:sz w:val="18"/>
          <w:szCs w:val="18"/>
          <w:lang w:val="ru-RU"/>
        </w:rPr>
        <w:t xml:space="preserve"> 82 </w:t>
      </w:r>
      <w:r>
        <w:rPr>
          <w:sz w:val="18"/>
          <w:szCs w:val="18"/>
          <w:lang w:val="ru-RU"/>
        </w:rPr>
        <w:t xml:space="preserve">для Сторон, ответивших на соответствующие </w:t>
      </w:r>
      <w:proofErr w:type="gramStart"/>
      <w:r>
        <w:rPr>
          <w:sz w:val="18"/>
          <w:szCs w:val="18"/>
          <w:lang w:val="ru-RU"/>
        </w:rPr>
        <w:t>вопросы</w:t>
      </w:r>
      <w:proofErr w:type="gramEnd"/>
      <w:r>
        <w:rPr>
          <w:sz w:val="18"/>
          <w:szCs w:val="18"/>
          <w:lang w:val="ru-RU"/>
        </w:rPr>
        <w:t xml:space="preserve"> как в третьих, так и в </w:t>
      </w:r>
      <w:r w:rsidRPr="008E4E72">
        <w:rPr>
          <w:sz w:val="18"/>
          <w:szCs w:val="18"/>
          <w:lang w:val="ru-RU"/>
        </w:rPr>
        <w:t>четвертых</w:t>
      </w:r>
      <w:r w:rsidRPr="00BD2EB5">
        <w:rPr>
          <w:sz w:val="18"/>
          <w:szCs w:val="18"/>
          <w:lang w:val="ru-RU"/>
        </w:rPr>
        <w:t xml:space="preserve"> </w:t>
      </w:r>
      <w:r w:rsidRPr="008E4E72">
        <w:rPr>
          <w:sz w:val="18"/>
          <w:szCs w:val="18"/>
          <w:lang w:val="ru-RU"/>
        </w:rPr>
        <w:t>национальных</w:t>
      </w:r>
      <w:r w:rsidRPr="00BD2EB5">
        <w:rPr>
          <w:sz w:val="18"/>
          <w:szCs w:val="18"/>
          <w:lang w:val="ru-RU"/>
        </w:rPr>
        <w:t xml:space="preserve"> </w:t>
      </w:r>
      <w:r w:rsidRPr="008E4E72">
        <w:rPr>
          <w:sz w:val="18"/>
          <w:szCs w:val="18"/>
          <w:lang w:val="ru-RU"/>
        </w:rPr>
        <w:t>докладах</w:t>
      </w:r>
      <w:r w:rsidRPr="00BD2EB5">
        <w:rPr>
          <w:sz w:val="18"/>
          <w:szCs w:val="18"/>
          <w:lang w:val="ru-RU"/>
        </w:rPr>
        <w:t>.</w:t>
      </w:r>
    </w:p>
  </w:footnote>
  <w:footnote w:id="30">
    <w:p w14:paraId="0AFD348B" w14:textId="124E6034" w:rsidR="003926D8" w:rsidRPr="007C5DD6" w:rsidRDefault="003926D8" w:rsidP="004569FB">
      <w:pPr>
        <w:pStyle w:val="aa"/>
        <w:rPr>
          <w:sz w:val="18"/>
          <w:szCs w:val="18"/>
          <w:lang w:val="ru-RU"/>
        </w:rPr>
      </w:pPr>
      <w:r w:rsidRPr="008D6A50">
        <w:rPr>
          <w:rStyle w:val="ac"/>
          <w:sz w:val="18"/>
          <w:szCs w:val="18"/>
        </w:rPr>
        <w:footnoteRef/>
      </w:r>
      <w:r w:rsidRPr="00BD2EB5">
        <w:rPr>
          <w:sz w:val="18"/>
          <w:szCs w:val="18"/>
          <w:lang w:val="ru-RU"/>
        </w:rPr>
        <w:t xml:space="preserve"> </w:t>
      </w:r>
      <w:r>
        <w:rPr>
          <w:sz w:val="18"/>
          <w:szCs w:val="18"/>
          <w:lang w:val="ru-RU"/>
        </w:rPr>
        <w:t>Информация</w:t>
      </w:r>
      <w:r w:rsidRPr="00BD2EB5">
        <w:rPr>
          <w:sz w:val="18"/>
          <w:szCs w:val="18"/>
          <w:lang w:val="ru-RU"/>
        </w:rPr>
        <w:t xml:space="preserve"> </w:t>
      </w:r>
      <w:r>
        <w:rPr>
          <w:sz w:val="18"/>
          <w:szCs w:val="18"/>
          <w:lang w:val="ru-RU"/>
        </w:rPr>
        <w:t>была</w:t>
      </w:r>
      <w:r w:rsidRPr="00BD2EB5">
        <w:rPr>
          <w:sz w:val="18"/>
          <w:szCs w:val="18"/>
          <w:lang w:val="ru-RU"/>
        </w:rPr>
        <w:t xml:space="preserve"> </w:t>
      </w:r>
      <w:r>
        <w:rPr>
          <w:sz w:val="18"/>
          <w:szCs w:val="18"/>
          <w:lang w:val="ru-RU"/>
        </w:rPr>
        <w:t>представлена</w:t>
      </w:r>
      <w:r w:rsidRPr="00BD2EB5">
        <w:rPr>
          <w:sz w:val="18"/>
          <w:szCs w:val="18"/>
          <w:lang w:val="ru-RU"/>
        </w:rPr>
        <w:t xml:space="preserve"> </w:t>
      </w:r>
      <w:r>
        <w:rPr>
          <w:sz w:val="18"/>
          <w:szCs w:val="18"/>
          <w:lang w:val="ru-RU"/>
        </w:rPr>
        <w:t>в</w:t>
      </w:r>
      <w:r w:rsidRPr="00BD2EB5">
        <w:rPr>
          <w:sz w:val="18"/>
          <w:szCs w:val="18"/>
          <w:lang w:val="ru-RU"/>
        </w:rPr>
        <w:t xml:space="preserve"> </w:t>
      </w:r>
      <w:r>
        <w:rPr>
          <w:sz w:val="18"/>
          <w:szCs w:val="18"/>
          <w:lang w:val="ru-RU"/>
        </w:rPr>
        <w:t>рамках</w:t>
      </w:r>
      <w:r w:rsidRPr="00BD2EB5">
        <w:rPr>
          <w:sz w:val="18"/>
          <w:szCs w:val="18"/>
          <w:lang w:val="ru-RU"/>
        </w:rPr>
        <w:t xml:space="preserve"> </w:t>
      </w:r>
      <w:r>
        <w:rPr>
          <w:sz w:val="18"/>
          <w:szCs w:val="18"/>
          <w:lang w:val="ru-RU"/>
        </w:rPr>
        <w:t>вопроса</w:t>
      </w:r>
      <w:r w:rsidRPr="00BD2EB5">
        <w:rPr>
          <w:sz w:val="18"/>
          <w:szCs w:val="18"/>
          <w:lang w:val="ru-RU"/>
        </w:rPr>
        <w:t xml:space="preserve"> 69 </w:t>
      </w:r>
      <w:r w:rsidRPr="008E4E72">
        <w:rPr>
          <w:sz w:val="18"/>
          <w:szCs w:val="18"/>
          <w:lang w:val="ru-RU"/>
        </w:rPr>
        <w:t>четверт</w:t>
      </w:r>
      <w:r>
        <w:rPr>
          <w:sz w:val="18"/>
          <w:szCs w:val="18"/>
          <w:lang w:val="ru-RU"/>
        </w:rPr>
        <w:t>ого</w:t>
      </w:r>
      <w:r w:rsidRPr="00BD2EB5">
        <w:rPr>
          <w:sz w:val="18"/>
          <w:szCs w:val="18"/>
          <w:lang w:val="ru-RU"/>
        </w:rPr>
        <w:t xml:space="preserve"> </w:t>
      </w:r>
      <w:r w:rsidRPr="008E4E72">
        <w:rPr>
          <w:sz w:val="18"/>
          <w:szCs w:val="18"/>
          <w:lang w:val="ru-RU"/>
        </w:rPr>
        <w:t>национальн</w:t>
      </w:r>
      <w:r>
        <w:rPr>
          <w:sz w:val="18"/>
          <w:szCs w:val="18"/>
          <w:lang w:val="ru-RU"/>
        </w:rPr>
        <w:t>ого</w:t>
      </w:r>
      <w:r w:rsidRPr="00BD2EB5">
        <w:rPr>
          <w:sz w:val="18"/>
          <w:szCs w:val="18"/>
          <w:lang w:val="ru-RU"/>
        </w:rPr>
        <w:t xml:space="preserve"> </w:t>
      </w:r>
      <w:r w:rsidRPr="008E4E72">
        <w:rPr>
          <w:sz w:val="18"/>
          <w:szCs w:val="18"/>
          <w:lang w:val="ru-RU"/>
        </w:rPr>
        <w:t>доклада</w:t>
      </w:r>
      <w:r w:rsidRPr="00BD2EB5">
        <w:rPr>
          <w:sz w:val="18"/>
          <w:szCs w:val="18"/>
          <w:lang w:val="ru-RU"/>
        </w:rPr>
        <w:t xml:space="preserve">. </w:t>
      </w:r>
      <w:r>
        <w:rPr>
          <w:sz w:val="18"/>
          <w:szCs w:val="18"/>
          <w:lang w:val="ru-RU"/>
        </w:rPr>
        <w:t>Информация</w:t>
      </w:r>
      <w:r w:rsidRPr="007C5DD6">
        <w:rPr>
          <w:sz w:val="18"/>
          <w:szCs w:val="18"/>
          <w:lang w:val="ru-RU"/>
        </w:rPr>
        <w:t xml:space="preserve"> </w:t>
      </w:r>
      <w:r>
        <w:rPr>
          <w:sz w:val="18"/>
          <w:szCs w:val="18"/>
          <w:lang w:val="ru-RU"/>
        </w:rPr>
        <w:t>по</w:t>
      </w:r>
      <w:r w:rsidRPr="007C5DD6">
        <w:rPr>
          <w:sz w:val="18"/>
          <w:szCs w:val="18"/>
          <w:lang w:val="ru-RU"/>
        </w:rPr>
        <w:t xml:space="preserve"> </w:t>
      </w:r>
      <w:r>
        <w:rPr>
          <w:sz w:val="18"/>
          <w:szCs w:val="18"/>
          <w:lang w:val="ru-RU"/>
        </w:rPr>
        <w:t>данному</w:t>
      </w:r>
      <w:r w:rsidRPr="007C5DD6">
        <w:rPr>
          <w:sz w:val="18"/>
          <w:szCs w:val="18"/>
          <w:lang w:val="ru-RU"/>
        </w:rPr>
        <w:t xml:space="preserve"> </w:t>
      </w:r>
      <w:r>
        <w:rPr>
          <w:sz w:val="18"/>
          <w:szCs w:val="18"/>
          <w:lang w:val="ru-RU"/>
        </w:rPr>
        <w:t>вопросу</w:t>
      </w:r>
      <w:r w:rsidRPr="007C5DD6">
        <w:rPr>
          <w:sz w:val="18"/>
          <w:szCs w:val="18"/>
          <w:lang w:val="ru-RU"/>
        </w:rPr>
        <w:t xml:space="preserve"> </w:t>
      </w:r>
      <w:r>
        <w:rPr>
          <w:sz w:val="18"/>
          <w:szCs w:val="18"/>
          <w:lang w:val="ru-RU"/>
        </w:rPr>
        <w:t>не</w:t>
      </w:r>
      <w:r w:rsidRPr="007C5DD6">
        <w:rPr>
          <w:sz w:val="18"/>
          <w:szCs w:val="18"/>
          <w:lang w:val="ru-RU"/>
        </w:rPr>
        <w:t xml:space="preserve"> </w:t>
      </w:r>
      <w:r>
        <w:rPr>
          <w:sz w:val="18"/>
          <w:szCs w:val="18"/>
          <w:lang w:val="ru-RU"/>
        </w:rPr>
        <w:t>была</w:t>
      </w:r>
      <w:r w:rsidRPr="007C5DD6">
        <w:rPr>
          <w:sz w:val="18"/>
          <w:szCs w:val="18"/>
          <w:lang w:val="ru-RU"/>
        </w:rPr>
        <w:t xml:space="preserve"> </w:t>
      </w:r>
      <w:r>
        <w:rPr>
          <w:sz w:val="18"/>
          <w:szCs w:val="18"/>
          <w:lang w:val="ru-RU"/>
        </w:rPr>
        <w:t>предоставлена</w:t>
      </w:r>
      <w:r w:rsidRPr="007C5DD6">
        <w:rPr>
          <w:sz w:val="18"/>
          <w:szCs w:val="18"/>
          <w:lang w:val="ru-RU"/>
        </w:rPr>
        <w:t xml:space="preserve"> </w:t>
      </w:r>
      <w:r>
        <w:rPr>
          <w:sz w:val="18"/>
          <w:szCs w:val="18"/>
          <w:lang w:val="ru-RU"/>
        </w:rPr>
        <w:t>на</w:t>
      </w:r>
      <w:r w:rsidRPr="007C5DD6">
        <w:rPr>
          <w:sz w:val="18"/>
          <w:szCs w:val="18"/>
          <w:lang w:val="ru-RU"/>
        </w:rPr>
        <w:t xml:space="preserve"> </w:t>
      </w:r>
      <w:r>
        <w:rPr>
          <w:sz w:val="18"/>
          <w:szCs w:val="18"/>
          <w:lang w:val="ru-RU"/>
        </w:rPr>
        <w:t>исходном</w:t>
      </w:r>
      <w:r w:rsidRPr="007C5DD6">
        <w:rPr>
          <w:sz w:val="18"/>
          <w:szCs w:val="18"/>
          <w:lang w:val="ru-RU"/>
        </w:rPr>
        <w:t xml:space="preserve"> </w:t>
      </w:r>
      <w:r>
        <w:rPr>
          <w:sz w:val="18"/>
          <w:szCs w:val="18"/>
          <w:lang w:val="ru-RU"/>
        </w:rPr>
        <w:t>уровне и в третьих национальных докладах</w:t>
      </w:r>
      <w:r w:rsidRPr="007C5DD6">
        <w:rPr>
          <w:sz w:val="18"/>
          <w:szCs w:val="18"/>
          <w:lang w:val="ru-RU"/>
        </w:rPr>
        <w:t>.</w:t>
      </w:r>
    </w:p>
  </w:footnote>
  <w:footnote w:id="31">
    <w:p w14:paraId="2ED56874" w14:textId="1C05732B" w:rsidR="003926D8" w:rsidRPr="003926D8" w:rsidRDefault="003926D8" w:rsidP="004569FB">
      <w:pPr>
        <w:pStyle w:val="aa"/>
        <w:rPr>
          <w:sz w:val="18"/>
          <w:szCs w:val="18"/>
          <w:lang w:val="ru-RU"/>
        </w:rPr>
      </w:pPr>
      <w:r w:rsidRPr="008D6A50">
        <w:rPr>
          <w:rStyle w:val="ac"/>
          <w:sz w:val="18"/>
          <w:szCs w:val="18"/>
        </w:rPr>
        <w:footnoteRef/>
      </w:r>
      <w:r w:rsidRPr="003926D8">
        <w:rPr>
          <w:sz w:val="18"/>
          <w:szCs w:val="18"/>
          <w:lang w:val="ru-RU"/>
        </w:rPr>
        <w:t xml:space="preserve"> </w:t>
      </w:r>
      <w:r>
        <w:rPr>
          <w:sz w:val="18"/>
          <w:szCs w:val="18"/>
          <w:lang w:val="ru-RU"/>
        </w:rPr>
        <w:t>Вопрос</w:t>
      </w:r>
      <w:r w:rsidRPr="003926D8">
        <w:rPr>
          <w:sz w:val="18"/>
          <w:szCs w:val="18"/>
          <w:lang w:val="ru-RU"/>
        </w:rPr>
        <w:t xml:space="preserve"> 74 </w:t>
      </w:r>
      <w:r>
        <w:rPr>
          <w:sz w:val="18"/>
          <w:szCs w:val="18"/>
          <w:lang w:val="ru-RU"/>
        </w:rPr>
        <w:t>четвертого</w:t>
      </w:r>
      <w:r w:rsidRPr="003926D8">
        <w:rPr>
          <w:sz w:val="18"/>
          <w:szCs w:val="18"/>
          <w:lang w:val="ru-RU"/>
        </w:rPr>
        <w:t xml:space="preserve"> </w:t>
      </w:r>
      <w:r>
        <w:rPr>
          <w:sz w:val="18"/>
          <w:szCs w:val="18"/>
          <w:lang w:val="ru-RU"/>
        </w:rPr>
        <w:t>национального</w:t>
      </w:r>
      <w:r w:rsidRPr="003926D8">
        <w:rPr>
          <w:sz w:val="18"/>
          <w:szCs w:val="18"/>
          <w:lang w:val="ru-RU"/>
        </w:rPr>
        <w:t xml:space="preserve"> </w:t>
      </w:r>
      <w:r>
        <w:rPr>
          <w:sz w:val="18"/>
          <w:szCs w:val="18"/>
          <w:lang w:val="ru-RU"/>
        </w:rPr>
        <w:t>доклада</w:t>
      </w:r>
      <w:r w:rsidRPr="003926D8">
        <w:rPr>
          <w:sz w:val="18"/>
          <w:szCs w:val="18"/>
          <w:lang w:val="ru-RU"/>
        </w:rPr>
        <w:t xml:space="preserve">. </w:t>
      </w:r>
    </w:p>
  </w:footnote>
  <w:footnote w:id="32">
    <w:p w14:paraId="4C14E735" w14:textId="34FF104D" w:rsidR="003926D8" w:rsidRPr="00F634C2" w:rsidRDefault="003926D8" w:rsidP="00302EB4">
      <w:pPr>
        <w:pStyle w:val="aa"/>
        <w:spacing w:after="60"/>
        <w:rPr>
          <w:sz w:val="18"/>
          <w:szCs w:val="18"/>
          <w:lang w:val="ru-RU"/>
        </w:rPr>
      </w:pPr>
      <w:r w:rsidRPr="008D6A50">
        <w:rPr>
          <w:rStyle w:val="ac"/>
          <w:sz w:val="18"/>
          <w:szCs w:val="18"/>
        </w:rPr>
        <w:footnoteRef/>
      </w:r>
      <w:r w:rsidRPr="00F634C2">
        <w:rPr>
          <w:sz w:val="18"/>
          <w:szCs w:val="18"/>
          <w:lang w:val="ru-RU"/>
        </w:rPr>
        <w:t xml:space="preserve"> </w:t>
      </w:r>
      <w:r>
        <w:rPr>
          <w:sz w:val="18"/>
          <w:szCs w:val="18"/>
          <w:lang w:val="ru-RU"/>
        </w:rPr>
        <w:t>Процентные</w:t>
      </w:r>
      <w:r w:rsidRPr="00F634C2">
        <w:rPr>
          <w:sz w:val="18"/>
          <w:szCs w:val="18"/>
          <w:lang w:val="ru-RU"/>
        </w:rPr>
        <w:t xml:space="preserve"> </w:t>
      </w:r>
      <w:r>
        <w:rPr>
          <w:sz w:val="18"/>
          <w:szCs w:val="18"/>
          <w:lang w:val="ru-RU"/>
        </w:rPr>
        <w:t>величины</w:t>
      </w:r>
      <w:r w:rsidRPr="00F634C2">
        <w:rPr>
          <w:sz w:val="18"/>
          <w:szCs w:val="18"/>
          <w:lang w:val="ru-RU"/>
        </w:rPr>
        <w:t xml:space="preserve"> </w:t>
      </w:r>
      <w:r>
        <w:rPr>
          <w:sz w:val="18"/>
          <w:szCs w:val="18"/>
          <w:lang w:val="ru-RU"/>
        </w:rPr>
        <w:t>основаны</w:t>
      </w:r>
      <w:r w:rsidRPr="00F634C2">
        <w:rPr>
          <w:sz w:val="18"/>
          <w:szCs w:val="18"/>
          <w:lang w:val="ru-RU"/>
        </w:rPr>
        <w:t xml:space="preserve"> </w:t>
      </w:r>
      <w:r>
        <w:rPr>
          <w:sz w:val="18"/>
          <w:szCs w:val="18"/>
          <w:lang w:val="ru-RU"/>
        </w:rPr>
        <w:t>на</w:t>
      </w:r>
      <w:r w:rsidRPr="00F634C2">
        <w:rPr>
          <w:sz w:val="18"/>
          <w:szCs w:val="18"/>
          <w:lang w:val="ru-RU"/>
        </w:rPr>
        <w:t xml:space="preserve"> </w:t>
      </w:r>
      <w:r>
        <w:rPr>
          <w:sz w:val="18"/>
          <w:szCs w:val="18"/>
          <w:lang w:val="ru-RU"/>
        </w:rPr>
        <w:t>числе</w:t>
      </w:r>
      <w:r w:rsidRPr="00F634C2">
        <w:rPr>
          <w:sz w:val="18"/>
          <w:szCs w:val="18"/>
          <w:lang w:val="ru-RU"/>
        </w:rPr>
        <w:t xml:space="preserve"> </w:t>
      </w:r>
      <w:r>
        <w:rPr>
          <w:sz w:val="18"/>
          <w:szCs w:val="18"/>
          <w:lang w:val="ru-RU"/>
        </w:rPr>
        <w:t>Сторон</w:t>
      </w:r>
      <w:r w:rsidRPr="00F634C2">
        <w:rPr>
          <w:sz w:val="18"/>
          <w:szCs w:val="18"/>
          <w:lang w:val="ru-RU"/>
        </w:rPr>
        <w:t xml:space="preserve"> </w:t>
      </w:r>
      <w:r>
        <w:rPr>
          <w:sz w:val="18"/>
          <w:szCs w:val="18"/>
          <w:lang w:val="ru-RU"/>
        </w:rPr>
        <w:t>Дополнительного</w:t>
      </w:r>
      <w:r w:rsidRPr="00F634C2">
        <w:rPr>
          <w:sz w:val="18"/>
          <w:szCs w:val="18"/>
          <w:lang w:val="ru-RU"/>
        </w:rPr>
        <w:t xml:space="preserve"> </w:t>
      </w:r>
      <w:r>
        <w:rPr>
          <w:sz w:val="18"/>
          <w:szCs w:val="18"/>
          <w:lang w:val="ru-RU"/>
        </w:rPr>
        <w:t>протокола</w:t>
      </w:r>
      <w:r w:rsidRPr="00F634C2">
        <w:rPr>
          <w:sz w:val="18"/>
          <w:szCs w:val="18"/>
          <w:lang w:val="ru-RU"/>
        </w:rPr>
        <w:t xml:space="preserve">, </w:t>
      </w:r>
      <w:r>
        <w:rPr>
          <w:sz w:val="18"/>
          <w:szCs w:val="18"/>
          <w:lang w:val="ru-RU"/>
        </w:rPr>
        <w:t>предоставивших</w:t>
      </w:r>
      <w:r w:rsidRPr="00F634C2">
        <w:rPr>
          <w:sz w:val="18"/>
          <w:szCs w:val="18"/>
          <w:lang w:val="ru-RU"/>
        </w:rPr>
        <w:t xml:space="preserve"> </w:t>
      </w:r>
      <w:r>
        <w:rPr>
          <w:sz w:val="18"/>
          <w:szCs w:val="18"/>
          <w:lang w:val="ru-RU"/>
        </w:rPr>
        <w:t>эту</w:t>
      </w:r>
      <w:r w:rsidRPr="00F634C2">
        <w:rPr>
          <w:sz w:val="18"/>
          <w:szCs w:val="18"/>
          <w:lang w:val="ru-RU"/>
        </w:rPr>
        <w:t xml:space="preserve"> </w:t>
      </w:r>
      <w:r>
        <w:rPr>
          <w:sz w:val="18"/>
          <w:szCs w:val="18"/>
          <w:lang w:val="ru-RU"/>
        </w:rPr>
        <w:t>информацию</w:t>
      </w:r>
      <w:r w:rsidRPr="00F634C2">
        <w:rPr>
          <w:sz w:val="18"/>
          <w:szCs w:val="18"/>
          <w:lang w:val="ru-RU"/>
        </w:rPr>
        <w:t xml:space="preserve"> </w:t>
      </w:r>
      <w:r>
        <w:rPr>
          <w:sz w:val="18"/>
          <w:szCs w:val="18"/>
          <w:lang w:val="ru-RU"/>
        </w:rPr>
        <w:t>в</w:t>
      </w:r>
      <w:r w:rsidRPr="00F634C2">
        <w:rPr>
          <w:sz w:val="18"/>
          <w:szCs w:val="18"/>
          <w:lang w:val="ru-RU"/>
        </w:rPr>
        <w:t xml:space="preserve"> </w:t>
      </w:r>
      <w:r>
        <w:rPr>
          <w:sz w:val="18"/>
          <w:szCs w:val="18"/>
          <w:lang w:val="ru-RU"/>
        </w:rPr>
        <w:t>своих</w:t>
      </w:r>
      <w:r w:rsidRPr="00F634C2">
        <w:rPr>
          <w:sz w:val="18"/>
          <w:szCs w:val="18"/>
          <w:lang w:val="ru-RU"/>
        </w:rPr>
        <w:t xml:space="preserve"> </w:t>
      </w:r>
      <w:r>
        <w:rPr>
          <w:sz w:val="18"/>
          <w:szCs w:val="18"/>
          <w:lang w:val="ru-RU"/>
        </w:rPr>
        <w:t>четвертых</w:t>
      </w:r>
      <w:r w:rsidRPr="00F634C2">
        <w:rPr>
          <w:sz w:val="18"/>
          <w:szCs w:val="18"/>
          <w:lang w:val="ru-RU"/>
        </w:rPr>
        <w:t xml:space="preserve"> </w:t>
      </w:r>
      <w:r>
        <w:rPr>
          <w:sz w:val="18"/>
          <w:szCs w:val="18"/>
          <w:lang w:val="ru-RU"/>
        </w:rPr>
        <w:t>национальных</w:t>
      </w:r>
      <w:r w:rsidRPr="00F634C2">
        <w:rPr>
          <w:sz w:val="18"/>
          <w:szCs w:val="18"/>
          <w:lang w:val="ru-RU"/>
        </w:rPr>
        <w:t xml:space="preserve"> </w:t>
      </w:r>
      <w:r>
        <w:rPr>
          <w:sz w:val="18"/>
          <w:szCs w:val="18"/>
          <w:lang w:val="ru-RU"/>
        </w:rPr>
        <w:t>докладах</w:t>
      </w:r>
      <w:r w:rsidRPr="00F634C2">
        <w:rPr>
          <w:sz w:val="18"/>
          <w:szCs w:val="18"/>
          <w:lang w:val="ru-RU"/>
        </w:rPr>
        <w:t xml:space="preserve">. </w:t>
      </w:r>
      <w:bookmarkStart w:id="19" w:name="_Hlk30775977"/>
      <w:r>
        <w:rPr>
          <w:sz w:val="18"/>
          <w:szCs w:val="18"/>
          <w:lang w:val="ru-RU"/>
        </w:rPr>
        <w:t>Эта</w:t>
      </w:r>
      <w:r w:rsidRPr="00F634C2">
        <w:rPr>
          <w:sz w:val="18"/>
          <w:szCs w:val="18"/>
          <w:lang w:val="ru-RU"/>
        </w:rPr>
        <w:t xml:space="preserve"> </w:t>
      </w:r>
      <w:r>
        <w:rPr>
          <w:sz w:val="18"/>
          <w:szCs w:val="18"/>
          <w:lang w:val="ru-RU"/>
        </w:rPr>
        <w:t>информация</w:t>
      </w:r>
      <w:r w:rsidRPr="00F634C2">
        <w:rPr>
          <w:sz w:val="18"/>
          <w:szCs w:val="18"/>
          <w:lang w:val="ru-RU"/>
        </w:rPr>
        <w:t xml:space="preserve"> </w:t>
      </w:r>
      <w:r>
        <w:rPr>
          <w:sz w:val="18"/>
          <w:szCs w:val="18"/>
          <w:lang w:val="ru-RU"/>
        </w:rPr>
        <w:t>не</w:t>
      </w:r>
      <w:r w:rsidRPr="00F634C2">
        <w:rPr>
          <w:sz w:val="18"/>
          <w:szCs w:val="18"/>
          <w:lang w:val="ru-RU"/>
        </w:rPr>
        <w:t xml:space="preserve"> </w:t>
      </w:r>
      <w:r>
        <w:rPr>
          <w:sz w:val="18"/>
          <w:szCs w:val="18"/>
          <w:lang w:val="ru-RU"/>
        </w:rPr>
        <w:t>предоставлялась</w:t>
      </w:r>
      <w:r w:rsidRPr="00F634C2">
        <w:rPr>
          <w:sz w:val="18"/>
          <w:szCs w:val="18"/>
          <w:lang w:val="ru-RU"/>
        </w:rPr>
        <w:t xml:space="preserve"> </w:t>
      </w:r>
      <w:r>
        <w:rPr>
          <w:sz w:val="18"/>
          <w:szCs w:val="18"/>
          <w:lang w:val="ru-RU"/>
        </w:rPr>
        <w:t>в</w:t>
      </w:r>
      <w:r w:rsidRPr="00F634C2">
        <w:rPr>
          <w:sz w:val="18"/>
          <w:szCs w:val="18"/>
          <w:lang w:val="ru-RU"/>
        </w:rPr>
        <w:t xml:space="preserve"> </w:t>
      </w:r>
      <w:r>
        <w:rPr>
          <w:sz w:val="18"/>
          <w:szCs w:val="18"/>
          <w:lang w:val="ru-RU"/>
        </w:rPr>
        <w:t>предшествующих</w:t>
      </w:r>
      <w:r w:rsidRPr="00F634C2">
        <w:rPr>
          <w:sz w:val="18"/>
          <w:szCs w:val="18"/>
          <w:lang w:val="ru-RU"/>
        </w:rPr>
        <w:t xml:space="preserve"> </w:t>
      </w:r>
      <w:r>
        <w:rPr>
          <w:sz w:val="18"/>
          <w:szCs w:val="18"/>
          <w:lang w:val="ru-RU"/>
        </w:rPr>
        <w:t>национальных</w:t>
      </w:r>
      <w:r w:rsidRPr="00F634C2">
        <w:rPr>
          <w:sz w:val="18"/>
          <w:szCs w:val="18"/>
          <w:lang w:val="ru-RU"/>
        </w:rPr>
        <w:t xml:space="preserve"> </w:t>
      </w:r>
      <w:r>
        <w:rPr>
          <w:sz w:val="18"/>
          <w:szCs w:val="18"/>
          <w:lang w:val="ru-RU"/>
        </w:rPr>
        <w:t>докладах</w:t>
      </w:r>
      <w:r w:rsidRPr="00F634C2">
        <w:rPr>
          <w:sz w:val="18"/>
          <w:szCs w:val="18"/>
          <w:lang w:val="ru-RU"/>
        </w:rPr>
        <w:t>.</w:t>
      </w:r>
      <w:bookmarkEnd w:id="19"/>
      <w:r w:rsidRPr="00F634C2">
        <w:rPr>
          <w:sz w:val="18"/>
          <w:szCs w:val="18"/>
          <w:lang w:val="ru-RU"/>
        </w:rPr>
        <w:t xml:space="preserve"> </w:t>
      </w:r>
      <w:r>
        <w:rPr>
          <w:sz w:val="18"/>
          <w:szCs w:val="18"/>
          <w:lang w:val="ru-RU"/>
        </w:rPr>
        <w:t xml:space="preserve">Вследствие округления сумма процентов составляет </w:t>
      </w:r>
      <w:r w:rsidRPr="00F634C2">
        <w:rPr>
          <w:sz w:val="18"/>
          <w:szCs w:val="18"/>
          <w:lang w:val="ru-RU"/>
        </w:rPr>
        <w:t>101</w:t>
      </w:r>
      <w:r>
        <w:rPr>
          <w:sz w:val="18"/>
          <w:szCs w:val="18"/>
          <w:lang w:val="ru-RU"/>
        </w:rPr>
        <w:t>, а не</w:t>
      </w:r>
      <w:r w:rsidRPr="00F634C2">
        <w:rPr>
          <w:sz w:val="18"/>
          <w:szCs w:val="18"/>
          <w:lang w:val="ru-RU"/>
        </w:rPr>
        <w:t xml:space="preserve"> 100</w:t>
      </w:r>
      <w:r>
        <w:rPr>
          <w:sz w:val="18"/>
          <w:szCs w:val="18"/>
          <w:lang w:val="ru-RU"/>
        </w:rPr>
        <w:t> </w:t>
      </w:r>
      <w:r w:rsidRPr="00F634C2">
        <w:rPr>
          <w:sz w:val="18"/>
          <w:szCs w:val="18"/>
          <w:lang w:val="ru-RU"/>
        </w:rPr>
        <w:t>%.</w:t>
      </w:r>
    </w:p>
  </w:footnote>
  <w:footnote w:id="33">
    <w:p w14:paraId="58F6B784" w14:textId="68D0E311" w:rsidR="003926D8" w:rsidRPr="00B37B5A" w:rsidRDefault="003926D8" w:rsidP="004569FB">
      <w:pPr>
        <w:pStyle w:val="aa"/>
        <w:rPr>
          <w:sz w:val="18"/>
          <w:szCs w:val="18"/>
          <w:lang w:val="ru-RU"/>
        </w:rPr>
      </w:pPr>
      <w:r w:rsidRPr="008D6A50">
        <w:rPr>
          <w:rStyle w:val="ac"/>
          <w:sz w:val="18"/>
          <w:szCs w:val="18"/>
        </w:rPr>
        <w:footnoteRef/>
      </w:r>
      <w:r w:rsidRPr="00B37B5A">
        <w:rPr>
          <w:sz w:val="18"/>
          <w:szCs w:val="18"/>
          <w:lang w:val="ru-RU"/>
        </w:rPr>
        <w:t xml:space="preserve"> </w:t>
      </w:r>
      <w:r>
        <w:rPr>
          <w:sz w:val="18"/>
          <w:szCs w:val="18"/>
          <w:lang w:val="ru-RU"/>
        </w:rPr>
        <w:t>Эта</w:t>
      </w:r>
      <w:r w:rsidRPr="00F634C2">
        <w:rPr>
          <w:sz w:val="18"/>
          <w:szCs w:val="18"/>
          <w:lang w:val="ru-RU"/>
        </w:rPr>
        <w:t xml:space="preserve"> </w:t>
      </w:r>
      <w:r>
        <w:rPr>
          <w:sz w:val="18"/>
          <w:szCs w:val="18"/>
          <w:lang w:val="ru-RU"/>
        </w:rPr>
        <w:t>информация</w:t>
      </w:r>
      <w:r w:rsidRPr="00F634C2">
        <w:rPr>
          <w:sz w:val="18"/>
          <w:szCs w:val="18"/>
          <w:lang w:val="ru-RU"/>
        </w:rPr>
        <w:t xml:space="preserve"> </w:t>
      </w:r>
      <w:r>
        <w:rPr>
          <w:sz w:val="18"/>
          <w:szCs w:val="18"/>
          <w:lang w:val="ru-RU"/>
        </w:rPr>
        <w:t>не</w:t>
      </w:r>
      <w:r w:rsidRPr="00F634C2">
        <w:rPr>
          <w:sz w:val="18"/>
          <w:szCs w:val="18"/>
          <w:lang w:val="ru-RU"/>
        </w:rPr>
        <w:t xml:space="preserve"> </w:t>
      </w:r>
      <w:r>
        <w:rPr>
          <w:sz w:val="18"/>
          <w:szCs w:val="18"/>
          <w:lang w:val="ru-RU"/>
        </w:rPr>
        <w:t>предоставлялась</w:t>
      </w:r>
      <w:r w:rsidRPr="00F634C2">
        <w:rPr>
          <w:sz w:val="18"/>
          <w:szCs w:val="18"/>
          <w:lang w:val="ru-RU"/>
        </w:rPr>
        <w:t xml:space="preserve"> </w:t>
      </w:r>
      <w:r>
        <w:rPr>
          <w:sz w:val="18"/>
          <w:szCs w:val="18"/>
          <w:lang w:val="ru-RU"/>
        </w:rPr>
        <w:t>в</w:t>
      </w:r>
      <w:r w:rsidRPr="00F634C2">
        <w:rPr>
          <w:sz w:val="18"/>
          <w:szCs w:val="18"/>
          <w:lang w:val="ru-RU"/>
        </w:rPr>
        <w:t xml:space="preserve"> </w:t>
      </w:r>
      <w:r>
        <w:rPr>
          <w:sz w:val="18"/>
          <w:szCs w:val="18"/>
          <w:lang w:val="ru-RU"/>
        </w:rPr>
        <w:t>предшествующих</w:t>
      </w:r>
      <w:r w:rsidRPr="00F634C2">
        <w:rPr>
          <w:sz w:val="18"/>
          <w:szCs w:val="18"/>
          <w:lang w:val="ru-RU"/>
        </w:rPr>
        <w:t xml:space="preserve"> </w:t>
      </w:r>
      <w:r>
        <w:rPr>
          <w:sz w:val="18"/>
          <w:szCs w:val="18"/>
          <w:lang w:val="ru-RU"/>
        </w:rPr>
        <w:t>национальных</w:t>
      </w:r>
      <w:r w:rsidRPr="00F634C2">
        <w:rPr>
          <w:sz w:val="18"/>
          <w:szCs w:val="18"/>
          <w:lang w:val="ru-RU"/>
        </w:rPr>
        <w:t xml:space="preserve"> </w:t>
      </w:r>
      <w:r>
        <w:rPr>
          <w:sz w:val="18"/>
          <w:szCs w:val="18"/>
          <w:lang w:val="ru-RU"/>
        </w:rPr>
        <w:t>докладах</w:t>
      </w:r>
      <w:r w:rsidRPr="00B37B5A">
        <w:rPr>
          <w:sz w:val="18"/>
          <w:szCs w:val="18"/>
          <w:lang w:val="ru-RU"/>
        </w:rPr>
        <w:t>.</w:t>
      </w:r>
    </w:p>
  </w:footnote>
  <w:footnote w:id="34">
    <w:p w14:paraId="6A4FBDBF" w14:textId="71D8A483" w:rsidR="003926D8" w:rsidRPr="00C42E4C" w:rsidRDefault="003926D8" w:rsidP="00ED3F2F">
      <w:pPr>
        <w:pStyle w:val="aa"/>
        <w:rPr>
          <w:sz w:val="18"/>
          <w:lang w:val="ru-RU"/>
        </w:rPr>
      </w:pPr>
      <w:r w:rsidRPr="00C42E4C">
        <w:rPr>
          <w:rStyle w:val="ac"/>
          <w:sz w:val="18"/>
        </w:rPr>
        <w:footnoteRef/>
      </w:r>
      <w:r w:rsidRPr="00C42E4C">
        <w:rPr>
          <w:sz w:val="18"/>
          <w:lang w:val="ru-RU"/>
        </w:rPr>
        <w:t xml:space="preserve"> </w:t>
      </w:r>
      <w:r>
        <w:rPr>
          <w:sz w:val="18"/>
          <w:lang w:val="ru-RU"/>
        </w:rPr>
        <w:t>В</w:t>
      </w:r>
      <w:r w:rsidRPr="00C42E4C">
        <w:rPr>
          <w:sz w:val="18"/>
          <w:lang w:val="ru-RU"/>
        </w:rPr>
        <w:t xml:space="preserve"> </w:t>
      </w:r>
      <w:r>
        <w:rPr>
          <w:sz w:val="18"/>
          <w:lang w:val="ru-RU"/>
        </w:rPr>
        <w:t>вопросе</w:t>
      </w:r>
      <w:r w:rsidRPr="00C42E4C">
        <w:rPr>
          <w:sz w:val="18"/>
          <w:lang w:val="ru-RU"/>
        </w:rPr>
        <w:t xml:space="preserve"> 163 </w:t>
      </w:r>
      <w:r>
        <w:rPr>
          <w:sz w:val="18"/>
          <w:lang w:val="ru-RU"/>
        </w:rPr>
        <w:t>в</w:t>
      </w:r>
      <w:r w:rsidRPr="00C42E4C">
        <w:rPr>
          <w:sz w:val="18"/>
          <w:lang w:val="ru-RU"/>
        </w:rPr>
        <w:t xml:space="preserve"> </w:t>
      </w:r>
      <w:r>
        <w:rPr>
          <w:sz w:val="18"/>
          <w:lang w:val="ru-RU"/>
        </w:rPr>
        <w:t>формате</w:t>
      </w:r>
      <w:r w:rsidRPr="00C42E4C">
        <w:rPr>
          <w:sz w:val="18"/>
          <w:lang w:val="ru-RU"/>
        </w:rPr>
        <w:t xml:space="preserve"> </w:t>
      </w:r>
      <w:r>
        <w:rPr>
          <w:sz w:val="18"/>
          <w:lang w:val="ru-RU"/>
        </w:rPr>
        <w:t>четвертого</w:t>
      </w:r>
      <w:r w:rsidRPr="00C42E4C">
        <w:rPr>
          <w:sz w:val="18"/>
          <w:lang w:val="ru-RU"/>
        </w:rPr>
        <w:t xml:space="preserve"> </w:t>
      </w:r>
      <w:r>
        <w:rPr>
          <w:sz w:val="18"/>
          <w:lang w:val="ru-RU"/>
        </w:rPr>
        <w:t>национального</w:t>
      </w:r>
      <w:r w:rsidRPr="00C42E4C">
        <w:rPr>
          <w:sz w:val="18"/>
          <w:lang w:val="ru-RU"/>
        </w:rPr>
        <w:t xml:space="preserve"> </w:t>
      </w:r>
      <w:r>
        <w:rPr>
          <w:sz w:val="18"/>
          <w:lang w:val="ru-RU"/>
        </w:rPr>
        <w:t>доклада</w:t>
      </w:r>
      <w:r w:rsidRPr="00C42E4C">
        <w:rPr>
          <w:sz w:val="18"/>
          <w:lang w:val="ru-RU"/>
        </w:rPr>
        <w:t xml:space="preserve"> </w:t>
      </w:r>
      <w:r>
        <w:rPr>
          <w:sz w:val="18"/>
          <w:lang w:val="ru-RU"/>
        </w:rPr>
        <w:t>спрашивается</w:t>
      </w:r>
      <w:r w:rsidRPr="00C42E4C">
        <w:rPr>
          <w:sz w:val="18"/>
          <w:lang w:val="ru-RU"/>
        </w:rPr>
        <w:t xml:space="preserve">, </w:t>
      </w:r>
      <w:r>
        <w:rPr>
          <w:sz w:val="18"/>
          <w:lang w:val="ru-RU"/>
        </w:rPr>
        <w:t>учитывались</w:t>
      </w:r>
      <w:r w:rsidRPr="00C42E4C">
        <w:rPr>
          <w:sz w:val="18"/>
          <w:lang w:val="ru-RU"/>
        </w:rPr>
        <w:t xml:space="preserve"> </w:t>
      </w:r>
      <w:r>
        <w:rPr>
          <w:sz w:val="18"/>
          <w:lang w:val="ru-RU"/>
        </w:rPr>
        <w:t>ли</w:t>
      </w:r>
      <w:r w:rsidRPr="00C42E4C">
        <w:rPr>
          <w:sz w:val="18"/>
          <w:lang w:val="ru-RU"/>
        </w:rPr>
        <w:t xml:space="preserve"> </w:t>
      </w:r>
      <w:r>
        <w:rPr>
          <w:sz w:val="18"/>
          <w:lang w:val="ru-RU"/>
        </w:rPr>
        <w:t>в текущем отчетном периоде при</w:t>
      </w:r>
      <w:r w:rsidRPr="00C42E4C">
        <w:rPr>
          <w:sz w:val="18"/>
          <w:lang w:val="ru-RU"/>
        </w:rPr>
        <w:t xml:space="preserve"> </w:t>
      </w:r>
      <w:r>
        <w:rPr>
          <w:sz w:val="18"/>
          <w:lang w:val="ru-RU"/>
        </w:rPr>
        <w:t>принятии</w:t>
      </w:r>
      <w:r w:rsidRPr="00C42E4C">
        <w:rPr>
          <w:sz w:val="18"/>
          <w:lang w:val="ru-RU"/>
        </w:rPr>
        <w:t xml:space="preserve"> </w:t>
      </w:r>
      <w:r>
        <w:rPr>
          <w:sz w:val="18"/>
          <w:lang w:val="ru-RU"/>
        </w:rPr>
        <w:t>решений</w:t>
      </w:r>
      <w:r w:rsidRPr="00C42E4C">
        <w:rPr>
          <w:sz w:val="18"/>
          <w:lang w:val="ru-RU"/>
        </w:rPr>
        <w:t xml:space="preserve"> </w:t>
      </w:r>
      <w:r>
        <w:rPr>
          <w:sz w:val="18"/>
          <w:lang w:val="ru-RU"/>
        </w:rPr>
        <w:t>социально</w:t>
      </w:r>
      <w:r w:rsidRPr="00C42E4C">
        <w:rPr>
          <w:sz w:val="18"/>
          <w:lang w:val="ru-RU"/>
        </w:rPr>
        <w:t>-</w:t>
      </w:r>
      <w:r>
        <w:rPr>
          <w:sz w:val="18"/>
          <w:lang w:val="ru-RU"/>
        </w:rPr>
        <w:t>экономические</w:t>
      </w:r>
      <w:r w:rsidRPr="00C42E4C">
        <w:rPr>
          <w:sz w:val="18"/>
          <w:lang w:val="ru-RU"/>
        </w:rPr>
        <w:t xml:space="preserve"> </w:t>
      </w:r>
      <w:r>
        <w:rPr>
          <w:sz w:val="18"/>
          <w:lang w:val="ru-RU"/>
        </w:rPr>
        <w:t>соображения</w:t>
      </w:r>
      <w:r w:rsidRPr="00C42E4C">
        <w:rPr>
          <w:sz w:val="18"/>
          <w:lang w:val="ru-RU"/>
        </w:rPr>
        <w:t>,</w:t>
      </w:r>
      <w:r w:rsidRPr="00C42E4C">
        <w:rPr>
          <w:snapToGrid w:val="0"/>
          <w:kern w:val="22"/>
          <w:sz w:val="22"/>
          <w:szCs w:val="22"/>
          <w:lang w:val="ru-RU"/>
        </w:rPr>
        <w:t xml:space="preserve"> </w:t>
      </w:r>
      <w:r w:rsidRPr="00C42E4C">
        <w:rPr>
          <w:sz w:val="18"/>
          <w:lang w:val="ru-RU"/>
        </w:rPr>
        <w:t xml:space="preserve">связанные с воздействием </w:t>
      </w:r>
      <w:proofErr w:type="spellStart"/>
      <w:r w:rsidRPr="00C42E4C">
        <w:rPr>
          <w:sz w:val="18"/>
          <w:lang w:val="ru-RU"/>
        </w:rPr>
        <w:t>ЖИО</w:t>
      </w:r>
      <w:proofErr w:type="spellEnd"/>
      <w:r w:rsidRPr="00C42E4C">
        <w:rPr>
          <w:sz w:val="18"/>
          <w:lang w:val="ru-RU"/>
        </w:rPr>
        <w:t xml:space="preserve">. </w:t>
      </w:r>
      <w:r>
        <w:rPr>
          <w:sz w:val="18"/>
          <w:lang w:val="ru-RU"/>
        </w:rPr>
        <w:t>В</w:t>
      </w:r>
      <w:r w:rsidRPr="00C42E4C">
        <w:rPr>
          <w:sz w:val="18"/>
          <w:lang w:val="ru-RU"/>
        </w:rPr>
        <w:t xml:space="preserve"> </w:t>
      </w:r>
      <w:r>
        <w:rPr>
          <w:sz w:val="18"/>
          <w:lang w:val="ru-RU"/>
        </w:rPr>
        <w:t>общей</w:t>
      </w:r>
      <w:r w:rsidRPr="00C42E4C">
        <w:rPr>
          <w:sz w:val="18"/>
          <w:lang w:val="ru-RU"/>
        </w:rPr>
        <w:t xml:space="preserve"> </w:t>
      </w:r>
      <w:r>
        <w:rPr>
          <w:sz w:val="18"/>
          <w:lang w:val="ru-RU"/>
        </w:rPr>
        <w:t>сложности</w:t>
      </w:r>
      <w:r w:rsidRPr="00C42E4C">
        <w:rPr>
          <w:sz w:val="18"/>
          <w:lang w:val="ru-RU"/>
        </w:rPr>
        <w:t xml:space="preserve"> 33 </w:t>
      </w:r>
      <w:r>
        <w:rPr>
          <w:sz w:val="18"/>
          <w:lang w:val="ru-RU"/>
        </w:rPr>
        <w:t>Стороны</w:t>
      </w:r>
      <w:r w:rsidRPr="00C42E4C">
        <w:rPr>
          <w:sz w:val="18"/>
          <w:lang w:val="ru-RU"/>
        </w:rPr>
        <w:t xml:space="preserve"> (35</w:t>
      </w:r>
      <w:r w:rsidRPr="00C42E4C">
        <w:rPr>
          <w:sz w:val="18"/>
          <w:lang w:val="en-US"/>
        </w:rPr>
        <w:t> </w:t>
      </w:r>
      <w:r w:rsidRPr="00C42E4C">
        <w:rPr>
          <w:sz w:val="18"/>
          <w:lang w:val="ru-RU"/>
        </w:rPr>
        <w:t xml:space="preserve">%) </w:t>
      </w:r>
      <w:r>
        <w:rPr>
          <w:sz w:val="18"/>
          <w:lang w:val="ru-RU"/>
        </w:rPr>
        <w:t>ответили</w:t>
      </w:r>
      <w:r w:rsidRPr="00C42E4C">
        <w:rPr>
          <w:sz w:val="18"/>
          <w:lang w:val="ru-RU"/>
        </w:rPr>
        <w:t xml:space="preserve"> «</w:t>
      </w:r>
      <w:r>
        <w:rPr>
          <w:sz w:val="18"/>
          <w:lang w:val="ru-RU"/>
        </w:rPr>
        <w:t xml:space="preserve">Не применимо </w:t>
      </w:r>
      <w:r w:rsidRPr="00C42E4C">
        <w:rPr>
          <w:sz w:val="18"/>
          <w:lang w:val="ru-RU"/>
        </w:rPr>
        <w:t>(</w:t>
      </w:r>
      <w:r>
        <w:rPr>
          <w:sz w:val="18"/>
          <w:lang w:val="ru-RU"/>
        </w:rPr>
        <w:t>решения не принимались</w:t>
      </w:r>
      <w:r w:rsidRPr="00C42E4C">
        <w:rPr>
          <w:sz w:val="18"/>
          <w:lang w:val="ru-RU"/>
        </w:rPr>
        <w:t>)</w:t>
      </w:r>
      <w:r>
        <w:rPr>
          <w:sz w:val="18"/>
          <w:lang w:val="ru-RU"/>
        </w:rPr>
        <w:t>»</w:t>
      </w:r>
      <w:r w:rsidRPr="00C42E4C">
        <w:rPr>
          <w:sz w:val="18"/>
          <w:lang w:val="ru-RU"/>
        </w:rPr>
        <w:t>.</w:t>
      </w:r>
    </w:p>
  </w:footnote>
  <w:footnote w:id="35">
    <w:p w14:paraId="2A22F700" w14:textId="09D7E619" w:rsidR="003926D8" w:rsidRPr="004F70B4" w:rsidRDefault="003926D8">
      <w:pPr>
        <w:pStyle w:val="aa"/>
        <w:rPr>
          <w:sz w:val="18"/>
          <w:szCs w:val="18"/>
          <w:highlight w:val="yellow"/>
          <w:lang w:val="ru-RU"/>
        </w:rPr>
      </w:pPr>
      <w:r w:rsidRPr="00532796">
        <w:rPr>
          <w:rStyle w:val="ac"/>
          <w:sz w:val="18"/>
          <w:szCs w:val="18"/>
        </w:rPr>
        <w:footnoteRef/>
      </w:r>
      <w:r w:rsidRPr="00532796">
        <w:rPr>
          <w:sz w:val="18"/>
          <w:szCs w:val="18"/>
          <w:lang w:val="ru-RU"/>
        </w:rPr>
        <w:t xml:space="preserve"> </w:t>
      </w:r>
      <w:r w:rsidRPr="001A3AC3">
        <w:rPr>
          <w:spacing w:val="-2"/>
          <w:sz w:val="18"/>
          <w:szCs w:val="18"/>
          <w:lang w:val="ru-RU"/>
        </w:rPr>
        <w:t xml:space="preserve">«Уникальный посетитель» – это лицо, посещающее </w:t>
      </w:r>
      <w:proofErr w:type="spellStart"/>
      <w:r w:rsidRPr="001A3AC3">
        <w:rPr>
          <w:spacing w:val="-2"/>
          <w:sz w:val="18"/>
          <w:szCs w:val="18"/>
          <w:lang w:val="ru-RU"/>
        </w:rPr>
        <w:t>МПБ</w:t>
      </w:r>
      <w:proofErr w:type="spellEnd"/>
      <w:r w:rsidRPr="001A3AC3">
        <w:rPr>
          <w:spacing w:val="-2"/>
          <w:sz w:val="18"/>
          <w:szCs w:val="18"/>
          <w:lang w:val="ru-RU"/>
        </w:rPr>
        <w:t xml:space="preserve"> в данный период. Тот же пользователь, посещающий </w:t>
      </w:r>
      <w:proofErr w:type="spellStart"/>
      <w:r w:rsidRPr="001A3AC3">
        <w:rPr>
          <w:spacing w:val="-2"/>
          <w:sz w:val="18"/>
          <w:szCs w:val="18"/>
          <w:lang w:val="ru-RU"/>
        </w:rPr>
        <w:t>МПБ</w:t>
      </w:r>
      <w:proofErr w:type="spellEnd"/>
      <w:r w:rsidRPr="001A3AC3">
        <w:rPr>
          <w:spacing w:val="-2"/>
          <w:sz w:val="18"/>
          <w:szCs w:val="18"/>
          <w:lang w:val="ru-RU"/>
        </w:rPr>
        <w:t xml:space="preserve"> с разных компьютеров, считается одним уникальным посетителем. «Посещение» (или «сессия») – это один сеанс просмотра веб-сайта. Один пользователи может создать несколько сессий. Посещение завершается через 30 </w:t>
      </w:r>
      <w:r w:rsidR="001A3AC3" w:rsidRPr="001A3AC3">
        <w:rPr>
          <w:spacing w:val="-2"/>
          <w:sz w:val="18"/>
          <w:szCs w:val="18"/>
          <w:lang w:val="ru-RU"/>
        </w:rPr>
        <w:t xml:space="preserve">минут </w:t>
      </w:r>
      <w:r w:rsidRPr="001A3AC3">
        <w:rPr>
          <w:spacing w:val="-2"/>
          <w:sz w:val="18"/>
          <w:szCs w:val="18"/>
          <w:lang w:val="ru-RU"/>
        </w:rPr>
        <w:t>бездействия</w:t>
      </w:r>
      <w:r w:rsidR="001A3AC3" w:rsidRPr="001A3AC3">
        <w:rPr>
          <w:spacing w:val="-2"/>
          <w:sz w:val="18"/>
          <w:szCs w:val="18"/>
          <w:lang w:val="ru-RU"/>
        </w:rPr>
        <w:t>.</w:t>
      </w:r>
    </w:p>
  </w:footnote>
  <w:footnote w:id="36">
    <w:p w14:paraId="36F2918F" w14:textId="79787A14" w:rsidR="003926D8" w:rsidRPr="00F146A6" w:rsidRDefault="003926D8" w:rsidP="009B1BF2">
      <w:pPr>
        <w:pStyle w:val="aa"/>
        <w:spacing w:after="60"/>
        <w:rPr>
          <w:sz w:val="18"/>
          <w:szCs w:val="18"/>
          <w:lang w:val="ru-RU"/>
        </w:rPr>
      </w:pPr>
      <w:r w:rsidRPr="00721FAC">
        <w:rPr>
          <w:rStyle w:val="ac"/>
          <w:sz w:val="18"/>
          <w:szCs w:val="18"/>
        </w:rPr>
        <w:footnoteRef/>
      </w:r>
      <w:r w:rsidRPr="00F146A6">
        <w:rPr>
          <w:sz w:val="18"/>
          <w:szCs w:val="18"/>
          <w:lang w:val="ru-RU"/>
        </w:rPr>
        <w:t xml:space="preserve"> Для этой цели рассматривались решения Сторон касательно трансграничного перемещения </w:t>
      </w:r>
      <w:proofErr w:type="spellStart"/>
      <w:r w:rsidRPr="00F146A6">
        <w:rPr>
          <w:sz w:val="18"/>
          <w:szCs w:val="18"/>
          <w:lang w:val="ru-RU"/>
        </w:rPr>
        <w:t>ЖИО</w:t>
      </w:r>
      <w:proofErr w:type="spellEnd"/>
      <w:r w:rsidRPr="00F146A6">
        <w:rPr>
          <w:sz w:val="18"/>
          <w:szCs w:val="18"/>
          <w:lang w:val="ru-RU"/>
        </w:rPr>
        <w:t xml:space="preserve"> для преднамеренной интродукции в окружающую среду (в соответствии со статьей 10 Протокола) и решения касательно импорта или внутреннего использования </w:t>
      </w:r>
      <w:proofErr w:type="spellStart"/>
      <w:r w:rsidRPr="00F146A6">
        <w:rPr>
          <w:sz w:val="18"/>
          <w:szCs w:val="18"/>
          <w:lang w:val="ru-RU"/>
        </w:rPr>
        <w:t>ЖИО</w:t>
      </w:r>
      <w:proofErr w:type="spellEnd"/>
      <w:r w:rsidRPr="00F146A6">
        <w:rPr>
          <w:sz w:val="18"/>
          <w:szCs w:val="18"/>
          <w:lang w:val="ru-RU"/>
        </w:rPr>
        <w:t xml:space="preserve">, предназначенных для непосредственного использования в качестве продовольствия или корма или для обработки (в соответствии со статьей 11 Протокола или внутренним законодательством). Для каждого из этих решений было проверено, представлен ли в </w:t>
      </w:r>
      <w:proofErr w:type="spellStart"/>
      <w:r w:rsidRPr="00F146A6">
        <w:rPr>
          <w:sz w:val="18"/>
          <w:szCs w:val="18"/>
          <w:lang w:val="ru-RU"/>
        </w:rPr>
        <w:t>МПБ</w:t>
      </w:r>
      <w:proofErr w:type="spellEnd"/>
      <w:r w:rsidRPr="00F146A6">
        <w:rPr>
          <w:sz w:val="18"/>
          <w:szCs w:val="18"/>
          <w:lang w:val="ru-RU"/>
        </w:rPr>
        <w:t xml:space="preserve"> соответствующий доклад об оценке рисков.</w:t>
      </w:r>
    </w:p>
  </w:footnote>
  <w:footnote w:id="37">
    <w:p w14:paraId="12C6E6EE" w14:textId="3FCB7A19" w:rsidR="003926D8" w:rsidRPr="00713903" w:rsidRDefault="003926D8" w:rsidP="00E13D8A">
      <w:pPr>
        <w:pStyle w:val="aa"/>
        <w:rPr>
          <w:sz w:val="18"/>
          <w:szCs w:val="18"/>
          <w:lang w:val="ru-RU"/>
        </w:rPr>
      </w:pPr>
      <w:r w:rsidRPr="003623F4">
        <w:rPr>
          <w:rStyle w:val="ac"/>
          <w:sz w:val="18"/>
          <w:szCs w:val="18"/>
        </w:rPr>
        <w:footnoteRef/>
      </w:r>
      <w:r w:rsidRPr="00713903">
        <w:rPr>
          <w:sz w:val="18"/>
          <w:szCs w:val="18"/>
          <w:lang w:val="ru-RU"/>
        </w:rPr>
        <w:t xml:space="preserve"> </w:t>
      </w:r>
      <w:r>
        <w:rPr>
          <w:sz w:val="18"/>
          <w:szCs w:val="18"/>
          <w:lang w:val="ru-RU"/>
        </w:rPr>
        <w:t>При</w:t>
      </w:r>
      <w:r w:rsidRPr="00713903">
        <w:rPr>
          <w:sz w:val="18"/>
          <w:szCs w:val="18"/>
          <w:lang w:val="ru-RU"/>
        </w:rPr>
        <w:t xml:space="preserve"> </w:t>
      </w:r>
      <w:proofErr w:type="gramStart"/>
      <w:r>
        <w:rPr>
          <w:sz w:val="18"/>
          <w:szCs w:val="18"/>
          <w:lang w:val="ru-RU"/>
        </w:rPr>
        <w:t>том</w:t>
      </w:r>
      <w:proofErr w:type="gramEnd"/>
      <w:r w:rsidRPr="00713903">
        <w:rPr>
          <w:sz w:val="18"/>
          <w:szCs w:val="18"/>
          <w:lang w:val="ru-RU"/>
        </w:rPr>
        <w:t xml:space="preserve"> </w:t>
      </w:r>
      <w:r>
        <w:rPr>
          <w:sz w:val="18"/>
          <w:szCs w:val="18"/>
          <w:lang w:val="ru-RU"/>
        </w:rPr>
        <w:t>что</w:t>
      </w:r>
      <w:r w:rsidRPr="00713903">
        <w:rPr>
          <w:sz w:val="18"/>
          <w:szCs w:val="18"/>
          <w:lang w:val="ru-RU"/>
        </w:rPr>
        <w:t xml:space="preserve"> </w:t>
      </w:r>
      <w:r>
        <w:rPr>
          <w:sz w:val="18"/>
          <w:szCs w:val="18"/>
          <w:lang w:val="ru-RU"/>
        </w:rPr>
        <w:t>Стороны</w:t>
      </w:r>
      <w:r w:rsidRPr="00713903">
        <w:rPr>
          <w:sz w:val="18"/>
          <w:szCs w:val="18"/>
          <w:lang w:val="ru-RU"/>
        </w:rPr>
        <w:t xml:space="preserve"> </w:t>
      </w:r>
      <w:proofErr w:type="spellStart"/>
      <w:r>
        <w:rPr>
          <w:sz w:val="18"/>
          <w:szCs w:val="18"/>
          <w:lang w:val="ru-RU"/>
        </w:rPr>
        <w:t>Картахенского</w:t>
      </w:r>
      <w:proofErr w:type="spellEnd"/>
      <w:r w:rsidRPr="00713903">
        <w:rPr>
          <w:sz w:val="18"/>
          <w:szCs w:val="18"/>
          <w:lang w:val="ru-RU"/>
        </w:rPr>
        <w:t xml:space="preserve"> </w:t>
      </w:r>
      <w:r>
        <w:rPr>
          <w:sz w:val="18"/>
          <w:szCs w:val="18"/>
          <w:lang w:val="ru-RU"/>
        </w:rPr>
        <w:t>протокола</w:t>
      </w:r>
      <w:r w:rsidRPr="00713903">
        <w:rPr>
          <w:sz w:val="18"/>
          <w:szCs w:val="18"/>
          <w:lang w:val="ru-RU"/>
        </w:rPr>
        <w:t xml:space="preserve"> </w:t>
      </w:r>
      <w:r>
        <w:rPr>
          <w:sz w:val="18"/>
          <w:szCs w:val="18"/>
          <w:lang w:val="ru-RU"/>
        </w:rPr>
        <w:t>должны</w:t>
      </w:r>
      <w:r w:rsidRPr="00713903">
        <w:rPr>
          <w:sz w:val="18"/>
          <w:szCs w:val="18"/>
          <w:lang w:val="ru-RU"/>
        </w:rPr>
        <w:t xml:space="preserve"> </w:t>
      </w:r>
      <w:r>
        <w:rPr>
          <w:sz w:val="18"/>
          <w:szCs w:val="18"/>
          <w:lang w:val="ru-RU"/>
        </w:rPr>
        <w:t>назначать</w:t>
      </w:r>
      <w:r w:rsidRPr="00713903">
        <w:rPr>
          <w:sz w:val="18"/>
          <w:szCs w:val="18"/>
          <w:lang w:val="ru-RU"/>
        </w:rPr>
        <w:t xml:space="preserve"> </w:t>
      </w:r>
      <w:r w:rsidRPr="00832DE6">
        <w:rPr>
          <w:iCs/>
          <w:sz w:val="18"/>
          <w:szCs w:val="18"/>
          <w:lang w:val="ru-RU"/>
        </w:rPr>
        <w:t>координационные</w:t>
      </w:r>
      <w:r w:rsidRPr="00713903">
        <w:rPr>
          <w:iCs/>
          <w:sz w:val="18"/>
          <w:szCs w:val="18"/>
          <w:lang w:val="ru-RU"/>
        </w:rPr>
        <w:t xml:space="preserve"> </w:t>
      </w:r>
      <w:r w:rsidRPr="00832DE6">
        <w:rPr>
          <w:iCs/>
          <w:sz w:val="18"/>
          <w:szCs w:val="18"/>
          <w:lang w:val="ru-RU"/>
        </w:rPr>
        <w:t>центры</w:t>
      </w:r>
      <w:r w:rsidRPr="00713903">
        <w:rPr>
          <w:sz w:val="18"/>
          <w:szCs w:val="18"/>
          <w:lang w:val="ru-RU"/>
        </w:rPr>
        <w:t xml:space="preserve"> </w:t>
      </w:r>
      <w:r w:rsidR="009D11D8">
        <w:rPr>
          <w:sz w:val="18"/>
          <w:szCs w:val="18"/>
          <w:lang w:val="ru-RU"/>
        </w:rPr>
        <w:t>по</w:t>
      </w:r>
      <w:r w:rsidR="009B1BF2">
        <w:rPr>
          <w:sz w:val="18"/>
          <w:szCs w:val="18"/>
          <w:lang w:val="ru-RU"/>
        </w:rPr>
        <w:t xml:space="preserve"> Протокол</w:t>
      </w:r>
      <w:r w:rsidR="009D11D8">
        <w:rPr>
          <w:sz w:val="18"/>
          <w:szCs w:val="18"/>
          <w:lang w:val="ru-RU"/>
        </w:rPr>
        <w:t>у</w:t>
      </w:r>
      <w:r>
        <w:rPr>
          <w:sz w:val="18"/>
          <w:szCs w:val="18"/>
          <w:lang w:val="ru-RU"/>
        </w:rPr>
        <w:t>, другие правительства также могут это делать</w:t>
      </w:r>
      <w:r w:rsidRPr="00713903">
        <w:rPr>
          <w:sz w:val="18"/>
          <w:szCs w:val="18"/>
          <w:lang w:val="ru-RU"/>
        </w:rPr>
        <w:t xml:space="preserve">. </w:t>
      </w:r>
      <w:r>
        <w:rPr>
          <w:sz w:val="18"/>
          <w:szCs w:val="18"/>
          <w:lang w:val="ru-RU"/>
        </w:rPr>
        <w:t>Представленные</w:t>
      </w:r>
      <w:r w:rsidRPr="00713903">
        <w:rPr>
          <w:sz w:val="18"/>
          <w:szCs w:val="18"/>
          <w:lang w:val="ru-RU"/>
        </w:rPr>
        <w:t xml:space="preserve"> </w:t>
      </w:r>
      <w:r>
        <w:rPr>
          <w:sz w:val="18"/>
          <w:szCs w:val="18"/>
          <w:lang w:val="ru-RU"/>
        </w:rPr>
        <w:t>здесь</w:t>
      </w:r>
      <w:r w:rsidRPr="00713903">
        <w:rPr>
          <w:sz w:val="18"/>
          <w:szCs w:val="18"/>
          <w:lang w:val="ru-RU"/>
        </w:rPr>
        <w:t xml:space="preserve"> </w:t>
      </w:r>
      <w:r>
        <w:rPr>
          <w:sz w:val="18"/>
          <w:szCs w:val="18"/>
          <w:lang w:val="ru-RU"/>
        </w:rPr>
        <w:t>данные</w:t>
      </w:r>
      <w:r w:rsidRPr="00713903">
        <w:rPr>
          <w:sz w:val="18"/>
          <w:szCs w:val="18"/>
          <w:lang w:val="ru-RU"/>
        </w:rPr>
        <w:t xml:space="preserve"> </w:t>
      </w:r>
      <w:r>
        <w:rPr>
          <w:sz w:val="18"/>
          <w:szCs w:val="18"/>
          <w:lang w:val="ru-RU"/>
        </w:rPr>
        <w:t>основаны</w:t>
      </w:r>
      <w:r w:rsidRPr="00713903">
        <w:rPr>
          <w:sz w:val="18"/>
          <w:szCs w:val="18"/>
          <w:lang w:val="ru-RU"/>
        </w:rPr>
        <w:t xml:space="preserve"> </w:t>
      </w:r>
      <w:r>
        <w:rPr>
          <w:sz w:val="18"/>
          <w:szCs w:val="18"/>
          <w:lang w:val="ru-RU"/>
        </w:rPr>
        <w:t>на</w:t>
      </w:r>
      <w:r w:rsidRPr="00713903">
        <w:rPr>
          <w:sz w:val="18"/>
          <w:szCs w:val="18"/>
          <w:lang w:val="ru-RU"/>
        </w:rPr>
        <w:t xml:space="preserve"> </w:t>
      </w:r>
      <w:r w:rsidR="009B1BF2">
        <w:rPr>
          <w:sz w:val="18"/>
          <w:szCs w:val="18"/>
          <w:lang w:val="ru-RU"/>
        </w:rPr>
        <w:t>количестве</w:t>
      </w:r>
      <w:r w:rsidRPr="00713903">
        <w:rPr>
          <w:sz w:val="18"/>
          <w:szCs w:val="18"/>
          <w:lang w:val="ru-RU"/>
        </w:rPr>
        <w:t xml:space="preserve"> </w:t>
      </w:r>
      <w:r>
        <w:rPr>
          <w:sz w:val="18"/>
          <w:szCs w:val="18"/>
          <w:lang w:val="ru-RU"/>
        </w:rPr>
        <w:t>стран</w:t>
      </w:r>
      <w:r w:rsidRPr="00713903">
        <w:rPr>
          <w:sz w:val="18"/>
          <w:szCs w:val="18"/>
          <w:lang w:val="ru-RU"/>
        </w:rPr>
        <w:t xml:space="preserve">, </w:t>
      </w:r>
      <w:r>
        <w:rPr>
          <w:sz w:val="18"/>
          <w:szCs w:val="18"/>
          <w:lang w:val="ru-RU"/>
        </w:rPr>
        <w:t>зарегистрировавших</w:t>
      </w:r>
      <w:r w:rsidRPr="00713903">
        <w:rPr>
          <w:sz w:val="18"/>
          <w:szCs w:val="18"/>
          <w:lang w:val="ru-RU"/>
        </w:rPr>
        <w:t xml:space="preserve"> </w:t>
      </w:r>
      <w:r w:rsidRPr="00832DE6">
        <w:rPr>
          <w:iCs/>
          <w:sz w:val="18"/>
          <w:szCs w:val="18"/>
          <w:lang w:val="ru-RU"/>
        </w:rPr>
        <w:t>координационные</w:t>
      </w:r>
      <w:r w:rsidRPr="00713903">
        <w:rPr>
          <w:iCs/>
          <w:sz w:val="18"/>
          <w:szCs w:val="18"/>
          <w:lang w:val="ru-RU"/>
        </w:rPr>
        <w:t xml:space="preserve"> </w:t>
      </w:r>
      <w:r w:rsidRPr="00832DE6">
        <w:rPr>
          <w:iCs/>
          <w:sz w:val="18"/>
          <w:szCs w:val="18"/>
          <w:lang w:val="ru-RU"/>
        </w:rPr>
        <w:t>центры</w:t>
      </w:r>
      <w:r w:rsidRPr="00713903">
        <w:rPr>
          <w:sz w:val="18"/>
          <w:szCs w:val="18"/>
          <w:lang w:val="ru-RU"/>
        </w:rPr>
        <w:t xml:space="preserve"> </w:t>
      </w:r>
      <w:r w:rsidR="009D11D8">
        <w:rPr>
          <w:sz w:val="18"/>
          <w:szCs w:val="18"/>
          <w:lang w:val="ru-RU"/>
        </w:rPr>
        <w:t>по</w:t>
      </w:r>
      <w:r w:rsidRPr="00713903">
        <w:rPr>
          <w:sz w:val="18"/>
          <w:szCs w:val="18"/>
          <w:lang w:val="ru-RU"/>
        </w:rPr>
        <w:t xml:space="preserve"> </w:t>
      </w:r>
      <w:r>
        <w:rPr>
          <w:sz w:val="18"/>
          <w:szCs w:val="18"/>
          <w:lang w:val="ru-RU"/>
        </w:rPr>
        <w:t>Протокол</w:t>
      </w:r>
      <w:r w:rsidR="009D11D8">
        <w:rPr>
          <w:sz w:val="18"/>
          <w:szCs w:val="18"/>
          <w:lang w:val="ru-RU"/>
        </w:rPr>
        <w:t>у</w:t>
      </w:r>
      <w:r w:rsidRPr="00713903">
        <w:rPr>
          <w:sz w:val="18"/>
          <w:szCs w:val="18"/>
          <w:lang w:val="ru-RU"/>
        </w:rPr>
        <w:t xml:space="preserve">, </w:t>
      </w:r>
      <w:r>
        <w:rPr>
          <w:sz w:val="18"/>
          <w:szCs w:val="18"/>
          <w:lang w:val="ru-RU"/>
        </w:rPr>
        <w:t>из</w:t>
      </w:r>
      <w:r w:rsidRPr="00713903">
        <w:rPr>
          <w:sz w:val="18"/>
          <w:szCs w:val="18"/>
          <w:lang w:val="ru-RU"/>
        </w:rPr>
        <w:t xml:space="preserve"> </w:t>
      </w:r>
      <w:r w:rsidR="009B1BF2">
        <w:rPr>
          <w:sz w:val="18"/>
          <w:szCs w:val="18"/>
          <w:lang w:val="ru-RU"/>
        </w:rPr>
        <w:t xml:space="preserve">числа </w:t>
      </w:r>
      <w:r>
        <w:rPr>
          <w:sz w:val="18"/>
          <w:szCs w:val="18"/>
          <w:lang w:val="ru-RU"/>
        </w:rPr>
        <w:t>Сторон</w:t>
      </w:r>
      <w:r w:rsidRPr="00713903">
        <w:rPr>
          <w:sz w:val="18"/>
          <w:szCs w:val="18"/>
          <w:lang w:val="ru-RU"/>
        </w:rPr>
        <w:t xml:space="preserve"> </w:t>
      </w:r>
      <w:r>
        <w:rPr>
          <w:sz w:val="18"/>
          <w:szCs w:val="18"/>
          <w:lang w:val="ru-RU"/>
        </w:rPr>
        <w:t>Конвенции</w:t>
      </w:r>
      <w:r w:rsidRPr="00713903">
        <w:rPr>
          <w:sz w:val="18"/>
          <w:szCs w:val="18"/>
          <w:lang w:val="ru-RU"/>
        </w:rPr>
        <w:t xml:space="preserve"> </w:t>
      </w:r>
      <w:r>
        <w:rPr>
          <w:sz w:val="18"/>
          <w:szCs w:val="18"/>
          <w:lang w:val="ru-RU"/>
        </w:rPr>
        <w:t>о</w:t>
      </w:r>
      <w:r w:rsidRPr="00713903">
        <w:rPr>
          <w:sz w:val="18"/>
          <w:szCs w:val="18"/>
          <w:lang w:val="ru-RU"/>
        </w:rPr>
        <w:t xml:space="preserve"> </w:t>
      </w:r>
      <w:r>
        <w:rPr>
          <w:sz w:val="18"/>
          <w:szCs w:val="18"/>
          <w:lang w:val="ru-RU"/>
        </w:rPr>
        <w:t>биологическом</w:t>
      </w:r>
      <w:r w:rsidRPr="00713903">
        <w:rPr>
          <w:sz w:val="18"/>
          <w:szCs w:val="18"/>
          <w:lang w:val="ru-RU"/>
        </w:rPr>
        <w:t xml:space="preserve"> </w:t>
      </w:r>
      <w:r>
        <w:rPr>
          <w:sz w:val="18"/>
          <w:szCs w:val="18"/>
          <w:lang w:val="ru-RU"/>
        </w:rPr>
        <w:t>разнообразии</w:t>
      </w:r>
      <w:r w:rsidRPr="00713903">
        <w:rPr>
          <w:sz w:val="18"/>
          <w:szCs w:val="18"/>
          <w:lang w:val="ru-RU"/>
        </w:rPr>
        <w:t xml:space="preserve">, </w:t>
      </w:r>
      <w:r>
        <w:rPr>
          <w:sz w:val="18"/>
          <w:szCs w:val="18"/>
          <w:lang w:val="ru-RU"/>
        </w:rPr>
        <w:t>которых</w:t>
      </w:r>
      <w:r w:rsidRPr="00713903">
        <w:rPr>
          <w:sz w:val="18"/>
          <w:szCs w:val="18"/>
          <w:lang w:val="ru-RU"/>
        </w:rPr>
        <w:t xml:space="preserve"> </w:t>
      </w:r>
      <w:r>
        <w:rPr>
          <w:sz w:val="18"/>
          <w:szCs w:val="18"/>
          <w:lang w:val="ru-RU"/>
        </w:rPr>
        <w:t>в</w:t>
      </w:r>
      <w:r w:rsidRPr="00713903">
        <w:rPr>
          <w:sz w:val="18"/>
          <w:szCs w:val="18"/>
          <w:lang w:val="ru-RU"/>
        </w:rPr>
        <w:t xml:space="preserve"> 2011</w:t>
      </w:r>
      <w:r>
        <w:rPr>
          <w:sz w:val="18"/>
          <w:szCs w:val="18"/>
          <w:lang w:val="ru-RU"/>
        </w:rPr>
        <w:t xml:space="preserve"> году насчитывалось</w:t>
      </w:r>
      <w:r w:rsidRPr="00713903">
        <w:rPr>
          <w:sz w:val="18"/>
          <w:szCs w:val="18"/>
          <w:lang w:val="ru-RU"/>
        </w:rPr>
        <w:t xml:space="preserve"> 194</w:t>
      </w:r>
      <w:r>
        <w:rPr>
          <w:sz w:val="18"/>
          <w:szCs w:val="18"/>
          <w:lang w:val="ru-RU"/>
        </w:rPr>
        <w:t>, а в</w:t>
      </w:r>
      <w:r w:rsidRPr="00713903">
        <w:rPr>
          <w:sz w:val="18"/>
          <w:szCs w:val="18"/>
          <w:lang w:val="ru-RU"/>
        </w:rPr>
        <w:t xml:space="preserve"> 2019</w:t>
      </w:r>
      <w:r>
        <w:rPr>
          <w:sz w:val="18"/>
          <w:szCs w:val="18"/>
          <w:lang w:val="ru-RU"/>
        </w:rPr>
        <w:t xml:space="preserve"> – </w:t>
      </w:r>
      <w:r w:rsidRPr="00713903">
        <w:rPr>
          <w:sz w:val="18"/>
          <w:szCs w:val="18"/>
          <w:lang w:val="ru-RU"/>
        </w:rPr>
        <w:t>196.</w:t>
      </w:r>
    </w:p>
  </w:footnote>
  <w:footnote w:id="38">
    <w:p w14:paraId="7395F2FA" w14:textId="3F324C2E" w:rsidR="003926D8" w:rsidRPr="00A84B2F" w:rsidRDefault="003926D8" w:rsidP="00614691">
      <w:pPr>
        <w:pStyle w:val="aa"/>
        <w:spacing w:after="60"/>
        <w:rPr>
          <w:sz w:val="18"/>
          <w:szCs w:val="18"/>
          <w:lang w:val="ru-RU"/>
        </w:rPr>
      </w:pPr>
      <w:r w:rsidRPr="003623F4">
        <w:rPr>
          <w:rStyle w:val="ac"/>
          <w:sz w:val="18"/>
          <w:szCs w:val="18"/>
        </w:rPr>
        <w:footnoteRef/>
      </w:r>
      <w:r w:rsidRPr="00A84B2F">
        <w:rPr>
          <w:sz w:val="18"/>
          <w:szCs w:val="18"/>
          <w:lang w:val="ru-RU"/>
        </w:rPr>
        <w:t xml:space="preserve"> </w:t>
      </w:r>
      <w:r>
        <w:rPr>
          <w:sz w:val="18"/>
          <w:szCs w:val="18"/>
          <w:lang w:val="ru-RU"/>
        </w:rPr>
        <w:t>См</w:t>
      </w:r>
      <w:r w:rsidRPr="00A84B2F">
        <w:rPr>
          <w:sz w:val="18"/>
          <w:szCs w:val="18"/>
          <w:lang w:val="ru-RU"/>
        </w:rPr>
        <w:t xml:space="preserve">. </w:t>
      </w:r>
      <w:r>
        <w:rPr>
          <w:sz w:val="18"/>
          <w:szCs w:val="18"/>
          <w:lang w:val="ru-RU"/>
        </w:rPr>
        <w:t>также</w:t>
      </w:r>
      <w:r w:rsidRPr="00A84B2F">
        <w:rPr>
          <w:sz w:val="18"/>
          <w:szCs w:val="18"/>
          <w:lang w:val="ru-RU"/>
        </w:rPr>
        <w:t xml:space="preserve"> </w:t>
      </w:r>
      <w:r>
        <w:rPr>
          <w:sz w:val="18"/>
          <w:szCs w:val="18"/>
          <w:lang w:val="ru-RU"/>
        </w:rPr>
        <w:t>информацию</w:t>
      </w:r>
      <w:r w:rsidRPr="00A84B2F">
        <w:rPr>
          <w:sz w:val="18"/>
          <w:szCs w:val="18"/>
          <w:lang w:val="ru-RU"/>
        </w:rPr>
        <w:t xml:space="preserve"> </w:t>
      </w:r>
      <w:r w:rsidR="009D11D8">
        <w:rPr>
          <w:sz w:val="18"/>
          <w:szCs w:val="18"/>
          <w:lang w:val="ru-RU"/>
        </w:rPr>
        <w:t>по</w:t>
      </w:r>
      <w:r w:rsidRPr="00A84B2F">
        <w:rPr>
          <w:sz w:val="18"/>
          <w:szCs w:val="18"/>
          <w:lang w:val="ru-RU"/>
        </w:rPr>
        <w:t xml:space="preserve"> </w:t>
      </w:r>
      <w:r>
        <w:rPr>
          <w:sz w:val="18"/>
          <w:szCs w:val="18"/>
          <w:lang w:val="ru-RU"/>
        </w:rPr>
        <w:t>индикатор</w:t>
      </w:r>
      <w:r w:rsidR="009D11D8">
        <w:rPr>
          <w:sz w:val="18"/>
          <w:szCs w:val="18"/>
          <w:lang w:val="ru-RU"/>
        </w:rPr>
        <w:t>у</w:t>
      </w:r>
      <w:r w:rsidRPr="00A84B2F">
        <w:rPr>
          <w:sz w:val="18"/>
          <w:szCs w:val="18"/>
          <w:lang w:val="ru-RU"/>
        </w:rPr>
        <w:t xml:space="preserve"> 3.1.5 </w:t>
      </w:r>
      <w:r>
        <w:rPr>
          <w:sz w:val="18"/>
          <w:szCs w:val="18"/>
          <w:lang w:val="ru-RU"/>
        </w:rPr>
        <w:t>о</w:t>
      </w:r>
      <w:r w:rsidRPr="00A84B2F">
        <w:rPr>
          <w:sz w:val="18"/>
          <w:szCs w:val="18"/>
          <w:lang w:val="ru-RU"/>
        </w:rPr>
        <w:t xml:space="preserve"> </w:t>
      </w:r>
      <w:r>
        <w:rPr>
          <w:sz w:val="18"/>
          <w:szCs w:val="18"/>
          <w:lang w:val="ru-RU"/>
        </w:rPr>
        <w:t>процентной</w:t>
      </w:r>
      <w:r w:rsidRPr="00A84B2F">
        <w:rPr>
          <w:sz w:val="18"/>
          <w:szCs w:val="18"/>
          <w:lang w:val="ru-RU"/>
        </w:rPr>
        <w:t xml:space="preserve"> </w:t>
      </w:r>
      <w:r>
        <w:rPr>
          <w:sz w:val="18"/>
          <w:szCs w:val="18"/>
          <w:lang w:val="ru-RU"/>
        </w:rPr>
        <w:t>доле</w:t>
      </w:r>
      <w:r w:rsidRPr="00A84B2F">
        <w:rPr>
          <w:sz w:val="18"/>
          <w:szCs w:val="18"/>
          <w:lang w:val="ru-RU"/>
        </w:rPr>
        <w:t xml:space="preserve"> </w:t>
      </w:r>
      <w:r>
        <w:rPr>
          <w:sz w:val="18"/>
          <w:szCs w:val="18"/>
          <w:lang w:val="ru-RU"/>
        </w:rPr>
        <w:t>Сторон</w:t>
      </w:r>
      <w:r w:rsidRPr="00A84B2F">
        <w:rPr>
          <w:sz w:val="18"/>
          <w:szCs w:val="18"/>
          <w:lang w:val="ru-RU"/>
        </w:rPr>
        <w:t xml:space="preserve">, </w:t>
      </w:r>
      <w:r>
        <w:rPr>
          <w:sz w:val="18"/>
          <w:szCs w:val="18"/>
          <w:lang w:val="ru-RU"/>
        </w:rPr>
        <w:t>опубликовавших</w:t>
      </w:r>
      <w:r w:rsidRPr="00A84B2F">
        <w:rPr>
          <w:sz w:val="18"/>
          <w:szCs w:val="18"/>
          <w:lang w:val="ru-RU"/>
        </w:rPr>
        <w:t xml:space="preserve"> </w:t>
      </w:r>
      <w:r>
        <w:rPr>
          <w:sz w:val="18"/>
          <w:szCs w:val="18"/>
          <w:lang w:val="ru-RU"/>
        </w:rPr>
        <w:t>всю</w:t>
      </w:r>
      <w:r w:rsidRPr="00A84B2F">
        <w:rPr>
          <w:sz w:val="18"/>
          <w:szCs w:val="18"/>
          <w:lang w:val="ru-RU"/>
        </w:rPr>
        <w:t xml:space="preserve"> </w:t>
      </w:r>
      <w:r>
        <w:rPr>
          <w:sz w:val="18"/>
          <w:szCs w:val="18"/>
          <w:lang w:val="ru-RU"/>
        </w:rPr>
        <w:t>обязательную</w:t>
      </w:r>
      <w:r w:rsidRPr="00A84B2F">
        <w:rPr>
          <w:sz w:val="18"/>
          <w:szCs w:val="18"/>
          <w:lang w:val="ru-RU"/>
        </w:rPr>
        <w:t xml:space="preserve"> </w:t>
      </w:r>
      <w:r>
        <w:rPr>
          <w:sz w:val="18"/>
          <w:szCs w:val="18"/>
          <w:lang w:val="ru-RU"/>
        </w:rPr>
        <w:t>информацию</w:t>
      </w:r>
      <w:r w:rsidRPr="00A84B2F">
        <w:rPr>
          <w:sz w:val="18"/>
          <w:szCs w:val="18"/>
          <w:lang w:val="ru-RU"/>
        </w:rPr>
        <w:t xml:space="preserve"> </w:t>
      </w:r>
      <w:r>
        <w:rPr>
          <w:sz w:val="18"/>
          <w:szCs w:val="18"/>
          <w:lang w:val="ru-RU"/>
        </w:rPr>
        <w:t>в</w:t>
      </w:r>
      <w:r w:rsidRPr="00A84B2F">
        <w:rPr>
          <w:sz w:val="18"/>
          <w:szCs w:val="18"/>
          <w:lang w:val="ru-RU"/>
        </w:rPr>
        <w:t xml:space="preserve"> </w:t>
      </w:r>
      <w:proofErr w:type="spellStart"/>
      <w:r>
        <w:rPr>
          <w:sz w:val="18"/>
          <w:szCs w:val="18"/>
          <w:lang w:val="ru-RU"/>
        </w:rPr>
        <w:t>МПБ</w:t>
      </w:r>
      <w:proofErr w:type="spellEnd"/>
      <w:r w:rsidRPr="00A84B2F">
        <w:rPr>
          <w:sz w:val="18"/>
          <w:szCs w:val="18"/>
          <w:lang w:val="ru-RU"/>
        </w:rPr>
        <w:t>,</w:t>
      </w:r>
      <w:r>
        <w:rPr>
          <w:sz w:val="18"/>
          <w:szCs w:val="18"/>
          <w:lang w:val="ru-RU"/>
        </w:rPr>
        <w:t xml:space="preserve"> и вспомогательной роли в этом отношении Комитета по соблюдению</w:t>
      </w:r>
      <w:r w:rsidRPr="00A84B2F">
        <w:rPr>
          <w:sz w:val="18"/>
          <w:szCs w:val="18"/>
          <w:lang w:val="ru-RU"/>
        </w:rPr>
        <w:t>.</w:t>
      </w:r>
    </w:p>
  </w:footnote>
  <w:footnote w:id="39">
    <w:p w14:paraId="5A975BB4" w14:textId="209B708E" w:rsidR="003926D8" w:rsidRPr="008C5A7D" w:rsidRDefault="003926D8" w:rsidP="00614691">
      <w:pPr>
        <w:pStyle w:val="aa"/>
        <w:spacing w:after="60"/>
        <w:rPr>
          <w:sz w:val="18"/>
          <w:szCs w:val="18"/>
          <w:lang w:val="ru-RU"/>
        </w:rPr>
      </w:pPr>
      <w:r w:rsidRPr="003623F4">
        <w:rPr>
          <w:rStyle w:val="ac"/>
          <w:sz w:val="18"/>
          <w:szCs w:val="18"/>
        </w:rPr>
        <w:footnoteRef/>
      </w:r>
      <w:r w:rsidRPr="008C5A7D">
        <w:rPr>
          <w:sz w:val="18"/>
          <w:szCs w:val="18"/>
          <w:lang w:val="ru-RU"/>
        </w:rPr>
        <w:t xml:space="preserve"> Для этой цели рассматривались решения касательно трансграничного перемещения </w:t>
      </w:r>
      <w:proofErr w:type="spellStart"/>
      <w:r w:rsidRPr="008C5A7D">
        <w:rPr>
          <w:sz w:val="18"/>
          <w:szCs w:val="18"/>
          <w:lang w:val="ru-RU"/>
        </w:rPr>
        <w:t>ЖИО</w:t>
      </w:r>
      <w:proofErr w:type="spellEnd"/>
      <w:r w:rsidRPr="008C5A7D">
        <w:rPr>
          <w:sz w:val="18"/>
          <w:szCs w:val="18"/>
          <w:lang w:val="ru-RU"/>
        </w:rPr>
        <w:t xml:space="preserve"> для преднамеренной интродукции в окружающую среду (в соответствии со статьей 10 Протокола) и решения касательно импорта или внутреннего использования </w:t>
      </w:r>
      <w:proofErr w:type="spellStart"/>
      <w:r w:rsidRPr="008C5A7D">
        <w:rPr>
          <w:sz w:val="18"/>
          <w:szCs w:val="18"/>
          <w:lang w:val="ru-RU"/>
        </w:rPr>
        <w:t>ЖИО</w:t>
      </w:r>
      <w:proofErr w:type="spellEnd"/>
      <w:r w:rsidRPr="008C5A7D">
        <w:rPr>
          <w:sz w:val="18"/>
          <w:szCs w:val="18"/>
          <w:lang w:val="ru-RU"/>
        </w:rPr>
        <w:t>, предназначенных для непосредственного использования в качестве продовольствия или корма или для обработки (в соответствии со статьей 11 Протокола или внутренним законодательством).</w:t>
      </w:r>
    </w:p>
  </w:footnote>
  <w:footnote w:id="40">
    <w:p w14:paraId="2543CA5A" w14:textId="704A259F" w:rsidR="003926D8" w:rsidRPr="008D3A45" w:rsidRDefault="003926D8" w:rsidP="00E13D8A">
      <w:pPr>
        <w:pStyle w:val="aa"/>
        <w:rPr>
          <w:sz w:val="18"/>
          <w:szCs w:val="18"/>
          <w:lang w:val="ru-RU"/>
        </w:rPr>
      </w:pPr>
      <w:r w:rsidRPr="003623F4">
        <w:rPr>
          <w:rStyle w:val="ac"/>
          <w:sz w:val="18"/>
          <w:szCs w:val="18"/>
        </w:rPr>
        <w:footnoteRef/>
      </w:r>
      <w:r w:rsidRPr="008D3A45">
        <w:rPr>
          <w:sz w:val="18"/>
          <w:szCs w:val="18"/>
          <w:lang w:val="ru-RU"/>
        </w:rPr>
        <w:t xml:space="preserve"> </w:t>
      </w:r>
      <w:r>
        <w:rPr>
          <w:sz w:val="18"/>
          <w:szCs w:val="18"/>
          <w:lang w:val="ru-RU"/>
        </w:rPr>
        <w:t>Тот</w:t>
      </w:r>
      <w:r w:rsidRPr="008D3A45">
        <w:rPr>
          <w:sz w:val="18"/>
          <w:szCs w:val="18"/>
          <w:lang w:val="ru-RU"/>
        </w:rPr>
        <w:t xml:space="preserve"> </w:t>
      </w:r>
      <w:r>
        <w:rPr>
          <w:sz w:val="18"/>
          <w:szCs w:val="18"/>
          <w:lang w:val="ru-RU"/>
        </w:rPr>
        <w:t>же</w:t>
      </w:r>
      <w:r w:rsidRPr="008D3A45">
        <w:rPr>
          <w:sz w:val="18"/>
          <w:szCs w:val="18"/>
          <w:lang w:val="ru-RU"/>
        </w:rPr>
        <w:t xml:space="preserve"> </w:t>
      </w:r>
      <w:r>
        <w:rPr>
          <w:sz w:val="18"/>
          <w:szCs w:val="18"/>
          <w:lang w:val="ru-RU"/>
        </w:rPr>
        <w:t>период</w:t>
      </w:r>
      <w:r w:rsidRPr="008D3A45">
        <w:rPr>
          <w:sz w:val="18"/>
          <w:szCs w:val="18"/>
          <w:lang w:val="ru-RU"/>
        </w:rPr>
        <w:t xml:space="preserve"> </w:t>
      </w:r>
      <w:r>
        <w:rPr>
          <w:sz w:val="18"/>
          <w:szCs w:val="18"/>
          <w:lang w:val="ru-RU"/>
        </w:rPr>
        <w:t>был</w:t>
      </w:r>
      <w:r w:rsidRPr="008D3A45">
        <w:rPr>
          <w:sz w:val="18"/>
          <w:szCs w:val="18"/>
          <w:lang w:val="ru-RU"/>
        </w:rPr>
        <w:t xml:space="preserve"> </w:t>
      </w:r>
      <w:r>
        <w:rPr>
          <w:sz w:val="18"/>
          <w:szCs w:val="18"/>
          <w:lang w:val="ru-RU"/>
        </w:rPr>
        <w:t>использован</w:t>
      </w:r>
      <w:r w:rsidRPr="008D3A45">
        <w:rPr>
          <w:sz w:val="18"/>
          <w:szCs w:val="18"/>
          <w:lang w:val="ru-RU"/>
        </w:rPr>
        <w:t xml:space="preserve"> </w:t>
      </w:r>
      <w:r>
        <w:rPr>
          <w:sz w:val="18"/>
          <w:szCs w:val="18"/>
          <w:lang w:val="ru-RU"/>
        </w:rPr>
        <w:t>в</w:t>
      </w:r>
      <w:r w:rsidRPr="008D3A45">
        <w:rPr>
          <w:sz w:val="18"/>
          <w:szCs w:val="18"/>
          <w:lang w:val="ru-RU"/>
        </w:rPr>
        <w:t xml:space="preserve"> </w:t>
      </w:r>
      <w:r>
        <w:rPr>
          <w:sz w:val="18"/>
          <w:szCs w:val="18"/>
          <w:lang w:val="ru-RU"/>
        </w:rPr>
        <w:t>качестве</w:t>
      </w:r>
      <w:r w:rsidRPr="008D3A45">
        <w:rPr>
          <w:sz w:val="18"/>
          <w:szCs w:val="18"/>
          <w:lang w:val="ru-RU"/>
        </w:rPr>
        <w:t xml:space="preserve"> </w:t>
      </w:r>
      <w:r>
        <w:rPr>
          <w:sz w:val="18"/>
          <w:szCs w:val="18"/>
          <w:lang w:val="ru-RU"/>
        </w:rPr>
        <w:t>исходного</w:t>
      </w:r>
      <w:r w:rsidRPr="008D3A45">
        <w:rPr>
          <w:sz w:val="18"/>
          <w:szCs w:val="18"/>
          <w:lang w:val="ru-RU"/>
        </w:rPr>
        <w:t xml:space="preserve"> </w:t>
      </w:r>
      <w:r>
        <w:rPr>
          <w:sz w:val="18"/>
          <w:szCs w:val="18"/>
          <w:lang w:val="ru-RU"/>
        </w:rPr>
        <w:t>уровня</w:t>
      </w:r>
      <w:r w:rsidRPr="008D3A45">
        <w:rPr>
          <w:sz w:val="18"/>
          <w:szCs w:val="18"/>
          <w:lang w:val="ru-RU"/>
        </w:rPr>
        <w:t xml:space="preserve"> </w:t>
      </w:r>
      <w:r>
        <w:rPr>
          <w:sz w:val="18"/>
          <w:szCs w:val="18"/>
          <w:lang w:val="ru-RU"/>
        </w:rPr>
        <w:t>для</w:t>
      </w:r>
      <w:r w:rsidRPr="008D3A45">
        <w:rPr>
          <w:sz w:val="18"/>
          <w:szCs w:val="18"/>
          <w:lang w:val="ru-RU"/>
        </w:rPr>
        <w:t xml:space="preserve"> </w:t>
      </w:r>
      <w:r>
        <w:rPr>
          <w:sz w:val="18"/>
          <w:szCs w:val="18"/>
          <w:lang w:val="ru-RU"/>
        </w:rPr>
        <w:t>оценки</w:t>
      </w:r>
      <w:r w:rsidRPr="008D3A45">
        <w:rPr>
          <w:sz w:val="18"/>
          <w:szCs w:val="18"/>
          <w:lang w:val="ru-RU"/>
        </w:rPr>
        <w:t xml:space="preserve"> </w:t>
      </w:r>
      <w:r>
        <w:rPr>
          <w:sz w:val="18"/>
          <w:szCs w:val="18"/>
          <w:lang w:val="ru-RU"/>
        </w:rPr>
        <w:t>прогресса</w:t>
      </w:r>
      <w:r w:rsidRPr="008D3A45">
        <w:rPr>
          <w:sz w:val="18"/>
          <w:szCs w:val="18"/>
          <w:lang w:val="ru-RU"/>
        </w:rPr>
        <w:t xml:space="preserve"> </w:t>
      </w:r>
      <w:r>
        <w:rPr>
          <w:sz w:val="18"/>
          <w:szCs w:val="18"/>
          <w:lang w:val="ru-RU"/>
        </w:rPr>
        <w:t>по</w:t>
      </w:r>
      <w:r w:rsidRPr="008D3A45">
        <w:rPr>
          <w:sz w:val="18"/>
          <w:szCs w:val="18"/>
          <w:lang w:val="ru-RU"/>
        </w:rPr>
        <w:t xml:space="preserve"> </w:t>
      </w:r>
      <w:r>
        <w:rPr>
          <w:sz w:val="18"/>
          <w:szCs w:val="18"/>
          <w:lang w:val="ru-RU"/>
        </w:rPr>
        <w:t>индикаторам</w:t>
      </w:r>
      <w:r w:rsidRPr="008D3A45">
        <w:rPr>
          <w:sz w:val="18"/>
          <w:szCs w:val="18"/>
          <w:lang w:val="ru-RU"/>
        </w:rPr>
        <w:t xml:space="preserve"> </w:t>
      </w:r>
      <w:r>
        <w:rPr>
          <w:sz w:val="18"/>
          <w:szCs w:val="18"/>
          <w:lang w:val="ru-RU"/>
        </w:rPr>
        <w:t>в</w:t>
      </w:r>
      <w:r w:rsidRPr="008D3A45">
        <w:rPr>
          <w:sz w:val="18"/>
          <w:szCs w:val="18"/>
          <w:lang w:val="ru-RU"/>
        </w:rPr>
        <w:t xml:space="preserve"> </w:t>
      </w:r>
      <w:r>
        <w:rPr>
          <w:sz w:val="18"/>
          <w:szCs w:val="18"/>
          <w:lang w:val="ru-RU"/>
        </w:rPr>
        <w:t>рамках</w:t>
      </w:r>
      <w:r w:rsidRPr="008D3A45">
        <w:rPr>
          <w:sz w:val="18"/>
          <w:szCs w:val="18"/>
          <w:lang w:val="ru-RU"/>
        </w:rPr>
        <w:t xml:space="preserve"> </w:t>
      </w:r>
      <w:r>
        <w:rPr>
          <w:sz w:val="18"/>
          <w:szCs w:val="18"/>
          <w:lang w:val="ru-RU"/>
        </w:rPr>
        <w:t>данной</w:t>
      </w:r>
      <w:r w:rsidRPr="008D3A45">
        <w:rPr>
          <w:sz w:val="18"/>
          <w:szCs w:val="18"/>
          <w:lang w:val="ru-RU"/>
        </w:rPr>
        <w:t xml:space="preserve"> </w:t>
      </w:r>
      <w:r>
        <w:rPr>
          <w:sz w:val="18"/>
          <w:szCs w:val="18"/>
          <w:lang w:val="ru-RU"/>
        </w:rPr>
        <w:t>оперативной</w:t>
      </w:r>
      <w:r w:rsidRPr="008D3A45">
        <w:rPr>
          <w:sz w:val="18"/>
          <w:szCs w:val="18"/>
          <w:lang w:val="ru-RU"/>
        </w:rPr>
        <w:t xml:space="preserve"> </w:t>
      </w:r>
      <w:r>
        <w:rPr>
          <w:sz w:val="18"/>
          <w:szCs w:val="18"/>
          <w:lang w:val="ru-RU"/>
        </w:rPr>
        <w:t>цели</w:t>
      </w:r>
      <w:r w:rsidRPr="008D3A45">
        <w:rPr>
          <w:sz w:val="18"/>
          <w:szCs w:val="18"/>
          <w:lang w:val="ru-RU"/>
        </w:rPr>
        <w:t xml:space="preserve"> </w:t>
      </w:r>
      <w:r>
        <w:rPr>
          <w:sz w:val="18"/>
          <w:szCs w:val="18"/>
          <w:lang w:val="ru-RU"/>
        </w:rPr>
        <w:t>в</w:t>
      </w:r>
      <w:r w:rsidRPr="008D3A45">
        <w:rPr>
          <w:sz w:val="18"/>
          <w:szCs w:val="18"/>
          <w:lang w:val="ru-RU"/>
        </w:rPr>
        <w:t xml:space="preserve"> </w:t>
      </w:r>
      <w:r>
        <w:rPr>
          <w:sz w:val="18"/>
          <w:szCs w:val="18"/>
          <w:lang w:val="ru-RU"/>
        </w:rPr>
        <w:t>третьей</w:t>
      </w:r>
      <w:r w:rsidRPr="008D3A45">
        <w:rPr>
          <w:sz w:val="18"/>
          <w:szCs w:val="18"/>
          <w:lang w:val="ru-RU"/>
        </w:rPr>
        <w:t xml:space="preserve"> </w:t>
      </w:r>
      <w:r>
        <w:rPr>
          <w:sz w:val="18"/>
          <w:szCs w:val="18"/>
          <w:lang w:val="ru-RU"/>
        </w:rPr>
        <w:t>оценке</w:t>
      </w:r>
      <w:r w:rsidRPr="008D3A45">
        <w:rPr>
          <w:sz w:val="18"/>
          <w:szCs w:val="18"/>
          <w:lang w:val="ru-RU"/>
        </w:rPr>
        <w:t xml:space="preserve"> </w:t>
      </w:r>
      <w:r>
        <w:rPr>
          <w:sz w:val="18"/>
          <w:szCs w:val="18"/>
          <w:lang w:val="ru-RU"/>
        </w:rPr>
        <w:t>и</w:t>
      </w:r>
      <w:r w:rsidRPr="008D3A45">
        <w:rPr>
          <w:sz w:val="18"/>
          <w:szCs w:val="18"/>
          <w:lang w:val="ru-RU"/>
        </w:rPr>
        <w:t xml:space="preserve"> </w:t>
      </w:r>
      <w:r>
        <w:rPr>
          <w:sz w:val="18"/>
          <w:szCs w:val="18"/>
          <w:lang w:val="ru-RU"/>
        </w:rPr>
        <w:t>обзоре</w:t>
      </w:r>
      <w:r w:rsidRPr="008D3A45">
        <w:rPr>
          <w:sz w:val="18"/>
          <w:szCs w:val="18"/>
          <w:lang w:val="ru-RU"/>
        </w:rPr>
        <w:t xml:space="preserve"> </w:t>
      </w:r>
      <w:r>
        <w:rPr>
          <w:sz w:val="18"/>
          <w:szCs w:val="18"/>
          <w:lang w:val="ru-RU"/>
        </w:rPr>
        <w:t>Протокола</w:t>
      </w:r>
      <w:r w:rsidRPr="008D3A45">
        <w:rPr>
          <w:sz w:val="18"/>
          <w:szCs w:val="18"/>
          <w:lang w:val="ru-RU"/>
        </w:rPr>
        <w:t xml:space="preserve"> </w:t>
      </w:r>
      <w:r>
        <w:rPr>
          <w:sz w:val="18"/>
          <w:szCs w:val="18"/>
          <w:lang w:val="ru-RU"/>
        </w:rPr>
        <w:t>и</w:t>
      </w:r>
      <w:r w:rsidRPr="008D3A45">
        <w:rPr>
          <w:sz w:val="18"/>
          <w:szCs w:val="18"/>
          <w:lang w:val="ru-RU"/>
        </w:rPr>
        <w:t xml:space="preserve"> </w:t>
      </w:r>
      <w:r>
        <w:rPr>
          <w:sz w:val="18"/>
          <w:szCs w:val="18"/>
          <w:lang w:val="ru-RU"/>
        </w:rPr>
        <w:t>промежуточной</w:t>
      </w:r>
      <w:r w:rsidRPr="008D3A45">
        <w:rPr>
          <w:sz w:val="18"/>
          <w:szCs w:val="18"/>
          <w:lang w:val="ru-RU"/>
        </w:rPr>
        <w:t xml:space="preserve"> </w:t>
      </w:r>
      <w:r>
        <w:rPr>
          <w:sz w:val="18"/>
          <w:szCs w:val="18"/>
          <w:lang w:val="ru-RU"/>
        </w:rPr>
        <w:t>оценке</w:t>
      </w:r>
      <w:r w:rsidRPr="008D3A45">
        <w:rPr>
          <w:sz w:val="18"/>
          <w:szCs w:val="18"/>
          <w:lang w:val="ru-RU"/>
        </w:rPr>
        <w:t xml:space="preserve"> Стратегического плана </w:t>
      </w:r>
      <w:proofErr w:type="spellStart"/>
      <w:r w:rsidRPr="008D3A45">
        <w:rPr>
          <w:sz w:val="18"/>
          <w:szCs w:val="18"/>
          <w:lang w:val="ru-RU"/>
        </w:rPr>
        <w:t>Картахенского</w:t>
      </w:r>
      <w:proofErr w:type="spellEnd"/>
      <w:r w:rsidRPr="008D3A45">
        <w:rPr>
          <w:sz w:val="18"/>
          <w:szCs w:val="18"/>
          <w:lang w:val="ru-RU"/>
        </w:rPr>
        <w:t xml:space="preserve"> протокола.  </w:t>
      </w:r>
    </w:p>
  </w:footnote>
  <w:footnote w:id="41">
    <w:p w14:paraId="24B3A21B" w14:textId="77777777" w:rsidR="003926D8" w:rsidRPr="003926D8" w:rsidRDefault="003926D8" w:rsidP="00F84E9C">
      <w:pPr>
        <w:pStyle w:val="aa"/>
        <w:rPr>
          <w:sz w:val="18"/>
          <w:szCs w:val="18"/>
          <w:lang w:val="ru-RU"/>
        </w:rPr>
      </w:pPr>
      <w:r w:rsidRPr="00115458">
        <w:rPr>
          <w:rStyle w:val="ac"/>
          <w:sz w:val="18"/>
          <w:szCs w:val="18"/>
        </w:rPr>
        <w:footnoteRef/>
      </w:r>
      <w:r w:rsidRPr="003926D8">
        <w:rPr>
          <w:sz w:val="18"/>
          <w:szCs w:val="18"/>
          <w:lang w:val="ru-RU"/>
        </w:rPr>
        <w:t xml:space="preserve"> </w:t>
      </w:r>
      <w:hyperlink r:id="rId7" w:history="1">
        <w:r w:rsidRPr="00115458">
          <w:rPr>
            <w:rStyle w:val="af6"/>
            <w:sz w:val="18"/>
            <w:szCs w:val="18"/>
          </w:rPr>
          <w:t>http</w:t>
        </w:r>
        <w:r w:rsidRPr="003926D8">
          <w:rPr>
            <w:rStyle w:val="af6"/>
            <w:sz w:val="18"/>
            <w:szCs w:val="18"/>
            <w:lang w:val="ru-RU"/>
          </w:rPr>
          <w:t>://</w:t>
        </w:r>
        <w:r w:rsidRPr="00115458">
          <w:rPr>
            <w:rStyle w:val="af6"/>
            <w:sz w:val="18"/>
            <w:szCs w:val="18"/>
          </w:rPr>
          <w:t>bch</w:t>
        </w:r>
        <w:r w:rsidRPr="003926D8">
          <w:rPr>
            <w:rStyle w:val="af6"/>
            <w:sz w:val="18"/>
            <w:szCs w:val="18"/>
            <w:lang w:val="ru-RU"/>
          </w:rPr>
          <w:t>.</w:t>
        </w:r>
        <w:proofErr w:type="spellStart"/>
        <w:r w:rsidRPr="00115458">
          <w:rPr>
            <w:rStyle w:val="af6"/>
            <w:sz w:val="18"/>
            <w:szCs w:val="18"/>
          </w:rPr>
          <w:t>cbd</w:t>
        </w:r>
        <w:proofErr w:type="spellEnd"/>
        <w:r w:rsidRPr="003926D8">
          <w:rPr>
            <w:rStyle w:val="af6"/>
            <w:sz w:val="18"/>
            <w:szCs w:val="18"/>
            <w:lang w:val="ru-RU"/>
          </w:rPr>
          <w:t>.</w:t>
        </w:r>
        <w:proofErr w:type="spellStart"/>
        <w:r w:rsidRPr="00115458">
          <w:rPr>
            <w:rStyle w:val="af6"/>
            <w:sz w:val="18"/>
            <w:szCs w:val="18"/>
          </w:rPr>
          <w:t>int</w:t>
        </w:r>
        <w:proofErr w:type="spellEnd"/>
        <w:r w:rsidRPr="003926D8">
          <w:rPr>
            <w:rStyle w:val="af6"/>
            <w:sz w:val="18"/>
            <w:szCs w:val="18"/>
            <w:lang w:val="ru-RU"/>
          </w:rPr>
          <w:t>/</w:t>
        </w:r>
        <w:r w:rsidRPr="00115458">
          <w:rPr>
            <w:rStyle w:val="af6"/>
            <w:sz w:val="18"/>
            <w:szCs w:val="18"/>
          </w:rPr>
          <w:t>about</w:t>
        </w:r>
        <w:r w:rsidRPr="003926D8">
          <w:rPr>
            <w:rStyle w:val="af6"/>
            <w:sz w:val="18"/>
            <w:szCs w:val="18"/>
            <w:lang w:val="ru-RU"/>
          </w:rPr>
          <w:t>/</w:t>
        </w:r>
        <w:r w:rsidRPr="00115458">
          <w:rPr>
            <w:rStyle w:val="af6"/>
            <w:sz w:val="18"/>
            <w:szCs w:val="18"/>
          </w:rPr>
          <w:t>news</w:t>
        </w:r>
        <w:r w:rsidRPr="003926D8">
          <w:rPr>
            <w:rStyle w:val="af6"/>
            <w:sz w:val="18"/>
            <w:szCs w:val="18"/>
            <w:lang w:val="ru-RU"/>
          </w:rPr>
          <w:t>/</w:t>
        </w:r>
      </w:hyperlink>
      <w:r w:rsidRPr="003926D8">
        <w:rPr>
          <w:sz w:val="18"/>
          <w:szCs w:val="18"/>
          <w:lang w:val="ru-RU"/>
        </w:rPr>
        <w:t xml:space="preserve">. </w:t>
      </w:r>
    </w:p>
  </w:footnote>
  <w:footnote w:id="42">
    <w:p w14:paraId="010BAB6E" w14:textId="4CA606FA" w:rsidR="003926D8" w:rsidRPr="004339BF" w:rsidRDefault="003926D8" w:rsidP="00184373">
      <w:pPr>
        <w:pStyle w:val="aa"/>
        <w:spacing w:after="60"/>
        <w:rPr>
          <w:sz w:val="18"/>
          <w:szCs w:val="18"/>
          <w:lang w:val="ru-RU"/>
        </w:rPr>
      </w:pPr>
      <w:r w:rsidRPr="008D6A50">
        <w:rPr>
          <w:rStyle w:val="ac"/>
          <w:sz w:val="18"/>
          <w:szCs w:val="18"/>
        </w:rPr>
        <w:footnoteRef/>
      </w:r>
      <w:r w:rsidRPr="004339BF">
        <w:rPr>
          <w:sz w:val="18"/>
          <w:szCs w:val="18"/>
          <w:lang w:val="ru-RU"/>
        </w:rPr>
        <w:t xml:space="preserve"> </w:t>
      </w:r>
      <w:r>
        <w:rPr>
          <w:sz w:val="18"/>
          <w:szCs w:val="18"/>
          <w:lang w:val="ru-RU"/>
        </w:rPr>
        <w:t xml:space="preserve">Пункт 28 документа </w:t>
      </w:r>
      <w:proofErr w:type="spellStart"/>
      <w:r w:rsidRPr="008D6A50">
        <w:rPr>
          <w:sz w:val="18"/>
          <w:szCs w:val="18"/>
          <w:lang w:val="en-CA"/>
        </w:rPr>
        <w:t>CBD</w:t>
      </w:r>
      <w:proofErr w:type="spellEnd"/>
      <w:r w:rsidRPr="004339BF">
        <w:rPr>
          <w:sz w:val="18"/>
          <w:szCs w:val="18"/>
          <w:lang w:val="ru-RU"/>
        </w:rPr>
        <w:t>/</w:t>
      </w:r>
      <w:proofErr w:type="spellStart"/>
      <w:r w:rsidRPr="008D6A50">
        <w:rPr>
          <w:sz w:val="18"/>
          <w:szCs w:val="18"/>
          <w:lang w:val="en-CA"/>
        </w:rPr>
        <w:t>CP</w:t>
      </w:r>
      <w:proofErr w:type="spellEnd"/>
      <w:r w:rsidRPr="004339BF">
        <w:rPr>
          <w:sz w:val="18"/>
          <w:szCs w:val="18"/>
          <w:lang w:val="ru-RU"/>
        </w:rPr>
        <w:t>/</w:t>
      </w:r>
      <w:r w:rsidRPr="008D6A50">
        <w:rPr>
          <w:sz w:val="18"/>
          <w:szCs w:val="18"/>
          <w:lang w:val="en-CA"/>
        </w:rPr>
        <w:t>CC</w:t>
      </w:r>
      <w:r w:rsidRPr="004339BF">
        <w:rPr>
          <w:sz w:val="18"/>
          <w:szCs w:val="18"/>
          <w:lang w:val="ru-RU"/>
        </w:rPr>
        <w:t>/16/7.</w:t>
      </w:r>
    </w:p>
  </w:footnote>
  <w:footnote w:id="43">
    <w:p w14:paraId="37BC5DCC" w14:textId="4B36C45E" w:rsidR="003926D8" w:rsidRPr="00473ED7" w:rsidRDefault="003926D8" w:rsidP="00184373">
      <w:pPr>
        <w:pStyle w:val="aa"/>
        <w:spacing w:after="60"/>
        <w:rPr>
          <w:sz w:val="18"/>
          <w:szCs w:val="18"/>
          <w:lang w:val="ru-RU"/>
        </w:rPr>
      </w:pPr>
      <w:r w:rsidRPr="008D6A50">
        <w:rPr>
          <w:rStyle w:val="ac"/>
          <w:sz w:val="18"/>
          <w:szCs w:val="18"/>
        </w:rPr>
        <w:footnoteRef/>
      </w:r>
      <w:r w:rsidRPr="00473ED7">
        <w:rPr>
          <w:sz w:val="18"/>
          <w:szCs w:val="18"/>
          <w:lang w:val="ru-RU"/>
        </w:rPr>
        <w:t xml:space="preserve"> </w:t>
      </w:r>
      <w:r>
        <w:rPr>
          <w:sz w:val="18"/>
          <w:szCs w:val="18"/>
          <w:lang w:val="ru-RU"/>
        </w:rPr>
        <w:t>В</w:t>
      </w:r>
      <w:r w:rsidRPr="00473ED7">
        <w:rPr>
          <w:sz w:val="18"/>
          <w:szCs w:val="18"/>
          <w:lang w:val="ru-RU"/>
        </w:rPr>
        <w:t xml:space="preserve"> </w:t>
      </w:r>
      <w:r>
        <w:rPr>
          <w:sz w:val="18"/>
          <w:szCs w:val="18"/>
          <w:lang w:val="ru-RU"/>
        </w:rPr>
        <w:t>соответствии</w:t>
      </w:r>
      <w:r w:rsidRPr="00473ED7">
        <w:rPr>
          <w:sz w:val="18"/>
          <w:szCs w:val="18"/>
          <w:lang w:val="ru-RU"/>
        </w:rPr>
        <w:t xml:space="preserve"> </w:t>
      </w:r>
      <w:r>
        <w:rPr>
          <w:sz w:val="18"/>
          <w:szCs w:val="18"/>
          <w:lang w:val="ru-RU"/>
        </w:rPr>
        <w:t>с</w:t>
      </w:r>
      <w:r w:rsidRPr="00473ED7">
        <w:rPr>
          <w:sz w:val="18"/>
          <w:szCs w:val="18"/>
          <w:lang w:val="ru-RU"/>
        </w:rPr>
        <w:t xml:space="preserve"> </w:t>
      </w:r>
      <w:r>
        <w:rPr>
          <w:sz w:val="18"/>
          <w:szCs w:val="18"/>
          <w:lang w:val="ru-RU"/>
        </w:rPr>
        <w:t>решением</w:t>
      </w:r>
      <w:r w:rsidRPr="00473ED7">
        <w:rPr>
          <w:sz w:val="18"/>
          <w:szCs w:val="18"/>
          <w:lang w:val="ru-RU"/>
        </w:rPr>
        <w:t xml:space="preserve"> </w:t>
      </w:r>
      <w:r w:rsidRPr="008D6A50">
        <w:rPr>
          <w:sz w:val="18"/>
          <w:szCs w:val="18"/>
          <w:lang w:val="en-CA"/>
        </w:rPr>
        <w:t>BS</w:t>
      </w:r>
      <w:r w:rsidRPr="00473ED7">
        <w:rPr>
          <w:sz w:val="18"/>
          <w:szCs w:val="18"/>
          <w:lang w:val="ru-RU"/>
        </w:rPr>
        <w:t>-</w:t>
      </w:r>
      <w:r w:rsidRPr="008D6A50">
        <w:rPr>
          <w:sz w:val="18"/>
          <w:szCs w:val="18"/>
          <w:lang w:val="en-CA"/>
        </w:rPr>
        <w:t>V</w:t>
      </w:r>
      <w:r w:rsidRPr="00473ED7">
        <w:rPr>
          <w:sz w:val="18"/>
          <w:szCs w:val="18"/>
          <w:lang w:val="ru-RU"/>
        </w:rPr>
        <w:t xml:space="preserve">/1 </w:t>
      </w:r>
      <w:r>
        <w:rPr>
          <w:sz w:val="18"/>
          <w:szCs w:val="18"/>
          <w:lang w:val="ru-RU"/>
        </w:rPr>
        <w:t>Комитет</w:t>
      </w:r>
      <w:r w:rsidRPr="00473ED7">
        <w:rPr>
          <w:sz w:val="18"/>
          <w:szCs w:val="18"/>
          <w:lang w:val="ru-RU"/>
        </w:rPr>
        <w:t xml:space="preserve"> </w:t>
      </w:r>
      <w:r>
        <w:rPr>
          <w:sz w:val="18"/>
          <w:szCs w:val="18"/>
          <w:lang w:val="ru-RU"/>
        </w:rPr>
        <w:t>начал</w:t>
      </w:r>
      <w:r w:rsidRPr="00473ED7">
        <w:rPr>
          <w:sz w:val="18"/>
          <w:szCs w:val="18"/>
          <w:lang w:val="ru-RU"/>
        </w:rPr>
        <w:t xml:space="preserve"> </w:t>
      </w:r>
      <w:r>
        <w:rPr>
          <w:sz w:val="18"/>
          <w:szCs w:val="18"/>
          <w:lang w:val="ru-RU"/>
        </w:rPr>
        <w:t>принимать</w:t>
      </w:r>
      <w:r w:rsidRPr="00473ED7">
        <w:rPr>
          <w:sz w:val="18"/>
          <w:szCs w:val="18"/>
          <w:lang w:val="ru-RU"/>
        </w:rPr>
        <w:t xml:space="preserve"> </w:t>
      </w:r>
      <w:r>
        <w:rPr>
          <w:sz w:val="18"/>
          <w:szCs w:val="18"/>
          <w:lang w:val="ru-RU"/>
        </w:rPr>
        <w:t>меры</w:t>
      </w:r>
      <w:r w:rsidRPr="00473ED7">
        <w:rPr>
          <w:sz w:val="18"/>
          <w:szCs w:val="18"/>
          <w:lang w:val="ru-RU"/>
        </w:rPr>
        <w:t xml:space="preserve"> в случаях, когда Сторона не представ</w:t>
      </w:r>
      <w:r>
        <w:rPr>
          <w:sz w:val="18"/>
          <w:szCs w:val="18"/>
          <w:lang w:val="ru-RU"/>
        </w:rPr>
        <w:t>ила</w:t>
      </w:r>
      <w:r w:rsidRPr="00473ED7">
        <w:rPr>
          <w:sz w:val="18"/>
          <w:szCs w:val="18"/>
          <w:lang w:val="ru-RU"/>
        </w:rPr>
        <w:t xml:space="preserve"> своего национального доклада или когда </w:t>
      </w:r>
      <w:r>
        <w:rPr>
          <w:sz w:val="18"/>
          <w:szCs w:val="18"/>
          <w:lang w:val="ru-RU"/>
        </w:rPr>
        <w:t xml:space="preserve">была </w:t>
      </w:r>
      <w:r w:rsidRPr="00473ED7">
        <w:rPr>
          <w:sz w:val="18"/>
          <w:szCs w:val="18"/>
          <w:lang w:val="ru-RU"/>
        </w:rPr>
        <w:t xml:space="preserve">получена информация через национальный доклад или через секретариат на основе информации, размещенной в </w:t>
      </w:r>
      <w:proofErr w:type="spellStart"/>
      <w:r w:rsidRPr="00473ED7">
        <w:rPr>
          <w:sz w:val="18"/>
          <w:szCs w:val="18"/>
          <w:lang w:val="ru-RU"/>
        </w:rPr>
        <w:t>М</w:t>
      </w:r>
      <w:r>
        <w:rPr>
          <w:sz w:val="18"/>
          <w:szCs w:val="18"/>
          <w:lang w:val="ru-RU"/>
        </w:rPr>
        <w:t>ПБ</w:t>
      </w:r>
      <w:proofErr w:type="spellEnd"/>
      <w:r w:rsidRPr="00473ED7">
        <w:rPr>
          <w:sz w:val="18"/>
          <w:szCs w:val="18"/>
          <w:lang w:val="ru-RU"/>
        </w:rPr>
        <w:t>, в которой указывается, что соответствующая Сторона сталкивается с трудностями при соблюдении своих обязательств в рамках Протокола.</w:t>
      </w:r>
    </w:p>
  </w:footnote>
  <w:footnote w:id="44">
    <w:p w14:paraId="506735D9" w14:textId="6D763412" w:rsidR="003926D8" w:rsidRPr="00907738" w:rsidRDefault="003926D8" w:rsidP="00184373">
      <w:pPr>
        <w:pStyle w:val="aa"/>
        <w:spacing w:after="60"/>
        <w:rPr>
          <w:sz w:val="18"/>
          <w:szCs w:val="18"/>
          <w:lang w:val="ru-RU"/>
        </w:rPr>
      </w:pPr>
      <w:r w:rsidRPr="008D6A50">
        <w:rPr>
          <w:rStyle w:val="ac"/>
          <w:sz w:val="18"/>
          <w:szCs w:val="18"/>
        </w:rPr>
        <w:footnoteRef/>
      </w:r>
      <w:r w:rsidRPr="00907738">
        <w:rPr>
          <w:sz w:val="18"/>
          <w:szCs w:val="18"/>
          <w:lang w:val="ru-RU"/>
        </w:rPr>
        <w:t xml:space="preserve"> </w:t>
      </w:r>
      <w:r>
        <w:rPr>
          <w:sz w:val="18"/>
          <w:szCs w:val="18"/>
          <w:lang w:val="ru-RU"/>
        </w:rPr>
        <w:t>Соответствующий</w:t>
      </w:r>
      <w:r w:rsidRPr="00907738">
        <w:rPr>
          <w:sz w:val="18"/>
          <w:szCs w:val="18"/>
          <w:lang w:val="ru-RU"/>
        </w:rPr>
        <w:t xml:space="preserve"> </w:t>
      </w:r>
      <w:r>
        <w:rPr>
          <w:sz w:val="18"/>
          <w:szCs w:val="18"/>
          <w:lang w:val="ru-RU"/>
        </w:rPr>
        <w:t>вопрос</w:t>
      </w:r>
      <w:r w:rsidRPr="00907738">
        <w:rPr>
          <w:sz w:val="18"/>
          <w:szCs w:val="18"/>
          <w:lang w:val="ru-RU"/>
        </w:rPr>
        <w:t xml:space="preserve"> </w:t>
      </w:r>
      <w:r>
        <w:rPr>
          <w:sz w:val="18"/>
          <w:szCs w:val="18"/>
          <w:lang w:val="ru-RU"/>
        </w:rPr>
        <w:t>во</w:t>
      </w:r>
      <w:r w:rsidRPr="00907738">
        <w:rPr>
          <w:sz w:val="18"/>
          <w:szCs w:val="18"/>
          <w:lang w:val="ru-RU"/>
        </w:rPr>
        <w:t xml:space="preserve"> </w:t>
      </w:r>
      <w:r>
        <w:rPr>
          <w:sz w:val="18"/>
          <w:szCs w:val="18"/>
          <w:lang w:val="ru-RU"/>
        </w:rPr>
        <w:t>втором</w:t>
      </w:r>
      <w:r w:rsidRPr="00907738">
        <w:rPr>
          <w:sz w:val="18"/>
          <w:szCs w:val="18"/>
          <w:lang w:val="ru-RU"/>
        </w:rPr>
        <w:t xml:space="preserve"> </w:t>
      </w:r>
      <w:r>
        <w:rPr>
          <w:sz w:val="18"/>
          <w:szCs w:val="18"/>
          <w:lang w:val="ru-RU"/>
        </w:rPr>
        <w:t>национальном</w:t>
      </w:r>
      <w:r w:rsidRPr="00907738">
        <w:rPr>
          <w:sz w:val="18"/>
          <w:szCs w:val="18"/>
          <w:lang w:val="ru-RU"/>
        </w:rPr>
        <w:t xml:space="preserve"> </w:t>
      </w:r>
      <w:r>
        <w:rPr>
          <w:sz w:val="18"/>
          <w:szCs w:val="18"/>
          <w:lang w:val="ru-RU"/>
        </w:rPr>
        <w:t>докладе</w:t>
      </w:r>
      <w:r w:rsidRPr="00907738">
        <w:rPr>
          <w:sz w:val="18"/>
          <w:szCs w:val="18"/>
          <w:lang w:val="ru-RU"/>
        </w:rPr>
        <w:t xml:space="preserve"> </w:t>
      </w:r>
      <w:r>
        <w:rPr>
          <w:sz w:val="18"/>
          <w:szCs w:val="18"/>
          <w:lang w:val="ru-RU"/>
        </w:rPr>
        <w:t>не</w:t>
      </w:r>
      <w:r w:rsidRPr="00907738">
        <w:rPr>
          <w:sz w:val="18"/>
          <w:szCs w:val="18"/>
          <w:lang w:val="ru-RU"/>
        </w:rPr>
        <w:t xml:space="preserve"> </w:t>
      </w:r>
      <w:r>
        <w:rPr>
          <w:sz w:val="18"/>
          <w:szCs w:val="18"/>
          <w:lang w:val="ru-RU"/>
        </w:rPr>
        <w:t>предусматривал</w:t>
      </w:r>
      <w:r w:rsidRPr="00907738">
        <w:rPr>
          <w:sz w:val="18"/>
          <w:szCs w:val="18"/>
          <w:lang w:val="ru-RU"/>
        </w:rPr>
        <w:t xml:space="preserve"> </w:t>
      </w:r>
      <w:r>
        <w:rPr>
          <w:sz w:val="18"/>
          <w:szCs w:val="18"/>
          <w:lang w:val="ru-RU"/>
        </w:rPr>
        <w:t>вариант</w:t>
      </w:r>
      <w:r w:rsidRPr="00907738">
        <w:rPr>
          <w:sz w:val="18"/>
          <w:szCs w:val="18"/>
          <w:lang w:val="ru-RU"/>
        </w:rPr>
        <w:t xml:space="preserve"> </w:t>
      </w:r>
      <w:r>
        <w:rPr>
          <w:sz w:val="18"/>
          <w:szCs w:val="18"/>
          <w:lang w:val="ru-RU"/>
        </w:rPr>
        <w:t>ответа</w:t>
      </w:r>
      <w:r w:rsidRPr="00907738">
        <w:rPr>
          <w:sz w:val="18"/>
          <w:szCs w:val="18"/>
          <w:lang w:val="ru-RU"/>
        </w:rPr>
        <w:t xml:space="preserve"> «</w:t>
      </w:r>
      <w:r>
        <w:rPr>
          <w:sz w:val="18"/>
          <w:szCs w:val="18"/>
          <w:lang w:val="ru-RU"/>
        </w:rPr>
        <w:t>Да</w:t>
      </w:r>
      <w:r w:rsidRPr="00907738">
        <w:rPr>
          <w:sz w:val="18"/>
          <w:szCs w:val="18"/>
          <w:lang w:val="ru-RU"/>
        </w:rPr>
        <w:t>,</w:t>
      </w:r>
      <w:r>
        <w:rPr>
          <w:sz w:val="18"/>
          <w:szCs w:val="18"/>
          <w:lang w:val="ru-RU"/>
        </w:rPr>
        <w:t xml:space="preserve"> в некоторой степени»</w:t>
      </w:r>
      <w:r w:rsidRPr="00907738">
        <w:rPr>
          <w:sz w:val="18"/>
          <w:szCs w:val="18"/>
          <w:lang w:val="ru-RU"/>
        </w:rPr>
        <w:t>.</w:t>
      </w:r>
    </w:p>
  </w:footnote>
  <w:footnote w:id="45">
    <w:p w14:paraId="2289A9DD" w14:textId="31789248" w:rsidR="003926D8" w:rsidRPr="00D673E8" w:rsidRDefault="003926D8" w:rsidP="004569FB">
      <w:pPr>
        <w:pStyle w:val="aa"/>
        <w:rPr>
          <w:sz w:val="18"/>
          <w:szCs w:val="18"/>
          <w:lang w:val="ru-RU"/>
        </w:rPr>
      </w:pPr>
      <w:r w:rsidRPr="008D6A50">
        <w:rPr>
          <w:rStyle w:val="ac"/>
          <w:sz w:val="18"/>
          <w:szCs w:val="18"/>
        </w:rPr>
        <w:footnoteRef/>
      </w:r>
      <w:r w:rsidRPr="00D673E8">
        <w:rPr>
          <w:sz w:val="18"/>
          <w:szCs w:val="18"/>
          <w:lang w:val="ru-RU"/>
        </w:rPr>
        <w:t xml:space="preserve"> </w:t>
      </w:r>
      <w:r>
        <w:rPr>
          <w:sz w:val="18"/>
          <w:szCs w:val="18"/>
          <w:lang w:val="ru-RU"/>
        </w:rPr>
        <w:t xml:space="preserve">Эта информация была получена из вопроса </w:t>
      </w:r>
      <w:r w:rsidRPr="00D673E8">
        <w:rPr>
          <w:sz w:val="18"/>
          <w:szCs w:val="18"/>
          <w:lang w:val="ru-RU"/>
        </w:rPr>
        <w:t xml:space="preserve">19 </w:t>
      </w:r>
      <w:r>
        <w:rPr>
          <w:sz w:val="18"/>
          <w:szCs w:val="18"/>
          <w:lang w:val="ru-RU"/>
        </w:rPr>
        <w:t>формата отчетности для четвертого национального доклада</w:t>
      </w:r>
      <w:r w:rsidRPr="00D673E8">
        <w:rPr>
          <w:sz w:val="18"/>
          <w:szCs w:val="18"/>
          <w:lang w:val="ru-RU"/>
        </w:rPr>
        <w:t xml:space="preserve">. </w:t>
      </w:r>
    </w:p>
  </w:footnote>
  <w:footnote w:id="46">
    <w:p w14:paraId="581AA1F2" w14:textId="729D9EC6" w:rsidR="003926D8" w:rsidRPr="00E810CA" w:rsidRDefault="003926D8" w:rsidP="003E5063">
      <w:pPr>
        <w:pStyle w:val="aa"/>
        <w:spacing w:after="60"/>
        <w:rPr>
          <w:sz w:val="18"/>
          <w:szCs w:val="18"/>
          <w:lang w:val="ru-RU"/>
        </w:rPr>
      </w:pPr>
      <w:r w:rsidRPr="008D6A50">
        <w:rPr>
          <w:rStyle w:val="ac"/>
          <w:sz w:val="18"/>
          <w:szCs w:val="18"/>
        </w:rPr>
        <w:footnoteRef/>
      </w:r>
      <w:r w:rsidRPr="00E810CA">
        <w:rPr>
          <w:sz w:val="18"/>
          <w:szCs w:val="18"/>
          <w:lang w:val="ru-RU"/>
        </w:rPr>
        <w:t xml:space="preserve"> </w:t>
      </w:r>
      <w:r w:rsidRPr="00E810CA">
        <w:rPr>
          <w:snapToGrid w:val="0"/>
          <w:kern w:val="18"/>
          <w:sz w:val="18"/>
          <w:szCs w:val="18"/>
          <w:lang w:val="ru-RU"/>
        </w:rPr>
        <w:t>Во втором национальном докладе не было возможности ответить на соответствующий вопрос «в некоторой степени». Это могло повлиять на сообщенные изменения по сравнению с исходным уровнем.</w:t>
      </w:r>
    </w:p>
  </w:footnote>
  <w:footnote w:id="47">
    <w:p w14:paraId="3066882B" w14:textId="21F584B3" w:rsidR="003926D8" w:rsidRPr="00E810CA" w:rsidRDefault="003926D8" w:rsidP="003E5063">
      <w:pPr>
        <w:pStyle w:val="aa"/>
        <w:spacing w:after="60"/>
        <w:rPr>
          <w:lang w:val="ru-RU"/>
        </w:rPr>
      </w:pPr>
      <w:r>
        <w:rPr>
          <w:rStyle w:val="ac"/>
        </w:rPr>
        <w:footnoteRef/>
      </w:r>
      <w:r w:rsidRPr="00E810CA">
        <w:rPr>
          <w:lang w:val="ru-RU"/>
        </w:rPr>
        <w:t xml:space="preserve"> </w:t>
      </w:r>
      <w:bookmarkStart w:id="27" w:name="_Hlk33187068"/>
      <w:r w:rsidR="003E5063" w:rsidRPr="003E5063">
        <w:rPr>
          <w:sz w:val="18"/>
          <w:szCs w:val="18"/>
          <w:lang w:val="ru-RU"/>
        </w:rPr>
        <w:t>Вследствие округления десятичных знаков сумма процентных величин составляет 14 %, а не 15 %</w:t>
      </w:r>
      <w:r w:rsidRPr="00E810CA">
        <w:rPr>
          <w:sz w:val="18"/>
          <w:szCs w:val="18"/>
          <w:lang w:val="ru-RU"/>
        </w:rPr>
        <w:t xml:space="preserve">. </w:t>
      </w:r>
      <w:bookmarkEnd w:id="27"/>
    </w:p>
  </w:footnote>
  <w:footnote w:id="48">
    <w:p w14:paraId="10C3B44F" w14:textId="308BDBEB" w:rsidR="003926D8" w:rsidRPr="00BC4CFB" w:rsidRDefault="003926D8" w:rsidP="003E5063">
      <w:pPr>
        <w:pStyle w:val="aa"/>
        <w:spacing w:after="60"/>
        <w:rPr>
          <w:sz w:val="18"/>
          <w:szCs w:val="18"/>
          <w:lang w:val="ru-RU"/>
        </w:rPr>
      </w:pPr>
      <w:r w:rsidRPr="00C96E2C">
        <w:rPr>
          <w:rStyle w:val="ac"/>
          <w:sz w:val="18"/>
          <w:szCs w:val="18"/>
        </w:rPr>
        <w:footnoteRef/>
      </w:r>
      <w:r w:rsidRPr="00BC4CFB">
        <w:rPr>
          <w:sz w:val="18"/>
          <w:szCs w:val="18"/>
          <w:lang w:val="ru-RU"/>
        </w:rPr>
        <w:t xml:space="preserve"> Некоторые из этих изменений могут быть связаны с пересмотром вопроса в формате четвертого национального доклада, который был ограничен отчетным периодом, тогда как во втором национальном докладе он был открытым.</w:t>
      </w:r>
    </w:p>
  </w:footnote>
  <w:footnote w:id="49">
    <w:p w14:paraId="25E5331F" w14:textId="2D9F011C" w:rsidR="003926D8" w:rsidRPr="00BC4CFB" w:rsidRDefault="003926D8" w:rsidP="003E5063">
      <w:pPr>
        <w:pStyle w:val="aa"/>
        <w:spacing w:after="60"/>
        <w:rPr>
          <w:sz w:val="18"/>
          <w:szCs w:val="18"/>
          <w:lang w:val="ru-RU"/>
        </w:rPr>
      </w:pPr>
      <w:r w:rsidRPr="00C96E2C">
        <w:rPr>
          <w:rStyle w:val="ac"/>
          <w:sz w:val="18"/>
          <w:szCs w:val="18"/>
        </w:rPr>
        <w:footnoteRef/>
      </w:r>
      <w:r w:rsidRPr="00BC4CFB">
        <w:rPr>
          <w:sz w:val="18"/>
          <w:szCs w:val="18"/>
          <w:lang w:val="ru-RU"/>
        </w:rPr>
        <w:t xml:space="preserve"> </w:t>
      </w:r>
      <w:r w:rsidR="00374EDF">
        <w:rPr>
          <w:sz w:val="18"/>
          <w:szCs w:val="18"/>
          <w:lang w:val="ru-RU"/>
        </w:rPr>
        <w:t>То же, что и выше</w:t>
      </w:r>
      <w:r w:rsidRPr="00BC4CFB">
        <w:rPr>
          <w:sz w:val="18"/>
          <w:szCs w:val="18"/>
          <w:lang w:val="ru-RU"/>
        </w:rPr>
        <w:t>.</w:t>
      </w:r>
    </w:p>
  </w:footnote>
  <w:footnote w:id="50">
    <w:p w14:paraId="3EE8E3AF" w14:textId="7EC10A32" w:rsidR="003926D8" w:rsidRPr="00D673E8" w:rsidRDefault="003926D8" w:rsidP="003E5063">
      <w:pPr>
        <w:pStyle w:val="aa"/>
        <w:spacing w:after="60"/>
        <w:rPr>
          <w:sz w:val="18"/>
          <w:szCs w:val="18"/>
          <w:lang w:val="ru-RU"/>
        </w:rPr>
      </w:pPr>
      <w:r w:rsidRPr="008D6A50">
        <w:rPr>
          <w:rStyle w:val="ac"/>
          <w:sz w:val="18"/>
          <w:szCs w:val="18"/>
        </w:rPr>
        <w:footnoteRef/>
      </w:r>
      <w:r w:rsidRPr="00D673E8">
        <w:rPr>
          <w:sz w:val="18"/>
          <w:szCs w:val="18"/>
          <w:lang w:val="ru-RU"/>
        </w:rPr>
        <w:t xml:space="preserve"> </w:t>
      </w:r>
      <w:r>
        <w:rPr>
          <w:sz w:val="18"/>
          <w:szCs w:val="18"/>
          <w:lang w:val="ru-RU"/>
        </w:rPr>
        <w:t>В</w:t>
      </w:r>
      <w:r w:rsidRPr="00D673E8">
        <w:rPr>
          <w:sz w:val="18"/>
          <w:szCs w:val="18"/>
          <w:lang w:val="ru-RU"/>
        </w:rPr>
        <w:t xml:space="preserve"> </w:t>
      </w:r>
      <w:r>
        <w:rPr>
          <w:sz w:val="18"/>
          <w:szCs w:val="18"/>
          <w:lang w:val="ru-RU"/>
        </w:rPr>
        <w:t>формате</w:t>
      </w:r>
      <w:r w:rsidRPr="00D673E8">
        <w:rPr>
          <w:sz w:val="18"/>
          <w:szCs w:val="18"/>
          <w:lang w:val="ru-RU"/>
        </w:rPr>
        <w:t xml:space="preserve"> </w:t>
      </w:r>
      <w:r>
        <w:rPr>
          <w:sz w:val="18"/>
          <w:szCs w:val="18"/>
          <w:lang w:val="ru-RU"/>
        </w:rPr>
        <w:t>второго</w:t>
      </w:r>
      <w:r w:rsidRPr="00D673E8">
        <w:rPr>
          <w:sz w:val="18"/>
          <w:szCs w:val="18"/>
          <w:lang w:val="ru-RU"/>
        </w:rPr>
        <w:t xml:space="preserve"> </w:t>
      </w:r>
      <w:r>
        <w:rPr>
          <w:sz w:val="18"/>
          <w:szCs w:val="18"/>
          <w:lang w:val="ru-RU"/>
        </w:rPr>
        <w:t>национального</w:t>
      </w:r>
      <w:r w:rsidRPr="00D673E8">
        <w:rPr>
          <w:sz w:val="18"/>
          <w:szCs w:val="18"/>
          <w:lang w:val="ru-RU"/>
        </w:rPr>
        <w:t xml:space="preserve"> </w:t>
      </w:r>
      <w:r>
        <w:rPr>
          <w:sz w:val="18"/>
          <w:szCs w:val="18"/>
          <w:lang w:val="ru-RU"/>
        </w:rPr>
        <w:t>доклада</w:t>
      </w:r>
      <w:r w:rsidRPr="00D673E8">
        <w:rPr>
          <w:sz w:val="18"/>
          <w:szCs w:val="18"/>
          <w:lang w:val="ru-RU"/>
        </w:rPr>
        <w:t xml:space="preserve"> </w:t>
      </w:r>
      <w:r>
        <w:rPr>
          <w:sz w:val="18"/>
          <w:szCs w:val="18"/>
          <w:lang w:val="ru-RU"/>
        </w:rPr>
        <w:t>только</w:t>
      </w:r>
      <w:r w:rsidRPr="00D673E8">
        <w:rPr>
          <w:sz w:val="18"/>
          <w:szCs w:val="18"/>
          <w:lang w:val="ru-RU"/>
        </w:rPr>
        <w:t xml:space="preserve"> </w:t>
      </w:r>
      <w:r>
        <w:rPr>
          <w:sz w:val="18"/>
          <w:szCs w:val="18"/>
          <w:lang w:val="ru-RU"/>
        </w:rPr>
        <w:t>Сторонам</w:t>
      </w:r>
      <w:r w:rsidRPr="00D673E8">
        <w:rPr>
          <w:sz w:val="18"/>
          <w:szCs w:val="18"/>
          <w:lang w:val="ru-RU"/>
        </w:rPr>
        <w:t xml:space="preserve">, </w:t>
      </w:r>
      <w:r>
        <w:rPr>
          <w:sz w:val="18"/>
          <w:szCs w:val="18"/>
          <w:lang w:val="ru-RU"/>
        </w:rPr>
        <w:t>сообщившим</w:t>
      </w:r>
      <w:r w:rsidRPr="00D673E8">
        <w:rPr>
          <w:sz w:val="18"/>
          <w:szCs w:val="18"/>
          <w:lang w:val="ru-RU"/>
        </w:rPr>
        <w:t xml:space="preserve"> </w:t>
      </w:r>
      <w:r>
        <w:rPr>
          <w:sz w:val="18"/>
          <w:szCs w:val="18"/>
          <w:lang w:val="ru-RU"/>
        </w:rPr>
        <w:t>о</w:t>
      </w:r>
      <w:r w:rsidRPr="00D673E8">
        <w:rPr>
          <w:sz w:val="18"/>
          <w:szCs w:val="18"/>
          <w:lang w:val="ru-RU"/>
        </w:rPr>
        <w:t xml:space="preserve"> </w:t>
      </w:r>
      <w:r>
        <w:rPr>
          <w:sz w:val="18"/>
          <w:szCs w:val="18"/>
          <w:lang w:val="ru-RU"/>
        </w:rPr>
        <w:t>принятии</w:t>
      </w:r>
      <w:r w:rsidRPr="00D673E8">
        <w:rPr>
          <w:sz w:val="18"/>
          <w:szCs w:val="18"/>
          <w:lang w:val="ru-RU"/>
        </w:rPr>
        <w:t xml:space="preserve"> </w:t>
      </w:r>
      <w:r>
        <w:rPr>
          <w:sz w:val="18"/>
          <w:szCs w:val="18"/>
          <w:lang w:val="ru-RU"/>
        </w:rPr>
        <w:t>когда</w:t>
      </w:r>
      <w:r w:rsidRPr="00D673E8">
        <w:rPr>
          <w:sz w:val="18"/>
          <w:szCs w:val="18"/>
          <w:lang w:val="ru-RU"/>
        </w:rPr>
        <w:t>-</w:t>
      </w:r>
      <w:r>
        <w:rPr>
          <w:sz w:val="18"/>
          <w:szCs w:val="18"/>
          <w:lang w:val="ru-RU"/>
        </w:rPr>
        <w:t>либо</w:t>
      </w:r>
      <w:r w:rsidRPr="00D673E8">
        <w:rPr>
          <w:sz w:val="18"/>
          <w:szCs w:val="18"/>
          <w:lang w:val="ru-RU"/>
        </w:rPr>
        <w:t xml:space="preserve"> </w:t>
      </w:r>
      <w:r>
        <w:rPr>
          <w:sz w:val="18"/>
          <w:szCs w:val="18"/>
          <w:lang w:val="ru-RU"/>
        </w:rPr>
        <w:t>решения</w:t>
      </w:r>
      <w:r w:rsidRPr="00D673E8">
        <w:rPr>
          <w:sz w:val="18"/>
          <w:szCs w:val="18"/>
          <w:lang w:val="ru-RU"/>
        </w:rPr>
        <w:t xml:space="preserve"> </w:t>
      </w:r>
      <w:r>
        <w:rPr>
          <w:sz w:val="18"/>
          <w:szCs w:val="18"/>
          <w:lang w:val="ru-RU"/>
        </w:rPr>
        <w:t>о</w:t>
      </w:r>
      <w:r w:rsidRPr="00D673E8">
        <w:rPr>
          <w:sz w:val="18"/>
          <w:szCs w:val="18"/>
          <w:lang w:val="ru-RU"/>
        </w:rPr>
        <w:t xml:space="preserve"> </w:t>
      </w:r>
      <w:proofErr w:type="spellStart"/>
      <w:r>
        <w:rPr>
          <w:sz w:val="18"/>
          <w:szCs w:val="18"/>
          <w:lang w:val="ru-RU"/>
        </w:rPr>
        <w:t>ЖИО</w:t>
      </w:r>
      <w:r w:rsidRPr="00D673E8">
        <w:rPr>
          <w:sz w:val="18"/>
          <w:szCs w:val="18"/>
          <w:lang w:val="ru-RU"/>
        </w:rPr>
        <w:t>-</w:t>
      </w:r>
      <w:r>
        <w:rPr>
          <w:sz w:val="18"/>
          <w:szCs w:val="18"/>
          <w:lang w:val="ru-RU"/>
        </w:rPr>
        <w:t>ПКО</w:t>
      </w:r>
      <w:proofErr w:type="spellEnd"/>
      <w:r w:rsidRPr="00D673E8">
        <w:rPr>
          <w:sz w:val="18"/>
          <w:szCs w:val="18"/>
          <w:lang w:val="ru-RU"/>
        </w:rPr>
        <w:t xml:space="preserve">, </w:t>
      </w:r>
      <w:r>
        <w:rPr>
          <w:sz w:val="18"/>
          <w:szCs w:val="18"/>
          <w:lang w:val="ru-RU"/>
        </w:rPr>
        <w:t>было предложено ответить на данный вопрос</w:t>
      </w:r>
      <w:r w:rsidRPr="00D673E8">
        <w:rPr>
          <w:sz w:val="18"/>
          <w:szCs w:val="18"/>
          <w:lang w:val="ru-RU"/>
        </w:rPr>
        <w:t xml:space="preserve">. </w:t>
      </w:r>
      <w:r>
        <w:rPr>
          <w:sz w:val="18"/>
          <w:szCs w:val="18"/>
          <w:lang w:val="ru-RU"/>
        </w:rPr>
        <w:t>По</w:t>
      </w:r>
      <w:r w:rsidRPr="00D673E8">
        <w:rPr>
          <w:sz w:val="18"/>
          <w:szCs w:val="18"/>
          <w:lang w:val="ru-RU"/>
        </w:rPr>
        <w:t xml:space="preserve"> </w:t>
      </w:r>
      <w:r>
        <w:rPr>
          <w:sz w:val="18"/>
          <w:szCs w:val="18"/>
          <w:lang w:val="ru-RU"/>
        </w:rPr>
        <w:t>этой</w:t>
      </w:r>
      <w:r w:rsidRPr="00D673E8">
        <w:rPr>
          <w:sz w:val="18"/>
          <w:szCs w:val="18"/>
          <w:lang w:val="ru-RU"/>
        </w:rPr>
        <w:t xml:space="preserve"> </w:t>
      </w:r>
      <w:r>
        <w:rPr>
          <w:sz w:val="18"/>
          <w:szCs w:val="18"/>
          <w:lang w:val="ru-RU"/>
        </w:rPr>
        <w:t>причине</w:t>
      </w:r>
      <w:r w:rsidRPr="00D673E8">
        <w:rPr>
          <w:sz w:val="18"/>
          <w:szCs w:val="18"/>
          <w:lang w:val="ru-RU"/>
        </w:rPr>
        <w:t xml:space="preserve"> </w:t>
      </w:r>
      <w:r>
        <w:rPr>
          <w:sz w:val="18"/>
          <w:szCs w:val="18"/>
          <w:lang w:val="ru-RU"/>
        </w:rPr>
        <w:t>общее</w:t>
      </w:r>
      <w:r w:rsidRPr="00D673E8">
        <w:rPr>
          <w:sz w:val="18"/>
          <w:szCs w:val="18"/>
          <w:lang w:val="ru-RU"/>
        </w:rPr>
        <w:t xml:space="preserve"> </w:t>
      </w:r>
      <w:r>
        <w:rPr>
          <w:sz w:val="18"/>
          <w:szCs w:val="18"/>
          <w:lang w:val="ru-RU"/>
        </w:rPr>
        <w:t>число</w:t>
      </w:r>
      <w:r w:rsidRPr="00D673E8">
        <w:rPr>
          <w:sz w:val="18"/>
          <w:szCs w:val="18"/>
          <w:lang w:val="ru-RU"/>
        </w:rPr>
        <w:t xml:space="preserve"> </w:t>
      </w:r>
      <w:r>
        <w:rPr>
          <w:sz w:val="18"/>
          <w:szCs w:val="18"/>
          <w:lang w:val="ru-RU"/>
        </w:rPr>
        <w:t>Сторон</w:t>
      </w:r>
      <w:r w:rsidRPr="00D673E8">
        <w:rPr>
          <w:sz w:val="18"/>
          <w:szCs w:val="18"/>
          <w:lang w:val="ru-RU"/>
        </w:rPr>
        <w:t xml:space="preserve">, </w:t>
      </w:r>
      <w:r>
        <w:rPr>
          <w:sz w:val="18"/>
          <w:szCs w:val="18"/>
          <w:lang w:val="ru-RU"/>
        </w:rPr>
        <w:t>представивших</w:t>
      </w:r>
      <w:r w:rsidRPr="00D673E8">
        <w:rPr>
          <w:sz w:val="18"/>
          <w:szCs w:val="18"/>
          <w:lang w:val="ru-RU"/>
        </w:rPr>
        <w:t xml:space="preserve"> </w:t>
      </w:r>
      <w:r>
        <w:rPr>
          <w:sz w:val="18"/>
          <w:szCs w:val="18"/>
          <w:lang w:val="ru-RU"/>
        </w:rPr>
        <w:t>информацию</w:t>
      </w:r>
      <w:r w:rsidRPr="00D673E8">
        <w:rPr>
          <w:sz w:val="18"/>
          <w:szCs w:val="18"/>
          <w:lang w:val="ru-RU"/>
        </w:rPr>
        <w:t xml:space="preserve"> </w:t>
      </w:r>
      <w:r>
        <w:rPr>
          <w:sz w:val="18"/>
          <w:szCs w:val="18"/>
          <w:lang w:val="ru-RU"/>
        </w:rPr>
        <w:t>по</w:t>
      </w:r>
      <w:r w:rsidRPr="00D673E8">
        <w:rPr>
          <w:sz w:val="18"/>
          <w:szCs w:val="18"/>
          <w:lang w:val="ru-RU"/>
        </w:rPr>
        <w:t xml:space="preserve"> </w:t>
      </w:r>
      <w:r>
        <w:rPr>
          <w:sz w:val="18"/>
          <w:szCs w:val="18"/>
          <w:lang w:val="ru-RU"/>
        </w:rPr>
        <w:t>этому</w:t>
      </w:r>
      <w:r w:rsidRPr="00D673E8">
        <w:rPr>
          <w:sz w:val="18"/>
          <w:szCs w:val="18"/>
          <w:lang w:val="ru-RU"/>
        </w:rPr>
        <w:t xml:space="preserve"> </w:t>
      </w:r>
      <w:r>
        <w:rPr>
          <w:sz w:val="18"/>
          <w:szCs w:val="18"/>
          <w:lang w:val="ru-RU"/>
        </w:rPr>
        <w:t>вопросу</w:t>
      </w:r>
      <w:r w:rsidRPr="00D673E8">
        <w:rPr>
          <w:sz w:val="18"/>
          <w:szCs w:val="18"/>
          <w:lang w:val="ru-RU"/>
        </w:rPr>
        <w:t xml:space="preserve">, </w:t>
      </w:r>
      <w:r>
        <w:rPr>
          <w:sz w:val="18"/>
          <w:szCs w:val="18"/>
          <w:lang w:val="ru-RU"/>
        </w:rPr>
        <w:t>невелико</w:t>
      </w:r>
      <w:r w:rsidRPr="00D673E8">
        <w:rPr>
          <w:sz w:val="18"/>
          <w:szCs w:val="18"/>
          <w:lang w:val="ru-RU"/>
        </w:rPr>
        <w:t xml:space="preserve">.  </w:t>
      </w:r>
    </w:p>
  </w:footnote>
  <w:footnote w:id="51">
    <w:p w14:paraId="789FDE83" w14:textId="31B1FEB4" w:rsidR="003926D8" w:rsidRPr="00D673E8" w:rsidRDefault="003926D8" w:rsidP="003E5063">
      <w:pPr>
        <w:pStyle w:val="aa"/>
        <w:spacing w:after="60"/>
        <w:rPr>
          <w:sz w:val="18"/>
          <w:szCs w:val="18"/>
          <w:lang w:val="ru-RU"/>
        </w:rPr>
      </w:pPr>
      <w:r w:rsidRPr="007C10FC">
        <w:rPr>
          <w:rStyle w:val="ac"/>
          <w:sz w:val="18"/>
          <w:szCs w:val="18"/>
        </w:rPr>
        <w:footnoteRef/>
      </w:r>
      <w:r w:rsidRPr="00D673E8">
        <w:rPr>
          <w:sz w:val="18"/>
          <w:szCs w:val="18"/>
          <w:lang w:val="ru-RU"/>
        </w:rPr>
        <w:t xml:space="preserve"> </w:t>
      </w:r>
      <w:r w:rsidR="00374EDF">
        <w:rPr>
          <w:sz w:val="18"/>
          <w:szCs w:val="18"/>
          <w:lang w:val="ru-RU"/>
        </w:rPr>
        <w:t>То</w:t>
      </w:r>
      <w:r w:rsidR="003E5063">
        <w:rPr>
          <w:sz w:val="18"/>
          <w:szCs w:val="18"/>
          <w:lang w:val="ru-RU"/>
        </w:rPr>
        <w:t xml:space="preserve"> же</w:t>
      </w:r>
      <w:r w:rsidR="00374EDF">
        <w:rPr>
          <w:sz w:val="18"/>
          <w:szCs w:val="18"/>
          <w:lang w:val="ru-RU"/>
        </w:rPr>
        <w:t>, что и выше</w:t>
      </w:r>
      <w:r w:rsidRPr="00D673E8">
        <w:rPr>
          <w:sz w:val="18"/>
          <w:szCs w:val="18"/>
          <w:lang w:val="ru-RU"/>
        </w:rPr>
        <w:t>.</w:t>
      </w:r>
    </w:p>
  </w:footnote>
  <w:footnote w:id="52">
    <w:p w14:paraId="287D14C7" w14:textId="4E6C3C1A" w:rsidR="003926D8" w:rsidRPr="002D7E49" w:rsidRDefault="003926D8" w:rsidP="00374EDF">
      <w:pPr>
        <w:pStyle w:val="aa"/>
        <w:spacing w:after="60"/>
        <w:rPr>
          <w:sz w:val="18"/>
          <w:szCs w:val="18"/>
          <w:lang w:val="ru-RU"/>
        </w:rPr>
      </w:pPr>
      <w:r w:rsidRPr="008D6A50">
        <w:rPr>
          <w:rStyle w:val="ac"/>
          <w:sz w:val="18"/>
          <w:szCs w:val="18"/>
        </w:rPr>
        <w:footnoteRef/>
      </w:r>
      <w:r w:rsidRPr="002D7E49">
        <w:rPr>
          <w:sz w:val="18"/>
          <w:szCs w:val="18"/>
          <w:lang w:val="ru-RU"/>
        </w:rPr>
        <w:t xml:space="preserve"> </w:t>
      </w:r>
      <w:r>
        <w:rPr>
          <w:sz w:val="18"/>
          <w:szCs w:val="18"/>
          <w:lang w:val="ru-RU"/>
        </w:rPr>
        <w:t>Три</w:t>
      </w:r>
      <w:r w:rsidRPr="002D7E49">
        <w:rPr>
          <w:sz w:val="18"/>
          <w:szCs w:val="18"/>
          <w:lang w:val="ru-RU"/>
        </w:rPr>
        <w:t xml:space="preserve"> </w:t>
      </w:r>
      <w:r>
        <w:rPr>
          <w:sz w:val="18"/>
          <w:szCs w:val="18"/>
          <w:lang w:val="ru-RU"/>
        </w:rPr>
        <w:t>из</w:t>
      </w:r>
      <w:r w:rsidRPr="002D7E49">
        <w:rPr>
          <w:sz w:val="18"/>
          <w:szCs w:val="18"/>
          <w:lang w:val="ru-RU"/>
        </w:rPr>
        <w:t xml:space="preserve"> </w:t>
      </w:r>
      <w:r>
        <w:rPr>
          <w:sz w:val="18"/>
          <w:szCs w:val="18"/>
          <w:lang w:val="ru-RU"/>
        </w:rPr>
        <w:t>этих</w:t>
      </w:r>
      <w:r w:rsidRPr="002D7E49">
        <w:rPr>
          <w:sz w:val="18"/>
          <w:szCs w:val="18"/>
          <w:lang w:val="ru-RU"/>
        </w:rPr>
        <w:t xml:space="preserve"> </w:t>
      </w:r>
      <w:r>
        <w:rPr>
          <w:sz w:val="18"/>
          <w:szCs w:val="18"/>
          <w:lang w:val="ru-RU"/>
        </w:rPr>
        <w:t>Сторон</w:t>
      </w:r>
      <w:r w:rsidRPr="002D7E49">
        <w:rPr>
          <w:sz w:val="18"/>
          <w:szCs w:val="18"/>
          <w:lang w:val="ru-RU"/>
        </w:rPr>
        <w:t xml:space="preserve"> </w:t>
      </w:r>
      <w:r>
        <w:rPr>
          <w:sz w:val="18"/>
          <w:szCs w:val="18"/>
          <w:lang w:val="ru-RU"/>
        </w:rPr>
        <w:t>представили</w:t>
      </w:r>
      <w:r w:rsidRPr="002D7E49">
        <w:rPr>
          <w:bCs/>
          <w:iCs/>
          <w:snapToGrid w:val="0"/>
          <w:spacing w:val="-2"/>
          <w:kern w:val="22"/>
          <w:sz w:val="22"/>
          <w:szCs w:val="22"/>
          <w:lang w:val="ru-RU"/>
        </w:rPr>
        <w:t xml:space="preserve"> </w:t>
      </w:r>
      <w:r w:rsidRPr="002D7E49">
        <w:rPr>
          <w:bCs/>
          <w:iCs/>
          <w:sz w:val="18"/>
          <w:szCs w:val="18"/>
          <w:lang w:val="ru-RU"/>
        </w:rPr>
        <w:t xml:space="preserve">резюме итогов оценки рисков </w:t>
      </w:r>
      <w:r>
        <w:rPr>
          <w:bCs/>
          <w:iCs/>
          <w:sz w:val="18"/>
          <w:szCs w:val="18"/>
          <w:lang w:val="ru-RU"/>
        </w:rPr>
        <w:t>для</w:t>
      </w:r>
      <w:r w:rsidRPr="002D7E49">
        <w:rPr>
          <w:bCs/>
          <w:iCs/>
          <w:sz w:val="18"/>
          <w:szCs w:val="18"/>
          <w:lang w:val="ru-RU"/>
        </w:rPr>
        <w:t xml:space="preserve"> </w:t>
      </w:r>
      <w:r>
        <w:rPr>
          <w:bCs/>
          <w:iCs/>
          <w:sz w:val="18"/>
          <w:szCs w:val="18"/>
          <w:lang w:val="ru-RU"/>
        </w:rPr>
        <w:t xml:space="preserve">подавляющего большинства решений, представленных ими в </w:t>
      </w:r>
      <w:proofErr w:type="spellStart"/>
      <w:r>
        <w:rPr>
          <w:bCs/>
          <w:iCs/>
          <w:sz w:val="18"/>
          <w:szCs w:val="18"/>
          <w:lang w:val="ru-RU"/>
        </w:rPr>
        <w:t>МПБ</w:t>
      </w:r>
      <w:proofErr w:type="spellEnd"/>
      <w:r w:rsidRPr="002D7E49">
        <w:rPr>
          <w:sz w:val="18"/>
          <w:szCs w:val="18"/>
          <w:lang w:val="ru-RU"/>
        </w:rPr>
        <w:t xml:space="preserve">. </w:t>
      </w:r>
    </w:p>
  </w:footnote>
  <w:footnote w:id="53">
    <w:p w14:paraId="12140E42" w14:textId="5FD88568" w:rsidR="003926D8" w:rsidRPr="00722F38" w:rsidRDefault="003926D8" w:rsidP="00374EDF">
      <w:pPr>
        <w:pStyle w:val="aa"/>
        <w:spacing w:after="60"/>
        <w:rPr>
          <w:sz w:val="18"/>
          <w:szCs w:val="18"/>
          <w:lang w:val="ru-RU"/>
        </w:rPr>
      </w:pPr>
      <w:r w:rsidRPr="008D6A50">
        <w:rPr>
          <w:rStyle w:val="ac"/>
          <w:sz w:val="18"/>
          <w:szCs w:val="18"/>
        </w:rPr>
        <w:footnoteRef/>
      </w:r>
      <w:r w:rsidRPr="00032499">
        <w:rPr>
          <w:sz w:val="18"/>
          <w:szCs w:val="18"/>
          <w:lang w:val="ru-RU"/>
        </w:rPr>
        <w:t xml:space="preserve"> </w:t>
      </w:r>
      <w:r>
        <w:rPr>
          <w:sz w:val="18"/>
          <w:szCs w:val="18"/>
          <w:lang w:val="ru-RU"/>
        </w:rPr>
        <w:t>Вопрос</w:t>
      </w:r>
      <w:r w:rsidRPr="00032499">
        <w:rPr>
          <w:sz w:val="18"/>
          <w:szCs w:val="18"/>
          <w:lang w:val="ru-RU"/>
        </w:rPr>
        <w:t xml:space="preserve"> 168 </w:t>
      </w:r>
      <w:r>
        <w:rPr>
          <w:sz w:val="18"/>
          <w:szCs w:val="18"/>
          <w:lang w:val="ru-RU"/>
        </w:rPr>
        <w:t>в</w:t>
      </w:r>
      <w:r w:rsidRPr="00032499">
        <w:rPr>
          <w:sz w:val="18"/>
          <w:szCs w:val="18"/>
          <w:lang w:val="ru-RU"/>
        </w:rPr>
        <w:t xml:space="preserve"> </w:t>
      </w:r>
      <w:r>
        <w:rPr>
          <w:sz w:val="18"/>
          <w:szCs w:val="18"/>
          <w:lang w:val="ru-RU"/>
        </w:rPr>
        <w:t>четвертом</w:t>
      </w:r>
      <w:r w:rsidRPr="00032499">
        <w:rPr>
          <w:sz w:val="18"/>
          <w:szCs w:val="18"/>
          <w:lang w:val="ru-RU"/>
        </w:rPr>
        <w:t xml:space="preserve"> </w:t>
      </w:r>
      <w:r>
        <w:rPr>
          <w:sz w:val="18"/>
          <w:szCs w:val="18"/>
          <w:lang w:val="ru-RU"/>
        </w:rPr>
        <w:t>национальном</w:t>
      </w:r>
      <w:r w:rsidRPr="00032499">
        <w:rPr>
          <w:sz w:val="18"/>
          <w:szCs w:val="18"/>
          <w:lang w:val="ru-RU"/>
        </w:rPr>
        <w:t xml:space="preserve"> </w:t>
      </w:r>
      <w:r>
        <w:rPr>
          <w:sz w:val="18"/>
          <w:szCs w:val="18"/>
          <w:lang w:val="ru-RU"/>
        </w:rPr>
        <w:t>докладе</w:t>
      </w:r>
      <w:r w:rsidRPr="00032499">
        <w:rPr>
          <w:sz w:val="18"/>
          <w:szCs w:val="18"/>
          <w:lang w:val="ru-RU"/>
        </w:rPr>
        <w:t xml:space="preserve"> </w:t>
      </w:r>
      <w:r>
        <w:rPr>
          <w:sz w:val="18"/>
          <w:szCs w:val="18"/>
          <w:lang w:val="ru-RU"/>
        </w:rPr>
        <w:t>связан</w:t>
      </w:r>
      <w:r w:rsidRPr="00032499">
        <w:rPr>
          <w:sz w:val="18"/>
          <w:szCs w:val="18"/>
          <w:lang w:val="ru-RU"/>
        </w:rPr>
        <w:t xml:space="preserve"> </w:t>
      </w:r>
      <w:r>
        <w:rPr>
          <w:sz w:val="18"/>
          <w:szCs w:val="18"/>
          <w:lang w:val="ru-RU"/>
        </w:rPr>
        <w:t>с</w:t>
      </w:r>
      <w:r w:rsidRPr="00032499">
        <w:rPr>
          <w:sz w:val="18"/>
          <w:szCs w:val="18"/>
          <w:lang w:val="ru-RU"/>
        </w:rPr>
        <w:t xml:space="preserve"> </w:t>
      </w:r>
      <w:r>
        <w:rPr>
          <w:sz w:val="18"/>
          <w:szCs w:val="18"/>
          <w:lang w:val="ru-RU"/>
        </w:rPr>
        <w:t>вопросом</w:t>
      </w:r>
      <w:r w:rsidRPr="00032499">
        <w:rPr>
          <w:sz w:val="18"/>
          <w:szCs w:val="18"/>
          <w:lang w:val="ru-RU"/>
        </w:rPr>
        <w:t xml:space="preserve"> 35</w:t>
      </w:r>
      <w:r w:rsidR="00374EDF" w:rsidRPr="00374EDF">
        <w:rPr>
          <w:sz w:val="18"/>
          <w:szCs w:val="18"/>
          <w:lang w:val="ru-RU"/>
        </w:rPr>
        <w:t>(</w:t>
      </w:r>
      <w:r w:rsidRPr="008D6A50">
        <w:rPr>
          <w:sz w:val="18"/>
          <w:szCs w:val="18"/>
          <w:lang w:val="en-CA"/>
        </w:rPr>
        <w:t>a</w:t>
      </w:r>
      <w:r w:rsidRPr="00032499">
        <w:rPr>
          <w:sz w:val="18"/>
          <w:szCs w:val="18"/>
          <w:lang w:val="ru-RU"/>
        </w:rPr>
        <w:t>) (</w:t>
      </w:r>
      <w:r>
        <w:rPr>
          <w:sz w:val="18"/>
          <w:szCs w:val="18"/>
          <w:lang w:val="ru-RU"/>
        </w:rPr>
        <w:t>о системах мониторинга</w:t>
      </w:r>
      <w:r w:rsidRPr="00032499">
        <w:rPr>
          <w:sz w:val="18"/>
          <w:szCs w:val="18"/>
          <w:lang w:val="ru-RU"/>
        </w:rPr>
        <w:t>)</w:t>
      </w:r>
      <w:r>
        <w:rPr>
          <w:sz w:val="18"/>
          <w:szCs w:val="18"/>
          <w:lang w:val="ru-RU"/>
        </w:rPr>
        <w:t xml:space="preserve"> и вопросом</w:t>
      </w:r>
      <w:r w:rsidRPr="00032499">
        <w:rPr>
          <w:sz w:val="18"/>
          <w:szCs w:val="18"/>
          <w:lang w:val="ru-RU"/>
        </w:rPr>
        <w:t xml:space="preserve"> 35</w:t>
      </w:r>
      <w:r w:rsidR="00374EDF" w:rsidRPr="00374EDF">
        <w:rPr>
          <w:sz w:val="18"/>
          <w:szCs w:val="18"/>
          <w:lang w:val="ru-RU"/>
        </w:rPr>
        <w:t>(</w:t>
      </w:r>
      <w:r w:rsidRPr="008D6A50">
        <w:rPr>
          <w:sz w:val="18"/>
          <w:szCs w:val="18"/>
          <w:lang w:val="en-CA"/>
        </w:rPr>
        <w:t>b</w:t>
      </w:r>
      <w:r w:rsidRPr="00032499">
        <w:rPr>
          <w:sz w:val="18"/>
          <w:szCs w:val="18"/>
          <w:lang w:val="ru-RU"/>
        </w:rPr>
        <w:t>) (</w:t>
      </w:r>
      <w:r>
        <w:rPr>
          <w:sz w:val="18"/>
          <w:szCs w:val="18"/>
          <w:lang w:val="ru-RU"/>
        </w:rPr>
        <w:t>о системах</w:t>
      </w:r>
      <w:r w:rsidRPr="00032499">
        <w:rPr>
          <w:sz w:val="18"/>
          <w:szCs w:val="18"/>
          <w:lang w:val="ru-RU"/>
        </w:rPr>
        <w:t xml:space="preserve"> </w:t>
      </w:r>
      <w:r w:rsidRPr="00032499">
        <w:rPr>
          <w:iCs/>
          <w:sz w:val="18"/>
          <w:szCs w:val="18"/>
          <w:lang w:val="ru-RU"/>
        </w:rPr>
        <w:t>обеспечения соблюдения</w:t>
      </w:r>
      <w:r w:rsidRPr="00032499">
        <w:rPr>
          <w:sz w:val="18"/>
          <w:szCs w:val="18"/>
          <w:lang w:val="ru-RU"/>
        </w:rPr>
        <w:t xml:space="preserve">) </w:t>
      </w:r>
      <w:r>
        <w:rPr>
          <w:sz w:val="18"/>
          <w:szCs w:val="18"/>
          <w:lang w:val="ru-RU"/>
        </w:rPr>
        <w:t>в Обследовании</w:t>
      </w:r>
      <w:r w:rsidRPr="00032499">
        <w:rPr>
          <w:sz w:val="18"/>
          <w:szCs w:val="18"/>
          <w:lang w:val="ru-RU"/>
        </w:rPr>
        <w:t xml:space="preserve">. </w:t>
      </w:r>
      <w:r>
        <w:rPr>
          <w:sz w:val="18"/>
          <w:szCs w:val="18"/>
          <w:lang w:val="ru-RU"/>
        </w:rPr>
        <w:t>Для</w:t>
      </w:r>
      <w:r w:rsidRPr="00722F38">
        <w:rPr>
          <w:sz w:val="18"/>
          <w:szCs w:val="18"/>
          <w:lang w:val="ru-RU"/>
        </w:rPr>
        <w:t xml:space="preserve"> </w:t>
      </w:r>
      <w:r>
        <w:rPr>
          <w:sz w:val="18"/>
          <w:szCs w:val="18"/>
          <w:lang w:val="ru-RU"/>
        </w:rPr>
        <w:t>данного</w:t>
      </w:r>
      <w:r w:rsidRPr="00722F38">
        <w:rPr>
          <w:sz w:val="18"/>
          <w:szCs w:val="18"/>
          <w:lang w:val="ru-RU"/>
        </w:rPr>
        <w:t xml:space="preserve"> </w:t>
      </w:r>
      <w:r>
        <w:rPr>
          <w:sz w:val="18"/>
          <w:szCs w:val="18"/>
          <w:lang w:val="ru-RU"/>
        </w:rPr>
        <w:t>анализа</w:t>
      </w:r>
      <w:r w:rsidRPr="00722F38">
        <w:rPr>
          <w:sz w:val="18"/>
          <w:szCs w:val="18"/>
          <w:lang w:val="ru-RU"/>
        </w:rPr>
        <w:t xml:space="preserve"> </w:t>
      </w:r>
      <w:r>
        <w:rPr>
          <w:sz w:val="18"/>
          <w:szCs w:val="18"/>
          <w:lang w:val="ru-RU"/>
        </w:rPr>
        <w:t>анализатор</w:t>
      </w:r>
      <w:r w:rsidRPr="00722F38">
        <w:rPr>
          <w:sz w:val="18"/>
          <w:szCs w:val="18"/>
          <w:lang w:val="ru-RU"/>
        </w:rPr>
        <w:t xml:space="preserve"> </w:t>
      </w:r>
      <w:r>
        <w:rPr>
          <w:sz w:val="18"/>
          <w:szCs w:val="18"/>
          <w:lang w:val="ru-RU"/>
        </w:rPr>
        <w:t>в</w:t>
      </w:r>
      <w:r w:rsidRPr="00722F38">
        <w:rPr>
          <w:sz w:val="18"/>
          <w:szCs w:val="18"/>
          <w:lang w:val="ru-RU"/>
        </w:rPr>
        <w:t xml:space="preserve"> </w:t>
      </w:r>
      <w:proofErr w:type="spellStart"/>
      <w:r>
        <w:rPr>
          <w:sz w:val="18"/>
          <w:szCs w:val="18"/>
          <w:lang w:val="ru-RU"/>
        </w:rPr>
        <w:t>МПБ</w:t>
      </w:r>
      <w:proofErr w:type="spellEnd"/>
      <w:r w:rsidRPr="00722F38">
        <w:rPr>
          <w:sz w:val="18"/>
          <w:szCs w:val="18"/>
          <w:lang w:val="ru-RU"/>
        </w:rPr>
        <w:t xml:space="preserve"> </w:t>
      </w:r>
      <w:r>
        <w:rPr>
          <w:sz w:val="18"/>
          <w:szCs w:val="18"/>
          <w:lang w:val="ru-RU"/>
        </w:rPr>
        <w:t>сравнил</w:t>
      </w:r>
      <w:r w:rsidRPr="00722F38">
        <w:rPr>
          <w:sz w:val="18"/>
          <w:szCs w:val="18"/>
          <w:lang w:val="ru-RU"/>
        </w:rPr>
        <w:t xml:space="preserve"> </w:t>
      </w:r>
      <w:r>
        <w:rPr>
          <w:sz w:val="18"/>
          <w:szCs w:val="18"/>
          <w:lang w:val="ru-RU"/>
        </w:rPr>
        <w:t>вопрос</w:t>
      </w:r>
      <w:r w:rsidRPr="00722F38">
        <w:rPr>
          <w:sz w:val="18"/>
          <w:szCs w:val="18"/>
          <w:lang w:val="ru-RU"/>
        </w:rPr>
        <w:t xml:space="preserve"> 168 </w:t>
      </w:r>
      <w:r>
        <w:rPr>
          <w:sz w:val="18"/>
          <w:szCs w:val="18"/>
          <w:lang w:val="ru-RU"/>
        </w:rPr>
        <w:t>четвертого национального доклада с вопросом</w:t>
      </w:r>
      <w:r w:rsidRPr="00722F38">
        <w:rPr>
          <w:sz w:val="18"/>
          <w:szCs w:val="18"/>
          <w:lang w:val="ru-RU"/>
        </w:rPr>
        <w:t xml:space="preserve"> 35</w:t>
      </w:r>
      <w:r w:rsidR="00374EDF" w:rsidRPr="005B390A">
        <w:rPr>
          <w:sz w:val="18"/>
          <w:szCs w:val="18"/>
          <w:lang w:val="ru-RU"/>
        </w:rPr>
        <w:t>(</w:t>
      </w:r>
      <w:r w:rsidRPr="008D6A50">
        <w:rPr>
          <w:sz w:val="18"/>
          <w:szCs w:val="18"/>
          <w:lang w:val="en-CA"/>
        </w:rPr>
        <w:t>a</w:t>
      </w:r>
      <w:r w:rsidRPr="00722F38">
        <w:rPr>
          <w:sz w:val="18"/>
          <w:szCs w:val="18"/>
          <w:lang w:val="ru-RU"/>
        </w:rPr>
        <w:t xml:space="preserve">) </w:t>
      </w:r>
      <w:r>
        <w:rPr>
          <w:sz w:val="18"/>
          <w:szCs w:val="18"/>
          <w:lang w:val="ru-RU"/>
        </w:rPr>
        <w:t>Обследования</w:t>
      </w:r>
      <w:r w:rsidRPr="00722F38">
        <w:rPr>
          <w:sz w:val="18"/>
          <w:szCs w:val="18"/>
          <w:lang w:val="ru-RU"/>
        </w:rPr>
        <w:t xml:space="preserve">. </w:t>
      </w:r>
      <w:r>
        <w:rPr>
          <w:sz w:val="18"/>
          <w:szCs w:val="18"/>
          <w:lang w:val="ru-RU"/>
        </w:rPr>
        <w:t>Общее</w:t>
      </w:r>
      <w:r w:rsidRPr="00722F38">
        <w:rPr>
          <w:sz w:val="18"/>
          <w:szCs w:val="18"/>
          <w:lang w:val="ru-RU"/>
        </w:rPr>
        <w:t xml:space="preserve"> </w:t>
      </w:r>
      <w:r>
        <w:rPr>
          <w:sz w:val="18"/>
          <w:szCs w:val="18"/>
          <w:lang w:val="ru-RU"/>
        </w:rPr>
        <w:t>число</w:t>
      </w:r>
      <w:r w:rsidRPr="00722F38">
        <w:rPr>
          <w:sz w:val="18"/>
          <w:szCs w:val="18"/>
          <w:lang w:val="ru-RU"/>
        </w:rPr>
        <w:t xml:space="preserve"> </w:t>
      </w:r>
      <w:r>
        <w:rPr>
          <w:sz w:val="18"/>
          <w:szCs w:val="18"/>
          <w:lang w:val="ru-RU"/>
        </w:rPr>
        <w:t>различий</w:t>
      </w:r>
      <w:r w:rsidRPr="00722F38">
        <w:rPr>
          <w:sz w:val="18"/>
          <w:szCs w:val="18"/>
          <w:lang w:val="ru-RU"/>
        </w:rPr>
        <w:t xml:space="preserve"> </w:t>
      </w:r>
      <w:r>
        <w:rPr>
          <w:sz w:val="18"/>
          <w:szCs w:val="18"/>
          <w:lang w:val="ru-RU"/>
        </w:rPr>
        <w:t>между</w:t>
      </w:r>
      <w:r w:rsidRPr="00722F38">
        <w:rPr>
          <w:sz w:val="18"/>
          <w:szCs w:val="18"/>
          <w:lang w:val="ru-RU"/>
        </w:rPr>
        <w:t xml:space="preserve"> </w:t>
      </w:r>
      <w:r>
        <w:rPr>
          <w:sz w:val="18"/>
          <w:szCs w:val="18"/>
          <w:lang w:val="ru-RU"/>
        </w:rPr>
        <w:t>ответами</w:t>
      </w:r>
      <w:r w:rsidRPr="00722F38">
        <w:rPr>
          <w:sz w:val="18"/>
          <w:szCs w:val="18"/>
          <w:lang w:val="ru-RU"/>
        </w:rPr>
        <w:t xml:space="preserve"> </w:t>
      </w:r>
      <w:r>
        <w:rPr>
          <w:sz w:val="18"/>
          <w:szCs w:val="18"/>
          <w:lang w:val="ru-RU"/>
        </w:rPr>
        <w:t>на</w:t>
      </w:r>
      <w:r w:rsidRPr="00722F38">
        <w:rPr>
          <w:sz w:val="18"/>
          <w:szCs w:val="18"/>
          <w:lang w:val="ru-RU"/>
        </w:rPr>
        <w:t xml:space="preserve"> </w:t>
      </w:r>
      <w:r>
        <w:rPr>
          <w:sz w:val="18"/>
          <w:szCs w:val="18"/>
          <w:lang w:val="ru-RU"/>
        </w:rPr>
        <w:t>вопрос</w:t>
      </w:r>
      <w:r w:rsidRPr="00722F38">
        <w:rPr>
          <w:sz w:val="18"/>
          <w:szCs w:val="18"/>
          <w:lang w:val="ru-RU"/>
        </w:rPr>
        <w:t xml:space="preserve"> 35</w:t>
      </w:r>
      <w:r w:rsidR="005B390A" w:rsidRPr="005B390A">
        <w:rPr>
          <w:sz w:val="18"/>
          <w:szCs w:val="18"/>
          <w:lang w:val="ru-RU"/>
        </w:rPr>
        <w:t>(</w:t>
      </w:r>
      <w:r w:rsidRPr="008D6A50">
        <w:rPr>
          <w:sz w:val="18"/>
          <w:szCs w:val="18"/>
          <w:lang w:val="en-CA"/>
        </w:rPr>
        <w:t>a</w:t>
      </w:r>
      <w:r w:rsidRPr="00722F38">
        <w:rPr>
          <w:sz w:val="18"/>
          <w:szCs w:val="18"/>
          <w:lang w:val="ru-RU"/>
        </w:rPr>
        <w:t xml:space="preserve">) </w:t>
      </w:r>
      <w:r>
        <w:rPr>
          <w:sz w:val="18"/>
          <w:szCs w:val="18"/>
          <w:lang w:val="ru-RU"/>
        </w:rPr>
        <w:t>и</w:t>
      </w:r>
      <w:r w:rsidRPr="00722F38">
        <w:rPr>
          <w:sz w:val="18"/>
          <w:szCs w:val="18"/>
          <w:lang w:val="ru-RU"/>
        </w:rPr>
        <w:t xml:space="preserve"> (</w:t>
      </w:r>
      <w:r w:rsidRPr="008D6A50">
        <w:rPr>
          <w:sz w:val="18"/>
          <w:szCs w:val="18"/>
          <w:lang w:val="en-CA"/>
        </w:rPr>
        <w:t>b</w:t>
      </w:r>
      <w:r w:rsidRPr="00722F38">
        <w:rPr>
          <w:sz w:val="18"/>
          <w:szCs w:val="18"/>
          <w:lang w:val="ru-RU"/>
        </w:rPr>
        <w:t xml:space="preserve">) </w:t>
      </w:r>
      <w:r>
        <w:rPr>
          <w:sz w:val="18"/>
          <w:szCs w:val="18"/>
          <w:lang w:val="ru-RU"/>
        </w:rPr>
        <w:t>минимально</w:t>
      </w:r>
      <w:r w:rsidRPr="00722F38">
        <w:rPr>
          <w:sz w:val="18"/>
          <w:szCs w:val="18"/>
          <w:lang w:val="ru-RU"/>
        </w:rPr>
        <w:t xml:space="preserve"> (35</w:t>
      </w:r>
      <w:r w:rsidR="005B390A" w:rsidRPr="005B390A">
        <w:rPr>
          <w:sz w:val="18"/>
          <w:szCs w:val="18"/>
          <w:lang w:val="ru-RU"/>
        </w:rPr>
        <w:t>(</w:t>
      </w:r>
      <w:r w:rsidRPr="008D6A50">
        <w:rPr>
          <w:sz w:val="18"/>
          <w:szCs w:val="18"/>
          <w:lang w:val="en-CA"/>
        </w:rPr>
        <w:t>a</w:t>
      </w:r>
      <w:r w:rsidRPr="00722F38">
        <w:rPr>
          <w:sz w:val="18"/>
          <w:szCs w:val="18"/>
          <w:lang w:val="ru-RU"/>
        </w:rPr>
        <w:t xml:space="preserve">): 61 </w:t>
      </w:r>
      <w:r>
        <w:rPr>
          <w:sz w:val="18"/>
          <w:szCs w:val="18"/>
          <w:lang w:val="ru-RU"/>
        </w:rPr>
        <w:t>ответ</w:t>
      </w:r>
      <w:r w:rsidRPr="00722F38">
        <w:rPr>
          <w:sz w:val="18"/>
          <w:szCs w:val="18"/>
          <w:lang w:val="ru-RU"/>
        </w:rPr>
        <w:t xml:space="preserve"> </w:t>
      </w:r>
      <w:r>
        <w:rPr>
          <w:i/>
          <w:sz w:val="18"/>
          <w:szCs w:val="18"/>
          <w:lang w:val="ru-RU"/>
        </w:rPr>
        <w:t>да</w:t>
      </w:r>
      <w:r w:rsidRPr="00722F38">
        <w:rPr>
          <w:sz w:val="18"/>
          <w:szCs w:val="18"/>
          <w:lang w:val="ru-RU"/>
        </w:rPr>
        <w:t xml:space="preserve">, 46 </w:t>
      </w:r>
      <w:r>
        <w:rPr>
          <w:sz w:val="18"/>
          <w:szCs w:val="18"/>
          <w:lang w:val="ru-RU"/>
        </w:rPr>
        <w:t>ответов</w:t>
      </w:r>
      <w:r w:rsidRPr="00722F38">
        <w:rPr>
          <w:sz w:val="18"/>
          <w:szCs w:val="18"/>
          <w:lang w:val="ru-RU"/>
        </w:rPr>
        <w:t xml:space="preserve"> </w:t>
      </w:r>
      <w:r>
        <w:rPr>
          <w:i/>
          <w:sz w:val="18"/>
          <w:szCs w:val="18"/>
          <w:lang w:val="ru-RU"/>
        </w:rPr>
        <w:t>нет</w:t>
      </w:r>
      <w:r>
        <w:rPr>
          <w:sz w:val="18"/>
          <w:szCs w:val="18"/>
          <w:lang w:val="ru-RU"/>
        </w:rPr>
        <w:t>;</w:t>
      </w:r>
      <w:r w:rsidRPr="00722F38">
        <w:rPr>
          <w:sz w:val="18"/>
          <w:szCs w:val="18"/>
          <w:lang w:val="ru-RU"/>
        </w:rPr>
        <w:t xml:space="preserve"> 35</w:t>
      </w:r>
      <w:r w:rsidR="005B390A" w:rsidRPr="005B390A">
        <w:rPr>
          <w:sz w:val="18"/>
          <w:szCs w:val="18"/>
          <w:lang w:val="ru-RU"/>
        </w:rPr>
        <w:t>(</w:t>
      </w:r>
      <w:r w:rsidRPr="008D6A50">
        <w:rPr>
          <w:sz w:val="18"/>
          <w:szCs w:val="18"/>
          <w:lang w:val="en-CA"/>
        </w:rPr>
        <w:t>b</w:t>
      </w:r>
      <w:r w:rsidRPr="00722F38">
        <w:rPr>
          <w:sz w:val="18"/>
          <w:szCs w:val="18"/>
          <w:lang w:val="ru-RU"/>
        </w:rPr>
        <w:t xml:space="preserve">): 58 </w:t>
      </w:r>
      <w:r>
        <w:rPr>
          <w:sz w:val="18"/>
          <w:szCs w:val="18"/>
          <w:lang w:val="ru-RU"/>
        </w:rPr>
        <w:t>ответов</w:t>
      </w:r>
      <w:r w:rsidRPr="00722F38">
        <w:rPr>
          <w:sz w:val="18"/>
          <w:szCs w:val="18"/>
          <w:lang w:val="ru-RU"/>
        </w:rPr>
        <w:t xml:space="preserve"> </w:t>
      </w:r>
      <w:r>
        <w:rPr>
          <w:i/>
          <w:sz w:val="18"/>
          <w:szCs w:val="18"/>
          <w:lang w:val="ru-RU"/>
        </w:rPr>
        <w:t>да</w:t>
      </w:r>
      <w:r w:rsidRPr="00722F38">
        <w:rPr>
          <w:sz w:val="18"/>
          <w:szCs w:val="18"/>
          <w:lang w:val="ru-RU"/>
        </w:rPr>
        <w:t xml:space="preserve">, 46 </w:t>
      </w:r>
      <w:r>
        <w:rPr>
          <w:sz w:val="18"/>
          <w:szCs w:val="18"/>
          <w:lang w:val="ru-RU"/>
        </w:rPr>
        <w:t xml:space="preserve">ответов </w:t>
      </w:r>
      <w:r>
        <w:rPr>
          <w:i/>
          <w:sz w:val="18"/>
          <w:szCs w:val="18"/>
          <w:lang w:val="ru-RU"/>
        </w:rPr>
        <w:t>нет</w:t>
      </w:r>
      <w:r w:rsidRPr="00722F38">
        <w:rPr>
          <w:sz w:val="18"/>
          <w:szCs w:val="18"/>
          <w:lang w:val="ru-RU"/>
        </w:rPr>
        <w:t>).</w:t>
      </w:r>
    </w:p>
  </w:footnote>
  <w:footnote w:id="54">
    <w:p w14:paraId="5834CE4A" w14:textId="3B866C0E" w:rsidR="003926D8" w:rsidRPr="00BA5434" w:rsidRDefault="003926D8" w:rsidP="00C56A0A">
      <w:pPr>
        <w:pStyle w:val="aa"/>
        <w:rPr>
          <w:sz w:val="18"/>
          <w:szCs w:val="18"/>
          <w:lang w:val="ru-RU"/>
        </w:rPr>
      </w:pPr>
      <w:r w:rsidRPr="008D6A50">
        <w:rPr>
          <w:rStyle w:val="ac"/>
          <w:sz w:val="18"/>
          <w:szCs w:val="18"/>
        </w:rPr>
        <w:footnoteRef/>
      </w:r>
      <w:r w:rsidRPr="00BA5434">
        <w:rPr>
          <w:sz w:val="18"/>
          <w:szCs w:val="18"/>
          <w:lang w:val="ru-RU"/>
        </w:rPr>
        <w:t xml:space="preserve"> </w:t>
      </w:r>
      <w:r>
        <w:rPr>
          <w:sz w:val="18"/>
          <w:szCs w:val="18"/>
          <w:lang w:val="ru-RU"/>
        </w:rPr>
        <w:t>Узбекистан</w:t>
      </w:r>
      <w:r w:rsidRPr="00BA5434">
        <w:rPr>
          <w:sz w:val="18"/>
          <w:szCs w:val="18"/>
          <w:lang w:val="ru-RU"/>
        </w:rPr>
        <w:t xml:space="preserve"> </w:t>
      </w:r>
      <w:r>
        <w:rPr>
          <w:sz w:val="18"/>
          <w:szCs w:val="18"/>
          <w:lang w:val="ru-RU"/>
        </w:rPr>
        <w:t>представил</w:t>
      </w:r>
      <w:r w:rsidRPr="00BA5434">
        <w:rPr>
          <w:sz w:val="18"/>
          <w:szCs w:val="18"/>
          <w:lang w:val="ru-RU"/>
        </w:rPr>
        <w:t xml:space="preserve"> </w:t>
      </w:r>
      <w:r>
        <w:rPr>
          <w:sz w:val="18"/>
          <w:szCs w:val="18"/>
          <w:lang w:val="ru-RU"/>
        </w:rPr>
        <w:t>свой</w:t>
      </w:r>
      <w:r w:rsidRPr="00BA5434">
        <w:rPr>
          <w:sz w:val="18"/>
          <w:szCs w:val="18"/>
          <w:lang w:val="ru-RU"/>
        </w:rPr>
        <w:t xml:space="preserve"> </w:t>
      </w:r>
      <w:r>
        <w:rPr>
          <w:sz w:val="18"/>
          <w:szCs w:val="18"/>
          <w:lang w:val="ru-RU"/>
        </w:rPr>
        <w:t>документ</w:t>
      </w:r>
      <w:r w:rsidRPr="00BA5434">
        <w:rPr>
          <w:sz w:val="18"/>
          <w:szCs w:val="18"/>
          <w:lang w:val="ru-RU"/>
        </w:rPr>
        <w:t xml:space="preserve"> </w:t>
      </w:r>
      <w:r>
        <w:rPr>
          <w:sz w:val="18"/>
          <w:szCs w:val="18"/>
          <w:lang w:val="ru-RU"/>
        </w:rPr>
        <w:t>о</w:t>
      </w:r>
      <w:r w:rsidRPr="00BA5434">
        <w:rPr>
          <w:sz w:val="18"/>
          <w:szCs w:val="18"/>
          <w:lang w:val="ru-RU"/>
        </w:rPr>
        <w:t xml:space="preserve"> </w:t>
      </w:r>
      <w:r>
        <w:rPr>
          <w:sz w:val="18"/>
          <w:szCs w:val="18"/>
          <w:lang w:val="ru-RU"/>
        </w:rPr>
        <w:t>присоединении</w:t>
      </w:r>
      <w:r w:rsidRPr="00BA5434">
        <w:rPr>
          <w:sz w:val="18"/>
          <w:szCs w:val="18"/>
          <w:lang w:val="ru-RU"/>
        </w:rPr>
        <w:t xml:space="preserve"> </w:t>
      </w:r>
      <w:r>
        <w:rPr>
          <w:sz w:val="18"/>
          <w:szCs w:val="18"/>
          <w:lang w:val="ru-RU"/>
        </w:rPr>
        <w:t>к</w:t>
      </w:r>
      <w:r w:rsidRPr="00BA5434">
        <w:rPr>
          <w:sz w:val="18"/>
          <w:szCs w:val="18"/>
          <w:lang w:val="ru-RU"/>
        </w:rPr>
        <w:t xml:space="preserve"> </w:t>
      </w:r>
      <w:r>
        <w:rPr>
          <w:sz w:val="18"/>
          <w:szCs w:val="18"/>
          <w:lang w:val="ru-RU"/>
        </w:rPr>
        <w:t>Протоколу</w:t>
      </w:r>
      <w:r w:rsidRPr="00BA5434">
        <w:rPr>
          <w:sz w:val="18"/>
          <w:szCs w:val="18"/>
          <w:lang w:val="ru-RU"/>
        </w:rPr>
        <w:t xml:space="preserve"> 25 </w:t>
      </w:r>
      <w:r>
        <w:rPr>
          <w:sz w:val="18"/>
          <w:szCs w:val="18"/>
          <w:lang w:val="ru-RU"/>
        </w:rPr>
        <w:t>октября</w:t>
      </w:r>
      <w:r w:rsidRPr="00BA5434">
        <w:rPr>
          <w:sz w:val="18"/>
          <w:szCs w:val="18"/>
          <w:lang w:val="ru-RU"/>
        </w:rPr>
        <w:t xml:space="preserve"> 2019 </w:t>
      </w:r>
      <w:r>
        <w:rPr>
          <w:sz w:val="18"/>
          <w:szCs w:val="18"/>
          <w:lang w:val="ru-RU"/>
        </w:rPr>
        <w:t>года</w:t>
      </w:r>
      <w:r w:rsidRPr="00BA5434">
        <w:rPr>
          <w:sz w:val="18"/>
          <w:szCs w:val="18"/>
          <w:lang w:val="ru-RU"/>
        </w:rPr>
        <w:t xml:space="preserve">, </w:t>
      </w:r>
      <w:r>
        <w:rPr>
          <w:sz w:val="18"/>
          <w:szCs w:val="18"/>
          <w:lang w:val="ru-RU"/>
        </w:rPr>
        <w:t>после истечения срока представления четвертых национальных докладов, поэтому он не включен в общее число Сторон для целей настоящего документа</w:t>
      </w:r>
      <w:r w:rsidRPr="00BA5434">
        <w:rPr>
          <w:sz w:val="18"/>
          <w:szCs w:val="18"/>
          <w:lang w:val="ru-RU"/>
        </w:rPr>
        <w:t>.</w:t>
      </w:r>
    </w:p>
  </w:footnote>
  <w:footnote w:id="55">
    <w:p w14:paraId="2673A763" w14:textId="197BB222" w:rsidR="003926D8" w:rsidRPr="00345B17" w:rsidRDefault="003926D8" w:rsidP="005B390A">
      <w:pPr>
        <w:pStyle w:val="aa"/>
        <w:spacing w:after="60"/>
        <w:rPr>
          <w:sz w:val="18"/>
          <w:szCs w:val="18"/>
          <w:lang w:val="ru-RU"/>
        </w:rPr>
      </w:pPr>
      <w:r w:rsidRPr="008D6A50">
        <w:rPr>
          <w:rStyle w:val="ac"/>
          <w:sz w:val="18"/>
          <w:szCs w:val="18"/>
        </w:rPr>
        <w:footnoteRef/>
      </w:r>
      <w:r w:rsidRPr="00345B17">
        <w:rPr>
          <w:sz w:val="18"/>
          <w:szCs w:val="18"/>
          <w:lang w:val="ru-RU"/>
        </w:rPr>
        <w:t xml:space="preserve"> </w:t>
      </w:r>
      <w:r>
        <w:rPr>
          <w:sz w:val="18"/>
          <w:szCs w:val="18"/>
          <w:lang w:val="ru-RU"/>
        </w:rPr>
        <w:t>Уровень</w:t>
      </w:r>
      <w:r w:rsidRPr="00345B17">
        <w:rPr>
          <w:sz w:val="18"/>
          <w:szCs w:val="18"/>
          <w:lang w:val="ru-RU"/>
        </w:rPr>
        <w:t xml:space="preserve"> </w:t>
      </w:r>
      <w:r>
        <w:rPr>
          <w:sz w:val="18"/>
          <w:szCs w:val="18"/>
          <w:lang w:val="ru-RU"/>
        </w:rPr>
        <w:t>представления</w:t>
      </w:r>
      <w:r w:rsidRPr="00345B17">
        <w:rPr>
          <w:sz w:val="18"/>
          <w:szCs w:val="18"/>
          <w:lang w:val="ru-RU"/>
        </w:rPr>
        <w:t xml:space="preserve"> </w:t>
      </w:r>
      <w:r>
        <w:rPr>
          <w:sz w:val="18"/>
          <w:szCs w:val="18"/>
          <w:lang w:val="ru-RU"/>
        </w:rPr>
        <w:t>третьих</w:t>
      </w:r>
      <w:r w:rsidRPr="00345B17">
        <w:rPr>
          <w:sz w:val="18"/>
          <w:szCs w:val="18"/>
          <w:lang w:val="ru-RU"/>
        </w:rPr>
        <w:t xml:space="preserve"> </w:t>
      </w:r>
      <w:r>
        <w:rPr>
          <w:sz w:val="18"/>
          <w:szCs w:val="18"/>
          <w:lang w:val="ru-RU"/>
        </w:rPr>
        <w:t>национальных</w:t>
      </w:r>
      <w:r w:rsidRPr="00345B17">
        <w:rPr>
          <w:sz w:val="18"/>
          <w:szCs w:val="18"/>
          <w:lang w:val="ru-RU"/>
        </w:rPr>
        <w:t xml:space="preserve"> </w:t>
      </w:r>
      <w:r>
        <w:rPr>
          <w:sz w:val="18"/>
          <w:szCs w:val="18"/>
          <w:lang w:val="ru-RU"/>
        </w:rPr>
        <w:t>докладов</w:t>
      </w:r>
      <w:r w:rsidRPr="00345B17">
        <w:rPr>
          <w:sz w:val="18"/>
          <w:szCs w:val="18"/>
          <w:lang w:val="ru-RU"/>
        </w:rPr>
        <w:t xml:space="preserve"> </w:t>
      </w:r>
      <w:r>
        <w:rPr>
          <w:sz w:val="18"/>
          <w:szCs w:val="18"/>
          <w:lang w:val="ru-RU"/>
        </w:rPr>
        <w:t>на</w:t>
      </w:r>
      <w:r w:rsidRPr="00345B17">
        <w:rPr>
          <w:sz w:val="18"/>
          <w:szCs w:val="18"/>
          <w:lang w:val="ru-RU"/>
        </w:rPr>
        <w:t xml:space="preserve"> </w:t>
      </w:r>
      <w:r>
        <w:rPr>
          <w:sz w:val="18"/>
          <w:szCs w:val="18"/>
          <w:lang w:val="ru-RU"/>
        </w:rPr>
        <w:t>аналогичный</w:t>
      </w:r>
      <w:r w:rsidRPr="00345B17">
        <w:rPr>
          <w:sz w:val="18"/>
          <w:szCs w:val="18"/>
          <w:lang w:val="ru-RU"/>
        </w:rPr>
        <w:t xml:space="preserve"> </w:t>
      </w:r>
      <w:r>
        <w:rPr>
          <w:sz w:val="18"/>
          <w:szCs w:val="18"/>
          <w:lang w:val="ru-RU"/>
        </w:rPr>
        <w:t>момент</w:t>
      </w:r>
      <w:r w:rsidRPr="00345B17">
        <w:rPr>
          <w:sz w:val="18"/>
          <w:szCs w:val="18"/>
          <w:lang w:val="ru-RU"/>
        </w:rPr>
        <w:t xml:space="preserve"> </w:t>
      </w:r>
      <w:r>
        <w:rPr>
          <w:sz w:val="18"/>
          <w:szCs w:val="18"/>
          <w:lang w:val="ru-RU"/>
        </w:rPr>
        <w:t>времени</w:t>
      </w:r>
      <w:r w:rsidRPr="00345B17">
        <w:rPr>
          <w:sz w:val="18"/>
          <w:szCs w:val="18"/>
          <w:lang w:val="ru-RU"/>
        </w:rPr>
        <w:t xml:space="preserve"> </w:t>
      </w:r>
      <w:r>
        <w:rPr>
          <w:sz w:val="18"/>
          <w:szCs w:val="18"/>
          <w:lang w:val="ru-RU"/>
        </w:rPr>
        <w:t>после</w:t>
      </w:r>
      <w:r w:rsidRPr="00345B17">
        <w:rPr>
          <w:sz w:val="18"/>
          <w:szCs w:val="18"/>
          <w:lang w:val="ru-RU"/>
        </w:rPr>
        <w:t xml:space="preserve"> </w:t>
      </w:r>
      <w:r>
        <w:rPr>
          <w:sz w:val="18"/>
          <w:szCs w:val="18"/>
          <w:lang w:val="ru-RU"/>
        </w:rPr>
        <w:t>истечения</w:t>
      </w:r>
      <w:r w:rsidRPr="00345B17">
        <w:rPr>
          <w:sz w:val="18"/>
          <w:szCs w:val="18"/>
          <w:lang w:val="ru-RU"/>
        </w:rPr>
        <w:t xml:space="preserve"> </w:t>
      </w:r>
      <w:r w:rsidRPr="00345B17">
        <w:rPr>
          <w:iCs/>
          <w:sz w:val="18"/>
          <w:szCs w:val="18"/>
          <w:lang w:val="ru-RU"/>
        </w:rPr>
        <w:t>срока представления</w:t>
      </w:r>
      <w:r w:rsidRPr="00345B17">
        <w:rPr>
          <w:sz w:val="18"/>
          <w:szCs w:val="18"/>
          <w:lang w:val="ru-RU"/>
        </w:rPr>
        <w:t xml:space="preserve"> </w:t>
      </w:r>
      <w:r>
        <w:rPr>
          <w:sz w:val="18"/>
          <w:szCs w:val="18"/>
          <w:lang w:val="ru-RU"/>
        </w:rPr>
        <w:t>составлял</w:t>
      </w:r>
      <w:r w:rsidRPr="00345B17">
        <w:rPr>
          <w:sz w:val="18"/>
          <w:szCs w:val="18"/>
          <w:lang w:val="ru-RU"/>
        </w:rPr>
        <w:t xml:space="preserve"> 62</w:t>
      </w:r>
      <w:r>
        <w:rPr>
          <w:sz w:val="18"/>
          <w:szCs w:val="18"/>
          <w:lang w:val="ru-RU"/>
        </w:rPr>
        <w:t> </w:t>
      </w:r>
      <w:r w:rsidRPr="00345B17">
        <w:rPr>
          <w:sz w:val="18"/>
          <w:szCs w:val="18"/>
          <w:lang w:val="ru-RU"/>
        </w:rPr>
        <w:t xml:space="preserve">% </w:t>
      </w:r>
      <w:r>
        <w:rPr>
          <w:sz w:val="18"/>
          <w:szCs w:val="18"/>
          <w:lang w:val="ru-RU"/>
        </w:rPr>
        <w:t xml:space="preserve">и на дату подготовки этой записки увеличился до </w:t>
      </w:r>
      <w:r w:rsidRPr="00345B17">
        <w:rPr>
          <w:sz w:val="18"/>
          <w:szCs w:val="18"/>
          <w:lang w:val="ru-RU"/>
        </w:rPr>
        <w:t>91</w:t>
      </w:r>
      <w:r>
        <w:rPr>
          <w:sz w:val="18"/>
          <w:szCs w:val="18"/>
          <w:lang w:val="ru-RU"/>
        </w:rPr>
        <w:t> </w:t>
      </w:r>
      <w:r w:rsidRPr="00345B17">
        <w:rPr>
          <w:sz w:val="18"/>
          <w:szCs w:val="18"/>
          <w:lang w:val="ru-RU"/>
        </w:rPr>
        <w:t>%.</w:t>
      </w:r>
    </w:p>
  </w:footnote>
  <w:footnote w:id="56">
    <w:p w14:paraId="3DE9374A" w14:textId="147D4605" w:rsidR="003926D8" w:rsidRPr="00BC058D" w:rsidRDefault="003926D8" w:rsidP="005B390A">
      <w:pPr>
        <w:pStyle w:val="aa"/>
        <w:spacing w:after="60"/>
        <w:rPr>
          <w:sz w:val="18"/>
          <w:szCs w:val="18"/>
          <w:lang w:val="ru-RU"/>
        </w:rPr>
      </w:pPr>
      <w:r w:rsidRPr="008D6A50">
        <w:rPr>
          <w:rStyle w:val="ac"/>
          <w:sz w:val="18"/>
          <w:szCs w:val="18"/>
        </w:rPr>
        <w:footnoteRef/>
      </w:r>
      <w:r w:rsidRPr="00BC058D">
        <w:rPr>
          <w:sz w:val="18"/>
          <w:szCs w:val="18"/>
          <w:lang w:val="ru-RU"/>
        </w:rPr>
        <w:t xml:space="preserve"> </w:t>
      </w:r>
      <w:r>
        <w:rPr>
          <w:sz w:val="18"/>
          <w:szCs w:val="18"/>
          <w:lang w:val="ru-RU"/>
        </w:rPr>
        <w:t>Соответствующий</w:t>
      </w:r>
      <w:r w:rsidRPr="00BC058D">
        <w:rPr>
          <w:sz w:val="18"/>
          <w:szCs w:val="18"/>
          <w:lang w:val="ru-RU"/>
        </w:rPr>
        <w:t xml:space="preserve"> </w:t>
      </w:r>
      <w:r>
        <w:rPr>
          <w:sz w:val="18"/>
          <w:szCs w:val="18"/>
          <w:lang w:val="ru-RU"/>
        </w:rPr>
        <w:t>вопрос</w:t>
      </w:r>
      <w:r w:rsidRPr="00BC058D">
        <w:rPr>
          <w:sz w:val="18"/>
          <w:szCs w:val="18"/>
          <w:lang w:val="ru-RU"/>
        </w:rPr>
        <w:t xml:space="preserve"> </w:t>
      </w:r>
      <w:r>
        <w:rPr>
          <w:sz w:val="18"/>
          <w:szCs w:val="18"/>
          <w:lang w:val="ru-RU"/>
        </w:rPr>
        <w:t>в</w:t>
      </w:r>
      <w:r w:rsidRPr="00BC058D">
        <w:rPr>
          <w:sz w:val="18"/>
          <w:szCs w:val="18"/>
          <w:lang w:val="ru-RU"/>
        </w:rPr>
        <w:t xml:space="preserve"> </w:t>
      </w:r>
      <w:r>
        <w:rPr>
          <w:sz w:val="18"/>
          <w:szCs w:val="18"/>
          <w:lang w:val="ru-RU"/>
        </w:rPr>
        <w:t>Обследовании</w:t>
      </w:r>
      <w:r w:rsidRPr="00BC058D">
        <w:rPr>
          <w:sz w:val="18"/>
          <w:szCs w:val="18"/>
          <w:lang w:val="ru-RU"/>
        </w:rPr>
        <w:t xml:space="preserve"> </w:t>
      </w:r>
      <w:r>
        <w:rPr>
          <w:sz w:val="18"/>
          <w:szCs w:val="18"/>
          <w:lang w:val="ru-RU"/>
        </w:rPr>
        <w:t>не</w:t>
      </w:r>
      <w:r w:rsidRPr="00BC058D">
        <w:rPr>
          <w:sz w:val="18"/>
          <w:szCs w:val="18"/>
          <w:lang w:val="ru-RU"/>
        </w:rPr>
        <w:t xml:space="preserve"> </w:t>
      </w:r>
      <w:r>
        <w:rPr>
          <w:sz w:val="18"/>
          <w:szCs w:val="18"/>
          <w:lang w:val="ru-RU"/>
        </w:rPr>
        <w:t>предусматривал</w:t>
      </w:r>
      <w:r w:rsidRPr="00BC058D">
        <w:rPr>
          <w:sz w:val="18"/>
          <w:szCs w:val="18"/>
          <w:lang w:val="ru-RU"/>
        </w:rPr>
        <w:t xml:space="preserve"> </w:t>
      </w:r>
      <w:r>
        <w:rPr>
          <w:sz w:val="18"/>
          <w:szCs w:val="18"/>
          <w:lang w:val="ru-RU"/>
        </w:rPr>
        <w:t>вариант</w:t>
      </w:r>
      <w:r w:rsidRPr="00BC058D">
        <w:rPr>
          <w:sz w:val="18"/>
          <w:szCs w:val="18"/>
          <w:lang w:val="ru-RU"/>
        </w:rPr>
        <w:t xml:space="preserve"> </w:t>
      </w:r>
      <w:r>
        <w:rPr>
          <w:sz w:val="18"/>
          <w:szCs w:val="18"/>
          <w:lang w:val="ru-RU"/>
        </w:rPr>
        <w:t>ответа</w:t>
      </w:r>
      <w:r w:rsidRPr="00BC058D">
        <w:rPr>
          <w:sz w:val="18"/>
          <w:szCs w:val="18"/>
          <w:lang w:val="ru-RU"/>
        </w:rPr>
        <w:t xml:space="preserve"> </w:t>
      </w:r>
      <w:r>
        <w:rPr>
          <w:sz w:val="18"/>
          <w:szCs w:val="18"/>
          <w:lang w:val="ru-RU"/>
        </w:rPr>
        <w:t>«Да, в некоторой степени».</w:t>
      </w:r>
      <w:r w:rsidRPr="00BC058D">
        <w:rPr>
          <w:sz w:val="18"/>
          <w:szCs w:val="18"/>
          <w:lang w:val="ru-RU"/>
        </w:rPr>
        <w:t xml:space="preserve"> </w:t>
      </w:r>
      <w:r>
        <w:rPr>
          <w:sz w:val="18"/>
          <w:szCs w:val="18"/>
          <w:lang w:val="ru-RU"/>
        </w:rPr>
        <w:t>В</w:t>
      </w:r>
      <w:r w:rsidRPr="00BC058D">
        <w:rPr>
          <w:sz w:val="18"/>
          <w:szCs w:val="18"/>
          <w:lang w:val="ru-RU"/>
        </w:rPr>
        <w:t xml:space="preserve"> </w:t>
      </w:r>
      <w:r>
        <w:rPr>
          <w:sz w:val="18"/>
          <w:szCs w:val="18"/>
          <w:lang w:val="ru-RU"/>
        </w:rPr>
        <w:t>общей</w:t>
      </w:r>
      <w:r w:rsidRPr="00BC058D">
        <w:rPr>
          <w:sz w:val="18"/>
          <w:szCs w:val="18"/>
          <w:lang w:val="ru-RU"/>
        </w:rPr>
        <w:t xml:space="preserve"> </w:t>
      </w:r>
      <w:r>
        <w:rPr>
          <w:sz w:val="18"/>
          <w:szCs w:val="18"/>
          <w:lang w:val="ru-RU"/>
        </w:rPr>
        <w:t>сложности</w:t>
      </w:r>
      <w:r w:rsidRPr="00BC058D">
        <w:rPr>
          <w:sz w:val="18"/>
          <w:szCs w:val="18"/>
          <w:lang w:val="ru-RU"/>
        </w:rPr>
        <w:t xml:space="preserve"> 51</w:t>
      </w:r>
      <w:r w:rsidRPr="00BC058D">
        <w:rPr>
          <w:sz w:val="18"/>
          <w:szCs w:val="18"/>
          <w:lang w:val="en-US"/>
        </w:rPr>
        <w:t> </w:t>
      </w:r>
      <w:r w:rsidRPr="00BC058D">
        <w:rPr>
          <w:sz w:val="18"/>
          <w:szCs w:val="18"/>
          <w:lang w:val="ru-RU"/>
        </w:rPr>
        <w:t xml:space="preserve">% </w:t>
      </w:r>
      <w:r>
        <w:rPr>
          <w:sz w:val="18"/>
          <w:szCs w:val="18"/>
          <w:lang w:val="ru-RU"/>
        </w:rPr>
        <w:t>Сторон сообщил об отсутствии доступа к такому финансированию</w:t>
      </w:r>
      <w:r w:rsidRPr="00BC058D">
        <w:rPr>
          <w:sz w:val="18"/>
          <w:szCs w:val="18"/>
          <w:lang w:val="ru-RU"/>
        </w:rPr>
        <w:t>.</w:t>
      </w:r>
    </w:p>
  </w:footnote>
  <w:footnote w:id="57">
    <w:p w14:paraId="36FADFCF" w14:textId="57885181" w:rsidR="003926D8" w:rsidRPr="00535F51" w:rsidRDefault="003926D8" w:rsidP="005B390A">
      <w:pPr>
        <w:pStyle w:val="aa"/>
        <w:spacing w:after="60"/>
        <w:rPr>
          <w:sz w:val="18"/>
          <w:szCs w:val="18"/>
          <w:lang w:val="ru-RU"/>
        </w:rPr>
      </w:pPr>
      <w:r w:rsidRPr="008D6A50">
        <w:rPr>
          <w:rStyle w:val="ac"/>
          <w:sz w:val="18"/>
          <w:szCs w:val="18"/>
        </w:rPr>
        <w:footnoteRef/>
      </w:r>
      <w:r w:rsidRPr="00535F51">
        <w:rPr>
          <w:sz w:val="18"/>
          <w:szCs w:val="18"/>
          <w:lang w:val="ru-RU"/>
        </w:rPr>
        <w:t xml:space="preserve"> </w:t>
      </w:r>
      <w:r>
        <w:rPr>
          <w:sz w:val="18"/>
          <w:szCs w:val="18"/>
          <w:lang w:val="ru-RU"/>
        </w:rPr>
        <w:t>Вопрос</w:t>
      </w:r>
      <w:r w:rsidRPr="00535F51">
        <w:rPr>
          <w:sz w:val="18"/>
          <w:szCs w:val="18"/>
          <w:lang w:val="ru-RU"/>
        </w:rPr>
        <w:t xml:space="preserve"> 167 </w:t>
      </w:r>
      <w:r>
        <w:rPr>
          <w:sz w:val="18"/>
          <w:szCs w:val="18"/>
          <w:lang w:val="ru-RU"/>
        </w:rPr>
        <w:t>четвертого</w:t>
      </w:r>
      <w:r w:rsidRPr="00535F51">
        <w:rPr>
          <w:sz w:val="18"/>
          <w:szCs w:val="18"/>
          <w:lang w:val="ru-RU"/>
        </w:rPr>
        <w:t xml:space="preserve"> </w:t>
      </w:r>
      <w:r>
        <w:rPr>
          <w:sz w:val="18"/>
          <w:szCs w:val="18"/>
          <w:lang w:val="ru-RU"/>
        </w:rPr>
        <w:t>национального</w:t>
      </w:r>
      <w:r w:rsidRPr="00535F51">
        <w:rPr>
          <w:sz w:val="18"/>
          <w:szCs w:val="18"/>
          <w:lang w:val="ru-RU"/>
        </w:rPr>
        <w:t xml:space="preserve"> </w:t>
      </w:r>
      <w:r>
        <w:rPr>
          <w:sz w:val="18"/>
          <w:szCs w:val="18"/>
          <w:lang w:val="ru-RU"/>
        </w:rPr>
        <w:t>доклада</w:t>
      </w:r>
      <w:r w:rsidRPr="00535F51">
        <w:rPr>
          <w:sz w:val="18"/>
          <w:szCs w:val="18"/>
          <w:lang w:val="ru-RU"/>
        </w:rPr>
        <w:t xml:space="preserve"> </w:t>
      </w:r>
      <w:r>
        <w:rPr>
          <w:sz w:val="18"/>
          <w:szCs w:val="18"/>
          <w:lang w:val="ru-RU"/>
        </w:rPr>
        <w:t>предоставляет</w:t>
      </w:r>
      <w:r w:rsidRPr="00535F51">
        <w:rPr>
          <w:sz w:val="18"/>
          <w:szCs w:val="18"/>
          <w:lang w:val="ru-RU"/>
        </w:rPr>
        <w:t xml:space="preserve"> </w:t>
      </w:r>
      <w:r>
        <w:rPr>
          <w:sz w:val="18"/>
          <w:szCs w:val="18"/>
          <w:lang w:val="ru-RU"/>
        </w:rPr>
        <w:t>Сторонам</w:t>
      </w:r>
      <w:r w:rsidRPr="00535F51">
        <w:rPr>
          <w:sz w:val="18"/>
          <w:szCs w:val="18"/>
          <w:lang w:val="ru-RU"/>
        </w:rPr>
        <w:t xml:space="preserve"> </w:t>
      </w:r>
      <w:r>
        <w:rPr>
          <w:sz w:val="18"/>
          <w:szCs w:val="18"/>
          <w:lang w:val="ru-RU"/>
        </w:rPr>
        <w:t>возможность</w:t>
      </w:r>
      <w:r w:rsidRPr="00535F51">
        <w:rPr>
          <w:sz w:val="18"/>
          <w:szCs w:val="18"/>
          <w:lang w:val="ru-RU"/>
        </w:rPr>
        <w:t xml:space="preserve"> </w:t>
      </w:r>
      <w:r>
        <w:rPr>
          <w:sz w:val="18"/>
          <w:szCs w:val="18"/>
          <w:lang w:val="ru-RU"/>
        </w:rPr>
        <w:t>ответить</w:t>
      </w:r>
      <w:r w:rsidRPr="00535F51">
        <w:rPr>
          <w:sz w:val="18"/>
          <w:szCs w:val="18"/>
          <w:lang w:val="ru-RU"/>
        </w:rPr>
        <w:t xml:space="preserve">, </w:t>
      </w:r>
      <w:r>
        <w:rPr>
          <w:sz w:val="18"/>
          <w:szCs w:val="18"/>
          <w:lang w:val="ru-RU"/>
        </w:rPr>
        <w:t>что</w:t>
      </w:r>
      <w:r w:rsidRPr="00535F51">
        <w:rPr>
          <w:sz w:val="18"/>
          <w:szCs w:val="18"/>
          <w:lang w:val="ru-RU"/>
        </w:rPr>
        <w:t xml:space="preserve"> </w:t>
      </w:r>
      <w:r>
        <w:rPr>
          <w:sz w:val="18"/>
          <w:szCs w:val="18"/>
          <w:lang w:val="ru-RU"/>
        </w:rPr>
        <w:t>дополнительное финансирование не было получено</w:t>
      </w:r>
      <w:r w:rsidRPr="00535F51">
        <w:rPr>
          <w:sz w:val="18"/>
          <w:szCs w:val="18"/>
          <w:lang w:val="ru-RU"/>
        </w:rPr>
        <w:t>,</w:t>
      </w:r>
      <w:r>
        <w:rPr>
          <w:sz w:val="18"/>
          <w:szCs w:val="18"/>
          <w:lang w:val="ru-RU"/>
        </w:rPr>
        <w:t xml:space="preserve"> тогда как минимальное значение, которое можно было выбрать в ответ на соответствующий вопрос 6 Обследования, составляло «менее </w:t>
      </w:r>
      <w:r w:rsidRPr="00535F51">
        <w:rPr>
          <w:sz w:val="18"/>
          <w:szCs w:val="18"/>
          <w:lang w:val="ru-RU"/>
        </w:rPr>
        <w:t>5000</w:t>
      </w:r>
      <w:r>
        <w:rPr>
          <w:sz w:val="18"/>
          <w:szCs w:val="18"/>
          <w:lang w:val="ru-RU"/>
        </w:rPr>
        <w:t>»</w:t>
      </w:r>
      <w:r w:rsidRPr="00535F51">
        <w:rPr>
          <w:sz w:val="18"/>
          <w:szCs w:val="18"/>
          <w:lang w:val="ru-RU"/>
        </w:rPr>
        <w:t xml:space="preserve">. </w:t>
      </w:r>
      <w:r>
        <w:rPr>
          <w:sz w:val="18"/>
          <w:szCs w:val="18"/>
          <w:lang w:val="ru-RU"/>
        </w:rPr>
        <w:t>Изменение</w:t>
      </w:r>
      <w:r w:rsidRPr="00535F51">
        <w:rPr>
          <w:sz w:val="18"/>
          <w:szCs w:val="18"/>
          <w:lang w:val="ru-RU"/>
        </w:rPr>
        <w:t xml:space="preserve"> </w:t>
      </w:r>
      <w:r>
        <w:rPr>
          <w:sz w:val="18"/>
          <w:szCs w:val="18"/>
          <w:lang w:val="ru-RU"/>
        </w:rPr>
        <w:t>формулировки</w:t>
      </w:r>
      <w:r w:rsidRPr="00535F51">
        <w:rPr>
          <w:sz w:val="18"/>
          <w:szCs w:val="18"/>
          <w:lang w:val="ru-RU"/>
        </w:rPr>
        <w:t xml:space="preserve"> </w:t>
      </w:r>
      <w:r w:rsidR="007A60E9">
        <w:rPr>
          <w:sz w:val="18"/>
          <w:szCs w:val="18"/>
          <w:lang w:val="ru-RU"/>
        </w:rPr>
        <w:t>ответов</w:t>
      </w:r>
      <w:r w:rsidRPr="00535F51">
        <w:rPr>
          <w:sz w:val="18"/>
          <w:szCs w:val="18"/>
          <w:lang w:val="ru-RU"/>
        </w:rPr>
        <w:t xml:space="preserve"> </w:t>
      </w:r>
      <w:r>
        <w:rPr>
          <w:sz w:val="18"/>
          <w:szCs w:val="18"/>
          <w:lang w:val="ru-RU"/>
        </w:rPr>
        <w:t>могло</w:t>
      </w:r>
      <w:r w:rsidRPr="00535F51">
        <w:rPr>
          <w:sz w:val="18"/>
          <w:szCs w:val="18"/>
          <w:lang w:val="ru-RU"/>
        </w:rPr>
        <w:t xml:space="preserve"> </w:t>
      </w:r>
      <w:r>
        <w:rPr>
          <w:sz w:val="18"/>
          <w:szCs w:val="18"/>
          <w:lang w:val="ru-RU"/>
        </w:rPr>
        <w:t>повлиять</w:t>
      </w:r>
      <w:r w:rsidRPr="00535F51">
        <w:rPr>
          <w:sz w:val="18"/>
          <w:szCs w:val="18"/>
          <w:lang w:val="ru-RU"/>
        </w:rPr>
        <w:t xml:space="preserve"> </w:t>
      </w:r>
      <w:r>
        <w:rPr>
          <w:sz w:val="18"/>
          <w:szCs w:val="18"/>
          <w:lang w:val="ru-RU"/>
        </w:rPr>
        <w:t>на</w:t>
      </w:r>
      <w:r w:rsidRPr="00535F51">
        <w:rPr>
          <w:sz w:val="18"/>
          <w:szCs w:val="18"/>
          <w:lang w:val="ru-RU"/>
        </w:rPr>
        <w:t xml:space="preserve"> </w:t>
      </w:r>
      <w:r>
        <w:rPr>
          <w:sz w:val="18"/>
          <w:szCs w:val="18"/>
          <w:lang w:val="ru-RU"/>
        </w:rPr>
        <w:t>эту</w:t>
      </w:r>
      <w:r w:rsidRPr="00535F51">
        <w:rPr>
          <w:sz w:val="18"/>
          <w:szCs w:val="18"/>
          <w:lang w:val="ru-RU"/>
        </w:rPr>
        <w:t xml:space="preserve"> </w:t>
      </w:r>
      <w:r>
        <w:rPr>
          <w:sz w:val="18"/>
          <w:szCs w:val="18"/>
          <w:lang w:val="ru-RU"/>
        </w:rPr>
        <w:t>разницу</w:t>
      </w:r>
      <w:r w:rsidRPr="00535F51">
        <w:rPr>
          <w:sz w:val="18"/>
          <w:szCs w:val="18"/>
          <w:lang w:val="ru-RU"/>
        </w:rPr>
        <w:t>.</w:t>
      </w:r>
    </w:p>
  </w:footnote>
  <w:footnote w:id="58">
    <w:p w14:paraId="5168DE71" w14:textId="77777777" w:rsidR="003926D8" w:rsidRPr="003926D8" w:rsidRDefault="003926D8" w:rsidP="005B390A">
      <w:pPr>
        <w:pStyle w:val="aa"/>
        <w:spacing w:after="60"/>
        <w:rPr>
          <w:sz w:val="18"/>
          <w:szCs w:val="18"/>
          <w:lang w:val="ru-RU"/>
        </w:rPr>
      </w:pPr>
      <w:r w:rsidRPr="008D6A50">
        <w:rPr>
          <w:rStyle w:val="ac"/>
          <w:sz w:val="18"/>
          <w:szCs w:val="18"/>
        </w:rPr>
        <w:footnoteRef/>
      </w:r>
      <w:r w:rsidRPr="003926D8">
        <w:rPr>
          <w:sz w:val="18"/>
          <w:szCs w:val="18"/>
          <w:lang w:val="ru-RU"/>
        </w:rPr>
        <w:t xml:space="preserve"> </w:t>
      </w:r>
      <w:proofErr w:type="spellStart"/>
      <w:r w:rsidRPr="008D6A50">
        <w:rPr>
          <w:sz w:val="18"/>
          <w:szCs w:val="18"/>
          <w:lang w:val="en-US"/>
        </w:rPr>
        <w:t>UNEP</w:t>
      </w:r>
      <w:proofErr w:type="spellEnd"/>
      <w:r w:rsidRPr="003926D8">
        <w:rPr>
          <w:sz w:val="18"/>
          <w:szCs w:val="18"/>
          <w:lang w:val="ru-RU"/>
        </w:rPr>
        <w:t>/</w:t>
      </w:r>
      <w:proofErr w:type="spellStart"/>
      <w:r w:rsidRPr="008D6A50">
        <w:rPr>
          <w:sz w:val="18"/>
          <w:szCs w:val="18"/>
          <w:lang w:val="en-US"/>
        </w:rPr>
        <w:t>CBD</w:t>
      </w:r>
      <w:proofErr w:type="spellEnd"/>
      <w:r w:rsidRPr="003926D8">
        <w:rPr>
          <w:sz w:val="18"/>
          <w:szCs w:val="18"/>
          <w:lang w:val="ru-RU"/>
        </w:rPr>
        <w:t>/</w:t>
      </w:r>
      <w:r w:rsidRPr="008D6A50">
        <w:rPr>
          <w:sz w:val="18"/>
          <w:szCs w:val="18"/>
          <w:lang w:val="en-US"/>
        </w:rPr>
        <w:t>BS</w:t>
      </w:r>
      <w:r w:rsidRPr="003926D8">
        <w:rPr>
          <w:sz w:val="18"/>
          <w:szCs w:val="18"/>
          <w:lang w:val="ru-RU"/>
        </w:rPr>
        <w:t>/</w:t>
      </w:r>
      <w:r w:rsidRPr="008D6A50">
        <w:rPr>
          <w:sz w:val="18"/>
          <w:szCs w:val="18"/>
          <w:lang w:val="en-US"/>
        </w:rPr>
        <w:t>CC</w:t>
      </w:r>
      <w:r w:rsidRPr="003926D8">
        <w:rPr>
          <w:sz w:val="18"/>
          <w:szCs w:val="18"/>
          <w:lang w:val="ru-RU"/>
        </w:rPr>
        <w:t>/9/4.</w:t>
      </w:r>
    </w:p>
  </w:footnote>
  <w:footnote w:id="59">
    <w:p w14:paraId="3F2A7183" w14:textId="1031F83F" w:rsidR="003926D8" w:rsidRPr="003926D8" w:rsidRDefault="003926D8" w:rsidP="005B390A">
      <w:pPr>
        <w:pStyle w:val="aa"/>
        <w:spacing w:after="60"/>
        <w:rPr>
          <w:sz w:val="18"/>
          <w:szCs w:val="18"/>
          <w:lang w:val="ru-RU"/>
        </w:rPr>
      </w:pPr>
      <w:r w:rsidRPr="008D6A50">
        <w:rPr>
          <w:rStyle w:val="ac"/>
          <w:sz w:val="18"/>
          <w:szCs w:val="18"/>
        </w:rPr>
        <w:footnoteRef/>
      </w:r>
      <w:r w:rsidRPr="003926D8">
        <w:rPr>
          <w:sz w:val="18"/>
          <w:szCs w:val="18"/>
          <w:lang w:val="ru-RU"/>
        </w:rPr>
        <w:t xml:space="preserve"> </w:t>
      </w:r>
      <w:proofErr w:type="spellStart"/>
      <w:r w:rsidRPr="008D6A50">
        <w:rPr>
          <w:sz w:val="18"/>
          <w:szCs w:val="18"/>
        </w:rPr>
        <w:t>UNEP</w:t>
      </w:r>
      <w:proofErr w:type="spellEnd"/>
      <w:r w:rsidRPr="003926D8">
        <w:rPr>
          <w:sz w:val="18"/>
          <w:szCs w:val="18"/>
          <w:lang w:val="ru-RU"/>
        </w:rPr>
        <w:t>/</w:t>
      </w:r>
      <w:proofErr w:type="spellStart"/>
      <w:r w:rsidRPr="008D6A50">
        <w:rPr>
          <w:sz w:val="18"/>
          <w:szCs w:val="18"/>
        </w:rPr>
        <w:t>CBD</w:t>
      </w:r>
      <w:proofErr w:type="spellEnd"/>
      <w:r w:rsidRPr="003926D8">
        <w:rPr>
          <w:sz w:val="18"/>
          <w:szCs w:val="18"/>
          <w:lang w:val="ru-RU"/>
        </w:rPr>
        <w:t>/</w:t>
      </w:r>
      <w:r w:rsidRPr="008D6A50">
        <w:rPr>
          <w:sz w:val="18"/>
          <w:szCs w:val="18"/>
        </w:rPr>
        <w:t>BS</w:t>
      </w:r>
      <w:r w:rsidRPr="003926D8">
        <w:rPr>
          <w:sz w:val="18"/>
          <w:szCs w:val="18"/>
          <w:lang w:val="ru-RU"/>
        </w:rPr>
        <w:t>/</w:t>
      </w:r>
      <w:r w:rsidRPr="008D6A50">
        <w:rPr>
          <w:sz w:val="18"/>
          <w:szCs w:val="18"/>
        </w:rPr>
        <w:t>CC</w:t>
      </w:r>
      <w:r w:rsidRPr="003926D8">
        <w:rPr>
          <w:sz w:val="18"/>
          <w:szCs w:val="18"/>
          <w:lang w:val="ru-RU"/>
        </w:rPr>
        <w:t xml:space="preserve">/13/6, </w:t>
      </w:r>
      <w:r>
        <w:rPr>
          <w:sz w:val="18"/>
          <w:szCs w:val="18"/>
          <w:lang w:val="ru-RU"/>
        </w:rPr>
        <w:t>пункт</w:t>
      </w:r>
      <w:r w:rsidRPr="003926D8">
        <w:rPr>
          <w:sz w:val="18"/>
          <w:szCs w:val="18"/>
          <w:lang w:val="ru-RU"/>
        </w:rPr>
        <w:t xml:space="preserve"> 10(</w:t>
      </w:r>
      <w:r w:rsidRPr="008D6A50">
        <w:rPr>
          <w:sz w:val="18"/>
          <w:szCs w:val="18"/>
        </w:rPr>
        <w:t>c</w:t>
      </w:r>
      <w:r w:rsidRPr="003926D8">
        <w:rPr>
          <w:sz w:val="18"/>
          <w:szCs w:val="18"/>
          <w:lang w:val="ru-RU"/>
        </w:rPr>
        <w:t>).</w:t>
      </w:r>
    </w:p>
  </w:footnote>
  <w:footnote w:id="60">
    <w:p w14:paraId="197FE4D4" w14:textId="1CCFA87D" w:rsidR="003926D8" w:rsidRPr="00BC058D" w:rsidRDefault="003926D8" w:rsidP="003C418D">
      <w:pPr>
        <w:pStyle w:val="aa"/>
        <w:spacing w:after="60"/>
        <w:rPr>
          <w:sz w:val="18"/>
          <w:lang w:val="en-CA"/>
        </w:rPr>
      </w:pPr>
      <w:r w:rsidRPr="00BC058D">
        <w:rPr>
          <w:rStyle w:val="ac"/>
          <w:sz w:val="18"/>
        </w:rPr>
        <w:footnoteRef/>
      </w:r>
      <w:r w:rsidRPr="00BC058D">
        <w:rPr>
          <w:sz w:val="18"/>
        </w:rPr>
        <w:t xml:space="preserve"> </w:t>
      </w:r>
      <w:proofErr w:type="spellStart"/>
      <w:proofErr w:type="gramStart"/>
      <w:r w:rsidRPr="00BC058D">
        <w:rPr>
          <w:sz w:val="18"/>
          <w:lang w:val="en-CA"/>
        </w:rPr>
        <w:t>CBD</w:t>
      </w:r>
      <w:proofErr w:type="spellEnd"/>
      <w:r w:rsidRPr="00BC058D">
        <w:rPr>
          <w:sz w:val="18"/>
          <w:lang w:val="en-CA"/>
        </w:rPr>
        <w:t>/</w:t>
      </w:r>
      <w:proofErr w:type="spellStart"/>
      <w:r w:rsidRPr="00BC058D">
        <w:rPr>
          <w:sz w:val="18"/>
          <w:lang w:val="en-CA"/>
        </w:rPr>
        <w:t>CP</w:t>
      </w:r>
      <w:proofErr w:type="spellEnd"/>
      <w:r w:rsidRPr="00BC058D">
        <w:rPr>
          <w:sz w:val="18"/>
          <w:lang w:val="en-CA"/>
        </w:rPr>
        <w:t>/CC/17/6.</w:t>
      </w:r>
      <w:proofErr w:type="gramEnd"/>
    </w:p>
  </w:footnote>
  <w:footnote w:id="61">
    <w:p w14:paraId="0FB18B50" w14:textId="6A58B80C" w:rsidR="003926D8" w:rsidRPr="009300EB" w:rsidRDefault="003926D8">
      <w:pPr>
        <w:pStyle w:val="aa"/>
        <w:rPr>
          <w:sz w:val="18"/>
          <w:szCs w:val="18"/>
          <w:lang w:val="en-US"/>
        </w:rPr>
      </w:pPr>
      <w:r w:rsidRPr="009300EB">
        <w:rPr>
          <w:rStyle w:val="ac"/>
          <w:sz w:val="18"/>
          <w:szCs w:val="18"/>
        </w:rPr>
        <w:footnoteRef/>
      </w:r>
      <w:r w:rsidRPr="009300EB">
        <w:rPr>
          <w:sz w:val="18"/>
          <w:szCs w:val="18"/>
        </w:rPr>
        <w:t xml:space="preserve"> </w:t>
      </w:r>
      <w:hyperlink r:id="rId8" w:history="1">
        <w:r w:rsidRPr="009300EB">
          <w:rPr>
            <w:rStyle w:val="af6"/>
            <w:sz w:val="18"/>
            <w:szCs w:val="18"/>
          </w:rPr>
          <w:t>http://bch.cbd.int/protocol/cpb_art23_pow_evaluation.shtml</w:t>
        </w:r>
      </w:hyperlink>
      <w:r w:rsidRPr="009300EB">
        <w:rPr>
          <w:sz w:val="18"/>
          <w:szCs w:val="18"/>
          <w:highlight w:val="yellow"/>
          <w:lang w:val="en-US"/>
        </w:rPr>
        <w:t xml:space="preserve"> </w:t>
      </w:r>
    </w:p>
  </w:footnote>
  <w:footnote w:id="62">
    <w:p w14:paraId="3CA636DE" w14:textId="1FF386FC" w:rsidR="003926D8" w:rsidRPr="005355EE" w:rsidRDefault="003926D8">
      <w:pPr>
        <w:pStyle w:val="aa"/>
        <w:rPr>
          <w:lang w:val="ru-RU"/>
        </w:rPr>
      </w:pPr>
      <w:r>
        <w:rPr>
          <w:rStyle w:val="ac"/>
        </w:rPr>
        <w:footnoteRef/>
      </w:r>
      <w:r w:rsidRPr="005355EE">
        <w:rPr>
          <w:lang w:val="ru-RU"/>
        </w:rPr>
        <w:t xml:space="preserve"> </w:t>
      </w:r>
      <w:r>
        <w:rPr>
          <w:sz w:val="18"/>
          <w:szCs w:val="18"/>
          <w:lang w:val="ru-RU"/>
        </w:rPr>
        <w:t>Формат</w:t>
      </w:r>
      <w:r w:rsidRPr="005355EE">
        <w:rPr>
          <w:sz w:val="18"/>
          <w:szCs w:val="18"/>
          <w:lang w:val="ru-RU"/>
        </w:rPr>
        <w:t xml:space="preserve"> </w:t>
      </w:r>
      <w:r w:rsidR="00DD6B97">
        <w:rPr>
          <w:sz w:val="18"/>
          <w:szCs w:val="18"/>
          <w:lang w:val="ru-RU"/>
        </w:rPr>
        <w:t>о</w:t>
      </w:r>
      <w:r>
        <w:rPr>
          <w:sz w:val="18"/>
          <w:szCs w:val="18"/>
          <w:lang w:val="ru-RU"/>
        </w:rPr>
        <w:t>бследования</w:t>
      </w:r>
      <w:r w:rsidRPr="005355EE">
        <w:rPr>
          <w:sz w:val="18"/>
          <w:szCs w:val="18"/>
          <w:lang w:val="ru-RU"/>
        </w:rPr>
        <w:t xml:space="preserve"> </w:t>
      </w:r>
      <w:r>
        <w:rPr>
          <w:sz w:val="18"/>
          <w:szCs w:val="18"/>
          <w:lang w:val="ru-RU"/>
        </w:rPr>
        <w:t>не</w:t>
      </w:r>
      <w:r w:rsidRPr="005355EE">
        <w:rPr>
          <w:sz w:val="18"/>
          <w:szCs w:val="18"/>
          <w:lang w:val="ru-RU"/>
        </w:rPr>
        <w:t xml:space="preserve"> </w:t>
      </w:r>
      <w:r>
        <w:rPr>
          <w:sz w:val="18"/>
          <w:szCs w:val="18"/>
          <w:lang w:val="ru-RU"/>
        </w:rPr>
        <w:t>предусматривал</w:t>
      </w:r>
      <w:r w:rsidRPr="005355EE">
        <w:rPr>
          <w:sz w:val="18"/>
          <w:szCs w:val="18"/>
          <w:lang w:val="ru-RU"/>
        </w:rPr>
        <w:t xml:space="preserve"> </w:t>
      </w:r>
      <w:r>
        <w:rPr>
          <w:sz w:val="18"/>
          <w:szCs w:val="18"/>
          <w:lang w:val="ru-RU"/>
        </w:rPr>
        <w:t>вариант</w:t>
      </w:r>
      <w:r w:rsidRPr="005355EE">
        <w:rPr>
          <w:sz w:val="18"/>
          <w:szCs w:val="18"/>
          <w:lang w:val="ru-RU"/>
        </w:rPr>
        <w:t xml:space="preserve"> </w:t>
      </w:r>
      <w:r>
        <w:rPr>
          <w:sz w:val="18"/>
          <w:szCs w:val="18"/>
          <w:lang w:val="ru-RU"/>
        </w:rPr>
        <w:t>ответа</w:t>
      </w:r>
      <w:r w:rsidRPr="005355EE">
        <w:rPr>
          <w:sz w:val="18"/>
          <w:szCs w:val="18"/>
          <w:lang w:val="ru-RU"/>
        </w:rPr>
        <w:t xml:space="preserve"> </w:t>
      </w:r>
      <w:r>
        <w:rPr>
          <w:sz w:val="18"/>
          <w:szCs w:val="18"/>
          <w:lang w:val="ru-RU"/>
        </w:rPr>
        <w:t>«Да</w:t>
      </w:r>
      <w:r w:rsidRPr="005355EE">
        <w:rPr>
          <w:sz w:val="18"/>
          <w:szCs w:val="18"/>
          <w:lang w:val="ru-RU"/>
        </w:rPr>
        <w:t xml:space="preserve">, </w:t>
      </w:r>
      <w:r>
        <w:rPr>
          <w:sz w:val="18"/>
          <w:szCs w:val="18"/>
          <w:lang w:val="ru-RU"/>
        </w:rPr>
        <w:t>в некоторой степени»</w:t>
      </w:r>
      <w:r w:rsidRPr="005355EE">
        <w:rPr>
          <w:sz w:val="18"/>
          <w:szCs w:val="18"/>
          <w:lang w:val="ru-RU"/>
        </w:rPr>
        <w:t>.</w:t>
      </w:r>
    </w:p>
  </w:footnote>
  <w:footnote w:id="63">
    <w:p w14:paraId="05C06C11" w14:textId="4BE21E2A" w:rsidR="003926D8" w:rsidRPr="005355EE" w:rsidRDefault="003926D8" w:rsidP="004569FB">
      <w:pPr>
        <w:pStyle w:val="aa"/>
        <w:rPr>
          <w:sz w:val="18"/>
          <w:szCs w:val="18"/>
          <w:lang w:val="ru-RU"/>
        </w:rPr>
      </w:pPr>
      <w:r w:rsidRPr="008D6A50">
        <w:rPr>
          <w:rStyle w:val="ac"/>
          <w:sz w:val="18"/>
          <w:szCs w:val="18"/>
        </w:rPr>
        <w:footnoteRef/>
      </w:r>
      <w:r w:rsidRPr="005355EE">
        <w:rPr>
          <w:sz w:val="18"/>
          <w:szCs w:val="18"/>
          <w:lang w:val="ru-RU"/>
        </w:rPr>
        <w:t xml:space="preserve"> </w:t>
      </w:r>
      <w:r>
        <w:rPr>
          <w:sz w:val="18"/>
          <w:szCs w:val="18"/>
          <w:lang w:val="ru-RU"/>
        </w:rPr>
        <w:t>Эта</w:t>
      </w:r>
      <w:r w:rsidRPr="005355EE">
        <w:rPr>
          <w:sz w:val="18"/>
          <w:szCs w:val="18"/>
          <w:lang w:val="ru-RU"/>
        </w:rPr>
        <w:t xml:space="preserve"> </w:t>
      </w:r>
      <w:r>
        <w:rPr>
          <w:sz w:val="18"/>
          <w:szCs w:val="18"/>
          <w:lang w:val="ru-RU"/>
        </w:rPr>
        <w:t>информация</w:t>
      </w:r>
      <w:r w:rsidRPr="005355EE">
        <w:rPr>
          <w:sz w:val="18"/>
          <w:szCs w:val="18"/>
          <w:lang w:val="ru-RU"/>
        </w:rPr>
        <w:t xml:space="preserve"> </w:t>
      </w:r>
      <w:r>
        <w:rPr>
          <w:sz w:val="18"/>
          <w:szCs w:val="18"/>
          <w:lang w:val="ru-RU"/>
        </w:rPr>
        <w:t>не</w:t>
      </w:r>
      <w:r w:rsidRPr="005355EE">
        <w:rPr>
          <w:sz w:val="18"/>
          <w:szCs w:val="18"/>
          <w:lang w:val="ru-RU"/>
        </w:rPr>
        <w:t xml:space="preserve"> </w:t>
      </w:r>
      <w:r>
        <w:rPr>
          <w:sz w:val="18"/>
          <w:szCs w:val="18"/>
          <w:lang w:val="ru-RU"/>
        </w:rPr>
        <w:t>предоставлялась</w:t>
      </w:r>
      <w:r w:rsidRPr="005355EE">
        <w:rPr>
          <w:sz w:val="18"/>
          <w:szCs w:val="18"/>
          <w:lang w:val="ru-RU"/>
        </w:rPr>
        <w:t xml:space="preserve"> </w:t>
      </w:r>
      <w:r>
        <w:rPr>
          <w:sz w:val="18"/>
          <w:szCs w:val="18"/>
          <w:lang w:val="ru-RU"/>
        </w:rPr>
        <w:t>в</w:t>
      </w:r>
      <w:r w:rsidRPr="005355EE">
        <w:rPr>
          <w:sz w:val="18"/>
          <w:szCs w:val="18"/>
          <w:lang w:val="ru-RU"/>
        </w:rPr>
        <w:t xml:space="preserve"> </w:t>
      </w:r>
      <w:r>
        <w:rPr>
          <w:sz w:val="18"/>
          <w:szCs w:val="18"/>
          <w:lang w:val="ru-RU"/>
        </w:rPr>
        <w:t>предшествующих национальных докладах</w:t>
      </w:r>
      <w:r w:rsidRPr="005355EE">
        <w:rPr>
          <w:sz w:val="18"/>
          <w:szCs w:val="18"/>
          <w:lang w:val="ru-RU"/>
        </w:rPr>
        <w:t>.</w:t>
      </w:r>
    </w:p>
  </w:footnote>
  <w:footnote w:id="64">
    <w:p w14:paraId="41FE7D26" w14:textId="7759959B" w:rsidR="003926D8" w:rsidRPr="00790142" w:rsidRDefault="003926D8" w:rsidP="004569FB">
      <w:pPr>
        <w:pStyle w:val="aa"/>
        <w:rPr>
          <w:sz w:val="18"/>
          <w:szCs w:val="18"/>
          <w:lang w:val="ru-RU"/>
        </w:rPr>
      </w:pPr>
      <w:r w:rsidRPr="008D6A50">
        <w:rPr>
          <w:rStyle w:val="ac"/>
          <w:sz w:val="18"/>
          <w:szCs w:val="18"/>
        </w:rPr>
        <w:footnoteRef/>
      </w:r>
      <w:r w:rsidRPr="00790142">
        <w:rPr>
          <w:sz w:val="18"/>
          <w:szCs w:val="18"/>
          <w:lang w:val="ru-RU"/>
        </w:rPr>
        <w:t xml:space="preserve"> </w:t>
      </w:r>
      <w:r>
        <w:rPr>
          <w:sz w:val="18"/>
          <w:szCs w:val="18"/>
          <w:lang w:val="ru-RU"/>
        </w:rPr>
        <w:t>Из</w:t>
      </w:r>
      <w:r w:rsidRPr="00790142">
        <w:rPr>
          <w:sz w:val="18"/>
          <w:szCs w:val="18"/>
          <w:lang w:val="ru-RU"/>
        </w:rPr>
        <w:t xml:space="preserve"> 194 </w:t>
      </w:r>
      <w:r>
        <w:rPr>
          <w:sz w:val="18"/>
          <w:szCs w:val="18"/>
          <w:lang w:val="ru-RU"/>
        </w:rPr>
        <w:t>Сторон</w:t>
      </w:r>
      <w:r w:rsidRPr="00790142">
        <w:rPr>
          <w:sz w:val="18"/>
          <w:szCs w:val="18"/>
          <w:lang w:val="ru-RU"/>
        </w:rPr>
        <w:t xml:space="preserve"> </w:t>
      </w:r>
      <w:r>
        <w:rPr>
          <w:sz w:val="18"/>
          <w:szCs w:val="18"/>
          <w:lang w:val="ru-RU"/>
        </w:rPr>
        <w:t>Конвенции</w:t>
      </w:r>
      <w:r w:rsidRPr="00790142">
        <w:rPr>
          <w:sz w:val="18"/>
          <w:szCs w:val="18"/>
          <w:lang w:val="ru-RU"/>
        </w:rPr>
        <w:t xml:space="preserve"> </w:t>
      </w:r>
      <w:r>
        <w:rPr>
          <w:sz w:val="18"/>
          <w:szCs w:val="18"/>
          <w:lang w:val="ru-RU"/>
        </w:rPr>
        <w:t>на</w:t>
      </w:r>
      <w:r w:rsidRPr="00790142">
        <w:rPr>
          <w:sz w:val="18"/>
          <w:szCs w:val="18"/>
          <w:lang w:val="ru-RU"/>
        </w:rPr>
        <w:t xml:space="preserve"> </w:t>
      </w:r>
      <w:r>
        <w:rPr>
          <w:sz w:val="18"/>
          <w:szCs w:val="18"/>
          <w:lang w:val="ru-RU"/>
        </w:rPr>
        <w:t>тот</w:t>
      </w:r>
      <w:r w:rsidRPr="00790142">
        <w:rPr>
          <w:sz w:val="18"/>
          <w:szCs w:val="18"/>
          <w:lang w:val="ru-RU"/>
        </w:rPr>
        <w:t xml:space="preserve"> </w:t>
      </w:r>
      <w:r>
        <w:rPr>
          <w:sz w:val="18"/>
          <w:szCs w:val="18"/>
          <w:lang w:val="ru-RU"/>
        </w:rPr>
        <w:t>момент</w:t>
      </w:r>
      <w:r w:rsidRPr="00790142">
        <w:rPr>
          <w:sz w:val="18"/>
          <w:szCs w:val="18"/>
          <w:lang w:val="ru-RU"/>
        </w:rPr>
        <w:t>.</w:t>
      </w:r>
    </w:p>
  </w:footnote>
  <w:footnote w:id="65">
    <w:p w14:paraId="5B1404C1" w14:textId="4C587E76" w:rsidR="003926D8" w:rsidRPr="007F37B1" w:rsidRDefault="003926D8" w:rsidP="004569FB">
      <w:pPr>
        <w:pStyle w:val="aa"/>
        <w:rPr>
          <w:sz w:val="18"/>
          <w:szCs w:val="18"/>
          <w:lang w:val="ru-RU"/>
        </w:rPr>
      </w:pPr>
      <w:r w:rsidRPr="008D6A50">
        <w:rPr>
          <w:rStyle w:val="ac"/>
          <w:sz w:val="18"/>
          <w:szCs w:val="18"/>
        </w:rPr>
        <w:footnoteRef/>
      </w:r>
      <w:r w:rsidRPr="007F37B1">
        <w:rPr>
          <w:sz w:val="18"/>
          <w:szCs w:val="18"/>
          <w:lang w:val="ru-RU"/>
        </w:rPr>
        <w:t xml:space="preserve"> </w:t>
      </w:r>
      <w:r>
        <w:rPr>
          <w:sz w:val="18"/>
          <w:szCs w:val="18"/>
          <w:lang w:val="ru-RU"/>
        </w:rPr>
        <w:t>Из</w:t>
      </w:r>
      <w:r w:rsidRPr="007F37B1">
        <w:rPr>
          <w:sz w:val="18"/>
          <w:szCs w:val="18"/>
          <w:lang w:val="ru-RU"/>
        </w:rPr>
        <w:t xml:space="preserve"> 196 </w:t>
      </w:r>
      <w:r>
        <w:rPr>
          <w:sz w:val="18"/>
          <w:szCs w:val="18"/>
          <w:lang w:val="ru-RU"/>
        </w:rPr>
        <w:t>Сторон</w:t>
      </w:r>
      <w:r w:rsidRPr="00790142">
        <w:rPr>
          <w:sz w:val="18"/>
          <w:szCs w:val="18"/>
          <w:lang w:val="ru-RU"/>
        </w:rPr>
        <w:t xml:space="preserve"> </w:t>
      </w:r>
      <w:r>
        <w:rPr>
          <w:sz w:val="18"/>
          <w:szCs w:val="18"/>
          <w:lang w:val="ru-RU"/>
        </w:rPr>
        <w:t>Конвенции</w:t>
      </w:r>
      <w:r w:rsidRPr="00790142">
        <w:rPr>
          <w:sz w:val="18"/>
          <w:szCs w:val="18"/>
          <w:lang w:val="ru-RU"/>
        </w:rPr>
        <w:t xml:space="preserve"> </w:t>
      </w:r>
      <w:r>
        <w:rPr>
          <w:sz w:val="18"/>
          <w:szCs w:val="18"/>
          <w:lang w:val="ru-RU"/>
        </w:rPr>
        <w:t>на</w:t>
      </w:r>
      <w:r w:rsidRPr="00790142">
        <w:rPr>
          <w:sz w:val="18"/>
          <w:szCs w:val="18"/>
          <w:lang w:val="ru-RU"/>
        </w:rPr>
        <w:t xml:space="preserve"> </w:t>
      </w:r>
      <w:r>
        <w:rPr>
          <w:sz w:val="18"/>
          <w:szCs w:val="18"/>
          <w:lang w:val="ru-RU"/>
        </w:rPr>
        <w:t>тот</w:t>
      </w:r>
      <w:r w:rsidRPr="00790142">
        <w:rPr>
          <w:sz w:val="18"/>
          <w:szCs w:val="18"/>
          <w:lang w:val="ru-RU"/>
        </w:rPr>
        <w:t xml:space="preserve"> </w:t>
      </w:r>
      <w:r>
        <w:rPr>
          <w:sz w:val="18"/>
          <w:szCs w:val="18"/>
          <w:lang w:val="ru-RU"/>
        </w:rPr>
        <w:t>момент</w:t>
      </w:r>
      <w:r w:rsidRPr="007F37B1">
        <w:rPr>
          <w:sz w:val="18"/>
          <w:szCs w:val="18"/>
          <w:lang w:val="ru-RU"/>
        </w:rPr>
        <w:t>.</w:t>
      </w:r>
    </w:p>
  </w:footnote>
  <w:footnote w:id="66">
    <w:p w14:paraId="38A73806" w14:textId="3C658BAC" w:rsidR="003926D8" w:rsidRPr="00C46DCE" w:rsidRDefault="003926D8">
      <w:pPr>
        <w:pStyle w:val="aa"/>
        <w:rPr>
          <w:lang w:val="ru-RU"/>
        </w:rPr>
      </w:pPr>
      <w:r>
        <w:rPr>
          <w:rStyle w:val="ac"/>
        </w:rPr>
        <w:footnoteRef/>
      </w:r>
      <w:r w:rsidRPr="00DF2A36">
        <w:rPr>
          <w:lang w:val="ru-RU"/>
        </w:rPr>
        <w:t xml:space="preserve"> </w:t>
      </w:r>
      <w:r w:rsidRPr="00F2149A">
        <w:rPr>
          <w:sz w:val="18"/>
          <w:szCs w:val="18"/>
          <w:lang w:val="ru-RU"/>
        </w:rPr>
        <w:t>Инициатив</w:t>
      </w:r>
      <w:r>
        <w:rPr>
          <w:sz w:val="18"/>
          <w:szCs w:val="18"/>
          <w:lang w:val="ru-RU"/>
        </w:rPr>
        <w:t>а</w:t>
      </w:r>
      <w:r w:rsidRPr="00DF2A36">
        <w:rPr>
          <w:sz w:val="18"/>
          <w:szCs w:val="18"/>
          <w:lang w:val="ru-RU"/>
        </w:rPr>
        <w:t xml:space="preserve"> </w:t>
      </w:r>
      <w:r w:rsidRPr="00F2149A">
        <w:rPr>
          <w:sz w:val="18"/>
          <w:szCs w:val="18"/>
          <w:lang w:val="ru-RU"/>
        </w:rPr>
        <w:t>Экологическая</w:t>
      </w:r>
      <w:r w:rsidRPr="00DF2A36">
        <w:rPr>
          <w:sz w:val="18"/>
          <w:szCs w:val="18"/>
          <w:lang w:val="ru-RU"/>
        </w:rPr>
        <w:t xml:space="preserve"> </w:t>
      </w:r>
      <w:r w:rsidRPr="00F2149A">
        <w:rPr>
          <w:sz w:val="18"/>
          <w:szCs w:val="18"/>
          <w:lang w:val="ru-RU"/>
        </w:rPr>
        <w:t>таможня</w:t>
      </w:r>
      <w:r w:rsidRPr="00DF2A36">
        <w:rPr>
          <w:sz w:val="18"/>
          <w:szCs w:val="18"/>
          <w:lang w:val="ru-RU"/>
        </w:rPr>
        <w:t xml:space="preserve"> – </w:t>
      </w:r>
      <w:r>
        <w:rPr>
          <w:sz w:val="18"/>
          <w:szCs w:val="18"/>
          <w:lang w:val="ru-RU"/>
        </w:rPr>
        <w:t>это</w:t>
      </w:r>
      <w:r w:rsidRPr="00DF2A36">
        <w:rPr>
          <w:sz w:val="18"/>
          <w:szCs w:val="18"/>
          <w:lang w:val="ru-RU"/>
        </w:rPr>
        <w:t xml:space="preserve"> </w:t>
      </w:r>
      <w:r>
        <w:rPr>
          <w:sz w:val="18"/>
          <w:szCs w:val="18"/>
          <w:lang w:val="ru-RU"/>
        </w:rPr>
        <w:t>партнерство</w:t>
      </w:r>
      <w:r w:rsidRPr="00DF2A36">
        <w:rPr>
          <w:sz w:val="18"/>
          <w:szCs w:val="18"/>
          <w:lang w:val="ru-RU"/>
        </w:rPr>
        <w:t xml:space="preserve"> </w:t>
      </w:r>
      <w:r>
        <w:rPr>
          <w:sz w:val="18"/>
          <w:szCs w:val="18"/>
          <w:lang w:val="ru-RU"/>
        </w:rPr>
        <w:t>международных</w:t>
      </w:r>
      <w:r w:rsidRPr="00DF2A36">
        <w:rPr>
          <w:sz w:val="18"/>
          <w:szCs w:val="18"/>
          <w:lang w:val="ru-RU"/>
        </w:rPr>
        <w:t xml:space="preserve"> </w:t>
      </w:r>
      <w:r>
        <w:rPr>
          <w:sz w:val="18"/>
          <w:szCs w:val="18"/>
          <w:lang w:val="ru-RU"/>
        </w:rPr>
        <w:t>организаций</w:t>
      </w:r>
      <w:r w:rsidRPr="00DF2A36">
        <w:rPr>
          <w:sz w:val="18"/>
          <w:szCs w:val="18"/>
          <w:lang w:val="ru-RU"/>
        </w:rPr>
        <w:t xml:space="preserve">, </w:t>
      </w:r>
      <w:r>
        <w:rPr>
          <w:sz w:val="18"/>
          <w:szCs w:val="18"/>
          <w:lang w:val="ru-RU"/>
        </w:rPr>
        <w:t>сотрудничающих в целях</w:t>
      </w:r>
      <w:r w:rsidRPr="00DF2A36">
        <w:rPr>
          <w:sz w:val="18"/>
          <w:szCs w:val="18"/>
          <w:lang w:val="ru-RU"/>
        </w:rPr>
        <w:t xml:space="preserve"> расширени</w:t>
      </w:r>
      <w:r>
        <w:rPr>
          <w:sz w:val="18"/>
          <w:szCs w:val="18"/>
          <w:lang w:val="ru-RU"/>
        </w:rPr>
        <w:t>я</w:t>
      </w:r>
      <w:r w:rsidRPr="00DF2A36">
        <w:rPr>
          <w:sz w:val="18"/>
          <w:szCs w:val="18"/>
          <w:lang w:val="ru-RU"/>
        </w:rPr>
        <w:t xml:space="preserve"> возможностей сотрудников таможен и других органов</w:t>
      </w:r>
      <w:r>
        <w:rPr>
          <w:sz w:val="18"/>
          <w:szCs w:val="18"/>
          <w:lang w:val="ru-RU"/>
        </w:rPr>
        <w:t xml:space="preserve"> пограничного контроля по </w:t>
      </w:r>
      <w:r w:rsidRPr="00DF2A36">
        <w:rPr>
          <w:sz w:val="18"/>
          <w:szCs w:val="18"/>
          <w:lang w:val="ru-RU"/>
        </w:rPr>
        <w:t>пров</w:t>
      </w:r>
      <w:r>
        <w:rPr>
          <w:sz w:val="18"/>
          <w:szCs w:val="18"/>
          <w:lang w:val="ru-RU"/>
        </w:rPr>
        <w:t>едению</w:t>
      </w:r>
      <w:r w:rsidRPr="00DF2A36">
        <w:rPr>
          <w:sz w:val="18"/>
          <w:szCs w:val="18"/>
          <w:lang w:val="ru-RU"/>
        </w:rPr>
        <w:t xml:space="preserve"> мониторинг</w:t>
      </w:r>
      <w:r>
        <w:rPr>
          <w:sz w:val="18"/>
          <w:szCs w:val="18"/>
          <w:lang w:val="ru-RU"/>
        </w:rPr>
        <w:t>а</w:t>
      </w:r>
      <w:r w:rsidRPr="00DF2A36">
        <w:rPr>
          <w:sz w:val="18"/>
          <w:szCs w:val="18"/>
          <w:lang w:val="ru-RU"/>
        </w:rPr>
        <w:t xml:space="preserve"> законной торговли и оказ</w:t>
      </w:r>
      <w:r>
        <w:rPr>
          <w:sz w:val="18"/>
          <w:szCs w:val="18"/>
          <w:lang w:val="ru-RU"/>
        </w:rPr>
        <w:t>анию</w:t>
      </w:r>
      <w:r w:rsidRPr="00DF2A36">
        <w:rPr>
          <w:sz w:val="18"/>
          <w:szCs w:val="18"/>
          <w:lang w:val="ru-RU"/>
        </w:rPr>
        <w:t xml:space="preserve"> ей содействи</w:t>
      </w:r>
      <w:r>
        <w:rPr>
          <w:sz w:val="18"/>
          <w:szCs w:val="18"/>
          <w:lang w:val="ru-RU"/>
        </w:rPr>
        <w:t>я</w:t>
      </w:r>
      <w:r w:rsidRPr="00DF2A36">
        <w:rPr>
          <w:sz w:val="18"/>
          <w:szCs w:val="18"/>
          <w:lang w:val="ru-RU"/>
        </w:rPr>
        <w:t xml:space="preserve"> и выявл</w:t>
      </w:r>
      <w:r>
        <w:rPr>
          <w:sz w:val="18"/>
          <w:szCs w:val="18"/>
          <w:lang w:val="ru-RU"/>
        </w:rPr>
        <w:t>ению</w:t>
      </w:r>
      <w:r w:rsidRPr="00DF2A36">
        <w:rPr>
          <w:sz w:val="18"/>
          <w:szCs w:val="18"/>
          <w:lang w:val="ru-RU"/>
        </w:rPr>
        <w:t xml:space="preserve"> и предотвращ</w:t>
      </w:r>
      <w:r>
        <w:rPr>
          <w:sz w:val="18"/>
          <w:szCs w:val="18"/>
          <w:lang w:val="ru-RU"/>
        </w:rPr>
        <w:t>ению</w:t>
      </w:r>
      <w:r w:rsidRPr="00DF2A36">
        <w:rPr>
          <w:sz w:val="18"/>
          <w:szCs w:val="18"/>
          <w:lang w:val="ru-RU"/>
        </w:rPr>
        <w:t xml:space="preserve"> незаконн</w:t>
      </w:r>
      <w:r>
        <w:rPr>
          <w:sz w:val="18"/>
          <w:szCs w:val="18"/>
          <w:lang w:val="ru-RU"/>
        </w:rPr>
        <w:t>ой</w:t>
      </w:r>
      <w:r w:rsidRPr="00DF2A36">
        <w:rPr>
          <w:sz w:val="18"/>
          <w:szCs w:val="18"/>
          <w:lang w:val="ru-RU"/>
        </w:rPr>
        <w:t xml:space="preserve"> торговл</w:t>
      </w:r>
      <w:r>
        <w:rPr>
          <w:sz w:val="18"/>
          <w:szCs w:val="18"/>
          <w:lang w:val="ru-RU"/>
        </w:rPr>
        <w:t>и</w:t>
      </w:r>
      <w:r w:rsidRPr="00DF2A36">
        <w:rPr>
          <w:sz w:val="18"/>
          <w:szCs w:val="18"/>
          <w:lang w:val="ru-RU"/>
        </w:rPr>
        <w:t xml:space="preserve"> теми товарами, воздействующими на экологию,</w:t>
      </w:r>
      <w:r w:rsidRPr="00DF2A36">
        <w:rPr>
          <w:rFonts w:eastAsia="Times New Roman" w:cs="Times New Roman"/>
          <w:sz w:val="24"/>
          <w:szCs w:val="24"/>
          <w:lang w:val="ru-RU" w:eastAsia="ru-RU"/>
        </w:rPr>
        <w:t xml:space="preserve"> </w:t>
      </w:r>
      <w:r w:rsidRPr="00DF2A36">
        <w:rPr>
          <w:sz w:val="18"/>
          <w:szCs w:val="18"/>
          <w:lang w:val="ru-RU"/>
        </w:rPr>
        <w:t>которые входят в сферу компетенции</w:t>
      </w:r>
      <w:r>
        <w:rPr>
          <w:sz w:val="18"/>
          <w:szCs w:val="18"/>
          <w:lang w:val="ru-RU"/>
        </w:rPr>
        <w:t xml:space="preserve"> определенных многосторонних природоохранных соглашений и организаций</w:t>
      </w:r>
      <w:r w:rsidRPr="00DF2A36">
        <w:rPr>
          <w:sz w:val="18"/>
          <w:szCs w:val="18"/>
          <w:lang w:val="ru-RU"/>
        </w:rPr>
        <w:t xml:space="preserve">. </w:t>
      </w:r>
      <w:r>
        <w:rPr>
          <w:sz w:val="18"/>
          <w:szCs w:val="18"/>
          <w:lang w:val="ru-RU"/>
        </w:rPr>
        <w:t>Партнерами</w:t>
      </w:r>
      <w:r w:rsidRPr="00C46DCE">
        <w:rPr>
          <w:sz w:val="18"/>
          <w:szCs w:val="18"/>
          <w:lang w:val="ru-RU"/>
        </w:rPr>
        <w:t xml:space="preserve"> </w:t>
      </w:r>
      <w:r>
        <w:rPr>
          <w:sz w:val="18"/>
          <w:szCs w:val="18"/>
          <w:lang w:val="ru-RU"/>
        </w:rPr>
        <w:t>в</w:t>
      </w:r>
      <w:r w:rsidRPr="00C46DCE">
        <w:rPr>
          <w:sz w:val="18"/>
          <w:szCs w:val="18"/>
          <w:lang w:val="ru-RU"/>
        </w:rPr>
        <w:t xml:space="preserve"> </w:t>
      </w:r>
      <w:r>
        <w:rPr>
          <w:sz w:val="18"/>
          <w:szCs w:val="18"/>
          <w:lang w:val="ru-RU"/>
        </w:rPr>
        <w:t>рамках</w:t>
      </w:r>
      <w:r w:rsidRPr="00C46DCE">
        <w:rPr>
          <w:sz w:val="18"/>
          <w:szCs w:val="18"/>
          <w:lang w:val="ru-RU"/>
        </w:rPr>
        <w:t xml:space="preserve"> </w:t>
      </w:r>
      <w:proofErr w:type="spellStart"/>
      <w:r>
        <w:rPr>
          <w:sz w:val="18"/>
          <w:szCs w:val="18"/>
          <w:lang w:val="ru-RU"/>
        </w:rPr>
        <w:t>ИЭТ</w:t>
      </w:r>
      <w:proofErr w:type="spellEnd"/>
      <w:r w:rsidRPr="00C46DCE">
        <w:rPr>
          <w:sz w:val="18"/>
          <w:szCs w:val="18"/>
          <w:lang w:val="ru-RU"/>
        </w:rPr>
        <w:t xml:space="preserve"> </w:t>
      </w:r>
      <w:r>
        <w:rPr>
          <w:sz w:val="18"/>
          <w:szCs w:val="18"/>
          <w:lang w:val="ru-RU"/>
        </w:rPr>
        <w:t>являются</w:t>
      </w:r>
      <w:r w:rsidRPr="00C46DCE">
        <w:rPr>
          <w:sz w:val="18"/>
          <w:szCs w:val="18"/>
          <w:lang w:val="ru-RU"/>
        </w:rPr>
        <w:t xml:space="preserve">: </w:t>
      </w:r>
      <w:r>
        <w:rPr>
          <w:sz w:val="18"/>
          <w:szCs w:val="18"/>
          <w:lang w:val="ru-RU"/>
        </w:rPr>
        <w:t>секретариаты</w:t>
      </w:r>
      <w:r w:rsidRPr="00C46DCE">
        <w:rPr>
          <w:sz w:val="18"/>
          <w:szCs w:val="18"/>
          <w:lang w:val="ru-RU"/>
        </w:rPr>
        <w:t xml:space="preserve"> </w:t>
      </w:r>
      <w:proofErr w:type="spellStart"/>
      <w:r>
        <w:rPr>
          <w:sz w:val="18"/>
          <w:szCs w:val="18"/>
          <w:lang w:val="ru-RU"/>
        </w:rPr>
        <w:t>Базельской</w:t>
      </w:r>
      <w:proofErr w:type="spellEnd"/>
      <w:r w:rsidRPr="00C46DCE">
        <w:rPr>
          <w:sz w:val="18"/>
          <w:szCs w:val="18"/>
          <w:lang w:val="ru-RU"/>
        </w:rPr>
        <w:t xml:space="preserve">, </w:t>
      </w:r>
      <w:r>
        <w:rPr>
          <w:sz w:val="18"/>
          <w:szCs w:val="18"/>
          <w:lang w:val="ru-RU"/>
        </w:rPr>
        <w:t>Стокгольмской</w:t>
      </w:r>
      <w:r w:rsidRPr="00C46DCE">
        <w:rPr>
          <w:sz w:val="18"/>
          <w:szCs w:val="18"/>
          <w:lang w:val="ru-RU"/>
        </w:rPr>
        <w:t xml:space="preserve"> </w:t>
      </w:r>
      <w:r>
        <w:rPr>
          <w:sz w:val="18"/>
          <w:szCs w:val="18"/>
          <w:lang w:val="ru-RU"/>
        </w:rPr>
        <w:t>и</w:t>
      </w:r>
      <w:r w:rsidRPr="00C46DCE">
        <w:rPr>
          <w:sz w:val="18"/>
          <w:szCs w:val="18"/>
          <w:lang w:val="ru-RU"/>
        </w:rPr>
        <w:t xml:space="preserve"> </w:t>
      </w:r>
      <w:proofErr w:type="spellStart"/>
      <w:r>
        <w:rPr>
          <w:sz w:val="18"/>
          <w:szCs w:val="18"/>
          <w:lang w:val="ru-RU"/>
        </w:rPr>
        <w:t>Роттердамской</w:t>
      </w:r>
      <w:proofErr w:type="spellEnd"/>
      <w:r w:rsidRPr="00C46DCE">
        <w:rPr>
          <w:sz w:val="18"/>
          <w:szCs w:val="18"/>
          <w:lang w:val="ru-RU"/>
        </w:rPr>
        <w:t xml:space="preserve"> </w:t>
      </w:r>
      <w:r>
        <w:rPr>
          <w:sz w:val="18"/>
          <w:szCs w:val="18"/>
          <w:lang w:val="ru-RU"/>
        </w:rPr>
        <w:t>конвенций</w:t>
      </w:r>
      <w:r w:rsidRPr="00C46DCE">
        <w:rPr>
          <w:sz w:val="18"/>
          <w:szCs w:val="18"/>
          <w:lang w:val="ru-RU"/>
        </w:rPr>
        <w:t xml:space="preserve">; </w:t>
      </w:r>
      <w:r>
        <w:rPr>
          <w:sz w:val="18"/>
          <w:szCs w:val="18"/>
          <w:lang w:val="ru-RU"/>
        </w:rPr>
        <w:t>К</w:t>
      </w:r>
      <w:r w:rsidR="003F3B25">
        <w:rPr>
          <w:sz w:val="18"/>
          <w:szCs w:val="18"/>
          <w:lang w:val="ru-RU"/>
        </w:rPr>
        <w:t>онвенции о биологическом разнообразии</w:t>
      </w:r>
      <w:r w:rsidRPr="00C46DCE">
        <w:rPr>
          <w:sz w:val="18"/>
          <w:szCs w:val="18"/>
          <w:lang w:val="ru-RU"/>
        </w:rPr>
        <w:t>; Конвенци</w:t>
      </w:r>
      <w:r>
        <w:rPr>
          <w:sz w:val="18"/>
          <w:szCs w:val="18"/>
          <w:lang w:val="ru-RU"/>
        </w:rPr>
        <w:t>и</w:t>
      </w:r>
      <w:r w:rsidRPr="00C46DCE">
        <w:rPr>
          <w:sz w:val="18"/>
          <w:szCs w:val="18"/>
          <w:lang w:val="ru-RU"/>
        </w:rPr>
        <w:t xml:space="preserve"> о международной торговле видами дикой фауны и флоры, находящимися под угрозой исчезновения (</w:t>
      </w:r>
      <w:proofErr w:type="spellStart"/>
      <w:r>
        <w:rPr>
          <w:sz w:val="18"/>
          <w:szCs w:val="18"/>
          <w:lang w:val="ru-RU"/>
        </w:rPr>
        <w:t>СИТЕС</w:t>
      </w:r>
      <w:proofErr w:type="spellEnd"/>
      <w:r w:rsidRPr="00C46DCE">
        <w:rPr>
          <w:sz w:val="18"/>
          <w:szCs w:val="18"/>
          <w:lang w:val="ru-RU"/>
        </w:rPr>
        <w:t>); Венск</w:t>
      </w:r>
      <w:r>
        <w:rPr>
          <w:sz w:val="18"/>
          <w:szCs w:val="18"/>
          <w:lang w:val="ru-RU"/>
        </w:rPr>
        <w:t>ой</w:t>
      </w:r>
      <w:r w:rsidRPr="00C46DCE">
        <w:rPr>
          <w:sz w:val="18"/>
          <w:szCs w:val="18"/>
          <w:lang w:val="ru-RU"/>
        </w:rPr>
        <w:t xml:space="preserve"> конвенци</w:t>
      </w:r>
      <w:r>
        <w:rPr>
          <w:sz w:val="18"/>
          <w:szCs w:val="18"/>
          <w:lang w:val="ru-RU"/>
        </w:rPr>
        <w:t>и</w:t>
      </w:r>
      <w:r w:rsidRPr="00C46DCE">
        <w:rPr>
          <w:sz w:val="18"/>
          <w:szCs w:val="18"/>
          <w:lang w:val="ru-RU"/>
        </w:rPr>
        <w:t xml:space="preserve"> об охране озонового слоя</w:t>
      </w:r>
      <w:r w:rsidR="003F3B25">
        <w:rPr>
          <w:sz w:val="18"/>
          <w:szCs w:val="18"/>
          <w:lang w:val="ru-RU"/>
        </w:rPr>
        <w:t xml:space="preserve"> и</w:t>
      </w:r>
      <w:r w:rsidRPr="00C46DCE">
        <w:rPr>
          <w:sz w:val="18"/>
          <w:szCs w:val="18"/>
          <w:lang w:val="ru-RU"/>
        </w:rPr>
        <w:t xml:space="preserve"> </w:t>
      </w:r>
      <w:proofErr w:type="spellStart"/>
      <w:r w:rsidRPr="00C46DCE">
        <w:rPr>
          <w:sz w:val="18"/>
          <w:szCs w:val="18"/>
          <w:lang w:val="ru-RU"/>
        </w:rPr>
        <w:t>Монреальск</w:t>
      </w:r>
      <w:r>
        <w:rPr>
          <w:sz w:val="18"/>
          <w:szCs w:val="18"/>
          <w:lang w:val="ru-RU"/>
        </w:rPr>
        <w:t>ого</w:t>
      </w:r>
      <w:proofErr w:type="spellEnd"/>
      <w:r w:rsidRPr="00C46DCE">
        <w:rPr>
          <w:sz w:val="18"/>
          <w:szCs w:val="18"/>
          <w:lang w:val="ru-RU"/>
        </w:rPr>
        <w:t xml:space="preserve"> протокол</w:t>
      </w:r>
      <w:r>
        <w:rPr>
          <w:sz w:val="18"/>
          <w:szCs w:val="18"/>
          <w:lang w:val="ru-RU"/>
        </w:rPr>
        <w:t>а</w:t>
      </w:r>
      <w:r w:rsidRPr="00C46DCE">
        <w:rPr>
          <w:sz w:val="18"/>
          <w:szCs w:val="18"/>
          <w:lang w:val="ru-RU"/>
        </w:rPr>
        <w:t xml:space="preserve"> по веществам, разрушающим озоновый слой; </w:t>
      </w:r>
      <w:proofErr w:type="spellStart"/>
      <w:r w:rsidRPr="00C46DCE">
        <w:rPr>
          <w:sz w:val="18"/>
          <w:szCs w:val="18"/>
          <w:lang w:val="ru-RU"/>
        </w:rPr>
        <w:t>Минаматск</w:t>
      </w:r>
      <w:r>
        <w:rPr>
          <w:sz w:val="18"/>
          <w:szCs w:val="18"/>
          <w:lang w:val="ru-RU"/>
        </w:rPr>
        <w:t>ой</w:t>
      </w:r>
      <w:proofErr w:type="spellEnd"/>
      <w:r>
        <w:rPr>
          <w:sz w:val="18"/>
          <w:szCs w:val="18"/>
          <w:lang w:val="ru-RU"/>
        </w:rPr>
        <w:t xml:space="preserve"> </w:t>
      </w:r>
      <w:r w:rsidRPr="00C46DCE">
        <w:rPr>
          <w:sz w:val="18"/>
          <w:szCs w:val="18"/>
          <w:lang w:val="ru-RU"/>
        </w:rPr>
        <w:t>конвенци</w:t>
      </w:r>
      <w:r>
        <w:rPr>
          <w:sz w:val="18"/>
          <w:szCs w:val="18"/>
          <w:lang w:val="ru-RU"/>
        </w:rPr>
        <w:t>и</w:t>
      </w:r>
      <w:r w:rsidRPr="00C46DCE">
        <w:rPr>
          <w:sz w:val="18"/>
          <w:szCs w:val="18"/>
          <w:lang w:val="ru-RU"/>
        </w:rPr>
        <w:t xml:space="preserve"> о ртути; </w:t>
      </w:r>
      <w:r>
        <w:rPr>
          <w:sz w:val="18"/>
          <w:szCs w:val="18"/>
          <w:lang w:val="ru-RU"/>
        </w:rPr>
        <w:t>а также Интерпол</w:t>
      </w:r>
      <w:r w:rsidR="003F3B25">
        <w:rPr>
          <w:sz w:val="18"/>
          <w:szCs w:val="18"/>
          <w:lang w:val="ru-RU"/>
        </w:rPr>
        <w:t>,</w:t>
      </w:r>
      <w:r w:rsidRPr="00C46DCE">
        <w:rPr>
          <w:sz w:val="18"/>
          <w:szCs w:val="18"/>
          <w:lang w:val="ru-RU"/>
        </w:rPr>
        <w:t xml:space="preserve"> Управление Организации Объединенных Наций по наркотикам и преступности (</w:t>
      </w:r>
      <w:proofErr w:type="spellStart"/>
      <w:r>
        <w:rPr>
          <w:sz w:val="18"/>
          <w:szCs w:val="18"/>
          <w:lang w:val="ru-RU"/>
        </w:rPr>
        <w:t>УНП</w:t>
      </w:r>
      <w:proofErr w:type="spellEnd"/>
      <w:r>
        <w:rPr>
          <w:sz w:val="18"/>
          <w:szCs w:val="18"/>
          <w:lang w:val="ru-RU"/>
        </w:rPr>
        <w:t xml:space="preserve"> ООН</w:t>
      </w:r>
      <w:r w:rsidR="003F3B25">
        <w:rPr>
          <w:sz w:val="18"/>
          <w:szCs w:val="18"/>
          <w:lang w:val="ru-RU"/>
        </w:rPr>
        <w:t>),</w:t>
      </w:r>
      <w:r w:rsidRPr="00C46DCE">
        <w:rPr>
          <w:sz w:val="18"/>
          <w:szCs w:val="18"/>
          <w:lang w:val="ru-RU"/>
        </w:rPr>
        <w:t xml:space="preserve"> </w:t>
      </w:r>
      <w:r>
        <w:rPr>
          <w:sz w:val="18"/>
          <w:szCs w:val="18"/>
          <w:lang w:val="ru-RU"/>
        </w:rPr>
        <w:t>Всемирная таможенная организация</w:t>
      </w:r>
      <w:r w:rsidRPr="00C46DCE">
        <w:rPr>
          <w:sz w:val="18"/>
          <w:szCs w:val="18"/>
          <w:lang w:val="ru-RU"/>
        </w:rPr>
        <w:t xml:space="preserve"> (</w:t>
      </w:r>
      <w:proofErr w:type="spellStart"/>
      <w:r>
        <w:rPr>
          <w:sz w:val="18"/>
          <w:szCs w:val="18"/>
          <w:lang w:val="ru-RU"/>
        </w:rPr>
        <w:t>ВТамО</w:t>
      </w:r>
      <w:proofErr w:type="spellEnd"/>
      <w:r w:rsidRPr="00C46DCE">
        <w:rPr>
          <w:sz w:val="18"/>
          <w:szCs w:val="18"/>
          <w:lang w:val="ru-RU"/>
        </w:rPr>
        <w:t>)</w:t>
      </w:r>
      <w:r w:rsidR="003F3B25">
        <w:rPr>
          <w:sz w:val="18"/>
          <w:szCs w:val="18"/>
          <w:lang w:val="ru-RU"/>
        </w:rPr>
        <w:t xml:space="preserve"> и</w:t>
      </w:r>
      <w:r w:rsidRPr="00C46DCE">
        <w:rPr>
          <w:sz w:val="18"/>
          <w:szCs w:val="18"/>
          <w:lang w:val="ru-RU"/>
        </w:rPr>
        <w:t xml:space="preserve"> </w:t>
      </w:r>
      <w:r>
        <w:rPr>
          <w:sz w:val="18"/>
          <w:szCs w:val="18"/>
          <w:lang w:val="ru-RU"/>
        </w:rPr>
        <w:t xml:space="preserve">программа </w:t>
      </w:r>
      <w:proofErr w:type="spellStart"/>
      <w:r w:rsidR="003F3B25">
        <w:rPr>
          <w:sz w:val="18"/>
          <w:szCs w:val="18"/>
          <w:lang w:val="ru-RU"/>
        </w:rPr>
        <w:t>ЮНЕП</w:t>
      </w:r>
      <w:proofErr w:type="spellEnd"/>
      <w:r w:rsidR="003F3B25">
        <w:rPr>
          <w:sz w:val="18"/>
          <w:szCs w:val="18"/>
          <w:lang w:val="ru-RU"/>
        </w:rPr>
        <w:t xml:space="preserve"> </w:t>
      </w:r>
      <w:r>
        <w:rPr>
          <w:sz w:val="18"/>
          <w:szCs w:val="18"/>
          <w:lang w:val="ru-RU"/>
        </w:rPr>
        <w:t>«</w:t>
      </w:r>
      <w:proofErr w:type="spellStart"/>
      <w:r w:rsidRPr="007633FD">
        <w:rPr>
          <w:sz w:val="18"/>
          <w:szCs w:val="18"/>
          <w:lang w:val="ru-RU"/>
        </w:rPr>
        <w:t>ОзонЭкшн</w:t>
      </w:r>
      <w:proofErr w:type="spellEnd"/>
      <w:r>
        <w:rPr>
          <w:sz w:val="18"/>
          <w:szCs w:val="18"/>
          <w:lang w:val="ru-RU"/>
        </w:rPr>
        <w:t>»</w:t>
      </w:r>
      <w:r w:rsidRPr="00C46DCE">
        <w:rPr>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fr-FR"/>
      </w:rPr>
      <w:alias w:val="Subject"/>
      <w:tag w:val=""/>
      <w:id w:val="-913621085"/>
      <w:placeholder>
        <w:docPart w:val="82182D0F2EF84A8C865674E788541DAB"/>
      </w:placeholder>
      <w:dataBinding w:prefixMappings="xmlns:ns0='http://purl.org/dc/elements/1.1/' xmlns:ns1='http://schemas.openxmlformats.org/package/2006/metadata/core-properties' " w:xpath="/ns1:coreProperties[1]/ns0:subject[1]" w:storeItemID="{6C3C8BC8-F283-45AE-878A-BAB7291924A1}"/>
      <w:text/>
    </w:sdtPr>
    <w:sdtContent>
      <w:p w14:paraId="2C80F15D" w14:textId="0E2700C8" w:rsidR="003926D8" w:rsidRPr="00985A74" w:rsidRDefault="003926D8" w:rsidP="00497555">
        <w:pPr>
          <w:pStyle w:val="a4"/>
          <w:tabs>
            <w:tab w:val="clear" w:pos="4320"/>
            <w:tab w:val="clear" w:pos="8640"/>
          </w:tabs>
          <w:jc w:val="left"/>
          <w:rPr>
            <w:noProof/>
            <w:lang w:val="fr-FR"/>
          </w:rPr>
        </w:pPr>
        <w:r>
          <w:rPr>
            <w:noProof/>
            <w:lang w:val="fr-FR"/>
          </w:rPr>
          <w:t>CBD/SBI/3/3/Add.1</w:t>
        </w:r>
      </w:p>
    </w:sdtContent>
  </w:sdt>
  <w:p w14:paraId="30E8CE3B" w14:textId="05DF4545" w:rsidR="003926D8" w:rsidRPr="00985A74" w:rsidRDefault="003926D8" w:rsidP="00497555">
    <w:pPr>
      <w:pStyle w:val="a4"/>
      <w:tabs>
        <w:tab w:val="clear" w:pos="4320"/>
        <w:tab w:val="clear" w:pos="8640"/>
      </w:tabs>
      <w:jc w:val="left"/>
      <w:rPr>
        <w:noProof/>
        <w:lang w:val="fr-FR"/>
      </w:rPr>
    </w:pPr>
    <w:r>
      <w:rPr>
        <w:noProof/>
        <w:lang w:val="ru-RU"/>
      </w:rPr>
      <w:t>Страница</w:t>
    </w:r>
    <w:r w:rsidRPr="00985A74">
      <w:rPr>
        <w:noProof/>
        <w:lang w:val="fr-FR"/>
      </w:rPr>
      <w:t xml:space="preserve"> </w:t>
    </w:r>
    <w:r w:rsidRPr="00497555">
      <w:rPr>
        <w:noProof/>
      </w:rPr>
      <w:fldChar w:fldCharType="begin"/>
    </w:r>
    <w:r w:rsidRPr="00985A74">
      <w:rPr>
        <w:noProof/>
        <w:lang w:val="fr-FR"/>
      </w:rPr>
      <w:instrText xml:space="preserve"> PAGE   \* MERGEFORMAT </w:instrText>
    </w:r>
    <w:r w:rsidRPr="00497555">
      <w:rPr>
        <w:noProof/>
      </w:rPr>
      <w:fldChar w:fldCharType="separate"/>
    </w:r>
    <w:r w:rsidR="00A67453">
      <w:rPr>
        <w:noProof/>
        <w:lang w:val="fr-FR"/>
      </w:rPr>
      <w:t>38</w:t>
    </w:r>
    <w:r w:rsidRPr="00497555">
      <w:rPr>
        <w:noProof/>
      </w:rPr>
      <w:fldChar w:fldCharType="end"/>
    </w:r>
  </w:p>
  <w:p w14:paraId="6E3C7A75" w14:textId="77777777" w:rsidR="003926D8" w:rsidRPr="00985A74" w:rsidRDefault="003926D8" w:rsidP="00497555">
    <w:pPr>
      <w:pStyle w:val="a4"/>
      <w:tabs>
        <w:tab w:val="clear" w:pos="4320"/>
        <w:tab w:val="clear" w:pos="8640"/>
      </w:tabs>
      <w:jc w:val="left"/>
      <w:rPr>
        <w:noProof/>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fr-FR"/>
      </w:rPr>
      <w:alias w:val="Subject"/>
      <w:tag w:val=""/>
      <w:id w:val="576799817"/>
      <w:placeholder>
        <w:docPart w:val="CE49E04E20A54C39948CC19C501DFF12"/>
      </w:placeholder>
      <w:dataBinding w:prefixMappings="xmlns:ns0='http://purl.org/dc/elements/1.1/' xmlns:ns1='http://schemas.openxmlformats.org/package/2006/metadata/core-properties' " w:xpath="/ns1:coreProperties[1]/ns0:subject[1]" w:storeItemID="{6C3C8BC8-F283-45AE-878A-BAB7291924A1}"/>
      <w:text/>
    </w:sdtPr>
    <w:sdtContent>
      <w:p w14:paraId="729AF414" w14:textId="0955C3D0" w:rsidR="003926D8" w:rsidRPr="00B44100" w:rsidRDefault="003926D8" w:rsidP="00B44100">
        <w:pPr>
          <w:pStyle w:val="a4"/>
          <w:tabs>
            <w:tab w:val="clear" w:pos="4320"/>
            <w:tab w:val="clear" w:pos="8640"/>
          </w:tabs>
          <w:jc w:val="right"/>
          <w:rPr>
            <w:noProof/>
            <w:lang w:val="fr-FR"/>
          </w:rPr>
        </w:pPr>
        <w:r>
          <w:rPr>
            <w:noProof/>
            <w:lang w:val="fr-FR"/>
          </w:rPr>
          <w:t>CBD/SBI/3/3/Add.1</w:t>
        </w:r>
      </w:p>
    </w:sdtContent>
  </w:sdt>
  <w:p w14:paraId="3D929B4D" w14:textId="2966B3B3" w:rsidR="003926D8" w:rsidRPr="00B44100" w:rsidRDefault="003926D8" w:rsidP="00B44100">
    <w:pPr>
      <w:pStyle w:val="a4"/>
      <w:tabs>
        <w:tab w:val="clear" w:pos="4320"/>
        <w:tab w:val="clear" w:pos="8640"/>
      </w:tabs>
      <w:jc w:val="right"/>
      <w:rPr>
        <w:noProof/>
        <w:lang w:val="fr-FR"/>
      </w:rPr>
    </w:pPr>
    <w:r>
      <w:rPr>
        <w:noProof/>
        <w:lang w:val="ru-RU"/>
      </w:rPr>
      <w:t>Страница</w:t>
    </w:r>
    <w:r w:rsidRPr="00B44100">
      <w:rPr>
        <w:noProof/>
        <w:lang w:val="fr-FR"/>
      </w:rPr>
      <w:t xml:space="preserve"> </w:t>
    </w:r>
    <w:r w:rsidRPr="00497555">
      <w:rPr>
        <w:noProof/>
      </w:rPr>
      <w:fldChar w:fldCharType="begin"/>
    </w:r>
    <w:r w:rsidRPr="00B44100">
      <w:rPr>
        <w:noProof/>
        <w:lang w:val="fr-FR"/>
      </w:rPr>
      <w:instrText xml:space="preserve"> PAGE   \* MERGEFORMAT </w:instrText>
    </w:r>
    <w:r w:rsidRPr="00497555">
      <w:rPr>
        <w:noProof/>
      </w:rPr>
      <w:fldChar w:fldCharType="separate"/>
    </w:r>
    <w:r w:rsidR="00A67453">
      <w:rPr>
        <w:noProof/>
        <w:lang w:val="fr-FR"/>
      </w:rPr>
      <w:t>39</w:t>
    </w:r>
    <w:r w:rsidRPr="00497555">
      <w:rPr>
        <w:noProof/>
      </w:rPr>
      <w:fldChar w:fldCharType="end"/>
    </w:r>
  </w:p>
  <w:p w14:paraId="11934E3A" w14:textId="77777777" w:rsidR="003926D8" w:rsidRPr="00B44100" w:rsidRDefault="003926D8">
    <w:pPr>
      <w:pStyle w:val="a4"/>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576"/>
    <w:multiLevelType w:val="multilevel"/>
    <w:tmpl w:val="ED86F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845F9"/>
    <w:multiLevelType w:val="hybridMultilevel"/>
    <w:tmpl w:val="4B0C9C7E"/>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50F30"/>
    <w:multiLevelType w:val="multilevel"/>
    <w:tmpl w:val="4414482C"/>
    <w:lvl w:ilvl="0">
      <w:start w:val="1"/>
      <w:numFmt w:val="decimal"/>
      <w:lvlText w:val="%1."/>
      <w:lvlJc w:val="left"/>
      <w:pPr>
        <w:tabs>
          <w:tab w:val="num" w:pos="3240"/>
        </w:tabs>
        <w:ind w:left="3240" w:hanging="360"/>
      </w:pPr>
      <w:rPr>
        <w:b w:val="0"/>
        <w:bCs/>
        <w:i w:val="0"/>
        <w:iCs/>
        <w:lang w:val="ru-RU"/>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
    <w:nsid w:val="0ECC5205"/>
    <w:multiLevelType w:val="hybridMultilevel"/>
    <w:tmpl w:val="A8E6FB86"/>
    <w:lvl w:ilvl="0" w:tplc="0EC62300">
      <w:start w:val="2"/>
      <w:numFmt w:val="upperRoman"/>
      <w:lvlText w:val="%1."/>
      <w:lvlJc w:val="right"/>
      <w:pPr>
        <w:tabs>
          <w:tab w:val="num" w:pos="720"/>
        </w:tabs>
        <w:ind w:left="720" w:hanging="360"/>
      </w:pPr>
    </w:lvl>
    <w:lvl w:ilvl="1" w:tplc="FBA81D12" w:tentative="1">
      <w:start w:val="1"/>
      <w:numFmt w:val="decimal"/>
      <w:lvlText w:val="%2."/>
      <w:lvlJc w:val="left"/>
      <w:pPr>
        <w:tabs>
          <w:tab w:val="num" w:pos="1440"/>
        </w:tabs>
        <w:ind w:left="1440" w:hanging="360"/>
      </w:pPr>
    </w:lvl>
    <w:lvl w:ilvl="2" w:tplc="C4BA8E34" w:tentative="1">
      <w:start w:val="1"/>
      <w:numFmt w:val="decimal"/>
      <w:lvlText w:val="%3."/>
      <w:lvlJc w:val="left"/>
      <w:pPr>
        <w:tabs>
          <w:tab w:val="num" w:pos="2160"/>
        </w:tabs>
        <w:ind w:left="2160" w:hanging="360"/>
      </w:pPr>
    </w:lvl>
    <w:lvl w:ilvl="3" w:tplc="D90ADCE6" w:tentative="1">
      <w:start w:val="1"/>
      <w:numFmt w:val="decimal"/>
      <w:lvlText w:val="%4."/>
      <w:lvlJc w:val="left"/>
      <w:pPr>
        <w:tabs>
          <w:tab w:val="num" w:pos="2880"/>
        </w:tabs>
        <w:ind w:left="2880" w:hanging="360"/>
      </w:pPr>
    </w:lvl>
    <w:lvl w:ilvl="4" w:tplc="1C1488A0" w:tentative="1">
      <w:start w:val="1"/>
      <w:numFmt w:val="decimal"/>
      <w:lvlText w:val="%5."/>
      <w:lvlJc w:val="left"/>
      <w:pPr>
        <w:tabs>
          <w:tab w:val="num" w:pos="3600"/>
        </w:tabs>
        <w:ind w:left="3600" w:hanging="360"/>
      </w:pPr>
    </w:lvl>
    <w:lvl w:ilvl="5" w:tplc="E230E6FE" w:tentative="1">
      <w:start w:val="1"/>
      <w:numFmt w:val="decimal"/>
      <w:lvlText w:val="%6."/>
      <w:lvlJc w:val="left"/>
      <w:pPr>
        <w:tabs>
          <w:tab w:val="num" w:pos="4320"/>
        </w:tabs>
        <w:ind w:left="4320" w:hanging="360"/>
      </w:pPr>
    </w:lvl>
    <w:lvl w:ilvl="6" w:tplc="44387A52" w:tentative="1">
      <w:start w:val="1"/>
      <w:numFmt w:val="decimal"/>
      <w:lvlText w:val="%7."/>
      <w:lvlJc w:val="left"/>
      <w:pPr>
        <w:tabs>
          <w:tab w:val="num" w:pos="5040"/>
        </w:tabs>
        <w:ind w:left="5040" w:hanging="360"/>
      </w:pPr>
    </w:lvl>
    <w:lvl w:ilvl="7" w:tplc="20B07B20" w:tentative="1">
      <w:start w:val="1"/>
      <w:numFmt w:val="decimal"/>
      <w:lvlText w:val="%8."/>
      <w:lvlJc w:val="left"/>
      <w:pPr>
        <w:tabs>
          <w:tab w:val="num" w:pos="5760"/>
        </w:tabs>
        <w:ind w:left="5760" w:hanging="360"/>
      </w:pPr>
    </w:lvl>
    <w:lvl w:ilvl="8" w:tplc="DA86FEE2" w:tentative="1">
      <w:start w:val="1"/>
      <w:numFmt w:val="decimal"/>
      <w:lvlText w:val="%9."/>
      <w:lvlJc w:val="left"/>
      <w:pPr>
        <w:tabs>
          <w:tab w:val="num" w:pos="6480"/>
        </w:tabs>
        <w:ind w:left="6480" w:hanging="360"/>
      </w:pPr>
    </w:lvl>
  </w:abstractNum>
  <w:abstractNum w:abstractNumId="4">
    <w:nsid w:val="10A703C8"/>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937AB"/>
    <w:multiLevelType w:val="hybridMultilevel"/>
    <w:tmpl w:val="90103ADE"/>
    <w:lvl w:ilvl="0" w:tplc="B5FCF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03360"/>
    <w:multiLevelType w:val="hybridMultilevel"/>
    <w:tmpl w:val="D1147EA8"/>
    <w:lvl w:ilvl="0" w:tplc="B5FCF4F8">
      <w:start w:val="1"/>
      <w:numFmt w:val="lowerLetter"/>
      <w:lvlText w:val="%1)"/>
      <w:lvlJc w:val="left"/>
      <w:pPr>
        <w:ind w:left="720" w:hanging="360"/>
      </w:pPr>
      <w:rPr>
        <w:rFonts w:hint="default"/>
      </w:rPr>
    </w:lvl>
    <w:lvl w:ilvl="1" w:tplc="56EAA3D0">
      <w:start w:val="1"/>
      <w:numFmt w:val="lowerRoman"/>
      <w:lvlText w:val="%2)"/>
      <w:lvlJc w:val="left"/>
      <w:pPr>
        <w:ind w:left="1440" w:hanging="360"/>
      </w:pPr>
      <w:rPr>
        <w:rFonts w:hint="default"/>
        <w:lang w:val="ru-RU"/>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23AE1"/>
    <w:multiLevelType w:val="hybridMultilevel"/>
    <w:tmpl w:val="27CAD9DC"/>
    <w:lvl w:ilvl="0" w:tplc="53EC12E4">
      <w:start w:val="3"/>
      <w:numFmt w:val="upperRoman"/>
      <w:lvlText w:val="%1."/>
      <w:lvlJc w:val="right"/>
      <w:pPr>
        <w:tabs>
          <w:tab w:val="num" w:pos="720"/>
        </w:tabs>
        <w:ind w:left="720" w:hanging="360"/>
      </w:pPr>
    </w:lvl>
    <w:lvl w:ilvl="1" w:tplc="F0C201C8" w:tentative="1">
      <w:start w:val="1"/>
      <w:numFmt w:val="decimal"/>
      <w:lvlText w:val="%2."/>
      <w:lvlJc w:val="left"/>
      <w:pPr>
        <w:tabs>
          <w:tab w:val="num" w:pos="1440"/>
        </w:tabs>
        <w:ind w:left="1440" w:hanging="360"/>
      </w:pPr>
    </w:lvl>
    <w:lvl w:ilvl="2" w:tplc="B6A0BEEC" w:tentative="1">
      <w:start w:val="1"/>
      <w:numFmt w:val="decimal"/>
      <w:lvlText w:val="%3."/>
      <w:lvlJc w:val="left"/>
      <w:pPr>
        <w:tabs>
          <w:tab w:val="num" w:pos="2160"/>
        </w:tabs>
        <w:ind w:left="2160" w:hanging="360"/>
      </w:pPr>
    </w:lvl>
    <w:lvl w:ilvl="3" w:tplc="D68A2378" w:tentative="1">
      <w:start w:val="1"/>
      <w:numFmt w:val="decimal"/>
      <w:lvlText w:val="%4."/>
      <w:lvlJc w:val="left"/>
      <w:pPr>
        <w:tabs>
          <w:tab w:val="num" w:pos="2880"/>
        </w:tabs>
        <w:ind w:left="2880" w:hanging="360"/>
      </w:pPr>
    </w:lvl>
    <w:lvl w:ilvl="4" w:tplc="16806F80" w:tentative="1">
      <w:start w:val="1"/>
      <w:numFmt w:val="decimal"/>
      <w:lvlText w:val="%5."/>
      <w:lvlJc w:val="left"/>
      <w:pPr>
        <w:tabs>
          <w:tab w:val="num" w:pos="3600"/>
        </w:tabs>
        <w:ind w:left="3600" w:hanging="360"/>
      </w:pPr>
    </w:lvl>
    <w:lvl w:ilvl="5" w:tplc="1C4287B0" w:tentative="1">
      <w:start w:val="1"/>
      <w:numFmt w:val="decimal"/>
      <w:lvlText w:val="%6."/>
      <w:lvlJc w:val="left"/>
      <w:pPr>
        <w:tabs>
          <w:tab w:val="num" w:pos="4320"/>
        </w:tabs>
        <w:ind w:left="4320" w:hanging="360"/>
      </w:pPr>
    </w:lvl>
    <w:lvl w:ilvl="6" w:tplc="D3EA5C2C" w:tentative="1">
      <w:start w:val="1"/>
      <w:numFmt w:val="decimal"/>
      <w:lvlText w:val="%7."/>
      <w:lvlJc w:val="left"/>
      <w:pPr>
        <w:tabs>
          <w:tab w:val="num" w:pos="5040"/>
        </w:tabs>
        <w:ind w:left="5040" w:hanging="360"/>
      </w:pPr>
    </w:lvl>
    <w:lvl w:ilvl="7" w:tplc="5D06159A" w:tentative="1">
      <w:start w:val="1"/>
      <w:numFmt w:val="decimal"/>
      <w:lvlText w:val="%8."/>
      <w:lvlJc w:val="left"/>
      <w:pPr>
        <w:tabs>
          <w:tab w:val="num" w:pos="5760"/>
        </w:tabs>
        <w:ind w:left="5760" w:hanging="360"/>
      </w:pPr>
    </w:lvl>
    <w:lvl w:ilvl="8" w:tplc="1AFA4F24" w:tentative="1">
      <w:start w:val="1"/>
      <w:numFmt w:val="decimal"/>
      <w:lvlText w:val="%9."/>
      <w:lvlJc w:val="left"/>
      <w:pPr>
        <w:tabs>
          <w:tab w:val="num" w:pos="6480"/>
        </w:tabs>
        <w:ind w:left="6480" w:hanging="360"/>
      </w:pPr>
    </w:lvl>
  </w:abstractNum>
  <w:abstractNum w:abstractNumId="8">
    <w:nsid w:val="1D4B037A"/>
    <w:multiLevelType w:val="hybridMultilevel"/>
    <w:tmpl w:val="ABB004FA"/>
    <w:lvl w:ilvl="0" w:tplc="8E34E4E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1E3D30B4"/>
    <w:multiLevelType w:val="hybridMultilevel"/>
    <w:tmpl w:val="6632FC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C6570"/>
    <w:multiLevelType w:val="hybridMultilevel"/>
    <w:tmpl w:val="E7CC2F32"/>
    <w:lvl w:ilvl="0" w:tplc="2ED29DCA">
      <w:start w:val="4"/>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83A7960"/>
    <w:multiLevelType w:val="hybridMultilevel"/>
    <w:tmpl w:val="45960C64"/>
    <w:lvl w:ilvl="0" w:tplc="6F34BB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24247"/>
    <w:multiLevelType w:val="multilevel"/>
    <w:tmpl w:val="C00C3B76"/>
    <w:lvl w:ilvl="0">
      <w:start w:val="1"/>
      <w:numFmt w:val="bullet"/>
      <w:lvlText w:val=""/>
      <w:lvlJc w:val="left"/>
      <w:pPr>
        <w:tabs>
          <w:tab w:val="num" w:pos="3240"/>
        </w:tabs>
        <w:ind w:left="3240" w:hanging="360"/>
      </w:pPr>
      <w:rPr>
        <w:rFonts w:ascii="Symbol" w:hAnsi="Symbol" w:hint="default"/>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3">
    <w:nsid w:val="28D778F3"/>
    <w:multiLevelType w:val="hybridMultilevel"/>
    <w:tmpl w:val="FBDCBC2A"/>
    <w:lvl w:ilvl="0" w:tplc="951A9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5C75AB"/>
    <w:multiLevelType w:val="multilevel"/>
    <w:tmpl w:val="EEF4B668"/>
    <w:lvl w:ilvl="0">
      <w:start w:val="1"/>
      <w:numFmt w:val="decimal"/>
      <w:lvlText w:val="%1."/>
      <w:lvlJc w:val="left"/>
      <w:pPr>
        <w:ind w:left="360" w:firstLine="0"/>
      </w:pPr>
      <w:rPr>
        <w:b w:val="0"/>
        <w:i w:val="0"/>
        <w:vertAlign w:val="baseline"/>
      </w:rPr>
    </w:lvl>
    <w:lvl w:ilvl="1">
      <w:start w:val="1"/>
      <w:numFmt w:val="lowerLetter"/>
      <w:lvlText w:val="(%2)"/>
      <w:lvlJc w:val="left"/>
      <w:pPr>
        <w:ind w:left="1080" w:firstLine="720"/>
      </w:pPr>
      <w:rPr>
        <w:sz w:val="22"/>
        <w:szCs w:val="22"/>
        <w:vertAlign w:val="baseline"/>
      </w:rPr>
    </w:lvl>
    <w:lvl w:ilvl="2">
      <w:start w:val="1"/>
      <w:numFmt w:val="lowerRoman"/>
      <w:lvlText w:val="%3."/>
      <w:lvlJc w:val="right"/>
      <w:pPr>
        <w:ind w:left="1800" w:firstLine="1620"/>
      </w:pPr>
      <w:rPr>
        <w:vertAlign w:val="baseline"/>
      </w:rPr>
    </w:lvl>
    <w:lvl w:ilvl="3">
      <w:start w:val="1"/>
      <w:numFmt w:val="lowerRoman"/>
      <w:lvlText w:val="(%4)"/>
      <w:lvlJc w:val="left"/>
      <w:pPr>
        <w:ind w:left="2520" w:firstLine="2160"/>
      </w:pPr>
      <w:rPr>
        <w:vertAlign w:val="baseline"/>
      </w:rPr>
    </w:lvl>
    <w:lvl w:ilvl="4">
      <w:start w:val="1"/>
      <w:numFmt w:val="lowerLetter"/>
      <w:lvlText w:val="%5."/>
      <w:lvlJc w:val="left"/>
      <w:pPr>
        <w:ind w:left="1637" w:firstLine="1277"/>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29D1742E"/>
    <w:multiLevelType w:val="hybridMultilevel"/>
    <w:tmpl w:val="D03631F4"/>
    <w:lvl w:ilvl="0" w:tplc="F8E65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977D1A"/>
    <w:multiLevelType w:val="multilevel"/>
    <w:tmpl w:val="56686388"/>
    <w:lvl w:ilvl="0">
      <w:start w:val="1"/>
      <w:numFmt w:val="decimal"/>
      <w:lvlText w:val="%1."/>
      <w:lvlJc w:val="left"/>
      <w:pPr>
        <w:ind w:left="0" w:firstLine="0"/>
      </w:pPr>
      <w:rPr>
        <w:rFonts w:ascii="Times New Roman" w:eastAsia="Times New Roman" w:hAnsi="Times New Roman" w:cs="Times New Roman"/>
        <w:b w:val="0"/>
        <w:i w:val="0"/>
        <w:sz w:val="22"/>
        <w:szCs w:val="22"/>
        <w:vertAlign w:val="baseline"/>
      </w:rPr>
    </w:lvl>
    <w:lvl w:ilvl="1">
      <w:start w:val="1"/>
      <w:numFmt w:val="lowerLetter"/>
      <w:lvlText w:val="(%2)"/>
      <w:lvlJc w:val="left"/>
      <w:pPr>
        <w:ind w:left="0" w:firstLine="720"/>
      </w:pPr>
      <w:rPr>
        <w:b w:val="0"/>
        <w:i w:val="0"/>
        <w:vertAlign w:val="baseline"/>
      </w:rPr>
    </w:lvl>
    <w:lvl w:ilvl="2">
      <w:start w:val="1"/>
      <w:numFmt w:val="lowerRoman"/>
      <w:lvlText w:val="(%3)"/>
      <w:lvlJc w:val="right"/>
      <w:pPr>
        <w:ind w:left="1440" w:firstLine="1080"/>
      </w:pPr>
      <w:rPr>
        <w:vertAlign w:val="baseline"/>
      </w:rPr>
    </w:lvl>
    <w:lvl w:ilvl="3">
      <w:start w:val="1"/>
      <w:numFmt w:val="bullet"/>
      <w:lvlText w:val="●"/>
      <w:lvlJc w:val="left"/>
      <w:pPr>
        <w:ind w:left="2160" w:firstLine="1440"/>
      </w:pPr>
      <w:rPr>
        <w:rFonts w:ascii="Arial" w:eastAsia="Arial" w:hAnsi="Arial" w:cs="Arial"/>
        <w:sz w:val="28"/>
        <w:szCs w:val="28"/>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7">
    <w:nsid w:val="2BDC5A3A"/>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00BF1"/>
    <w:multiLevelType w:val="hybridMultilevel"/>
    <w:tmpl w:val="B8D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74AD4"/>
    <w:multiLevelType w:val="hybridMultilevel"/>
    <w:tmpl w:val="8B441434"/>
    <w:lvl w:ilvl="0" w:tplc="8378157C">
      <w:start w:val="1"/>
      <w:numFmt w:val="lowerRoman"/>
      <w:lvlText w:val="(%1)"/>
      <w:lvlJc w:val="righ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nsid w:val="30E27B9E"/>
    <w:multiLevelType w:val="hybridMultilevel"/>
    <w:tmpl w:val="682834A6"/>
    <w:lvl w:ilvl="0" w:tplc="4BFC5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816767"/>
    <w:multiLevelType w:val="multilevel"/>
    <w:tmpl w:val="2BBC44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32EF46F3"/>
    <w:multiLevelType w:val="multilevel"/>
    <w:tmpl w:val="A14A2A76"/>
    <w:lvl w:ilvl="0">
      <w:start w:val="1"/>
      <w:numFmt w:val="upperLetter"/>
      <w:lvlText w:val="%1."/>
      <w:lvlJc w:val="left"/>
      <w:pPr>
        <w:tabs>
          <w:tab w:val="num" w:pos="2070"/>
        </w:tabs>
        <w:ind w:left="207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BF6F7F"/>
    <w:multiLevelType w:val="multilevel"/>
    <w:tmpl w:val="42042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7476CA"/>
    <w:multiLevelType w:val="hybridMultilevel"/>
    <w:tmpl w:val="F2B47342"/>
    <w:lvl w:ilvl="0" w:tplc="0C5EAE44">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6D7598"/>
    <w:multiLevelType w:val="hybridMultilevel"/>
    <w:tmpl w:val="26FC1F30"/>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F1424"/>
    <w:multiLevelType w:val="hybridMultilevel"/>
    <w:tmpl w:val="306884C0"/>
    <w:lvl w:ilvl="0" w:tplc="3CDAD9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476352"/>
    <w:multiLevelType w:val="hybridMultilevel"/>
    <w:tmpl w:val="3C3C4A1E"/>
    <w:lvl w:ilvl="0" w:tplc="7B805D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BC109C9"/>
    <w:multiLevelType w:val="hybridMultilevel"/>
    <w:tmpl w:val="3124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C63582"/>
    <w:multiLevelType w:val="multilevel"/>
    <w:tmpl w:val="010A3D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3CEF6CDC"/>
    <w:multiLevelType w:val="hybridMultilevel"/>
    <w:tmpl w:val="217035A8"/>
    <w:lvl w:ilvl="0" w:tplc="80663F9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9F15AE"/>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1604AC"/>
    <w:multiLevelType w:val="hybridMultilevel"/>
    <w:tmpl w:val="5A2CA370"/>
    <w:lvl w:ilvl="0" w:tplc="04090017">
      <w:start w:val="1"/>
      <w:numFmt w:val="bullet"/>
      <w:lvlText w:val=""/>
      <w:lvlJc w:val="left"/>
      <w:pPr>
        <w:tabs>
          <w:tab w:val="num" w:pos="432"/>
        </w:tabs>
        <w:ind w:left="432" w:hanging="360"/>
      </w:pPr>
      <w:rPr>
        <w:rFonts w:ascii="Symbol" w:hAnsi="Symbol" w:hint="default"/>
      </w:rPr>
    </w:lvl>
    <w:lvl w:ilvl="1" w:tplc="179C2CCA">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462C42C5"/>
    <w:multiLevelType w:val="multilevel"/>
    <w:tmpl w:val="462C6584"/>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4768156C"/>
    <w:multiLevelType w:val="hybridMultilevel"/>
    <w:tmpl w:val="40EE7080"/>
    <w:lvl w:ilvl="0" w:tplc="20ACC1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BC479E"/>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E0442B4"/>
    <w:multiLevelType w:val="multilevel"/>
    <w:tmpl w:val="F28A2ACA"/>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F3E4250"/>
    <w:multiLevelType w:val="multilevel"/>
    <w:tmpl w:val="46A47FA6"/>
    <w:lvl w:ilvl="0">
      <w:start w:val="18"/>
      <w:numFmt w:val="decimal"/>
      <w:lvlText w:val="%1."/>
      <w:lvlJc w:val="left"/>
      <w:pPr>
        <w:tabs>
          <w:tab w:val="num" w:pos="644"/>
        </w:tabs>
        <w:ind w:left="644" w:hanging="360"/>
      </w:pPr>
    </w:lvl>
    <w:lvl w:ilvl="1">
      <w:start w:val="5"/>
      <w:numFmt w:val="upperLetter"/>
      <w:lvlText w:val="%2."/>
      <w:lvlJc w:val="left"/>
      <w:pPr>
        <w:ind w:left="1364" w:hanging="360"/>
      </w:pPr>
      <w:rPr>
        <w:rFonts w:hint="default"/>
        <w:b/>
        <w:i/>
      </w:rPr>
    </w:lvl>
    <w:lvl w:ilvl="2">
      <w:start w:val="11"/>
      <w:numFmt w:val="upperLetter"/>
      <w:lvlText w:val="%3."/>
      <w:lvlJc w:val="left"/>
      <w:pPr>
        <w:ind w:left="2084" w:hanging="360"/>
      </w:pPr>
      <w:rPr>
        <w:rFonts w:hint="default"/>
        <w:b/>
        <w:i/>
      </w:rPr>
    </w:lvl>
    <w:lvl w:ilvl="3">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8">
    <w:nsid w:val="4FFB064B"/>
    <w:multiLevelType w:val="hybridMultilevel"/>
    <w:tmpl w:val="286A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40">
    <w:nsid w:val="544E0718"/>
    <w:multiLevelType w:val="multilevel"/>
    <w:tmpl w:val="6ECA9AEE"/>
    <w:lvl w:ilvl="0">
      <w:start w:val="21"/>
      <w:numFmt w:val="decimal"/>
      <w:lvlText w:val="%1."/>
      <w:lvlJc w:val="left"/>
      <w:pPr>
        <w:tabs>
          <w:tab w:val="num" w:pos="360"/>
        </w:tabs>
        <w:ind w:left="397" w:hanging="397"/>
      </w:pPr>
      <w:rPr>
        <w:rFonts w:hint="default"/>
        <w:b w:val="0"/>
        <w:i w:val="0"/>
        <w:lang w:val="en-GB"/>
      </w:rPr>
    </w:lvl>
    <w:lvl w:ilvl="1">
      <w:start w:val="3"/>
      <w:numFmt w:val="upperLetter"/>
      <w:lvlText w:val="%2."/>
      <w:lvlJc w:val="left"/>
      <w:pPr>
        <w:ind w:left="144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4866732"/>
    <w:multiLevelType w:val="hybridMultilevel"/>
    <w:tmpl w:val="81C859FA"/>
    <w:lvl w:ilvl="0" w:tplc="EE6677A6">
      <w:start w:val="1"/>
      <w:numFmt w:val="lowerLetter"/>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3817F7"/>
    <w:multiLevelType w:val="multilevel"/>
    <w:tmpl w:val="23D29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847E2D"/>
    <w:multiLevelType w:val="multilevel"/>
    <w:tmpl w:val="24ECC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4347E26"/>
    <w:multiLevelType w:val="hybridMultilevel"/>
    <w:tmpl w:val="72C6ADD8"/>
    <w:lvl w:ilvl="0" w:tplc="EC10B5A8">
      <w:start w:val="5"/>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6">
    <w:nsid w:val="64973173"/>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036503"/>
    <w:multiLevelType w:val="multilevel"/>
    <w:tmpl w:val="044E713C"/>
    <w:lvl w:ilvl="0">
      <w:start w:val="1"/>
      <w:numFmt w:val="upperLetter"/>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65343B1"/>
    <w:multiLevelType w:val="multilevel"/>
    <w:tmpl w:val="2F9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65D3DBD"/>
    <w:multiLevelType w:val="hybridMultilevel"/>
    <w:tmpl w:val="58485E96"/>
    <w:lvl w:ilvl="0" w:tplc="A8E8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0E563C"/>
    <w:multiLevelType w:val="hybridMultilevel"/>
    <w:tmpl w:val="295CF154"/>
    <w:lvl w:ilvl="0" w:tplc="4BFC5A3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nsid w:val="67783813"/>
    <w:multiLevelType w:val="hybridMultilevel"/>
    <w:tmpl w:val="62942D3C"/>
    <w:lvl w:ilvl="0" w:tplc="B42A206C">
      <w:start w:val="1"/>
      <w:numFmt w:val="decimal"/>
      <w:lvlText w:val="%1."/>
      <w:lvlJc w:val="left"/>
      <w:pPr>
        <w:ind w:left="360" w:hanging="360"/>
      </w:pPr>
      <w:rPr>
        <w:rFonts w:hint="default"/>
        <w:b w:val="0"/>
        <w:i w:val="0"/>
      </w:rPr>
    </w:lvl>
    <w:lvl w:ilvl="1" w:tplc="2A7C5268">
      <w:start w:val="1"/>
      <w:numFmt w:val="lowerLetter"/>
      <w:lvlText w:val="(%2)"/>
      <w:lvlJc w:val="left"/>
      <w:pPr>
        <w:ind w:left="1080" w:hanging="360"/>
      </w:pPr>
      <w:rPr>
        <w:rFonts w:hint="default"/>
        <w:sz w:val="22"/>
      </w:rPr>
    </w:lvl>
    <w:lvl w:ilvl="2" w:tplc="0809001B">
      <w:start w:val="1"/>
      <w:numFmt w:val="lowerRoman"/>
      <w:lvlText w:val="%3."/>
      <w:lvlJc w:val="right"/>
      <w:pPr>
        <w:ind w:left="1800" w:hanging="180"/>
      </w:pPr>
    </w:lvl>
    <w:lvl w:ilvl="3" w:tplc="EEEED00A">
      <w:start w:val="1"/>
      <w:numFmt w:val="lowerRoman"/>
      <w:lvlText w:val="(%4)"/>
      <w:lvlJc w:val="left"/>
      <w:pPr>
        <w:ind w:left="2520" w:hanging="360"/>
      </w:pPr>
      <w:rPr>
        <w:rFonts w:hint="default"/>
      </w:rPr>
    </w:lvl>
    <w:lvl w:ilvl="4" w:tplc="08090019">
      <w:start w:val="1"/>
      <w:numFmt w:val="lowerLetter"/>
      <w:lvlText w:val="%5."/>
      <w:lvlJc w:val="left"/>
      <w:pPr>
        <w:ind w:left="1637"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68BF3C5B"/>
    <w:multiLevelType w:val="multilevel"/>
    <w:tmpl w:val="3FECAA66"/>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3">
    <w:nsid w:val="6A5F19BD"/>
    <w:multiLevelType w:val="hybridMultilevel"/>
    <w:tmpl w:val="4BAC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DBA49C0"/>
    <w:multiLevelType w:val="hybridMultilevel"/>
    <w:tmpl w:val="B224B502"/>
    <w:lvl w:ilvl="0" w:tplc="DFD45C06">
      <w:start w:val="1"/>
      <w:numFmt w:val="lowerLett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EE23244"/>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FBE1414"/>
    <w:multiLevelType w:val="multilevel"/>
    <w:tmpl w:val="010A55C2"/>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1464827"/>
    <w:multiLevelType w:val="hybridMultilevel"/>
    <w:tmpl w:val="A62C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031670"/>
    <w:multiLevelType w:val="multilevel"/>
    <w:tmpl w:val="CFBE62A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7CC316B"/>
    <w:multiLevelType w:val="multilevel"/>
    <w:tmpl w:val="462C6584"/>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nsid w:val="7B8A286C"/>
    <w:multiLevelType w:val="hybridMultilevel"/>
    <w:tmpl w:val="F7D09EBC"/>
    <w:lvl w:ilvl="0" w:tplc="543E62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BF35E9F"/>
    <w:multiLevelType w:val="multilevel"/>
    <w:tmpl w:val="104C9FA8"/>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CAC1CC5"/>
    <w:multiLevelType w:val="hybridMultilevel"/>
    <w:tmpl w:val="5BA89B3C"/>
    <w:lvl w:ilvl="0" w:tplc="04190017">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59"/>
  </w:num>
  <w:num w:numId="4">
    <w:abstractNumId w:val="52"/>
  </w:num>
  <w:num w:numId="5">
    <w:abstractNumId w:val="29"/>
  </w:num>
  <w:num w:numId="6">
    <w:abstractNumId w:val="14"/>
  </w:num>
  <w:num w:numId="7">
    <w:abstractNumId w:val="21"/>
  </w:num>
  <w:num w:numId="8">
    <w:abstractNumId w:val="16"/>
  </w:num>
  <w:num w:numId="9">
    <w:abstractNumId w:val="2"/>
  </w:num>
  <w:num w:numId="10">
    <w:abstractNumId w:val="42"/>
    <w:lvlOverride w:ilvl="0">
      <w:lvl w:ilvl="0">
        <w:numFmt w:val="decimal"/>
        <w:lvlText w:val="%1."/>
        <w:lvlJc w:val="left"/>
      </w:lvl>
    </w:lvlOverride>
  </w:num>
  <w:num w:numId="11">
    <w:abstractNumId w:val="3"/>
  </w:num>
  <w:num w:numId="12">
    <w:abstractNumId w:val="43"/>
    <w:lvlOverride w:ilvl="0">
      <w:lvl w:ilvl="0">
        <w:numFmt w:val="decimal"/>
        <w:lvlText w:val="%1."/>
        <w:lvlJc w:val="left"/>
      </w:lvl>
    </w:lvlOverride>
  </w:num>
  <w:num w:numId="13">
    <w:abstractNumId w:val="43"/>
    <w:lvlOverride w:ilvl="0">
      <w:lvl w:ilvl="0">
        <w:numFmt w:val="decimal"/>
        <w:lvlText w:val="%1."/>
        <w:lvlJc w:val="left"/>
      </w:lvl>
    </w:lvlOverride>
  </w:num>
  <w:num w:numId="14">
    <w:abstractNumId w:val="43"/>
  </w:num>
  <w:num w:numId="15">
    <w:abstractNumId w:val="7"/>
  </w:num>
  <w:num w:numId="16">
    <w:abstractNumId w:val="37"/>
  </w:num>
  <w:num w:numId="17">
    <w:abstractNumId w:val="22"/>
  </w:num>
  <w:num w:numId="18">
    <w:abstractNumId w:val="40"/>
  </w:num>
  <w:num w:numId="19">
    <w:abstractNumId w:val="23"/>
  </w:num>
  <w:num w:numId="20">
    <w:abstractNumId w:val="51"/>
  </w:num>
  <w:num w:numId="21">
    <w:abstractNumId w:val="53"/>
  </w:num>
  <w:num w:numId="22">
    <w:abstractNumId w:val="34"/>
  </w:num>
  <w:num w:numId="23">
    <w:abstractNumId w:val="30"/>
  </w:num>
  <w:num w:numId="24">
    <w:abstractNumId w:val="61"/>
  </w:num>
  <w:num w:numId="25">
    <w:abstractNumId w:val="56"/>
  </w:num>
  <w:num w:numId="26">
    <w:abstractNumId w:val="47"/>
  </w:num>
  <w:num w:numId="27">
    <w:abstractNumId w:val="58"/>
  </w:num>
  <w:num w:numId="28">
    <w:abstractNumId w:val="57"/>
  </w:num>
  <w:num w:numId="29">
    <w:abstractNumId w:val="15"/>
  </w:num>
  <w:num w:numId="30">
    <w:abstractNumId w:val="31"/>
  </w:num>
  <w:num w:numId="31">
    <w:abstractNumId w:val="19"/>
  </w:num>
  <w:num w:numId="32">
    <w:abstractNumId w:val="4"/>
  </w:num>
  <w:num w:numId="33">
    <w:abstractNumId w:val="17"/>
  </w:num>
  <w:num w:numId="34">
    <w:abstractNumId w:val="46"/>
  </w:num>
  <w:num w:numId="35">
    <w:abstractNumId w:val="62"/>
  </w:num>
  <w:num w:numId="36">
    <w:abstractNumId w:val="48"/>
  </w:num>
  <w:num w:numId="37">
    <w:abstractNumId w:val="24"/>
  </w:num>
  <w:num w:numId="38">
    <w:abstractNumId w:val="9"/>
  </w:num>
  <w:num w:numId="39">
    <w:abstractNumId w:val="33"/>
  </w:num>
  <w:num w:numId="40">
    <w:abstractNumId w:val="38"/>
  </w:num>
  <w:num w:numId="41">
    <w:abstractNumId w:val="12"/>
  </w:num>
  <w:num w:numId="42">
    <w:abstractNumId w:val="0"/>
  </w:num>
  <w:num w:numId="43">
    <w:abstractNumId w:val="50"/>
  </w:num>
  <w:num w:numId="44">
    <w:abstractNumId w:val="20"/>
  </w:num>
  <w:num w:numId="45">
    <w:abstractNumId w:val="55"/>
  </w:num>
  <w:num w:numId="46">
    <w:abstractNumId w:val="32"/>
  </w:num>
  <w:num w:numId="47">
    <w:abstractNumId w:val="18"/>
  </w:num>
  <w:num w:numId="48">
    <w:abstractNumId w:val="35"/>
  </w:num>
  <w:num w:numId="49">
    <w:abstractNumId w:val="54"/>
  </w:num>
  <w:num w:numId="50">
    <w:abstractNumId w:val="36"/>
  </w:num>
  <w:num w:numId="51">
    <w:abstractNumId w:val="26"/>
  </w:num>
  <w:num w:numId="52">
    <w:abstractNumId w:val="11"/>
  </w:num>
  <w:num w:numId="53">
    <w:abstractNumId w:val="13"/>
  </w:num>
  <w:num w:numId="54">
    <w:abstractNumId w:val="60"/>
  </w:num>
  <w:num w:numId="55">
    <w:abstractNumId w:val="5"/>
  </w:num>
  <w:num w:numId="56">
    <w:abstractNumId w:val="28"/>
  </w:num>
  <w:num w:numId="57">
    <w:abstractNumId w:val="25"/>
  </w:num>
  <w:num w:numId="58">
    <w:abstractNumId w:val="1"/>
  </w:num>
  <w:num w:numId="59">
    <w:abstractNumId w:val="6"/>
  </w:num>
  <w:num w:numId="60">
    <w:abstractNumId w:val="45"/>
  </w:num>
  <w:num w:numId="61">
    <w:abstractNumId w:val="41"/>
  </w:num>
  <w:num w:numId="62">
    <w:abstractNumId w:val="27"/>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9"/>
  </w:num>
  <w:num w:numId="66">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6F"/>
    <w:rsid w:val="00003262"/>
    <w:rsid w:val="00003A05"/>
    <w:rsid w:val="0000409A"/>
    <w:rsid w:val="00007002"/>
    <w:rsid w:val="00010610"/>
    <w:rsid w:val="00011397"/>
    <w:rsid w:val="00015666"/>
    <w:rsid w:val="00020DA6"/>
    <w:rsid w:val="00021459"/>
    <w:rsid w:val="00021894"/>
    <w:rsid w:val="00022CAD"/>
    <w:rsid w:val="00024763"/>
    <w:rsid w:val="00027216"/>
    <w:rsid w:val="0003142D"/>
    <w:rsid w:val="000320ED"/>
    <w:rsid w:val="00032499"/>
    <w:rsid w:val="000337F9"/>
    <w:rsid w:val="00034CFC"/>
    <w:rsid w:val="00036BBE"/>
    <w:rsid w:val="000406F0"/>
    <w:rsid w:val="00042BA8"/>
    <w:rsid w:val="00043A31"/>
    <w:rsid w:val="00045234"/>
    <w:rsid w:val="000460ED"/>
    <w:rsid w:val="00047351"/>
    <w:rsid w:val="000474ED"/>
    <w:rsid w:val="00050673"/>
    <w:rsid w:val="00052D9E"/>
    <w:rsid w:val="00053750"/>
    <w:rsid w:val="000538BC"/>
    <w:rsid w:val="000551E6"/>
    <w:rsid w:val="00057DDF"/>
    <w:rsid w:val="0006118C"/>
    <w:rsid w:val="00061F4B"/>
    <w:rsid w:val="0006365A"/>
    <w:rsid w:val="00063825"/>
    <w:rsid w:val="00064114"/>
    <w:rsid w:val="00067A2C"/>
    <w:rsid w:val="0007107D"/>
    <w:rsid w:val="00071213"/>
    <w:rsid w:val="00071A38"/>
    <w:rsid w:val="00071E1D"/>
    <w:rsid w:val="00072CF4"/>
    <w:rsid w:val="00072EAA"/>
    <w:rsid w:val="00074904"/>
    <w:rsid w:val="00077201"/>
    <w:rsid w:val="000803E6"/>
    <w:rsid w:val="000805EF"/>
    <w:rsid w:val="0008119C"/>
    <w:rsid w:val="00082C24"/>
    <w:rsid w:val="000832CC"/>
    <w:rsid w:val="00090BD8"/>
    <w:rsid w:val="0009275D"/>
    <w:rsid w:val="000927EF"/>
    <w:rsid w:val="00093594"/>
    <w:rsid w:val="000A155E"/>
    <w:rsid w:val="000A1A03"/>
    <w:rsid w:val="000A5388"/>
    <w:rsid w:val="000A59B7"/>
    <w:rsid w:val="000A6B13"/>
    <w:rsid w:val="000A6C3D"/>
    <w:rsid w:val="000B2381"/>
    <w:rsid w:val="000B30F4"/>
    <w:rsid w:val="000B3C7C"/>
    <w:rsid w:val="000B4337"/>
    <w:rsid w:val="000B47D0"/>
    <w:rsid w:val="000B72E7"/>
    <w:rsid w:val="000C1E9E"/>
    <w:rsid w:val="000C258F"/>
    <w:rsid w:val="000C3F8A"/>
    <w:rsid w:val="000C474E"/>
    <w:rsid w:val="000D1369"/>
    <w:rsid w:val="000D4924"/>
    <w:rsid w:val="000D5F29"/>
    <w:rsid w:val="000D7A5A"/>
    <w:rsid w:val="000E0F6F"/>
    <w:rsid w:val="000E2595"/>
    <w:rsid w:val="000E3A1B"/>
    <w:rsid w:val="000E601F"/>
    <w:rsid w:val="000E679E"/>
    <w:rsid w:val="000F01E0"/>
    <w:rsid w:val="000F2993"/>
    <w:rsid w:val="000F2B45"/>
    <w:rsid w:val="000F468D"/>
    <w:rsid w:val="000F7FF0"/>
    <w:rsid w:val="001001C6"/>
    <w:rsid w:val="0010032B"/>
    <w:rsid w:val="0010058A"/>
    <w:rsid w:val="0010276E"/>
    <w:rsid w:val="00105A59"/>
    <w:rsid w:val="00106015"/>
    <w:rsid w:val="00106298"/>
    <w:rsid w:val="001110C3"/>
    <w:rsid w:val="00111EBC"/>
    <w:rsid w:val="00112425"/>
    <w:rsid w:val="0011412C"/>
    <w:rsid w:val="001141AD"/>
    <w:rsid w:val="00114214"/>
    <w:rsid w:val="0011445F"/>
    <w:rsid w:val="001153AF"/>
    <w:rsid w:val="00115458"/>
    <w:rsid w:val="001176A6"/>
    <w:rsid w:val="00117DE5"/>
    <w:rsid w:val="0012226B"/>
    <w:rsid w:val="00122860"/>
    <w:rsid w:val="00124339"/>
    <w:rsid w:val="00124868"/>
    <w:rsid w:val="00124F72"/>
    <w:rsid w:val="00125A5B"/>
    <w:rsid w:val="00125B5B"/>
    <w:rsid w:val="00126ED6"/>
    <w:rsid w:val="00132AAD"/>
    <w:rsid w:val="00132B01"/>
    <w:rsid w:val="00132F58"/>
    <w:rsid w:val="00134F3A"/>
    <w:rsid w:val="0013503B"/>
    <w:rsid w:val="0013644F"/>
    <w:rsid w:val="0014137B"/>
    <w:rsid w:val="00146C02"/>
    <w:rsid w:val="001501B1"/>
    <w:rsid w:val="001519F6"/>
    <w:rsid w:val="00151D71"/>
    <w:rsid w:val="00152021"/>
    <w:rsid w:val="0015465A"/>
    <w:rsid w:val="00157D90"/>
    <w:rsid w:val="00160174"/>
    <w:rsid w:val="0016028C"/>
    <w:rsid w:val="00160906"/>
    <w:rsid w:val="00162417"/>
    <w:rsid w:val="00162698"/>
    <w:rsid w:val="00163F91"/>
    <w:rsid w:val="0016473C"/>
    <w:rsid w:val="0016652A"/>
    <w:rsid w:val="00167419"/>
    <w:rsid w:val="001707F7"/>
    <w:rsid w:val="001712D1"/>
    <w:rsid w:val="001715BD"/>
    <w:rsid w:val="001728A8"/>
    <w:rsid w:val="001728BA"/>
    <w:rsid w:val="001738F3"/>
    <w:rsid w:val="00174609"/>
    <w:rsid w:val="00176371"/>
    <w:rsid w:val="0018105D"/>
    <w:rsid w:val="00181DB4"/>
    <w:rsid w:val="00182138"/>
    <w:rsid w:val="00183866"/>
    <w:rsid w:val="00183AEE"/>
    <w:rsid w:val="00184373"/>
    <w:rsid w:val="00184AA1"/>
    <w:rsid w:val="00187CCD"/>
    <w:rsid w:val="00187EE5"/>
    <w:rsid w:val="00187F5E"/>
    <w:rsid w:val="00191D40"/>
    <w:rsid w:val="00192FFE"/>
    <w:rsid w:val="0019353A"/>
    <w:rsid w:val="001937E5"/>
    <w:rsid w:val="0019471B"/>
    <w:rsid w:val="001948CC"/>
    <w:rsid w:val="0019506C"/>
    <w:rsid w:val="0019777C"/>
    <w:rsid w:val="00197C71"/>
    <w:rsid w:val="001A1EB1"/>
    <w:rsid w:val="001A3AC3"/>
    <w:rsid w:val="001A43E3"/>
    <w:rsid w:val="001A4869"/>
    <w:rsid w:val="001A5057"/>
    <w:rsid w:val="001A6661"/>
    <w:rsid w:val="001A7E13"/>
    <w:rsid w:val="001B2CBB"/>
    <w:rsid w:val="001B7B97"/>
    <w:rsid w:val="001C194B"/>
    <w:rsid w:val="001C1AEF"/>
    <w:rsid w:val="001C1D3C"/>
    <w:rsid w:val="001C2401"/>
    <w:rsid w:val="001C46F1"/>
    <w:rsid w:val="001C70F5"/>
    <w:rsid w:val="001C75B2"/>
    <w:rsid w:val="001D48E1"/>
    <w:rsid w:val="001D4D26"/>
    <w:rsid w:val="001D6CBE"/>
    <w:rsid w:val="001E08A5"/>
    <w:rsid w:val="001E0EC5"/>
    <w:rsid w:val="001E2FE8"/>
    <w:rsid w:val="001E33FE"/>
    <w:rsid w:val="001E427B"/>
    <w:rsid w:val="001E5E25"/>
    <w:rsid w:val="001E6A76"/>
    <w:rsid w:val="001E748A"/>
    <w:rsid w:val="001F0F9D"/>
    <w:rsid w:val="001F1029"/>
    <w:rsid w:val="001F2100"/>
    <w:rsid w:val="001F2F1E"/>
    <w:rsid w:val="001F34DB"/>
    <w:rsid w:val="001F37FF"/>
    <w:rsid w:val="001F40FF"/>
    <w:rsid w:val="001F4C56"/>
    <w:rsid w:val="001F53DB"/>
    <w:rsid w:val="001F64E0"/>
    <w:rsid w:val="001F725F"/>
    <w:rsid w:val="001F7AA9"/>
    <w:rsid w:val="002009DC"/>
    <w:rsid w:val="00200AED"/>
    <w:rsid w:val="00206544"/>
    <w:rsid w:val="00206854"/>
    <w:rsid w:val="0021076B"/>
    <w:rsid w:val="002120BC"/>
    <w:rsid w:val="00213847"/>
    <w:rsid w:val="002208D7"/>
    <w:rsid w:val="00221643"/>
    <w:rsid w:val="002250C7"/>
    <w:rsid w:val="00226453"/>
    <w:rsid w:val="002278CB"/>
    <w:rsid w:val="00231FA7"/>
    <w:rsid w:val="002341C2"/>
    <w:rsid w:val="0023422D"/>
    <w:rsid w:val="002404CC"/>
    <w:rsid w:val="00240A67"/>
    <w:rsid w:val="00243C94"/>
    <w:rsid w:val="002442CE"/>
    <w:rsid w:val="00246077"/>
    <w:rsid w:val="002462B0"/>
    <w:rsid w:val="00246DBC"/>
    <w:rsid w:val="00247864"/>
    <w:rsid w:val="00250609"/>
    <w:rsid w:val="002506D2"/>
    <w:rsid w:val="00250A8C"/>
    <w:rsid w:val="00253344"/>
    <w:rsid w:val="00254420"/>
    <w:rsid w:val="00255FF3"/>
    <w:rsid w:val="00256C5B"/>
    <w:rsid w:val="002601CE"/>
    <w:rsid w:val="0026078C"/>
    <w:rsid w:val="00261784"/>
    <w:rsid w:val="00262E74"/>
    <w:rsid w:val="00263917"/>
    <w:rsid w:val="00264464"/>
    <w:rsid w:val="00265A63"/>
    <w:rsid w:val="00266A00"/>
    <w:rsid w:val="00266D92"/>
    <w:rsid w:val="0027071E"/>
    <w:rsid w:val="00270B17"/>
    <w:rsid w:val="00271125"/>
    <w:rsid w:val="00271360"/>
    <w:rsid w:val="0027147B"/>
    <w:rsid w:val="00272652"/>
    <w:rsid w:val="00272FBA"/>
    <w:rsid w:val="002762BE"/>
    <w:rsid w:val="0027631C"/>
    <w:rsid w:val="002764A9"/>
    <w:rsid w:val="00281E34"/>
    <w:rsid w:val="00285AB7"/>
    <w:rsid w:val="0028621F"/>
    <w:rsid w:val="00290127"/>
    <w:rsid w:val="002905F7"/>
    <w:rsid w:val="002911A0"/>
    <w:rsid w:val="00291972"/>
    <w:rsid w:val="00291E01"/>
    <w:rsid w:val="00294E42"/>
    <w:rsid w:val="00295CFD"/>
    <w:rsid w:val="00295FA4"/>
    <w:rsid w:val="002971EB"/>
    <w:rsid w:val="002A2CC3"/>
    <w:rsid w:val="002A2E7A"/>
    <w:rsid w:val="002A40A5"/>
    <w:rsid w:val="002A59FA"/>
    <w:rsid w:val="002A7CEC"/>
    <w:rsid w:val="002B0CCB"/>
    <w:rsid w:val="002B3AD1"/>
    <w:rsid w:val="002B5C03"/>
    <w:rsid w:val="002C1367"/>
    <w:rsid w:val="002C1487"/>
    <w:rsid w:val="002C19E5"/>
    <w:rsid w:val="002C1D7B"/>
    <w:rsid w:val="002C37C0"/>
    <w:rsid w:val="002C3A79"/>
    <w:rsid w:val="002C651F"/>
    <w:rsid w:val="002C6CC4"/>
    <w:rsid w:val="002D0406"/>
    <w:rsid w:val="002D1E54"/>
    <w:rsid w:val="002D2190"/>
    <w:rsid w:val="002D273E"/>
    <w:rsid w:val="002D4840"/>
    <w:rsid w:val="002D4853"/>
    <w:rsid w:val="002D5373"/>
    <w:rsid w:val="002D693F"/>
    <w:rsid w:val="002D7067"/>
    <w:rsid w:val="002D7766"/>
    <w:rsid w:val="002D7E49"/>
    <w:rsid w:val="002E2022"/>
    <w:rsid w:val="002E24EC"/>
    <w:rsid w:val="002E3AF1"/>
    <w:rsid w:val="002E4BC0"/>
    <w:rsid w:val="002E56CD"/>
    <w:rsid w:val="002E5D58"/>
    <w:rsid w:val="002E604A"/>
    <w:rsid w:val="002F0AE1"/>
    <w:rsid w:val="002F13A3"/>
    <w:rsid w:val="002F1CFC"/>
    <w:rsid w:val="002F3718"/>
    <w:rsid w:val="002F4FE4"/>
    <w:rsid w:val="002F5211"/>
    <w:rsid w:val="00300A1E"/>
    <w:rsid w:val="00301F34"/>
    <w:rsid w:val="00302D55"/>
    <w:rsid w:val="00302EB4"/>
    <w:rsid w:val="0030359B"/>
    <w:rsid w:val="00303635"/>
    <w:rsid w:val="00305E53"/>
    <w:rsid w:val="003133A9"/>
    <w:rsid w:val="00315521"/>
    <w:rsid w:val="00316D91"/>
    <w:rsid w:val="003178E9"/>
    <w:rsid w:val="00317EDE"/>
    <w:rsid w:val="003214F0"/>
    <w:rsid w:val="00321780"/>
    <w:rsid w:val="00321DBC"/>
    <w:rsid w:val="00322CE2"/>
    <w:rsid w:val="00325476"/>
    <w:rsid w:val="003255F8"/>
    <w:rsid w:val="00327836"/>
    <w:rsid w:val="0032792D"/>
    <w:rsid w:val="00327D31"/>
    <w:rsid w:val="00334A99"/>
    <w:rsid w:val="003354C8"/>
    <w:rsid w:val="0033585B"/>
    <w:rsid w:val="00337F1A"/>
    <w:rsid w:val="003425CF"/>
    <w:rsid w:val="003434D7"/>
    <w:rsid w:val="00343E2F"/>
    <w:rsid w:val="0034527D"/>
    <w:rsid w:val="00345B17"/>
    <w:rsid w:val="0034728A"/>
    <w:rsid w:val="00347B6F"/>
    <w:rsid w:val="00351A68"/>
    <w:rsid w:val="00352C60"/>
    <w:rsid w:val="00353DA3"/>
    <w:rsid w:val="00355B65"/>
    <w:rsid w:val="00356AE6"/>
    <w:rsid w:val="003623F4"/>
    <w:rsid w:val="00363CC7"/>
    <w:rsid w:val="00365923"/>
    <w:rsid w:val="0036637D"/>
    <w:rsid w:val="003675DF"/>
    <w:rsid w:val="00367978"/>
    <w:rsid w:val="00367B6A"/>
    <w:rsid w:val="003736AF"/>
    <w:rsid w:val="00373871"/>
    <w:rsid w:val="00374EDF"/>
    <w:rsid w:val="00376BFF"/>
    <w:rsid w:val="00376CCE"/>
    <w:rsid w:val="00377498"/>
    <w:rsid w:val="00377F10"/>
    <w:rsid w:val="003822EA"/>
    <w:rsid w:val="00382C0A"/>
    <w:rsid w:val="00383744"/>
    <w:rsid w:val="00384489"/>
    <w:rsid w:val="00384D09"/>
    <w:rsid w:val="00385AC8"/>
    <w:rsid w:val="00385FAA"/>
    <w:rsid w:val="00386CD0"/>
    <w:rsid w:val="003926D8"/>
    <w:rsid w:val="00392F8A"/>
    <w:rsid w:val="00394D5E"/>
    <w:rsid w:val="0039764C"/>
    <w:rsid w:val="003A124B"/>
    <w:rsid w:val="003A1E46"/>
    <w:rsid w:val="003A2253"/>
    <w:rsid w:val="003A3DD9"/>
    <w:rsid w:val="003A64B1"/>
    <w:rsid w:val="003A6B1E"/>
    <w:rsid w:val="003A70E6"/>
    <w:rsid w:val="003A731B"/>
    <w:rsid w:val="003B1447"/>
    <w:rsid w:val="003B176C"/>
    <w:rsid w:val="003B2150"/>
    <w:rsid w:val="003B2F6F"/>
    <w:rsid w:val="003B32D7"/>
    <w:rsid w:val="003B5877"/>
    <w:rsid w:val="003B5B24"/>
    <w:rsid w:val="003B5E9D"/>
    <w:rsid w:val="003C1DE8"/>
    <w:rsid w:val="003C2D4F"/>
    <w:rsid w:val="003C3E00"/>
    <w:rsid w:val="003C418D"/>
    <w:rsid w:val="003C4E19"/>
    <w:rsid w:val="003C6B09"/>
    <w:rsid w:val="003D2FC9"/>
    <w:rsid w:val="003E12DC"/>
    <w:rsid w:val="003E1729"/>
    <w:rsid w:val="003E265B"/>
    <w:rsid w:val="003E2F6C"/>
    <w:rsid w:val="003E39DE"/>
    <w:rsid w:val="003E5063"/>
    <w:rsid w:val="003E624C"/>
    <w:rsid w:val="003E795A"/>
    <w:rsid w:val="003E7C2D"/>
    <w:rsid w:val="003F1BDE"/>
    <w:rsid w:val="003F2E4C"/>
    <w:rsid w:val="003F2F2A"/>
    <w:rsid w:val="003F3290"/>
    <w:rsid w:val="003F3721"/>
    <w:rsid w:val="003F3A82"/>
    <w:rsid w:val="003F3B25"/>
    <w:rsid w:val="003F412A"/>
    <w:rsid w:val="003F4381"/>
    <w:rsid w:val="004035FF"/>
    <w:rsid w:val="00404B8C"/>
    <w:rsid w:val="00405E38"/>
    <w:rsid w:val="00406C33"/>
    <w:rsid w:val="00406D61"/>
    <w:rsid w:val="00407F22"/>
    <w:rsid w:val="004103E0"/>
    <w:rsid w:val="00411584"/>
    <w:rsid w:val="004115D5"/>
    <w:rsid w:val="00414E0B"/>
    <w:rsid w:val="00415330"/>
    <w:rsid w:val="004154E8"/>
    <w:rsid w:val="00415B91"/>
    <w:rsid w:val="004160B5"/>
    <w:rsid w:val="00416B45"/>
    <w:rsid w:val="00420881"/>
    <w:rsid w:val="00423181"/>
    <w:rsid w:val="004233A7"/>
    <w:rsid w:val="00424DB5"/>
    <w:rsid w:val="0042630A"/>
    <w:rsid w:val="00430E26"/>
    <w:rsid w:val="004339BF"/>
    <w:rsid w:val="00435754"/>
    <w:rsid w:val="00435A01"/>
    <w:rsid w:val="00437570"/>
    <w:rsid w:val="00440B39"/>
    <w:rsid w:val="00440E7F"/>
    <w:rsid w:val="004418A8"/>
    <w:rsid w:val="0044200A"/>
    <w:rsid w:val="00442936"/>
    <w:rsid w:val="00443379"/>
    <w:rsid w:val="004440A5"/>
    <w:rsid w:val="00444E27"/>
    <w:rsid w:val="00445325"/>
    <w:rsid w:val="0044550B"/>
    <w:rsid w:val="00445B8C"/>
    <w:rsid w:val="0044676E"/>
    <w:rsid w:val="00447FEE"/>
    <w:rsid w:val="004517B7"/>
    <w:rsid w:val="004519F0"/>
    <w:rsid w:val="00452772"/>
    <w:rsid w:val="00453B3E"/>
    <w:rsid w:val="004569FB"/>
    <w:rsid w:val="004573AD"/>
    <w:rsid w:val="004626A8"/>
    <w:rsid w:val="0046309E"/>
    <w:rsid w:val="004659CC"/>
    <w:rsid w:val="004670DE"/>
    <w:rsid w:val="004701AF"/>
    <w:rsid w:val="004702C3"/>
    <w:rsid w:val="00470831"/>
    <w:rsid w:val="00471645"/>
    <w:rsid w:val="00471AF0"/>
    <w:rsid w:val="00472C4D"/>
    <w:rsid w:val="00472EF5"/>
    <w:rsid w:val="00473ED7"/>
    <w:rsid w:val="00474464"/>
    <w:rsid w:val="004754A4"/>
    <w:rsid w:val="0047592C"/>
    <w:rsid w:val="00481F66"/>
    <w:rsid w:val="0048292F"/>
    <w:rsid w:val="0048384C"/>
    <w:rsid w:val="00490ACD"/>
    <w:rsid w:val="00491E9A"/>
    <w:rsid w:val="00491F34"/>
    <w:rsid w:val="004926EF"/>
    <w:rsid w:val="00492E11"/>
    <w:rsid w:val="00494F69"/>
    <w:rsid w:val="0049645B"/>
    <w:rsid w:val="00496E29"/>
    <w:rsid w:val="00497555"/>
    <w:rsid w:val="004A3572"/>
    <w:rsid w:val="004A3BDA"/>
    <w:rsid w:val="004A4BB6"/>
    <w:rsid w:val="004B18FC"/>
    <w:rsid w:val="004B44DE"/>
    <w:rsid w:val="004B66FF"/>
    <w:rsid w:val="004B74EE"/>
    <w:rsid w:val="004C081E"/>
    <w:rsid w:val="004C0BFD"/>
    <w:rsid w:val="004C3545"/>
    <w:rsid w:val="004C3D08"/>
    <w:rsid w:val="004C45A6"/>
    <w:rsid w:val="004C7845"/>
    <w:rsid w:val="004D3771"/>
    <w:rsid w:val="004D4473"/>
    <w:rsid w:val="004D47B6"/>
    <w:rsid w:val="004E1221"/>
    <w:rsid w:val="004E2293"/>
    <w:rsid w:val="004E3926"/>
    <w:rsid w:val="004E3AC9"/>
    <w:rsid w:val="004E55D2"/>
    <w:rsid w:val="004E6170"/>
    <w:rsid w:val="004E7382"/>
    <w:rsid w:val="004F00F1"/>
    <w:rsid w:val="004F0DA0"/>
    <w:rsid w:val="004F1E2F"/>
    <w:rsid w:val="004F37EB"/>
    <w:rsid w:val="004F433C"/>
    <w:rsid w:val="004F5545"/>
    <w:rsid w:val="004F70B4"/>
    <w:rsid w:val="005000D0"/>
    <w:rsid w:val="005010BB"/>
    <w:rsid w:val="00504472"/>
    <w:rsid w:val="005049B5"/>
    <w:rsid w:val="005053FE"/>
    <w:rsid w:val="00505527"/>
    <w:rsid w:val="00505A7C"/>
    <w:rsid w:val="00505C5C"/>
    <w:rsid w:val="0050621A"/>
    <w:rsid w:val="0050773C"/>
    <w:rsid w:val="00507912"/>
    <w:rsid w:val="0051192B"/>
    <w:rsid w:val="0051222C"/>
    <w:rsid w:val="00512F64"/>
    <w:rsid w:val="00513E76"/>
    <w:rsid w:val="00515F73"/>
    <w:rsid w:val="005208CE"/>
    <w:rsid w:val="0052197D"/>
    <w:rsid w:val="00523124"/>
    <w:rsid w:val="005237DD"/>
    <w:rsid w:val="0052466E"/>
    <w:rsid w:val="00524D81"/>
    <w:rsid w:val="00525C7F"/>
    <w:rsid w:val="0052740F"/>
    <w:rsid w:val="00531DFC"/>
    <w:rsid w:val="00532076"/>
    <w:rsid w:val="00532796"/>
    <w:rsid w:val="00533B3E"/>
    <w:rsid w:val="005355EE"/>
    <w:rsid w:val="00535BDA"/>
    <w:rsid w:val="00535F51"/>
    <w:rsid w:val="00535F90"/>
    <w:rsid w:val="005365CB"/>
    <w:rsid w:val="00536853"/>
    <w:rsid w:val="00537493"/>
    <w:rsid w:val="005425FB"/>
    <w:rsid w:val="0054284D"/>
    <w:rsid w:val="0054356B"/>
    <w:rsid w:val="00543B28"/>
    <w:rsid w:val="00544450"/>
    <w:rsid w:val="00545957"/>
    <w:rsid w:val="0054632C"/>
    <w:rsid w:val="0055006F"/>
    <w:rsid w:val="0055230F"/>
    <w:rsid w:val="00552444"/>
    <w:rsid w:val="00552D5D"/>
    <w:rsid w:val="00553546"/>
    <w:rsid w:val="005566C4"/>
    <w:rsid w:val="00560551"/>
    <w:rsid w:val="00560E28"/>
    <w:rsid w:val="00562A7F"/>
    <w:rsid w:val="0056323D"/>
    <w:rsid w:val="00565C8B"/>
    <w:rsid w:val="00566786"/>
    <w:rsid w:val="0056679D"/>
    <w:rsid w:val="005675D3"/>
    <w:rsid w:val="00567EDB"/>
    <w:rsid w:val="005701E1"/>
    <w:rsid w:val="00570347"/>
    <w:rsid w:val="00570562"/>
    <w:rsid w:val="00571A7A"/>
    <w:rsid w:val="00571F2D"/>
    <w:rsid w:val="00572613"/>
    <w:rsid w:val="00573FE7"/>
    <w:rsid w:val="0057444A"/>
    <w:rsid w:val="00577488"/>
    <w:rsid w:val="00577D94"/>
    <w:rsid w:val="0058063F"/>
    <w:rsid w:val="005844D8"/>
    <w:rsid w:val="0059333D"/>
    <w:rsid w:val="005A0B55"/>
    <w:rsid w:val="005A204D"/>
    <w:rsid w:val="005A23D8"/>
    <w:rsid w:val="005A5786"/>
    <w:rsid w:val="005A6C59"/>
    <w:rsid w:val="005B0228"/>
    <w:rsid w:val="005B18E3"/>
    <w:rsid w:val="005B1A80"/>
    <w:rsid w:val="005B25C1"/>
    <w:rsid w:val="005B390A"/>
    <w:rsid w:val="005B5F70"/>
    <w:rsid w:val="005B6DEB"/>
    <w:rsid w:val="005B77EF"/>
    <w:rsid w:val="005C0969"/>
    <w:rsid w:val="005C0E21"/>
    <w:rsid w:val="005C3916"/>
    <w:rsid w:val="005C3ADB"/>
    <w:rsid w:val="005C5F1F"/>
    <w:rsid w:val="005C6903"/>
    <w:rsid w:val="005C7046"/>
    <w:rsid w:val="005C747B"/>
    <w:rsid w:val="005C7AE4"/>
    <w:rsid w:val="005D23E8"/>
    <w:rsid w:val="005D2533"/>
    <w:rsid w:val="005D40E3"/>
    <w:rsid w:val="005D4AD9"/>
    <w:rsid w:val="005D5B89"/>
    <w:rsid w:val="005D7278"/>
    <w:rsid w:val="005E0BBB"/>
    <w:rsid w:val="005E1817"/>
    <w:rsid w:val="005E19F2"/>
    <w:rsid w:val="005E203B"/>
    <w:rsid w:val="005E28A9"/>
    <w:rsid w:val="005E4CE8"/>
    <w:rsid w:val="005E5DF1"/>
    <w:rsid w:val="005E7484"/>
    <w:rsid w:val="005E7D9D"/>
    <w:rsid w:val="005F162B"/>
    <w:rsid w:val="005F1872"/>
    <w:rsid w:val="005F23BE"/>
    <w:rsid w:val="005F2731"/>
    <w:rsid w:val="005F606F"/>
    <w:rsid w:val="005F6869"/>
    <w:rsid w:val="005F7EB9"/>
    <w:rsid w:val="00600208"/>
    <w:rsid w:val="00600C5A"/>
    <w:rsid w:val="00601C79"/>
    <w:rsid w:val="00602507"/>
    <w:rsid w:val="00606220"/>
    <w:rsid w:val="00610B8F"/>
    <w:rsid w:val="00611E31"/>
    <w:rsid w:val="00612050"/>
    <w:rsid w:val="00612ED6"/>
    <w:rsid w:val="006130D5"/>
    <w:rsid w:val="00614691"/>
    <w:rsid w:val="00615B72"/>
    <w:rsid w:val="00617CD7"/>
    <w:rsid w:val="0062001C"/>
    <w:rsid w:val="006205E1"/>
    <w:rsid w:val="00623904"/>
    <w:rsid w:val="006254B2"/>
    <w:rsid w:val="00625656"/>
    <w:rsid w:val="00627D56"/>
    <w:rsid w:val="00630B61"/>
    <w:rsid w:val="006352B1"/>
    <w:rsid w:val="00635415"/>
    <w:rsid w:val="00636766"/>
    <w:rsid w:val="00636F2C"/>
    <w:rsid w:val="00640691"/>
    <w:rsid w:val="00640874"/>
    <w:rsid w:val="00641683"/>
    <w:rsid w:val="00642359"/>
    <w:rsid w:val="00645B17"/>
    <w:rsid w:val="00646A10"/>
    <w:rsid w:val="006516E1"/>
    <w:rsid w:val="0065202F"/>
    <w:rsid w:val="006529DC"/>
    <w:rsid w:val="00652B42"/>
    <w:rsid w:val="0065592C"/>
    <w:rsid w:val="006572DB"/>
    <w:rsid w:val="006604A0"/>
    <w:rsid w:val="006609CD"/>
    <w:rsid w:val="0066496C"/>
    <w:rsid w:val="006663BD"/>
    <w:rsid w:val="00666672"/>
    <w:rsid w:val="00671204"/>
    <w:rsid w:val="00671687"/>
    <w:rsid w:val="00673874"/>
    <w:rsid w:val="00675F30"/>
    <w:rsid w:val="00676EDA"/>
    <w:rsid w:val="00682D43"/>
    <w:rsid w:val="006842E6"/>
    <w:rsid w:val="006845A4"/>
    <w:rsid w:val="0068561B"/>
    <w:rsid w:val="00685803"/>
    <w:rsid w:val="00686DBC"/>
    <w:rsid w:val="006870BA"/>
    <w:rsid w:val="0068791E"/>
    <w:rsid w:val="00687F50"/>
    <w:rsid w:val="00691F3A"/>
    <w:rsid w:val="00692931"/>
    <w:rsid w:val="00692CFE"/>
    <w:rsid w:val="006938E9"/>
    <w:rsid w:val="00695068"/>
    <w:rsid w:val="00695E5A"/>
    <w:rsid w:val="00696F27"/>
    <w:rsid w:val="006A1483"/>
    <w:rsid w:val="006A186C"/>
    <w:rsid w:val="006A4DB0"/>
    <w:rsid w:val="006A4DCE"/>
    <w:rsid w:val="006A761F"/>
    <w:rsid w:val="006A7FAC"/>
    <w:rsid w:val="006B12DC"/>
    <w:rsid w:val="006B12F5"/>
    <w:rsid w:val="006B3454"/>
    <w:rsid w:val="006B4B06"/>
    <w:rsid w:val="006B68BE"/>
    <w:rsid w:val="006B723D"/>
    <w:rsid w:val="006B78CB"/>
    <w:rsid w:val="006C10CF"/>
    <w:rsid w:val="006C163A"/>
    <w:rsid w:val="006C209A"/>
    <w:rsid w:val="006C4E51"/>
    <w:rsid w:val="006C608F"/>
    <w:rsid w:val="006C7300"/>
    <w:rsid w:val="006D39EB"/>
    <w:rsid w:val="006D49F4"/>
    <w:rsid w:val="006D6BB9"/>
    <w:rsid w:val="006E0230"/>
    <w:rsid w:val="006E039D"/>
    <w:rsid w:val="006E239B"/>
    <w:rsid w:val="006E3CEF"/>
    <w:rsid w:val="006E4C44"/>
    <w:rsid w:val="006E5175"/>
    <w:rsid w:val="006E68F7"/>
    <w:rsid w:val="006E6BB4"/>
    <w:rsid w:val="006F0E95"/>
    <w:rsid w:val="00700366"/>
    <w:rsid w:val="00702CCF"/>
    <w:rsid w:val="00703B3E"/>
    <w:rsid w:val="00704129"/>
    <w:rsid w:val="007045AD"/>
    <w:rsid w:val="007046C2"/>
    <w:rsid w:val="00704D99"/>
    <w:rsid w:val="0070788C"/>
    <w:rsid w:val="00710FD1"/>
    <w:rsid w:val="00711BAF"/>
    <w:rsid w:val="00711C3E"/>
    <w:rsid w:val="00711CE9"/>
    <w:rsid w:val="0071289C"/>
    <w:rsid w:val="00713903"/>
    <w:rsid w:val="00714D27"/>
    <w:rsid w:val="00715153"/>
    <w:rsid w:val="00715883"/>
    <w:rsid w:val="00715A90"/>
    <w:rsid w:val="00715D3B"/>
    <w:rsid w:val="0071601F"/>
    <w:rsid w:val="00716F4F"/>
    <w:rsid w:val="00717B37"/>
    <w:rsid w:val="00720F7A"/>
    <w:rsid w:val="00721FAC"/>
    <w:rsid w:val="0072215F"/>
    <w:rsid w:val="00722E89"/>
    <w:rsid w:val="00722F38"/>
    <w:rsid w:val="007247A8"/>
    <w:rsid w:val="00724BAA"/>
    <w:rsid w:val="00726A3A"/>
    <w:rsid w:val="0073160E"/>
    <w:rsid w:val="00735B09"/>
    <w:rsid w:val="0073633E"/>
    <w:rsid w:val="007368EF"/>
    <w:rsid w:val="0073797A"/>
    <w:rsid w:val="00737B27"/>
    <w:rsid w:val="00740B3A"/>
    <w:rsid w:val="00742ED3"/>
    <w:rsid w:val="0074443C"/>
    <w:rsid w:val="007452F5"/>
    <w:rsid w:val="007462A0"/>
    <w:rsid w:val="00746517"/>
    <w:rsid w:val="007479FC"/>
    <w:rsid w:val="00747DB0"/>
    <w:rsid w:val="00750E97"/>
    <w:rsid w:val="0075206D"/>
    <w:rsid w:val="00752892"/>
    <w:rsid w:val="0075329D"/>
    <w:rsid w:val="0075334A"/>
    <w:rsid w:val="00754841"/>
    <w:rsid w:val="0075792A"/>
    <w:rsid w:val="00757C17"/>
    <w:rsid w:val="00757EBB"/>
    <w:rsid w:val="00762CEF"/>
    <w:rsid w:val="00763306"/>
    <w:rsid w:val="007633DE"/>
    <w:rsid w:val="007633FD"/>
    <w:rsid w:val="007636B8"/>
    <w:rsid w:val="0076491C"/>
    <w:rsid w:val="00764BF1"/>
    <w:rsid w:val="007658CD"/>
    <w:rsid w:val="00765FE9"/>
    <w:rsid w:val="0076742F"/>
    <w:rsid w:val="007710F2"/>
    <w:rsid w:val="00772D0F"/>
    <w:rsid w:val="00773BD4"/>
    <w:rsid w:val="007741FF"/>
    <w:rsid w:val="00775600"/>
    <w:rsid w:val="00776ACB"/>
    <w:rsid w:val="00787166"/>
    <w:rsid w:val="00787F0C"/>
    <w:rsid w:val="00790142"/>
    <w:rsid w:val="007912C3"/>
    <w:rsid w:val="00794102"/>
    <w:rsid w:val="00794F0C"/>
    <w:rsid w:val="00797D2A"/>
    <w:rsid w:val="007A0B0D"/>
    <w:rsid w:val="007A1902"/>
    <w:rsid w:val="007A3106"/>
    <w:rsid w:val="007A4A84"/>
    <w:rsid w:val="007A60E9"/>
    <w:rsid w:val="007A6FE3"/>
    <w:rsid w:val="007B22DE"/>
    <w:rsid w:val="007B2A0D"/>
    <w:rsid w:val="007B4108"/>
    <w:rsid w:val="007B5B1F"/>
    <w:rsid w:val="007B71A8"/>
    <w:rsid w:val="007B74EB"/>
    <w:rsid w:val="007C0C24"/>
    <w:rsid w:val="007C10FC"/>
    <w:rsid w:val="007C1187"/>
    <w:rsid w:val="007C29F1"/>
    <w:rsid w:val="007C2B0F"/>
    <w:rsid w:val="007C306A"/>
    <w:rsid w:val="007C3C45"/>
    <w:rsid w:val="007C3CE9"/>
    <w:rsid w:val="007C546F"/>
    <w:rsid w:val="007C5DD6"/>
    <w:rsid w:val="007C6C5F"/>
    <w:rsid w:val="007C71E0"/>
    <w:rsid w:val="007C74ED"/>
    <w:rsid w:val="007D200F"/>
    <w:rsid w:val="007D23C1"/>
    <w:rsid w:val="007D4981"/>
    <w:rsid w:val="007D4DA0"/>
    <w:rsid w:val="007D576B"/>
    <w:rsid w:val="007D7343"/>
    <w:rsid w:val="007E1579"/>
    <w:rsid w:val="007E281C"/>
    <w:rsid w:val="007E67E3"/>
    <w:rsid w:val="007E71BD"/>
    <w:rsid w:val="007F1807"/>
    <w:rsid w:val="007F188D"/>
    <w:rsid w:val="007F2606"/>
    <w:rsid w:val="007F2BAD"/>
    <w:rsid w:val="007F2C40"/>
    <w:rsid w:val="007F37B1"/>
    <w:rsid w:val="007F6806"/>
    <w:rsid w:val="007F75B8"/>
    <w:rsid w:val="00800A0B"/>
    <w:rsid w:val="00801424"/>
    <w:rsid w:val="0080243D"/>
    <w:rsid w:val="00805746"/>
    <w:rsid w:val="0080682C"/>
    <w:rsid w:val="00811188"/>
    <w:rsid w:val="008134C5"/>
    <w:rsid w:val="0081421B"/>
    <w:rsid w:val="0081452D"/>
    <w:rsid w:val="008148F1"/>
    <w:rsid w:val="008154C7"/>
    <w:rsid w:val="008206E2"/>
    <w:rsid w:val="00820D98"/>
    <w:rsid w:val="00822537"/>
    <w:rsid w:val="0082446A"/>
    <w:rsid w:val="00824886"/>
    <w:rsid w:val="00827900"/>
    <w:rsid w:val="00830D03"/>
    <w:rsid w:val="0083156A"/>
    <w:rsid w:val="00831B45"/>
    <w:rsid w:val="00832DE6"/>
    <w:rsid w:val="008331CD"/>
    <w:rsid w:val="0083332B"/>
    <w:rsid w:val="0083375B"/>
    <w:rsid w:val="00833A06"/>
    <w:rsid w:val="008341DE"/>
    <w:rsid w:val="00835010"/>
    <w:rsid w:val="008351AB"/>
    <w:rsid w:val="00837910"/>
    <w:rsid w:val="00840686"/>
    <w:rsid w:val="0084093F"/>
    <w:rsid w:val="00840B47"/>
    <w:rsid w:val="0084154B"/>
    <w:rsid w:val="008425FF"/>
    <w:rsid w:val="0084481D"/>
    <w:rsid w:val="008458E6"/>
    <w:rsid w:val="008459D4"/>
    <w:rsid w:val="00847884"/>
    <w:rsid w:val="00850A3F"/>
    <w:rsid w:val="0085345B"/>
    <w:rsid w:val="00853A7F"/>
    <w:rsid w:val="00854157"/>
    <w:rsid w:val="008550C7"/>
    <w:rsid w:val="0085693E"/>
    <w:rsid w:val="008578DC"/>
    <w:rsid w:val="008614F0"/>
    <w:rsid w:val="00861B4F"/>
    <w:rsid w:val="00861EC9"/>
    <w:rsid w:val="0086323F"/>
    <w:rsid w:val="008636E7"/>
    <w:rsid w:val="008648DA"/>
    <w:rsid w:val="00866358"/>
    <w:rsid w:val="00870957"/>
    <w:rsid w:val="008738E5"/>
    <w:rsid w:val="008739D0"/>
    <w:rsid w:val="00875174"/>
    <w:rsid w:val="008753CB"/>
    <w:rsid w:val="008753D1"/>
    <w:rsid w:val="00881A40"/>
    <w:rsid w:val="00883FCA"/>
    <w:rsid w:val="00884831"/>
    <w:rsid w:val="00885278"/>
    <w:rsid w:val="008856BF"/>
    <w:rsid w:val="008865BB"/>
    <w:rsid w:val="00890837"/>
    <w:rsid w:val="00891706"/>
    <w:rsid w:val="00893D86"/>
    <w:rsid w:val="008946DF"/>
    <w:rsid w:val="00894F61"/>
    <w:rsid w:val="00895A1F"/>
    <w:rsid w:val="00895C2F"/>
    <w:rsid w:val="00896E4A"/>
    <w:rsid w:val="00897296"/>
    <w:rsid w:val="008A1077"/>
    <w:rsid w:val="008A1C30"/>
    <w:rsid w:val="008A3F20"/>
    <w:rsid w:val="008A4087"/>
    <w:rsid w:val="008A4282"/>
    <w:rsid w:val="008A4FC4"/>
    <w:rsid w:val="008A61E4"/>
    <w:rsid w:val="008A6747"/>
    <w:rsid w:val="008A67CA"/>
    <w:rsid w:val="008B0386"/>
    <w:rsid w:val="008B088F"/>
    <w:rsid w:val="008B12D9"/>
    <w:rsid w:val="008B2874"/>
    <w:rsid w:val="008B3A6C"/>
    <w:rsid w:val="008B489A"/>
    <w:rsid w:val="008B6256"/>
    <w:rsid w:val="008B7D5B"/>
    <w:rsid w:val="008C06D9"/>
    <w:rsid w:val="008C0D29"/>
    <w:rsid w:val="008C1030"/>
    <w:rsid w:val="008C15C9"/>
    <w:rsid w:val="008C2318"/>
    <w:rsid w:val="008C3B7F"/>
    <w:rsid w:val="008C44EB"/>
    <w:rsid w:val="008C4C7E"/>
    <w:rsid w:val="008C5853"/>
    <w:rsid w:val="008C5A7D"/>
    <w:rsid w:val="008C616A"/>
    <w:rsid w:val="008C657C"/>
    <w:rsid w:val="008C6876"/>
    <w:rsid w:val="008C6DB2"/>
    <w:rsid w:val="008C79D9"/>
    <w:rsid w:val="008C7BAD"/>
    <w:rsid w:val="008D0474"/>
    <w:rsid w:val="008D0E55"/>
    <w:rsid w:val="008D13CB"/>
    <w:rsid w:val="008D1BCA"/>
    <w:rsid w:val="008D3186"/>
    <w:rsid w:val="008D3A45"/>
    <w:rsid w:val="008D5AAF"/>
    <w:rsid w:val="008D76E6"/>
    <w:rsid w:val="008D7BE9"/>
    <w:rsid w:val="008E01E6"/>
    <w:rsid w:val="008E15FF"/>
    <w:rsid w:val="008E2291"/>
    <w:rsid w:val="008E24A8"/>
    <w:rsid w:val="008E251B"/>
    <w:rsid w:val="008E3B83"/>
    <w:rsid w:val="008E3FFF"/>
    <w:rsid w:val="008E452A"/>
    <w:rsid w:val="008E4E72"/>
    <w:rsid w:val="008E52F4"/>
    <w:rsid w:val="008E625D"/>
    <w:rsid w:val="008E78BC"/>
    <w:rsid w:val="008E7CD4"/>
    <w:rsid w:val="008F03C0"/>
    <w:rsid w:val="008F0608"/>
    <w:rsid w:val="008F06C0"/>
    <w:rsid w:val="008F2B96"/>
    <w:rsid w:val="008F5279"/>
    <w:rsid w:val="008F54A6"/>
    <w:rsid w:val="008F5B62"/>
    <w:rsid w:val="008F5EAE"/>
    <w:rsid w:val="008F63FF"/>
    <w:rsid w:val="00900E3D"/>
    <w:rsid w:val="00903933"/>
    <w:rsid w:val="009042CB"/>
    <w:rsid w:val="00905733"/>
    <w:rsid w:val="009062D2"/>
    <w:rsid w:val="009064B6"/>
    <w:rsid w:val="00906569"/>
    <w:rsid w:val="00907738"/>
    <w:rsid w:val="00907BFB"/>
    <w:rsid w:val="00911E55"/>
    <w:rsid w:val="00912FE2"/>
    <w:rsid w:val="00914FEF"/>
    <w:rsid w:val="00915E08"/>
    <w:rsid w:val="0091684C"/>
    <w:rsid w:val="00916880"/>
    <w:rsid w:val="00916E09"/>
    <w:rsid w:val="00927C8C"/>
    <w:rsid w:val="009300EB"/>
    <w:rsid w:val="0093115B"/>
    <w:rsid w:val="00931468"/>
    <w:rsid w:val="00931E0D"/>
    <w:rsid w:val="00932B5A"/>
    <w:rsid w:val="00935296"/>
    <w:rsid w:val="009374CA"/>
    <w:rsid w:val="00937EED"/>
    <w:rsid w:val="009421A2"/>
    <w:rsid w:val="00943DBD"/>
    <w:rsid w:val="00946F2E"/>
    <w:rsid w:val="00952513"/>
    <w:rsid w:val="00953188"/>
    <w:rsid w:val="00956A88"/>
    <w:rsid w:val="0095718F"/>
    <w:rsid w:val="00962D27"/>
    <w:rsid w:val="00963E79"/>
    <w:rsid w:val="00964086"/>
    <w:rsid w:val="009657D2"/>
    <w:rsid w:val="00967553"/>
    <w:rsid w:val="009676AD"/>
    <w:rsid w:val="00967CE7"/>
    <w:rsid w:val="0097145E"/>
    <w:rsid w:val="009765FF"/>
    <w:rsid w:val="009772E5"/>
    <w:rsid w:val="009773B3"/>
    <w:rsid w:val="00980CF5"/>
    <w:rsid w:val="0098157C"/>
    <w:rsid w:val="00983C82"/>
    <w:rsid w:val="00984C61"/>
    <w:rsid w:val="00985A74"/>
    <w:rsid w:val="0099047B"/>
    <w:rsid w:val="00990943"/>
    <w:rsid w:val="00991422"/>
    <w:rsid w:val="00991EBE"/>
    <w:rsid w:val="00992977"/>
    <w:rsid w:val="00992F1D"/>
    <w:rsid w:val="00994160"/>
    <w:rsid w:val="0099665F"/>
    <w:rsid w:val="00996741"/>
    <w:rsid w:val="00996B1B"/>
    <w:rsid w:val="00996F3A"/>
    <w:rsid w:val="00997051"/>
    <w:rsid w:val="009A115A"/>
    <w:rsid w:val="009A170B"/>
    <w:rsid w:val="009A1808"/>
    <w:rsid w:val="009A1C54"/>
    <w:rsid w:val="009A21E1"/>
    <w:rsid w:val="009A2332"/>
    <w:rsid w:val="009A302F"/>
    <w:rsid w:val="009A3CE1"/>
    <w:rsid w:val="009A3EF2"/>
    <w:rsid w:val="009B1BF2"/>
    <w:rsid w:val="009B7BD7"/>
    <w:rsid w:val="009C19F1"/>
    <w:rsid w:val="009C1D1E"/>
    <w:rsid w:val="009C23D2"/>
    <w:rsid w:val="009C28E9"/>
    <w:rsid w:val="009C7111"/>
    <w:rsid w:val="009C7138"/>
    <w:rsid w:val="009D11D8"/>
    <w:rsid w:val="009D1CAC"/>
    <w:rsid w:val="009D3970"/>
    <w:rsid w:val="009D3CD9"/>
    <w:rsid w:val="009D3F86"/>
    <w:rsid w:val="009D45AC"/>
    <w:rsid w:val="009D4684"/>
    <w:rsid w:val="009D668D"/>
    <w:rsid w:val="009E08D3"/>
    <w:rsid w:val="009E11C4"/>
    <w:rsid w:val="009E28D9"/>
    <w:rsid w:val="009E36C2"/>
    <w:rsid w:val="009E4CC9"/>
    <w:rsid w:val="009E57F7"/>
    <w:rsid w:val="009E62F2"/>
    <w:rsid w:val="009E6C9B"/>
    <w:rsid w:val="009E7DEC"/>
    <w:rsid w:val="009F01F4"/>
    <w:rsid w:val="009F06F4"/>
    <w:rsid w:val="009F29EA"/>
    <w:rsid w:val="009F4518"/>
    <w:rsid w:val="009F6788"/>
    <w:rsid w:val="009F6B06"/>
    <w:rsid w:val="009F6D92"/>
    <w:rsid w:val="009F7714"/>
    <w:rsid w:val="009F7B61"/>
    <w:rsid w:val="00A0177D"/>
    <w:rsid w:val="00A02A3D"/>
    <w:rsid w:val="00A05B07"/>
    <w:rsid w:val="00A06E51"/>
    <w:rsid w:val="00A10F4D"/>
    <w:rsid w:val="00A11EDA"/>
    <w:rsid w:val="00A12975"/>
    <w:rsid w:val="00A12EE7"/>
    <w:rsid w:val="00A140AA"/>
    <w:rsid w:val="00A1417C"/>
    <w:rsid w:val="00A157C6"/>
    <w:rsid w:val="00A16226"/>
    <w:rsid w:val="00A16278"/>
    <w:rsid w:val="00A212E2"/>
    <w:rsid w:val="00A2229A"/>
    <w:rsid w:val="00A22D4C"/>
    <w:rsid w:val="00A23040"/>
    <w:rsid w:val="00A24CE5"/>
    <w:rsid w:val="00A25050"/>
    <w:rsid w:val="00A2666F"/>
    <w:rsid w:val="00A3040F"/>
    <w:rsid w:val="00A329CD"/>
    <w:rsid w:val="00A3339B"/>
    <w:rsid w:val="00A36B83"/>
    <w:rsid w:val="00A37429"/>
    <w:rsid w:val="00A406C4"/>
    <w:rsid w:val="00A4259D"/>
    <w:rsid w:val="00A42BE6"/>
    <w:rsid w:val="00A42D31"/>
    <w:rsid w:val="00A44925"/>
    <w:rsid w:val="00A4531B"/>
    <w:rsid w:val="00A46855"/>
    <w:rsid w:val="00A46AEB"/>
    <w:rsid w:val="00A539F0"/>
    <w:rsid w:val="00A5406D"/>
    <w:rsid w:val="00A54C7D"/>
    <w:rsid w:val="00A54CC3"/>
    <w:rsid w:val="00A56B23"/>
    <w:rsid w:val="00A5728E"/>
    <w:rsid w:val="00A603E5"/>
    <w:rsid w:val="00A61B21"/>
    <w:rsid w:val="00A62EF7"/>
    <w:rsid w:val="00A635A7"/>
    <w:rsid w:val="00A63DE9"/>
    <w:rsid w:val="00A64439"/>
    <w:rsid w:val="00A64D3E"/>
    <w:rsid w:val="00A6540F"/>
    <w:rsid w:val="00A65979"/>
    <w:rsid w:val="00A65A72"/>
    <w:rsid w:val="00A66772"/>
    <w:rsid w:val="00A67453"/>
    <w:rsid w:val="00A708DC"/>
    <w:rsid w:val="00A73B17"/>
    <w:rsid w:val="00A73DE7"/>
    <w:rsid w:val="00A74CEA"/>
    <w:rsid w:val="00A76957"/>
    <w:rsid w:val="00A76C33"/>
    <w:rsid w:val="00A77298"/>
    <w:rsid w:val="00A80D14"/>
    <w:rsid w:val="00A815D8"/>
    <w:rsid w:val="00A8338E"/>
    <w:rsid w:val="00A8455B"/>
    <w:rsid w:val="00A84B2F"/>
    <w:rsid w:val="00A85D9B"/>
    <w:rsid w:val="00A90E59"/>
    <w:rsid w:val="00A92F23"/>
    <w:rsid w:val="00A93FA2"/>
    <w:rsid w:val="00A95D7B"/>
    <w:rsid w:val="00A9734E"/>
    <w:rsid w:val="00A97A9A"/>
    <w:rsid w:val="00A97F3B"/>
    <w:rsid w:val="00AA3A8C"/>
    <w:rsid w:val="00AA416E"/>
    <w:rsid w:val="00AA4468"/>
    <w:rsid w:val="00AA497C"/>
    <w:rsid w:val="00AA52DD"/>
    <w:rsid w:val="00AA5C2A"/>
    <w:rsid w:val="00AA72A8"/>
    <w:rsid w:val="00AB05F6"/>
    <w:rsid w:val="00AB0C27"/>
    <w:rsid w:val="00AB2485"/>
    <w:rsid w:val="00AB277F"/>
    <w:rsid w:val="00AB2CA7"/>
    <w:rsid w:val="00AB2D17"/>
    <w:rsid w:val="00AB7E5B"/>
    <w:rsid w:val="00AC019A"/>
    <w:rsid w:val="00AC1D5C"/>
    <w:rsid w:val="00AC1FDE"/>
    <w:rsid w:val="00AC2EC5"/>
    <w:rsid w:val="00AC56CB"/>
    <w:rsid w:val="00AC62CD"/>
    <w:rsid w:val="00AC6BAE"/>
    <w:rsid w:val="00AD277E"/>
    <w:rsid w:val="00AD37DF"/>
    <w:rsid w:val="00AD4DEF"/>
    <w:rsid w:val="00AD62D5"/>
    <w:rsid w:val="00AD6600"/>
    <w:rsid w:val="00AD6896"/>
    <w:rsid w:val="00AD7D37"/>
    <w:rsid w:val="00AE19D9"/>
    <w:rsid w:val="00AE23C9"/>
    <w:rsid w:val="00AE4955"/>
    <w:rsid w:val="00AE57E4"/>
    <w:rsid w:val="00AE6BA0"/>
    <w:rsid w:val="00AF018A"/>
    <w:rsid w:val="00AF0E39"/>
    <w:rsid w:val="00AF36E4"/>
    <w:rsid w:val="00AF747E"/>
    <w:rsid w:val="00AF7845"/>
    <w:rsid w:val="00AF7909"/>
    <w:rsid w:val="00B02263"/>
    <w:rsid w:val="00B03BF1"/>
    <w:rsid w:val="00B063DE"/>
    <w:rsid w:val="00B11928"/>
    <w:rsid w:val="00B13DE8"/>
    <w:rsid w:val="00B147C6"/>
    <w:rsid w:val="00B1530E"/>
    <w:rsid w:val="00B168B6"/>
    <w:rsid w:val="00B2027A"/>
    <w:rsid w:val="00B2360E"/>
    <w:rsid w:val="00B26099"/>
    <w:rsid w:val="00B26BDB"/>
    <w:rsid w:val="00B300CE"/>
    <w:rsid w:val="00B31271"/>
    <w:rsid w:val="00B32294"/>
    <w:rsid w:val="00B32C60"/>
    <w:rsid w:val="00B3475F"/>
    <w:rsid w:val="00B35BFB"/>
    <w:rsid w:val="00B379C4"/>
    <w:rsid w:val="00B37B5A"/>
    <w:rsid w:val="00B43610"/>
    <w:rsid w:val="00B44100"/>
    <w:rsid w:val="00B46665"/>
    <w:rsid w:val="00B46B48"/>
    <w:rsid w:val="00B47918"/>
    <w:rsid w:val="00B50C81"/>
    <w:rsid w:val="00B52498"/>
    <w:rsid w:val="00B53A5B"/>
    <w:rsid w:val="00B545F3"/>
    <w:rsid w:val="00B55A7F"/>
    <w:rsid w:val="00B5734B"/>
    <w:rsid w:val="00B600B9"/>
    <w:rsid w:val="00B60AD4"/>
    <w:rsid w:val="00B621D3"/>
    <w:rsid w:val="00B64D1D"/>
    <w:rsid w:val="00B64E95"/>
    <w:rsid w:val="00B67589"/>
    <w:rsid w:val="00B678AB"/>
    <w:rsid w:val="00B713EF"/>
    <w:rsid w:val="00B725E1"/>
    <w:rsid w:val="00B73447"/>
    <w:rsid w:val="00B745B9"/>
    <w:rsid w:val="00B74E19"/>
    <w:rsid w:val="00B74FE8"/>
    <w:rsid w:val="00B8222A"/>
    <w:rsid w:val="00B836F8"/>
    <w:rsid w:val="00B8409D"/>
    <w:rsid w:val="00B84F96"/>
    <w:rsid w:val="00B85A8A"/>
    <w:rsid w:val="00B87B90"/>
    <w:rsid w:val="00B90BA8"/>
    <w:rsid w:val="00B933BB"/>
    <w:rsid w:val="00B938D1"/>
    <w:rsid w:val="00B93F5D"/>
    <w:rsid w:val="00B941E8"/>
    <w:rsid w:val="00B94520"/>
    <w:rsid w:val="00B95653"/>
    <w:rsid w:val="00B96C45"/>
    <w:rsid w:val="00BA0309"/>
    <w:rsid w:val="00BA08F1"/>
    <w:rsid w:val="00BA5434"/>
    <w:rsid w:val="00BA700F"/>
    <w:rsid w:val="00BA772B"/>
    <w:rsid w:val="00BB0610"/>
    <w:rsid w:val="00BB061D"/>
    <w:rsid w:val="00BB0CCC"/>
    <w:rsid w:val="00BB5509"/>
    <w:rsid w:val="00BB6244"/>
    <w:rsid w:val="00BB627B"/>
    <w:rsid w:val="00BB7067"/>
    <w:rsid w:val="00BB752E"/>
    <w:rsid w:val="00BC058D"/>
    <w:rsid w:val="00BC10A7"/>
    <w:rsid w:val="00BC4B34"/>
    <w:rsid w:val="00BC4CFB"/>
    <w:rsid w:val="00BC633B"/>
    <w:rsid w:val="00BC7069"/>
    <w:rsid w:val="00BC7277"/>
    <w:rsid w:val="00BD2EB5"/>
    <w:rsid w:val="00BD3338"/>
    <w:rsid w:val="00BD461C"/>
    <w:rsid w:val="00BD6404"/>
    <w:rsid w:val="00BE0A7B"/>
    <w:rsid w:val="00BE1409"/>
    <w:rsid w:val="00BE1CBF"/>
    <w:rsid w:val="00BE1D5A"/>
    <w:rsid w:val="00BE1F50"/>
    <w:rsid w:val="00BE2854"/>
    <w:rsid w:val="00BE2F00"/>
    <w:rsid w:val="00BE4571"/>
    <w:rsid w:val="00BE4937"/>
    <w:rsid w:val="00BE4D2B"/>
    <w:rsid w:val="00BE501F"/>
    <w:rsid w:val="00BE559D"/>
    <w:rsid w:val="00BE5895"/>
    <w:rsid w:val="00BE65E6"/>
    <w:rsid w:val="00BE71ED"/>
    <w:rsid w:val="00BF01F9"/>
    <w:rsid w:val="00BF2137"/>
    <w:rsid w:val="00BF4021"/>
    <w:rsid w:val="00C00E56"/>
    <w:rsid w:val="00C01248"/>
    <w:rsid w:val="00C0279A"/>
    <w:rsid w:val="00C03C2F"/>
    <w:rsid w:val="00C0422A"/>
    <w:rsid w:val="00C042C5"/>
    <w:rsid w:val="00C04B78"/>
    <w:rsid w:val="00C067DC"/>
    <w:rsid w:val="00C06D13"/>
    <w:rsid w:val="00C1425F"/>
    <w:rsid w:val="00C15168"/>
    <w:rsid w:val="00C20178"/>
    <w:rsid w:val="00C20532"/>
    <w:rsid w:val="00C208B9"/>
    <w:rsid w:val="00C237E7"/>
    <w:rsid w:val="00C24525"/>
    <w:rsid w:val="00C253E5"/>
    <w:rsid w:val="00C26009"/>
    <w:rsid w:val="00C26A42"/>
    <w:rsid w:val="00C27142"/>
    <w:rsid w:val="00C31E4C"/>
    <w:rsid w:val="00C32A41"/>
    <w:rsid w:val="00C3367B"/>
    <w:rsid w:val="00C3576E"/>
    <w:rsid w:val="00C36236"/>
    <w:rsid w:val="00C37703"/>
    <w:rsid w:val="00C3794D"/>
    <w:rsid w:val="00C42029"/>
    <w:rsid w:val="00C42E4C"/>
    <w:rsid w:val="00C44716"/>
    <w:rsid w:val="00C44D8D"/>
    <w:rsid w:val="00C454C1"/>
    <w:rsid w:val="00C46DCE"/>
    <w:rsid w:val="00C47A0F"/>
    <w:rsid w:val="00C50047"/>
    <w:rsid w:val="00C5233E"/>
    <w:rsid w:val="00C52412"/>
    <w:rsid w:val="00C54AA6"/>
    <w:rsid w:val="00C56A0A"/>
    <w:rsid w:val="00C574CF"/>
    <w:rsid w:val="00C57C6A"/>
    <w:rsid w:val="00C57FDF"/>
    <w:rsid w:val="00C61F8C"/>
    <w:rsid w:val="00C629A7"/>
    <w:rsid w:val="00C67798"/>
    <w:rsid w:val="00C70358"/>
    <w:rsid w:val="00C74095"/>
    <w:rsid w:val="00C74CB3"/>
    <w:rsid w:val="00C74CE3"/>
    <w:rsid w:val="00C74FFB"/>
    <w:rsid w:val="00C752DA"/>
    <w:rsid w:val="00C8206C"/>
    <w:rsid w:val="00C82E7D"/>
    <w:rsid w:val="00C83657"/>
    <w:rsid w:val="00C83D9A"/>
    <w:rsid w:val="00C8400A"/>
    <w:rsid w:val="00C867FE"/>
    <w:rsid w:val="00C90491"/>
    <w:rsid w:val="00C92E83"/>
    <w:rsid w:val="00C93002"/>
    <w:rsid w:val="00C935EB"/>
    <w:rsid w:val="00C95B6D"/>
    <w:rsid w:val="00C96E2C"/>
    <w:rsid w:val="00CA1240"/>
    <w:rsid w:val="00CA2340"/>
    <w:rsid w:val="00CA2624"/>
    <w:rsid w:val="00CA278D"/>
    <w:rsid w:val="00CA39C8"/>
    <w:rsid w:val="00CA46DC"/>
    <w:rsid w:val="00CA58D5"/>
    <w:rsid w:val="00CA5EBD"/>
    <w:rsid w:val="00CA7379"/>
    <w:rsid w:val="00CA7EAE"/>
    <w:rsid w:val="00CB237D"/>
    <w:rsid w:val="00CB2BD8"/>
    <w:rsid w:val="00CB3D4F"/>
    <w:rsid w:val="00CB5393"/>
    <w:rsid w:val="00CB6896"/>
    <w:rsid w:val="00CB6F10"/>
    <w:rsid w:val="00CB7692"/>
    <w:rsid w:val="00CB7829"/>
    <w:rsid w:val="00CC1884"/>
    <w:rsid w:val="00CC2A31"/>
    <w:rsid w:val="00CC67F3"/>
    <w:rsid w:val="00CC6FC6"/>
    <w:rsid w:val="00CD1BE5"/>
    <w:rsid w:val="00CD2255"/>
    <w:rsid w:val="00CD2AFF"/>
    <w:rsid w:val="00CD3CB6"/>
    <w:rsid w:val="00CD54BC"/>
    <w:rsid w:val="00CD6B3A"/>
    <w:rsid w:val="00CD7BA6"/>
    <w:rsid w:val="00CD7C18"/>
    <w:rsid w:val="00CE0762"/>
    <w:rsid w:val="00CE0FEE"/>
    <w:rsid w:val="00CE3C07"/>
    <w:rsid w:val="00CE4D6C"/>
    <w:rsid w:val="00CE53DC"/>
    <w:rsid w:val="00CE7EF4"/>
    <w:rsid w:val="00CF0099"/>
    <w:rsid w:val="00CF046B"/>
    <w:rsid w:val="00CF1215"/>
    <w:rsid w:val="00CF1C65"/>
    <w:rsid w:val="00CF73C3"/>
    <w:rsid w:val="00CF7F25"/>
    <w:rsid w:val="00D004E3"/>
    <w:rsid w:val="00D0149F"/>
    <w:rsid w:val="00D01D58"/>
    <w:rsid w:val="00D037E3"/>
    <w:rsid w:val="00D07871"/>
    <w:rsid w:val="00D079B2"/>
    <w:rsid w:val="00D07B3A"/>
    <w:rsid w:val="00D1043C"/>
    <w:rsid w:val="00D10949"/>
    <w:rsid w:val="00D1351F"/>
    <w:rsid w:val="00D14062"/>
    <w:rsid w:val="00D14EC8"/>
    <w:rsid w:val="00D15BA5"/>
    <w:rsid w:val="00D16E5E"/>
    <w:rsid w:val="00D207EE"/>
    <w:rsid w:val="00D21519"/>
    <w:rsid w:val="00D22AFC"/>
    <w:rsid w:val="00D230C6"/>
    <w:rsid w:val="00D241FF"/>
    <w:rsid w:val="00D26DC5"/>
    <w:rsid w:val="00D304F9"/>
    <w:rsid w:val="00D332A0"/>
    <w:rsid w:val="00D36B5A"/>
    <w:rsid w:val="00D375DF"/>
    <w:rsid w:val="00D37DB4"/>
    <w:rsid w:val="00D4080A"/>
    <w:rsid w:val="00D41FC6"/>
    <w:rsid w:val="00D42189"/>
    <w:rsid w:val="00D44529"/>
    <w:rsid w:val="00D45DAA"/>
    <w:rsid w:val="00D460E9"/>
    <w:rsid w:val="00D479DA"/>
    <w:rsid w:val="00D50D19"/>
    <w:rsid w:val="00D51AED"/>
    <w:rsid w:val="00D51C65"/>
    <w:rsid w:val="00D52451"/>
    <w:rsid w:val="00D524CE"/>
    <w:rsid w:val="00D52D7C"/>
    <w:rsid w:val="00D52F48"/>
    <w:rsid w:val="00D537C4"/>
    <w:rsid w:val="00D57ECF"/>
    <w:rsid w:val="00D616E7"/>
    <w:rsid w:val="00D641BE"/>
    <w:rsid w:val="00D673E8"/>
    <w:rsid w:val="00D70623"/>
    <w:rsid w:val="00D70930"/>
    <w:rsid w:val="00D70FD7"/>
    <w:rsid w:val="00D712A7"/>
    <w:rsid w:val="00D71A61"/>
    <w:rsid w:val="00D80EA7"/>
    <w:rsid w:val="00D81B08"/>
    <w:rsid w:val="00D81C27"/>
    <w:rsid w:val="00D82536"/>
    <w:rsid w:val="00D833C6"/>
    <w:rsid w:val="00D8609F"/>
    <w:rsid w:val="00D90215"/>
    <w:rsid w:val="00D90DE1"/>
    <w:rsid w:val="00D91E06"/>
    <w:rsid w:val="00D9781E"/>
    <w:rsid w:val="00DA3AB3"/>
    <w:rsid w:val="00DB19B3"/>
    <w:rsid w:val="00DB20E1"/>
    <w:rsid w:val="00DB2418"/>
    <w:rsid w:val="00DB2FAC"/>
    <w:rsid w:val="00DB3733"/>
    <w:rsid w:val="00DB5643"/>
    <w:rsid w:val="00DC0992"/>
    <w:rsid w:val="00DC0A42"/>
    <w:rsid w:val="00DC1A09"/>
    <w:rsid w:val="00DC29FD"/>
    <w:rsid w:val="00DC3504"/>
    <w:rsid w:val="00DC4FA1"/>
    <w:rsid w:val="00DC56FD"/>
    <w:rsid w:val="00DC6437"/>
    <w:rsid w:val="00DC764D"/>
    <w:rsid w:val="00DD09CB"/>
    <w:rsid w:val="00DD2C73"/>
    <w:rsid w:val="00DD374B"/>
    <w:rsid w:val="00DD4D0E"/>
    <w:rsid w:val="00DD5397"/>
    <w:rsid w:val="00DD5771"/>
    <w:rsid w:val="00DD5EA2"/>
    <w:rsid w:val="00DD6B97"/>
    <w:rsid w:val="00DE2A40"/>
    <w:rsid w:val="00DE4301"/>
    <w:rsid w:val="00DE5A96"/>
    <w:rsid w:val="00DE780F"/>
    <w:rsid w:val="00DF050C"/>
    <w:rsid w:val="00DF2A36"/>
    <w:rsid w:val="00DF2A89"/>
    <w:rsid w:val="00E04388"/>
    <w:rsid w:val="00E050FC"/>
    <w:rsid w:val="00E05CFC"/>
    <w:rsid w:val="00E0655D"/>
    <w:rsid w:val="00E133D2"/>
    <w:rsid w:val="00E13800"/>
    <w:rsid w:val="00E13D8A"/>
    <w:rsid w:val="00E13DF5"/>
    <w:rsid w:val="00E14785"/>
    <w:rsid w:val="00E1490C"/>
    <w:rsid w:val="00E14DD6"/>
    <w:rsid w:val="00E15625"/>
    <w:rsid w:val="00E15DDF"/>
    <w:rsid w:val="00E1715A"/>
    <w:rsid w:val="00E203A1"/>
    <w:rsid w:val="00E207CE"/>
    <w:rsid w:val="00E20BC4"/>
    <w:rsid w:val="00E20D5B"/>
    <w:rsid w:val="00E212F1"/>
    <w:rsid w:val="00E219CA"/>
    <w:rsid w:val="00E23A2C"/>
    <w:rsid w:val="00E24070"/>
    <w:rsid w:val="00E24462"/>
    <w:rsid w:val="00E247DB"/>
    <w:rsid w:val="00E26A96"/>
    <w:rsid w:val="00E27BF3"/>
    <w:rsid w:val="00E30522"/>
    <w:rsid w:val="00E30B1D"/>
    <w:rsid w:val="00E31371"/>
    <w:rsid w:val="00E31ECA"/>
    <w:rsid w:val="00E336BA"/>
    <w:rsid w:val="00E33B19"/>
    <w:rsid w:val="00E341FE"/>
    <w:rsid w:val="00E347CC"/>
    <w:rsid w:val="00E34EBC"/>
    <w:rsid w:val="00E35E2B"/>
    <w:rsid w:val="00E366EC"/>
    <w:rsid w:val="00E36B58"/>
    <w:rsid w:val="00E37F08"/>
    <w:rsid w:val="00E40822"/>
    <w:rsid w:val="00E40C1C"/>
    <w:rsid w:val="00E43F6E"/>
    <w:rsid w:val="00E44647"/>
    <w:rsid w:val="00E458D3"/>
    <w:rsid w:val="00E47D6E"/>
    <w:rsid w:val="00E47DD0"/>
    <w:rsid w:val="00E5464F"/>
    <w:rsid w:val="00E564D3"/>
    <w:rsid w:val="00E61441"/>
    <w:rsid w:val="00E614A6"/>
    <w:rsid w:val="00E620A9"/>
    <w:rsid w:val="00E623CF"/>
    <w:rsid w:val="00E65373"/>
    <w:rsid w:val="00E65BA2"/>
    <w:rsid w:val="00E70034"/>
    <w:rsid w:val="00E702FB"/>
    <w:rsid w:val="00E70EE1"/>
    <w:rsid w:val="00E73570"/>
    <w:rsid w:val="00E738BD"/>
    <w:rsid w:val="00E74131"/>
    <w:rsid w:val="00E7468F"/>
    <w:rsid w:val="00E74EAB"/>
    <w:rsid w:val="00E75BA7"/>
    <w:rsid w:val="00E810CA"/>
    <w:rsid w:val="00E816A5"/>
    <w:rsid w:val="00E82867"/>
    <w:rsid w:val="00E82E28"/>
    <w:rsid w:val="00E84445"/>
    <w:rsid w:val="00E84E9F"/>
    <w:rsid w:val="00E872C7"/>
    <w:rsid w:val="00E87574"/>
    <w:rsid w:val="00E87A13"/>
    <w:rsid w:val="00E925AF"/>
    <w:rsid w:val="00E93DF4"/>
    <w:rsid w:val="00E9517C"/>
    <w:rsid w:val="00E95B8C"/>
    <w:rsid w:val="00E97396"/>
    <w:rsid w:val="00E97993"/>
    <w:rsid w:val="00EA013F"/>
    <w:rsid w:val="00EA03F2"/>
    <w:rsid w:val="00EA0F6F"/>
    <w:rsid w:val="00EA27B4"/>
    <w:rsid w:val="00EA43F5"/>
    <w:rsid w:val="00EA5168"/>
    <w:rsid w:val="00EA5744"/>
    <w:rsid w:val="00EA5B22"/>
    <w:rsid w:val="00EA6457"/>
    <w:rsid w:val="00EA64A4"/>
    <w:rsid w:val="00EA7003"/>
    <w:rsid w:val="00EA702A"/>
    <w:rsid w:val="00EB27EE"/>
    <w:rsid w:val="00EB4272"/>
    <w:rsid w:val="00EC1564"/>
    <w:rsid w:val="00EC15BC"/>
    <w:rsid w:val="00EC35D6"/>
    <w:rsid w:val="00EC43CF"/>
    <w:rsid w:val="00EC4E70"/>
    <w:rsid w:val="00EC697A"/>
    <w:rsid w:val="00EC6CC2"/>
    <w:rsid w:val="00EC7B57"/>
    <w:rsid w:val="00ED139B"/>
    <w:rsid w:val="00ED231E"/>
    <w:rsid w:val="00ED2C6F"/>
    <w:rsid w:val="00ED3108"/>
    <w:rsid w:val="00ED3F2F"/>
    <w:rsid w:val="00ED67D6"/>
    <w:rsid w:val="00EE0963"/>
    <w:rsid w:val="00EE4142"/>
    <w:rsid w:val="00EE46C2"/>
    <w:rsid w:val="00EE4ED5"/>
    <w:rsid w:val="00EE4F9A"/>
    <w:rsid w:val="00EE5B57"/>
    <w:rsid w:val="00EE60ED"/>
    <w:rsid w:val="00EE66A8"/>
    <w:rsid w:val="00EE6EB8"/>
    <w:rsid w:val="00EF0957"/>
    <w:rsid w:val="00EF1B23"/>
    <w:rsid w:val="00EF2C49"/>
    <w:rsid w:val="00EF47D5"/>
    <w:rsid w:val="00EF6BE6"/>
    <w:rsid w:val="00F01F1B"/>
    <w:rsid w:val="00F02B7A"/>
    <w:rsid w:val="00F03226"/>
    <w:rsid w:val="00F03E72"/>
    <w:rsid w:val="00F0550C"/>
    <w:rsid w:val="00F055CF"/>
    <w:rsid w:val="00F074D1"/>
    <w:rsid w:val="00F078D1"/>
    <w:rsid w:val="00F11B42"/>
    <w:rsid w:val="00F13813"/>
    <w:rsid w:val="00F146A6"/>
    <w:rsid w:val="00F15598"/>
    <w:rsid w:val="00F16B31"/>
    <w:rsid w:val="00F16E17"/>
    <w:rsid w:val="00F16F60"/>
    <w:rsid w:val="00F20E74"/>
    <w:rsid w:val="00F2149A"/>
    <w:rsid w:val="00F21C63"/>
    <w:rsid w:val="00F22683"/>
    <w:rsid w:val="00F22D22"/>
    <w:rsid w:val="00F233C6"/>
    <w:rsid w:val="00F24403"/>
    <w:rsid w:val="00F249FF"/>
    <w:rsid w:val="00F253D4"/>
    <w:rsid w:val="00F25691"/>
    <w:rsid w:val="00F26174"/>
    <w:rsid w:val="00F26CC6"/>
    <w:rsid w:val="00F27871"/>
    <w:rsid w:val="00F30468"/>
    <w:rsid w:val="00F3095A"/>
    <w:rsid w:val="00F3245F"/>
    <w:rsid w:val="00F33544"/>
    <w:rsid w:val="00F33BF9"/>
    <w:rsid w:val="00F34577"/>
    <w:rsid w:val="00F3565A"/>
    <w:rsid w:val="00F36B95"/>
    <w:rsid w:val="00F37296"/>
    <w:rsid w:val="00F37E77"/>
    <w:rsid w:val="00F42696"/>
    <w:rsid w:val="00F438FB"/>
    <w:rsid w:val="00F43D77"/>
    <w:rsid w:val="00F4415B"/>
    <w:rsid w:val="00F45286"/>
    <w:rsid w:val="00F45A75"/>
    <w:rsid w:val="00F46232"/>
    <w:rsid w:val="00F47F78"/>
    <w:rsid w:val="00F510A9"/>
    <w:rsid w:val="00F51F07"/>
    <w:rsid w:val="00F5241D"/>
    <w:rsid w:val="00F5283E"/>
    <w:rsid w:val="00F55D3C"/>
    <w:rsid w:val="00F567EE"/>
    <w:rsid w:val="00F56C9F"/>
    <w:rsid w:val="00F577D6"/>
    <w:rsid w:val="00F62AD9"/>
    <w:rsid w:val="00F634C2"/>
    <w:rsid w:val="00F64C31"/>
    <w:rsid w:val="00F64E6E"/>
    <w:rsid w:val="00F65CE0"/>
    <w:rsid w:val="00F663A1"/>
    <w:rsid w:val="00F663A4"/>
    <w:rsid w:val="00F6658B"/>
    <w:rsid w:val="00F674E4"/>
    <w:rsid w:val="00F675CC"/>
    <w:rsid w:val="00F67E77"/>
    <w:rsid w:val="00F703CB"/>
    <w:rsid w:val="00F704EB"/>
    <w:rsid w:val="00F73F08"/>
    <w:rsid w:val="00F748F0"/>
    <w:rsid w:val="00F75E1C"/>
    <w:rsid w:val="00F7690F"/>
    <w:rsid w:val="00F80B87"/>
    <w:rsid w:val="00F81333"/>
    <w:rsid w:val="00F8299B"/>
    <w:rsid w:val="00F83981"/>
    <w:rsid w:val="00F83A9B"/>
    <w:rsid w:val="00F84E9C"/>
    <w:rsid w:val="00F85176"/>
    <w:rsid w:val="00F85BD4"/>
    <w:rsid w:val="00F861F0"/>
    <w:rsid w:val="00F909EE"/>
    <w:rsid w:val="00F90EEC"/>
    <w:rsid w:val="00F911A3"/>
    <w:rsid w:val="00F91826"/>
    <w:rsid w:val="00F923B1"/>
    <w:rsid w:val="00F93973"/>
    <w:rsid w:val="00F971E3"/>
    <w:rsid w:val="00F979AC"/>
    <w:rsid w:val="00FA1E8C"/>
    <w:rsid w:val="00FA23BA"/>
    <w:rsid w:val="00FA3BAF"/>
    <w:rsid w:val="00FA42A2"/>
    <w:rsid w:val="00FA5E75"/>
    <w:rsid w:val="00FA68D3"/>
    <w:rsid w:val="00FA6D24"/>
    <w:rsid w:val="00FA7D4A"/>
    <w:rsid w:val="00FB03E1"/>
    <w:rsid w:val="00FB1C91"/>
    <w:rsid w:val="00FB2CD1"/>
    <w:rsid w:val="00FB6EA8"/>
    <w:rsid w:val="00FC1402"/>
    <w:rsid w:val="00FC3E6E"/>
    <w:rsid w:val="00FC435E"/>
    <w:rsid w:val="00FC6CB0"/>
    <w:rsid w:val="00FD01A9"/>
    <w:rsid w:val="00FD2B3D"/>
    <w:rsid w:val="00FD2FBE"/>
    <w:rsid w:val="00FD3647"/>
    <w:rsid w:val="00FD36FE"/>
    <w:rsid w:val="00FD3BB3"/>
    <w:rsid w:val="00FD4804"/>
    <w:rsid w:val="00FD6ABC"/>
    <w:rsid w:val="00FD701A"/>
    <w:rsid w:val="00FE0090"/>
    <w:rsid w:val="00FE2516"/>
    <w:rsid w:val="00FE2BCE"/>
    <w:rsid w:val="00FE3003"/>
    <w:rsid w:val="00FE3560"/>
    <w:rsid w:val="00FE3717"/>
    <w:rsid w:val="00FE4457"/>
    <w:rsid w:val="00FE7616"/>
    <w:rsid w:val="00FE7C85"/>
    <w:rsid w:val="00FF03CE"/>
    <w:rsid w:val="00FF10D5"/>
    <w:rsid w:val="00FF2E56"/>
    <w:rsid w:val="00FF3296"/>
    <w:rsid w:val="00FF3771"/>
    <w:rsid w:val="00FF4B96"/>
    <w:rsid w:val="00FF68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6F"/>
    <w:pPr>
      <w:jc w:val="both"/>
    </w:pPr>
    <w:rPr>
      <w:rFonts w:ascii="Times New Roman" w:eastAsia="MS Mincho" w:hAnsi="Times New Roman" w:cs="Angsana New"/>
      <w:sz w:val="22"/>
      <w:szCs w:val="24"/>
      <w:lang w:eastAsia="en-US"/>
    </w:rPr>
  </w:style>
  <w:style w:type="paragraph" w:styleId="1">
    <w:name w:val="heading 1"/>
    <w:basedOn w:val="a"/>
    <w:next w:val="a"/>
    <w:link w:val="10"/>
    <w:qFormat/>
    <w:rsid w:val="00EA0F6F"/>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link w:val="20"/>
    <w:qFormat/>
    <w:rsid w:val="00EA0F6F"/>
    <w:pPr>
      <w:keepNext/>
      <w:tabs>
        <w:tab w:val="left" w:pos="720"/>
      </w:tabs>
      <w:spacing w:before="120" w:after="120"/>
      <w:jc w:val="center"/>
      <w:outlineLvl w:val="1"/>
    </w:pPr>
    <w:rPr>
      <w:b/>
      <w:bCs/>
      <w:i/>
      <w:iCs/>
    </w:rPr>
  </w:style>
  <w:style w:type="paragraph" w:styleId="3">
    <w:name w:val="heading 3"/>
    <w:basedOn w:val="a"/>
    <w:next w:val="a"/>
    <w:link w:val="30"/>
    <w:rsid w:val="004569FB"/>
    <w:pPr>
      <w:keepNext/>
      <w:keepLines/>
      <w:spacing w:before="120" w:after="120"/>
      <w:jc w:val="center"/>
      <w:outlineLvl w:val="2"/>
    </w:pPr>
    <w:rPr>
      <w:rFonts w:eastAsia="Times New Roman" w:cs="Times New Roman"/>
      <w:i/>
      <w:sz w:val="24"/>
      <w:lang w:val="en-CA" w:eastAsia="ja-JP"/>
    </w:rPr>
  </w:style>
  <w:style w:type="paragraph" w:styleId="4">
    <w:name w:val="heading 4"/>
    <w:basedOn w:val="a"/>
    <w:next w:val="a"/>
    <w:link w:val="40"/>
    <w:rsid w:val="004569FB"/>
    <w:pPr>
      <w:keepNext/>
      <w:keepLines/>
      <w:spacing w:before="120" w:after="120"/>
      <w:jc w:val="left"/>
      <w:outlineLvl w:val="3"/>
    </w:pPr>
    <w:rPr>
      <w:rFonts w:eastAsia="Times New Roman" w:cs="Times New Roman"/>
      <w:b/>
      <w:i/>
      <w:sz w:val="24"/>
      <w:lang w:val="en-CA" w:eastAsia="ja-JP"/>
    </w:rPr>
  </w:style>
  <w:style w:type="paragraph" w:styleId="5">
    <w:name w:val="heading 5"/>
    <w:basedOn w:val="a"/>
    <w:next w:val="a"/>
    <w:link w:val="50"/>
    <w:rsid w:val="004569FB"/>
    <w:pPr>
      <w:keepNext/>
      <w:keepLines/>
      <w:spacing w:before="120" w:after="120"/>
      <w:jc w:val="left"/>
      <w:outlineLvl w:val="4"/>
    </w:pPr>
    <w:rPr>
      <w:rFonts w:eastAsia="Times New Roman" w:cs="Times New Roman"/>
      <w:i/>
      <w:sz w:val="24"/>
      <w:lang w:val="en-CA" w:eastAsia="ja-JP"/>
    </w:rPr>
  </w:style>
  <w:style w:type="paragraph" w:styleId="6">
    <w:name w:val="heading 6"/>
    <w:basedOn w:val="a"/>
    <w:next w:val="a"/>
    <w:link w:val="60"/>
    <w:rsid w:val="004569FB"/>
    <w:pPr>
      <w:keepNext/>
      <w:keepLines/>
      <w:spacing w:after="240"/>
      <w:ind w:left="720"/>
      <w:jc w:val="left"/>
      <w:outlineLvl w:val="5"/>
    </w:pPr>
    <w:rPr>
      <w:rFonts w:eastAsia="Times New Roman" w:cs="Times New Roman"/>
      <w:sz w:val="24"/>
      <w:u w:val="single"/>
      <w:lang w:val="en-CA"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0F6F"/>
    <w:rPr>
      <w:rFonts w:ascii="Times New Roman" w:eastAsia="MS Mincho" w:hAnsi="Times New Roman" w:cs="Angsana New"/>
      <w:b/>
      <w:bCs/>
      <w:i/>
      <w:iCs/>
      <w:szCs w:val="24"/>
      <w:lang w:val="en-GB"/>
    </w:rPr>
  </w:style>
  <w:style w:type="paragraph" w:customStyle="1" w:styleId="HEADINGNOTFORTOC">
    <w:name w:val="HEADING (NOT FOR TOC)"/>
    <w:basedOn w:val="1"/>
    <w:next w:val="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10">
    <w:name w:val="Заголовок 1 Знак"/>
    <w:link w:val="1"/>
    <w:rsid w:val="00EA0F6F"/>
    <w:rPr>
      <w:rFonts w:ascii="Cambria" w:eastAsia="Times New Roman" w:hAnsi="Cambria" w:cs="Times New Roman"/>
      <w:b/>
      <w:bCs/>
      <w:color w:val="365F91"/>
      <w:sz w:val="28"/>
      <w:szCs w:val="28"/>
      <w:lang w:val="en-GB"/>
    </w:rPr>
  </w:style>
  <w:style w:type="paragraph" w:styleId="a3">
    <w:name w:val="List Paragraph"/>
    <w:basedOn w:val="a"/>
    <w:uiPriority w:val="34"/>
    <w:qFormat/>
    <w:rsid w:val="009E11C4"/>
    <w:pPr>
      <w:ind w:left="720"/>
      <w:contextualSpacing/>
    </w:pPr>
  </w:style>
  <w:style w:type="paragraph" w:styleId="a4">
    <w:name w:val="header"/>
    <w:basedOn w:val="a"/>
    <w:link w:val="a5"/>
    <w:uiPriority w:val="99"/>
    <w:rsid w:val="00671687"/>
    <w:pPr>
      <w:tabs>
        <w:tab w:val="center" w:pos="4320"/>
        <w:tab w:val="right" w:pos="8640"/>
      </w:tabs>
    </w:pPr>
    <w:rPr>
      <w:rFonts w:eastAsia="Times New Roman"/>
    </w:rPr>
  </w:style>
  <w:style w:type="character" w:customStyle="1" w:styleId="a5">
    <w:name w:val="Верхний колонтитул Знак"/>
    <w:link w:val="a4"/>
    <w:uiPriority w:val="99"/>
    <w:rsid w:val="00671687"/>
    <w:rPr>
      <w:rFonts w:ascii="Times New Roman" w:eastAsia="Times New Roman" w:hAnsi="Times New Roman" w:cs="Angsana New"/>
      <w:szCs w:val="24"/>
      <w:lang w:val="en-GB"/>
    </w:rPr>
  </w:style>
  <w:style w:type="paragraph" w:customStyle="1" w:styleId="meetingname">
    <w:name w:val="meeting name"/>
    <w:basedOn w:val="a"/>
    <w:qFormat/>
    <w:rsid w:val="00671687"/>
    <w:pPr>
      <w:ind w:left="170" w:right="3119" w:hanging="170"/>
      <w:jc w:val="left"/>
    </w:pPr>
    <w:rPr>
      <w:rFonts w:eastAsia="Malgun Gothic" w:cs="Times New Roman"/>
      <w:caps/>
      <w:snapToGrid w:val="0"/>
    </w:rPr>
  </w:style>
  <w:style w:type="paragraph" w:styleId="a6">
    <w:name w:val="Balloon Text"/>
    <w:basedOn w:val="a"/>
    <w:link w:val="a7"/>
    <w:uiPriority w:val="99"/>
    <w:semiHidden/>
    <w:unhideWhenUsed/>
    <w:rsid w:val="00671687"/>
    <w:rPr>
      <w:rFonts w:ascii="Tahoma" w:hAnsi="Tahoma" w:cs="Tahoma"/>
      <w:sz w:val="16"/>
      <w:szCs w:val="16"/>
    </w:rPr>
  </w:style>
  <w:style w:type="character" w:customStyle="1" w:styleId="a7">
    <w:name w:val="Текст выноски Знак"/>
    <w:link w:val="a6"/>
    <w:uiPriority w:val="99"/>
    <w:semiHidden/>
    <w:rsid w:val="00671687"/>
    <w:rPr>
      <w:rFonts w:ascii="Tahoma" w:eastAsia="MS Mincho" w:hAnsi="Tahoma" w:cs="Tahoma"/>
      <w:sz w:val="16"/>
      <w:szCs w:val="16"/>
      <w:lang w:val="en-GB"/>
    </w:rPr>
  </w:style>
  <w:style w:type="paragraph" w:styleId="21">
    <w:name w:val="Body Text 2"/>
    <w:basedOn w:val="a"/>
    <w:link w:val="22"/>
    <w:uiPriority w:val="99"/>
    <w:semiHidden/>
    <w:unhideWhenUsed/>
    <w:rsid w:val="00EB4272"/>
    <w:pPr>
      <w:spacing w:after="120" w:line="480" w:lineRule="auto"/>
    </w:pPr>
    <w:rPr>
      <w:rFonts w:eastAsia="Times New Roman" w:cs="Times New Roman"/>
    </w:rPr>
  </w:style>
  <w:style w:type="character" w:customStyle="1" w:styleId="22">
    <w:name w:val="Основной текст 2 Знак"/>
    <w:link w:val="21"/>
    <w:uiPriority w:val="99"/>
    <w:semiHidden/>
    <w:rsid w:val="00EB4272"/>
    <w:rPr>
      <w:rFonts w:ascii="Times New Roman" w:eastAsia="Times New Roman" w:hAnsi="Times New Roman" w:cs="Times New Roman"/>
      <w:szCs w:val="24"/>
      <w:lang w:val="en-GB"/>
    </w:rPr>
  </w:style>
  <w:style w:type="paragraph" w:customStyle="1" w:styleId="Para1">
    <w:name w:val="Para1"/>
    <w:basedOn w:val="a"/>
    <w:link w:val="Para1Char1"/>
    <w:rsid w:val="000F468D"/>
    <w:pPr>
      <w:spacing w:after="120"/>
    </w:pPr>
    <w:rPr>
      <w:snapToGrid w:val="0"/>
      <w:szCs w:val="18"/>
    </w:rPr>
  </w:style>
  <w:style w:type="paragraph" w:styleId="a8">
    <w:name w:val="footer"/>
    <w:basedOn w:val="a"/>
    <w:link w:val="a9"/>
    <w:uiPriority w:val="99"/>
    <w:unhideWhenUsed/>
    <w:rsid w:val="00FC435E"/>
    <w:pPr>
      <w:tabs>
        <w:tab w:val="center" w:pos="4680"/>
        <w:tab w:val="right" w:pos="9360"/>
      </w:tabs>
    </w:pPr>
  </w:style>
  <w:style w:type="character" w:customStyle="1" w:styleId="a9">
    <w:name w:val="Нижний колонтитул Знак"/>
    <w:link w:val="a8"/>
    <w:uiPriority w:val="99"/>
    <w:rsid w:val="00FC435E"/>
    <w:rPr>
      <w:rFonts w:ascii="Times New Roman" w:eastAsia="MS Mincho" w:hAnsi="Times New Roman" w:cs="Angsana New"/>
      <w:sz w:val="22"/>
      <w:szCs w:val="24"/>
      <w:lang w:val="en-GB"/>
    </w:rPr>
  </w:style>
  <w:style w:type="paragraph" w:styleId="aa">
    <w:name w:val="footnote text"/>
    <w:aliases w:val="fn,Geneva 9,Font: Geneva 9,Boston 10,f,ft,Fotnotstext Char,ft Char,single space,footnote text,FOOTNOTES,ADB,single space1,footnote text1,FOOTNOTES1,fn1,ADB1,single space2,footnote text2,FOOTNOTES2,fn2,ADB2,single space3,fn3,footnote text3"/>
    <w:basedOn w:val="a"/>
    <w:link w:val="ab"/>
    <w:unhideWhenUsed/>
    <w:qFormat/>
    <w:rsid w:val="006A4DCE"/>
    <w:rPr>
      <w:sz w:val="20"/>
      <w:szCs w:val="20"/>
    </w:rPr>
  </w:style>
  <w:style w:type="character" w:customStyle="1" w:styleId="ab">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link w:val="aa"/>
    <w:rsid w:val="006A4DCE"/>
    <w:rPr>
      <w:rFonts w:ascii="Times New Roman" w:eastAsia="MS Mincho" w:hAnsi="Times New Roman" w:cs="Angsana New"/>
      <w:lang w:val="en-GB"/>
    </w:rPr>
  </w:style>
  <w:style w:type="character" w:styleId="ac">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6A4DCE"/>
    <w:rPr>
      <w:vertAlign w:val="superscript"/>
    </w:rPr>
  </w:style>
  <w:style w:type="character" w:styleId="ad">
    <w:name w:val="annotation reference"/>
    <w:uiPriority w:val="99"/>
    <w:semiHidden/>
    <w:unhideWhenUsed/>
    <w:rsid w:val="004E2293"/>
    <w:rPr>
      <w:sz w:val="16"/>
      <w:szCs w:val="16"/>
    </w:rPr>
  </w:style>
  <w:style w:type="paragraph" w:styleId="ae">
    <w:name w:val="annotation text"/>
    <w:basedOn w:val="a"/>
    <w:link w:val="af"/>
    <w:uiPriority w:val="99"/>
    <w:unhideWhenUsed/>
    <w:rsid w:val="004E2293"/>
    <w:rPr>
      <w:sz w:val="20"/>
      <w:szCs w:val="20"/>
    </w:rPr>
  </w:style>
  <w:style w:type="character" w:customStyle="1" w:styleId="af">
    <w:name w:val="Текст примечания Знак"/>
    <w:link w:val="ae"/>
    <w:uiPriority w:val="99"/>
    <w:rsid w:val="004E2293"/>
    <w:rPr>
      <w:rFonts w:ascii="Times New Roman" w:eastAsia="MS Mincho" w:hAnsi="Times New Roman" w:cs="Angsana New"/>
      <w:lang w:val="en-GB"/>
    </w:rPr>
  </w:style>
  <w:style w:type="paragraph" w:styleId="af0">
    <w:name w:val="annotation subject"/>
    <w:basedOn w:val="ae"/>
    <w:next w:val="ae"/>
    <w:link w:val="af1"/>
    <w:uiPriority w:val="99"/>
    <w:semiHidden/>
    <w:unhideWhenUsed/>
    <w:rsid w:val="004E2293"/>
    <w:rPr>
      <w:b/>
      <w:bCs/>
    </w:rPr>
  </w:style>
  <w:style w:type="character" w:customStyle="1" w:styleId="af1">
    <w:name w:val="Тема примечания Знак"/>
    <w:link w:val="af0"/>
    <w:uiPriority w:val="99"/>
    <w:semiHidden/>
    <w:rsid w:val="004E2293"/>
    <w:rPr>
      <w:rFonts w:ascii="Times New Roman" w:eastAsia="MS Mincho" w:hAnsi="Times New Roman" w:cs="Angsana New"/>
      <w:b/>
      <w:bCs/>
      <w:lang w:val="en-GB"/>
    </w:rPr>
  </w:style>
  <w:style w:type="paragraph" w:customStyle="1" w:styleId="bodytextnoindent">
    <w:name w:val="body text (no indent)"/>
    <w:basedOn w:val="a"/>
    <w:rsid w:val="004E2293"/>
    <w:pPr>
      <w:spacing w:before="140" w:after="140"/>
      <w:ind w:left="720" w:hanging="720"/>
    </w:pPr>
    <w:rPr>
      <w:rFonts w:eastAsia="Times New Roman" w:cs="Times New Roman"/>
    </w:rPr>
  </w:style>
  <w:style w:type="character" w:customStyle="1" w:styleId="30">
    <w:name w:val="Заголовок 3 Знак"/>
    <w:basedOn w:val="a0"/>
    <w:link w:val="3"/>
    <w:rsid w:val="004569FB"/>
    <w:rPr>
      <w:rFonts w:ascii="Times New Roman" w:eastAsia="Times New Roman" w:hAnsi="Times New Roman"/>
      <w:i/>
      <w:sz w:val="24"/>
      <w:szCs w:val="24"/>
      <w:lang w:val="en-CA" w:eastAsia="ja-JP"/>
    </w:rPr>
  </w:style>
  <w:style w:type="character" w:customStyle="1" w:styleId="40">
    <w:name w:val="Заголовок 4 Знак"/>
    <w:basedOn w:val="a0"/>
    <w:link w:val="4"/>
    <w:rsid w:val="004569FB"/>
    <w:rPr>
      <w:rFonts w:ascii="Times New Roman" w:eastAsia="Times New Roman" w:hAnsi="Times New Roman"/>
      <w:b/>
      <w:i/>
      <w:sz w:val="24"/>
      <w:szCs w:val="24"/>
      <w:lang w:val="en-CA" w:eastAsia="ja-JP"/>
    </w:rPr>
  </w:style>
  <w:style w:type="character" w:customStyle="1" w:styleId="50">
    <w:name w:val="Заголовок 5 Знак"/>
    <w:basedOn w:val="a0"/>
    <w:link w:val="5"/>
    <w:rsid w:val="004569FB"/>
    <w:rPr>
      <w:rFonts w:ascii="Times New Roman" w:eastAsia="Times New Roman" w:hAnsi="Times New Roman"/>
      <w:i/>
      <w:sz w:val="24"/>
      <w:szCs w:val="24"/>
      <w:lang w:val="en-CA" w:eastAsia="ja-JP"/>
    </w:rPr>
  </w:style>
  <w:style w:type="character" w:customStyle="1" w:styleId="60">
    <w:name w:val="Заголовок 6 Знак"/>
    <w:basedOn w:val="a0"/>
    <w:link w:val="6"/>
    <w:rsid w:val="004569FB"/>
    <w:rPr>
      <w:rFonts w:ascii="Times New Roman" w:eastAsia="Times New Roman" w:hAnsi="Times New Roman"/>
      <w:sz w:val="24"/>
      <w:szCs w:val="24"/>
      <w:u w:val="single"/>
      <w:lang w:val="en-CA" w:eastAsia="ja-JP"/>
    </w:rPr>
  </w:style>
  <w:style w:type="paragraph" w:styleId="af2">
    <w:name w:val="Title"/>
    <w:basedOn w:val="a"/>
    <w:next w:val="a"/>
    <w:link w:val="af3"/>
    <w:rsid w:val="004569FB"/>
    <w:pPr>
      <w:keepNext/>
      <w:keepLines/>
      <w:spacing w:before="480" w:after="120"/>
      <w:contextualSpacing/>
      <w:jc w:val="left"/>
    </w:pPr>
    <w:rPr>
      <w:rFonts w:eastAsia="Times New Roman" w:cs="Times New Roman"/>
      <w:b/>
      <w:sz w:val="72"/>
      <w:szCs w:val="72"/>
      <w:lang w:val="en-CA" w:eastAsia="ja-JP"/>
    </w:rPr>
  </w:style>
  <w:style w:type="character" w:customStyle="1" w:styleId="af3">
    <w:name w:val="Название Знак"/>
    <w:basedOn w:val="a0"/>
    <w:link w:val="af2"/>
    <w:rsid w:val="004569FB"/>
    <w:rPr>
      <w:rFonts w:ascii="Times New Roman" w:eastAsia="Times New Roman" w:hAnsi="Times New Roman"/>
      <w:b/>
      <w:sz w:val="72"/>
      <w:szCs w:val="72"/>
      <w:lang w:val="en-CA" w:eastAsia="ja-JP"/>
    </w:rPr>
  </w:style>
  <w:style w:type="paragraph" w:styleId="af4">
    <w:name w:val="Subtitle"/>
    <w:basedOn w:val="a"/>
    <w:next w:val="a"/>
    <w:link w:val="af5"/>
    <w:rsid w:val="004569FB"/>
    <w:pPr>
      <w:keepNext/>
      <w:keepLines/>
      <w:spacing w:before="360" w:after="80"/>
      <w:contextualSpacing/>
      <w:jc w:val="left"/>
    </w:pPr>
    <w:rPr>
      <w:rFonts w:ascii="Georgia" w:eastAsia="Georgia" w:hAnsi="Georgia" w:cs="Georgia"/>
      <w:i/>
      <w:color w:val="666666"/>
      <w:sz w:val="48"/>
      <w:szCs w:val="48"/>
      <w:lang w:val="en-CA" w:eastAsia="ja-JP"/>
    </w:rPr>
  </w:style>
  <w:style w:type="character" w:customStyle="1" w:styleId="af5">
    <w:name w:val="Подзаголовок Знак"/>
    <w:basedOn w:val="a0"/>
    <w:link w:val="af4"/>
    <w:rsid w:val="004569FB"/>
    <w:rPr>
      <w:rFonts w:ascii="Georgia" w:eastAsia="Georgia" w:hAnsi="Georgia" w:cs="Georgia"/>
      <w:i/>
      <w:color w:val="666666"/>
      <w:sz w:val="48"/>
      <w:szCs w:val="48"/>
      <w:lang w:val="en-CA" w:eastAsia="ja-JP"/>
    </w:rPr>
  </w:style>
  <w:style w:type="character" w:styleId="af6">
    <w:name w:val="Hyperlink"/>
    <w:uiPriority w:val="99"/>
    <w:unhideWhenUsed/>
    <w:rsid w:val="004569FB"/>
    <w:rPr>
      <w:color w:val="0000FF"/>
      <w:u w:val="single"/>
    </w:rPr>
  </w:style>
  <w:style w:type="character" w:styleId="af7">
    <w:name w:val="FollowedHyperlink"/>
    <w:uiPriority w:val="99"/>
    <w:semiHidden/>
    <w:unhideWhenUsed/>
    <w:rsid w:val="004569FB"/>
    <w:rPr>
      <w:color w:val="800080"/>
      <w:u w:val="single"/>
    </w:rPr>
  </w:style>
  <w:style w:type="paragraph" w:styleId="af8">
    <w:name w:val="Revision"/>
    <w:hidden/>
    <w:uiPriority w:val="99"/>
    <w:semiHidden/>
    <w:rsid w:val="004569FB"/>
    <w:rPr>
      <w:rFonts w:ascii="Times New Roman" w:eastAsia="Times New Roman" w:hAnsi="Times New Roman"/>
      <w:color w:val="000000"/>
      <w:sz w:val="22"/>
      <w:szCs w:val="22"/>
      <w:lang w:val="en-US" w:eastAsia="en-US"/>
    </w:rPr>
  </w:style>
  <w:style w:type="character" w:customStyle="1" w:styleId="Para1Char1">
    <w:name w:val="Para1 Char1"/>
    <w:link w:val="Para1"/>
    <w:rsid w:val="004569FB"/>
    <w:rPr>
      <w:rFonts w:ascii="Times New Roman" w:eastAsia="MS Mincho" w:hAnsi="Times New Roman" w:cs="Angsana New"/>
      <w:snapToGrid w:val="0"/>
      <w:sz w:val="22"/>
      <w:szCs w:val="18"/>
      <w:lang w:eastAsia="en-US"/>
    </w:rPr>
  </w:style>
  <w:style w:type="paragraph" w:styleId="af9">
    <w:name w:val="caption"/>
    <w:basedOn w:val="a"/>
    <w:next w:val="a"/>
    <w:uiPriority w:val="35"/>
    <w:unhideWhenUsed/>
    <w:qFormat/>
    <w:rsid w:val="004569FB"/>
    <w:pPr>
      <w:spacing w:after="200"/>
      <w:jc w:val="left"/>
    </w:pPr>
    <w:rPr>
      <w:rFonts w:eastAsia="Times New Roman" w:cs="Times New Roman"/>
      <w:b/>
      <w:bCs/>
      <w:color w:val="4F81BD"/>
      <w:sz w:val="18"/>
      <w:szCs w:val="18"/>
      <w:lang w:val="en-CA" w:eastAsia="ja-JP"/>
    </w:rPr>
  </w:style>
  <w:style w:type="paragraph" w:customStyle="1" w:styleId="Para3">
    <w:name w:val="Para3"/>
    <w:basedOn w:val="a"/>
    <w:rsid w:val="004569FB"/>
    <w:pPr>
      <w:tabs>
        <w:tab w:val="num" w:pos="1440"/>
        <w:tab w:val="left" w:pos="1980"/>
      </w:tabs>
      <w:spacing w:before="80" w:after="80"/>
      <w:ind w:left="1440" w:hanging="360"/>
      <w:jc w:val="left"/>
    </w:pPr>
    <w:rPr>
      <w:rFonts w:eastAsia="Times New Roman" w:cs="Times New Roman"/>
      <w:sz w:val="24"/>
      <w:szCs w:val="20"/>
      <w:lang w:eastAsia="ja-JP"/>
    </w:rPr>
  </w:style>
  <w:style w:type="paragraph" w:customStyle="1" w:styleId="Para4">
    <w:name w:val="Para4"/>
    <w:basedOn w:val="Para3"/>
    <w:rsid w:val="004569FB"/>
    <w:pPr>
      <w:tabs>
        <w:tab w:val="clear" w:pos="1440"/>
        <w:tab w:val="clear" w:pos="1980"/>
        <w:tab w:val="left" w:pos="2552"/>
        <w:tab w:val="num" w:pos="2880"/>
      </w:tabs>
      <w:ind w:left="2880"/>
    </w:pPr>
  </w:style>
  <w:style w:type="character" w:customStyle="1" w:styleId="Para1Char">
    <w:name w:val="Para1 Char"/>
    <w:locked/>
    <w:rsid w:val="004569FB"/>
    <w:rPr>
      <w:rFonts w:ascii="Times New Roman" w:eastAsia="Times New Roman" w:hAnsi="Times New Roman"/>
      <w:snapToGrid w:val="0"/>
      <w:sz w:val="22"/>
      <w:szCs w:val="18"/>
      <w:lang w:val="en-GB"/>
    </w:rPr>
  </w:style>
  <w:style w:type="paragraph" w:styleId="HTML">
    <w:name w:val="HTML Address"/>
    <w:basedOn w:val="a"/>
    <w:link w:val="HTML0"/>
    <w:uiPriority w:val="99"/>
    <w:semiHidden/>
    <w:unhideWhenUsed/>
    <w:rsid w:val="004569FB"/>
    <w:pPr>
      <w:jc w:val="left"/>
    </w:pPr>
    <w:rPr>
      <w:rFonts w:eastAsia="Times New Roman" w:cs="Times New Roman"/>
      <w:i/>
      <w:iCs/>
      <w:sz w:val="24"/>
      <w:lang w:val="en-CA" w:eastAsia="ja-JP"/>
    </w:rPr>
  </w:style>
  <w:style w:type="character" w:customStyle="1" w:styleId="HTML0">
    <w:name w:val="Адрес HTML Знак"/>
    <w:basedOn w:val="a0"/>
    <w:link w:val="HTML"/>
    <w:uiPriority w:val="99"/>
    <w:semiHidden/>
    <w:rsid w:val="004569FB"/>
    <w:rPr>
      <w:rFonts w:ascii="Times New Roman" w:eastAsia="Times New Roman" w:hAnsi="Times New Roman"/>
      <w:i/>
      <w:iCs/>
      <w:sz w:val="24"/>
      <w:szCs w:val="24"/>
      <w:lang w:val="en-CA" w:eastAsia="ja-JP"/>
    </w:rPr>
  </w:style>
  <w:style w:type="paragraph" w:customStyle="1" w:styleId="Cornernotation">
    <w:name w:val="Corner notation"/>
    <w:basedOn w:val="a"/>
    <w:rsid w:val="004569FB"/>
    <w:pPr>
      <w:ind w:left="170" w:right="3119" w:hanging="170"/>
      <w:jc w:val="left"/>
    </w:pPr>
    <w:rPr>
      <w:rFonts w:eastAsia="Times New Roman" w:cs="Times New Roman"/>
      <w:sz w:val="24"/>
      <w:lang w:eastAsia="ja-JP"/>
    </w:rPr>
  </w:style>
  <w:style w:type="character" w:customStyle="1" w:styleId="UnresolvedMention1">
    <w:name w:val="Unresolved Mention1"/>
    <w:uiPriority w:val="99"/>
    <w:semiHidden/>
    <w:unhideWhenUsed/>
    <w:rsid w:val="004569FB"/>
    <w:rPr>
      <w:color w:val="605E5C"/>
      <w:shd w:val="clear" w:color="auto" w:fill="E1DFDD"/>
    </w:rPr>
  </w:style>
  <w:style w:type="paragraph" w:styleId="9">
    <w:name w:val="toc 9"/>
    <w:basedOn w:val="a"/>
    <w:next w:val="a"/>
    <w:autoRedefine/>
    <w:uiPriority w:val="39"/>
    <w:semiHidden/>
    <w:rsid w:val="004569FB"/>
    <w:pPr>
      <w:tabs>
        <w:tab w:val="num" w:pos="2171"/>
      </w:tabs>
      <w:spacing w:before="120" w:after="120"/>
      <w:ind w:left="2171" w:hanging="360"/>
      <w:jc w:val="left"/>
    </w:pPr>
    <w:rPr>
      <w:rFonts w:eastAsia="Times New Roman" w:cs="Times New Roman"/>
    </w:rPr>
  </w:style>
  <w:style w:type="paragraph" w:customStyle="1" w:styleId="heading2notforTOC">
    <w:name w:val="heading 2 not for TOC"/>
    <w:basedOn w:val="3"/>
    <w:rsid w:val="004569FB"/>
    <w:pPr>
      <w:keepLines w:val="0"/>
      <w:tabs>
        <w:tab w:val="left" w:pos="567"/>
        <w:tab w:val="num" w:pos="644"/>
      </w:tabs>
      <w:ind w:left="284"/>
    </w:pPr>
    <w:rPr>
      <w:iCs/>
      <w:sz w:val="22"/>
      <w:lang w:val="en-GB" w:eastAsia="x-none"/>
    </w:rPr>
  </w:style>
  <w:style w:type="character" w:customStyle="1" w:styleId="UnresolvedMention">
    <w:name w:val="Unresolved Mention"/>
    <w:basedOn w:val="a0"/>
    <w:uiPriority w:val="99"/>
    <w:semiHidden/>
    <w:unhideWhenUsed/>
    <w:rsid w:val="00EC4E70"/>
    <w:rPr>
      <w:color w:val="605E5C"/>
      <w:shd w:val="clear" w:color="auto" w:fill="E1DFDD"/>
    </w:rPr>
  </w:style>
  <w:style w:type="table" w:styleId="afa">
    <w:name w:val="Table Grid"/>
    <w:basedOn w:val="a1"/>
    <w:uiPriority w:val="59"/>
    <w:rsid w:val="00B93F5D"/>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a"/>
    <w:uiPriority w:val="59"/>
    <w:rsid w:val="00B93F5D"/>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B93F5D"/>
    <w:rPr>
      <w:color w:val="80808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c"/>
    <w:rsid w:val="00C56A0A"/>
    <w:pPr>
      <w:spacing w:after="160" w:line="240" w:lineRule="exact"/>
      <w:jc w:val="left"/>
    </w:pPr>
    <w:rPr>
      <w:rFonts w:ascii="Calibri" w:eastAsia="Calibri" w:hAnsi="Calibri" w:cs="Times New Roman"/>
      <w:sz w:val="20"/>
      <w:szCs w:val="20"/>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6F"/>
    <w:pPr>
      <w:jc w:val="both"/>
    </w:pPr>
    <w:rPr>
      <w:rFonts w:ascii="Times New Roman" w:eastAsia="MS Mincho" w:hAnsi="Times New Roman" w:cs="Angsana New"/>
      <w:sz w:val="22"/>
      <w:szCs w:val="24"/>
      <w:lang w:eastAsia="en-US"/>
    </w:rPr>
  </w:style>
  <w:style w:type="paragraph" w:styleId="1">
    <w:name w:val="heading 1"/>
    <w:basedOn w:val="a"/>
    <w:next w:val="a"/>
    <w:link w:val="10"/>
    <w:qFormat/>
    <w:rsid w:val="00EA0F6F"/>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link w:val="20"/>
    <w:qFormat/>
    <w:rsid w:val="00EA0F6F"/>
    <w:pPr>
      <w:keepNext/>
      <w:tabs>
        <w:tab w:val="left" w:pos="720"/>
      </w:tabs>
      <w:spacing w:before="120" w:after="120"/>
      <w:jc w:val="center"/>
      <w:outlineLvl w:val="1"/>
    </w:pPr>
    <w:rPr>
      <w:b/>
      <w:bCs/>
      <w:i/>
      <w:iCs/>
    </w:rPr>
  </w:style>
  <w:style w:type="paragraph" w:styleId="3">
    <w:name w:val="heading 3"/>
    <w:basedOn w:val="a"/>
    <w:next w:val="a"/>
    <w:link w:val="30"/>
    <w:rsid w:val="004569FB"/>
    <w:pPr>
      <w:keepNext/>
      <w:keepLines/>
      <w:spacing w:before="120" w:after="120"/>
      <w:jc w:val="center"/>
      <w:outlineLvl w:val="2"/>
    </w:pPr>
    <w:rPr>
      <w:rFonts w:eastAsia="Times New Roman" w:cs="Times New Roman"/>
      <w:i/>
      <w:sz w:val="24"/>
      <w:lang w:val="en-CA" w:eastAsia="ja-JP"/>
    </w:rPr>
  </w:style>
  <w:style w:type="paragraph" w:styleId="4">
    <w:name w:val="heading 4"/>
    <w:basedOn w:val="a"/>
    <w:next w:val="a"/>
    <w:link w:val="40"/>
    <w:rsid w:val="004569FB"/>
    <w:pPr>
      <w:keepNext/>
      <w:keepLines/>
      <w:spacing w:before="120" w:after="120"/>
      <w:jc w:val="left"/>
      <w:outlineLvl w:val="3"/>
    </w:pPr>
    <w:rPr>
      <w:rFonts w:eastAsia="Times New Roman" w:cs="Times New Roman"/>
      <w:b/>
      <w:i/>
      <w:sz w:val="24"/>
      <w:lang w:val="en-CA" w:eastAsia="ja-JP"/>
    </w:rPr>
  </w:style>
  <w:style w:type="paragraph" w:styleId="5">
    <w:name w:val="heading 5"/>
    <w:basedOn w:val="a"/>
    <w:next w:val="a"/>
    <w:link w:val="50"/>
    <w:rsid w:val="004569FB"/>
    <w:pPr>
      <w:keepNext/>
      <w:keepLines/>
      <w:spacing w:before="120" w:after="120"/>
      <w:jc w:val="left"/>
      <w:outlineLvl w:val="4"/>
    </w:pPr>
    <w:rPr>
      <w:rFonts w:eastAsia="Times New Roman" w:cs="Times New Roman"/>
      <w:i/>
      <w:sz w:val="24"/>
      <w:lang w:val="en-CA" w:eastAsia="ja-JP"/>
    </w:rPr>
  </w:style>
  <w:style w:type="paragraph" w:styleId="6">
    <w:name w:val="heading 6"/>
    <w:basedOn w:val="a"/>
    <w:next w:val="a"/>
    <w:link w:val="60"/>
    <w:rsid w:val="004569FB"/>
    <w:pPr>
      <w:keepNext/>
      <w:keepLines/>
      <w:spacing w:after="240"/>
      <w:ind w:left="720"/>
      <w:jc w:val="left"/>
      <w:outlineLvl w:val="5"/>
    </w:pPr>
    <w:rPr>
      <w:rFonts w:eastAsia="Times New Roman" w:cs="Times New Roman"/>
      <w:sz w:val="24"/>
      <w:u w:val="single"/>
      <w:lang w:val="en-CA"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0F6F"/>
    <w:rPr>
      <w:rFonts w:ascii="Times New Roman" w:eastAsia="MS Mincho" w:hAnsi="Times New Roman" w:cs="Angsana New"/>
      <w:b/>
      <w:bCs/>
      <w:i/>
      <w:iCs/>
      <w:szCs w:val="24"/>
      <w:lang w:val="en-GB"/>
    </w:rPr>
  </w:style>
  <w:style w:type="paragraph" w:customStyle="1" w:styleId="HEADINGNOTFORTOC">
    <w:name w:val="HEADING (NOT FOR TOC)"/>
    <w:basedOn w:val="1"/>
    <w:next w:val="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10">
    <w:name w:val="Заголовок 1 Знак"/>
    <w:link w:val="1"/>
    <w:rsid w:val="00EA0F6F"/>
    <w:rPr>
      <w:rFonts w:ascii="Cambria" w:eastAsia="Times New Roman" w:hAnsi="Cambria" w:cs="Times New Roman"/>
      <w:b/>
      <w:bCs/>
      <w:color w:val="365F91"/>
      <w:sz w:val="28"/>
      <w:szCs w:val="28"/>
      <w:lang w:val="en-GB"/>
    </w:rPr>
  </w:style>
  <w:style w:type="paragraph" w:styleId="a3">
    <w:name w:val="List Paragraph"/>
    <w:basedOn w:val="a"/>
    <w:uiPriority w:val="34"/>
    <w:qFormat/>
    <w:rsid w:val="009E11C4"/>
    <w:pPr>
      <w:ind w:left="720"/>
      <w:contextualSpacing/>
    </w:pPr>
  </w:style>
  <w:style w:type="paragraph" w:styleId="a4">
    <w:name w:val="header"/>
    <w:basedOn w:val="a"/>
    <w:link w:val="a5"/>
    <w:uiPriority w:val="99"/>
    <w:rsid w:val="00671687"/>
    <w:pPr>
      <w:tabs>
        <w:tab w:val="center" w:pos="4320"/>
        <w:tab w:val="right" w:pos="8640"/>
      </w:tabs>
    </w:pPr>
    <w:rPr>
      <w:rFonts w:eastAsia="Times New Roman"/>
    </w:rPr>
  </w:style>
  <w:style w:type="character" w:customStyle="1" w:styleId="a5">
    <w:name w:val="Верхний колонтитул Знак"/>
    <w:link w:val="a4"/>
    <w:uiPriority w:val="99"/>
    <w:rsid w:val="00671687"/>
    <w:rPr>
      <w:rFonts w:ascii="Times New Roman" w:eastAsia="Times New Roman" w:hAnsi="Times New Roman" w:cs="Angsana New"/>
      <w:szCs w:val="24"/>
      <w:lang w:val="en-GB"/>
    </w:rPr>
  </w:style>
  <w:style w:type="paragraph" w:customStyle="1" w:styleId="meetingname">
    <w:name w:val="meeting name"/>
    <w:basedOn w:val="a"/>
    <w:qFormat/>
    <w:rsid w:val="00671687"/>
    <w:pPr>
      <w:ind w:left="170" w:right="3119" w:hanging="170"/>
      <w:jc w:val="left"/>
    </w:pPr>
    <w:rPr>
      <w:rFonts w:eastAsia="Malgun Gothic" w:cs="Times New Roman"/>
      <w:caps/>
      <w:snapToGrid w:val="0"/>
    </w:rPr>
  </w:style>
  <w:style w:type="paragraph" w:styleId="a6">
    <w:name w:val="Balloon Text"/>
    <w:basedOn w:val="a"/>
    <w:link w:val="a7"/>
    <w:uiPriority w:val="99"/>
    <w:semiHidden/>
    <w:unhideWhenUsed/>
    <w:rsid w:val="00671687"/>
    <w:rPr>
      <w:rFonts w:ascii="Tahoma" w:hAnsi="Tahoma" w:cs="Tahoma"/>
      <w:sz w:val="16"/>
      <w:szCs w:val="16"/>
    </w:rPr>
  </w:style>
  <w:style w:type="character" w:customStyle="1" w:styleId="a7">
    <w:name w:val="Текст выноски Знак"/>
    <w:link w:val="a6"/>
    <w:uiPriority w:val="99"/>
    <w:semiHidden/>
    <w:rsid w:val="00671687"/>
    <w:rPr>
      <w:rFonts w:ascii="Tahoma" w:eastAsia="MS Mincho" w:hAnsi="Tahoma" w:cs="Tahoma"/>
      <w:sz w:val="16"/>
      <w:szCs w:val="16"/>
      <w:lang w:val="en-GB"/>
    </w:rPr>
  </w:style>
  <w:style w:type="paragraph" w:styleId="21">
    <w:name w:val="Body Text 2"/>
    <w:basedOn w:val="a"/>
    <w:link w:val="22"/>
    <w:uiPriority w:val="99"/>
    <w:semiHidden/>
    <w:unhideWhenUsed/>
    <w:rsid w:val="00EB4272"/>
    <w:pPr>
      <w:spacing w:after="120" w:line="480" w:lineRule="auto"/>
    </w:pPr>
    <w:rPr>
      <w:rFonts w:eastAsia="Times New Roman" w:cs="Times New Roman"/>
    </w:rPr>
  </w:style>
  <w:style w:type="character" w:customStyle="1" w:styleId="22">
    <w:name w:val="Основной текст 2 Знак"/>
    <w:link w:val="21"/>
    <w:uiPriority w:val="99"/>
    <w:semiHidden/>
    <w:rsid w:val="00EB4272"/>
    <w:rPr>
      <w:rFonts w:ascii="Times New Roman" w:eastAsia="Times New Roman" w:hAnsi="Times New Roman" w:cs="Times New Roman"/>
      <w:szCs w:val="24"/>
      <w:lang w:val="en-GB"/>
    </w:rPr>
  </w:style>
  <w:style w:type="paragraph" w:customStyle="1" w:styleId="Para1">
    <w:name w:val="Para1"/>
    <w:basedOn w:val="a"/>
    <w:link w:val="Para1Char1"/>
    <w:rsid w:val="000F468D"/>
    <w:pPr>
      <w:spacing w:after="120"/>
    </w:pPr>
    <w:rPr>
      <w:snapToGrid w:val="0"/>
      <w:szCs w:val="18"/>
    </w:rPr>
  </w:style>
  <w:style w:type="paragraph" w:styleId="a8">
    <w:name w:val="footer"/>
    <w:basedOn w:val="a"/>
    <w:link w:val="a9"/>
    <w:uiPriority w:val="99"/>
    <w:unhideWhenUsed/>
    <w:rsid w:val="00FC435E"/>
    <w:pPr>
      <w:tabs>
        <w:tab w:val="center" w:pos="4680"/>
        <w:tab w:val="right" w:pos="9360"/>
      </w:tabs>
    </w:pPr>
  </w:style>
  <w:style w:type="character" w:customStyle="1" w:styleId="a9">
    <w:name w:val="Нижний колонтитул Знак"/>
    <w:link w:val="a8"/>
    <w:uiPriority w:val="99"/>
    <w:rsid w:val="00FC435E"/>
    <w:rPr>
      <w:rFonts w:ascii="Times New Roman" w:eastAsia="MS Mincho" w:hAnsi="Times New Roman" w:cs="Angsana New"/>
      <w:sz w:val="22"/>
      <w:szCs w:val="24"/>
      <w:lang w:val="en-GB"/>
    </w:rPr>
  </w:style>
  <w:style w:type="paragraph" w:styleId="aa">
    <w:name w:val="footnote text"/>
    <w:aliases w:val="fn,Geneva 9,Font: Geneva 9,Boston 10,f,ft,Fotnotstext Char,ft Char,single space,footnote text,FOOTNOTES,ADB,single space1,footnote text1,FOOTNOTES1,fn1,ADB1,single space2,footnote text2,FOOTNOTES2,fn2,ADB2,single space3,fn3,footnote text3"/>
    <w:basedOn w:val="a"/>
    <w:link w:val="ab"/>
    <w:unhideWhenUsed/>
    <w:qFormat/>
    <w:rsid w:val="006A4DCE"/>
    <w:rPr>
      <w:sz w:val="20"/>
      <w:szCs w:val="20"/>
    </w:rPr>
  </w:style>
  <w:style w:type="character" w:customStyle="1" w:styleId="ab">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link w:val="aa"/>
    <w:rsid w:val="006A4DCE"/>
    <w:rPr>
      <w:rFonts w:ascii="Times New Roman" w:eastAsia="MS Mincho" w:hAnsi="Times New Roman" w:cs="Angsana New"/>
      <w:lang w:val="en-GB"/>
    </w:rPr>
  </w:style>
  <w:style w:type="character" w:styleId="ac">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6A4DCE"/>
    <w:rPr>
      <w:vertAlign w:val="superscript"/>
    </w:rPr>
  </w:style>
  <w:style w:type="character" w:styleId="ad">
    <w:name w:val="annotation reference"/>
    <w:uiPriority w:val="99"/>
    <w:semiHidden/>
    <w:unhideWhenUsed/>
    <w:rsid w:val="004E2293"/>
    <w:rPr>
      <w:sz w:val="16"/>
      <w:szCs w:val="16"/>
    </w:rPr>
  </w:style>
  <w:style w:type="paragraph" w:styleId="ae">
    <w:name w:val="annotation text"/>
    <w:basedOn w:val="a"/>
    <w:link w:val="af"/>
    <w:uiPriority w:val="99"/>
    <w:unhideWhenUsed/>
    <w:rsid w:val="004E2293"/>
    <w:rPr>
      <w:sz w:val="20"/>
      <w:szCs w:val="20"/>
    </w:rPr>
  </w:style>
  <w:style w:type="character" w:customStyle="1" w:styleId="af">
    <w:name w:val="Текст примечания Знак"/>
    <w:link w:val="ae"/>
    <w:uiPriority w:val="99"/>
    <w:rsid w:val="004E2293"/>
    <w:rPr>
      <w:rFonts w:ascii="Times New Roman" w:eastAsia="MS Mincho" w:hAnsi="Times New Roman" w:cs="Angsana New"/>
      <w:lang w:val="en-GB"/>
    </w:rPr>
  </w:style>
  <w:style w:type="paragraph" w:styleId="af0">
    <w:name w:val="annotation subject"/>
    <w:basedOn w:val="ae"/>
    <w:next w:val="ae"/>
    <w:link w:val="af1"/>
    <w:uiPriority w:val="99"/>
    <w:semiHidden/>
    <w:unhideWhenUsed/>
    <w:rsid w:val="004E2293"/>
    <w:rPr>
      <w:b/>
      <w:bCs/>
    </w:rPr>
  </w:style>
  <w:style w:type="character" w:customStyle="1" w:styleId="af1">
    <w:name w:val="Тема примечания Знак"/>
    <w:link w:val="af0"/>
    <w:uiPriority w:val="99"/>
    <w:semiHidden/>
    <w:rsid w:val="004E2293"/>
    <w:rPr>
      <w:rFonts w:ascii="Times New Roman" w:eastAsia="MS Mincho" w:hAnsi="Times New Roman" w:cs="Angsana New"/>
      <w:b/>
      <w:bCs/>
      <w:lang w:val="en-GB"/>
    </w:rPr>
  </w:style>
  <w:style w:type="paragraph" w:customStyle="1" w:styleId="bodytextnoindent">
    <w:name w:val="body text (no indent)"/>
    <w:basedOn w:val="a"/>
    <w:rsid w:val="004E2293"/>
    <w:pPr>
      <w:spacing w:before="140" w:after="140"/>
      <w:ind w:left="720" w:hanging="720"/>
    </w:pPr>
    <w:rPr>
      <w:rFonts w:eastAsia="Times New Roman" w:cs="Times New Roman"/>
    </w:rPr>
  </w:style>
  <w:style w:type="character" w:customStyle="1" w:styleId="30">
    <w:name w:val="Заголовок 3 Знак"/>
    <w:basedOn w:val="a0"/>
    <w:link w:val="3"/>
    <w:rsid w:val="004569FB"/>
    <w:rPr>
      <w:rFonts w:ascii="Times New Roman" w:eastAsia="Times New Roman" w:hAnsi="Times New Roman"/>
      <w:i/>
      <w:sz w:val="24"/>
      <w:szCs w:val="24"/>
      <w:lang w:val="en-CA" w:eastAsia="ja-JP"/>
    </w:rPr>
  </w:style>
  <w:style w:type="character" w:customStyle="1" w:styleId="40">
    <w:name w:val="Заголовок 4 Знак"/>
    <w:basedOn w:val="a0"/>
    <w:link w:val="4"/>
    <w:rsid w:val="004569FB"/>
    <w:rPr>
      <w:rFonts w:ascii="Times New Roman" w:eastAsia="Times New Roman" w:hAnsi="Times New Roman"/>
      <w:b/>
      <w:i/>
      <w:sz w:val="24"/>
      <w:szCs w:val="24"/>
      <w:lang w:val="en-CA" w:eastAsia="ja-JP"/>
    </w:rPr>
  </w:style>
  <w:style w:type="character" w:customStyle="1" w:styleId="50">
    <w:name w:val="Заголовок 5 Знак"/>
    <w:basedOn w:val="a0"/>
    <w:link w:val="5"/>
    <w:rsid w:val="004569FB"/>
    <w:rPr>
      <w:rFonts w:ascii="Times New Roman" w:eastAsia="Times New Roman" w:hAnsi="Times New Roman"/>
      <w:i/>
      <w:sz w:val="24"/>
      <w:szCs w:val="24"/>
      <w:lang w:val="en-CA" w:eastAsia="ja-JP"/>
    </w:rPr>
  </w:style>
  <w:style w:type="character" w:customStyle="1" w:styleId="60">
    <w:name w:val="Заголовок 6 Знак"/>
    <w:basedOn w:val="a0"/>
    <w:link w:val="6"/>
    <w:rsid w:val="004569FB"/>
    <w:rPr>
      <w:rFonts w:ascii="Times New Roman" w:eastAsia="Times New Roman" w:hAnsi="Times New Roman"/>
      <w:sz w:val="24"/>
      <w:szCs w:val="24"/>
      <w:u w:val="single"/>
      <w:lang w:val="en-CA" w:eastAsia="ja-JP"/>
    </w:rPr>
  </w:style>
  <w:style w:type="paragraph" w:styleId="af2">
    <w:name w:val="Title"/>
    <w:basedOn w:val="a"/>
    <w:next w:val="a"/>
    <w:link w:val="af3"/>
    <w:rsid w:val="004569FB"/>
    <w:pPr>
      <w:keepNext/>
      <w:keepLines/>
      <w:spacing w:before="480" w:after="120"/>
      <w:contextualSpacing/>
      <w:jc w:val="left"/>
    </w:pPr>
    <w:rPr>
      <w:rFonts w:eastAsia="Times New Roman" w:cs="Times New Roman"/>
      <w:b/>
      <w:sz w:val="72"/>
      <w:szCs w:val="72"/>
      <w:lang w:val="en-CA" w:eastAsia="ja-JP"/>
    </w:rPr>
  </w:style>
  <w:style w:type="character" w:customStyle="1" w:styleId="af3">
    <w:name w:val="Название Знак"/>
    <w:basedOn w:val="a0"/>
    <w:link w:val="af2"/>
    <w:rsid w:val="004569FB"/>
    <w:rPr>
      <w:rFonts w:ascii="Times New Roman" w:eastAsia="Times New Roman" w:hAnsi="Times New Roman"/>
      <w:b/>
      <w:sz w:val="72"/>
      <w:szCs w:val="72"/>
      <w:lang w:val="en-CA" w:eastAsia="ja-JP"/>
    </w:rPr>
  </w:style>
  <w:style w:type="paragraph" w:styleId="af4">
    <w:name w:val="Subtitle"/>
    <w:basedOn w:val="a"/>
    <w:next w:val="a"/>
    <w:link w:val="af5"/>
    <w:rsid w:val="004569FB"/>
    <w:pPr>
      <w:keepNext/>
      <w:keepLines/>
      <w:spacing w:before="360" w:after="80"/>
      <w:contextualSpacing/>
      <w:jc w:val="left"/>
    </w:pPr>
    <w:rPr>
      <w:rFonts w:ascii="Georgia" w:eastAsia="Georgia" w:hAnsi="Georgia" w:cs="Georgia"/>
      <w:i/>
      <w:color w:val="666666"/>
      <w:sz w:val="48"/>
      <w:szCs w:val="48"/>
      <w:lang w:val="en-CA" w:eastAsia="ja-JP"/>
    </w:rPr>
  </w:style>
  <w:style w:type="character" w:customStyle="1" w:styleId="af5">
    <w:name w:val="Подзаголовок Знак"/>
    <w:basedOn w:val="a0"/>
    <w:link w:val="af4"/>
    <w:rsid w:val="004569FB"/>
    <w:rPr>
      <w:rFonts w:ascii="Georgia" w:eastAsia="Georgia" w:hAnsi="Georgia" w:cs="Georgia"/>
      <w:i/>
      <w:color w:val="666666"/>
      <w:sz w:val="48"/>
      <w:szCs w:val="48"/>
      <w:lang w:val="en-CA" w:eastAsia="ja-JP"/>
    </w:rPr>
  </w:style>
  <w:style w:type="character" w:styleId="af6">
    <w:name w:val="Hyperlink"/>
    <w:uiPriority w:val="99"/>
    <w:unhideWhenUsed/>
    <w:rsid w:val="004569FB"/>
    <w:rPr>
      <w:color w:val="0000FF"/>
      <w:u w:val="single"/>
    </w:rPr>
  </w:style>
  <w:style w:type="character" w:styleId="af7">
    <w:name w:val="FollowedHyperlink"/>
    <w:uiPriority w:val="99"/>
    <w:semiHidden/>
    <w:unhideWhenUsed/>
    <w:rsid w:val="004569FB"/>
    <w:rPr>
      <w:color w:val="800080"/>
      <w:u w:val="single"/>
    </w:rPr>
  </w:style>
  <w:style w:type="paragraph" w:styleId="af8">
    <w:name w:val="Revision"/>
    <w:hidden/>
    <w:uiPriority w:val="99"/>
    <w:semiHidden/>
    <w:rsid w:val="004569FB"/>
    <w:rPr>
      <w:rFonts w:ascii="Times New Roman" w:eastAsia="Times New Roman" w:hAnsi="Times New Roman"/>
      <w:color w:val="000000"/>
      <w:sz w:val="22"/>
      <w:szCs w:val="22"/>
      <w:lang w:val="en-US" w:eastAsia="en-US"/>
    </w:rPr>
  </w:style>
  <w:style w:type="character" w:customStyle="1" w:styleId="Para1Char1">
    <w:name w:val="Para1 Char1"/>
    <w:link w:val="Para1"/>
    <w:rsid w:val="004569FB"/>
    <w:rPr>
      <w:rFonts w:ascii="Times New Roman" w:eastAsia="MS Mincho" w:hAnsi="Times New Roman" w:cs="Angsana New"/>
      <w:snapToGrid w:val="0"/>
      <w:sz w:val="22"/>
      <w:szCs w:val="18"/>
      <w:lang w:eastAsia="en-US"/>
    </w:rPr>
  </w:style>
  <w:style w:type="paragraph" w:styleId="af9">
    <w:name w:val="caption"/>
    <w:basedOn w:val="a"/>
    <w:next w:val="a"/>
    <w:uiPriority w:val="35"/>
    <w:unhideWhenUsed/>
    <w:qFormat/>
    <w:rsid w:val="004569FB"/>
    <w:pPr>
      <w:spacing w:after="200"/>
      <w:jc w:val="left"/>
    </w:pPr>
    <w:rPr>
      <w:rFonts w:eastAsia="Times New Roman" w:cs="Times New Roman"/>
      <w:b/>
      <w:bCs/>
      <w:color w:val="4F81BD"/>
      <w:sz w:val="18"/>
      <w:szCs w:val="18"/>
      <w:lang w:val="en-CA" w:eastAsia="ja-JP"/>
    </w:rPr>
  </w:style>
  <w:style w:type="paragraph" w:customStyle="1" w:styleId="Para3">
    <w:name w:val="Para3"/>
    <w:basedOn w:val="a"/>
    <w:rsid w:val="004569FB"/>
    <w:pPr>
      <w:tabs>
        <w:tab w:val="num" w:pos="1440"/>
        <w:tab w:val="left" w:pos="1980"/>
      </w:tabs>
      <w:spacing w:before="80" w:after="80"/>
      <w:ind w:left="1440" w:hanging="360"/>
      <w:jc w:val="left"/>
    </w:pPr>
    <w:rPr>
      <w:rFonts w:eastAsia="Times New Roman" w:cs="Times New Roman"/>
      <w:sz w:val="24"/>
      <w:szCs w:val="20"/>
      <w:lang w:eastAsia="ja-JP"/>
    </w:rPr>
  </w:style>
  <w:style w:type="paragraph" w:customStyle="1" w:styleId="Para4">
    <w:name w:val="Para4"/>
    <w:basedOn w:val="Para3"/>
    <w:rsid w:val="004569FB"/>
    <w:pPr>
      <w:tabs>
        <w:tab w:val="clear" w:pos="1440"/>
        <w:tab w:val="clear" w:pos="1980"/>
        <w:tab w:val="left" w:pos="2552"/>
        <w:tab w:val="num" w:pos="2880"/>
      </w:tabs>
      <w:ind w:left="2880"/>
    </w:pPr>
  </w:style>
  <w:style w:type="character" w:customStyle="1" w:styleId="Para1Char">
    <w:name w:val="Para1 Char"/>
    <w:locked/>
    <w:rsid w:val="004569FB"/>
    <w:rPr>
      <w:rFonts w:ascii="Times New Roman" w:eastAsia="Times New Roman" w:hAnsi="Times New Roman"/>
      <w:snapToGrid w:val="0"/>
      <w:sz w:val="22"/>
      <w:szCs w:val="18"/>
      <w:lang w:val="en-GB"/>
    </w:rPr>
  </w:style>
  <w:style w:type="paragraph" w:styleId="HTML">
    <w:name w:val="HTML Address"/>
    <w:basedOn w:val="a"/>
    <w:link w:val="HTML0"/>
    <w:uiPriority w:val="99"/>
    <w:semiHidden/>
    <w:unhideWhenUsed/>
    <w:rsid w:val="004569FB"/>
    <w:pPr>
      <w:jc w:val="left"/>
    </w:pPr>
    <w:rPr>
      <w:rFonts w:eastAsia="Times New Roman" w:cs="Times New Roman"/>
      <w:i/>
      <w:iCs/>
      <w:sz w:val="24"/>
      <w:lang w:val="en-CA" w:eastAsia="ja-JP"/>
    </w:rPr>
  </w:style>
  <w:style w:type="character" w:customStyle="1" w:styleId="HTML0">
    <w:name w:val="Адрес HTML Знак"/>
    <w:basedOn w:val="a0"/>
    <w:link w:val="HTML"/>
    <w:uiPriority w:val="99"/>
    <w:semiHidden/>
    <w:rsid w:val="004569FB"/>
    <w:rPr>
      <w:rFonts w:ascii="Times New Roman" w:eastAsia="Times New Roman" w:hAnsi="Times New Roman"/>
      <w:i/>
      <w:iCs/>
      <w:sz w:val="24"/>
      <w:szCs w:val="24"/>
      <w:lang w:val="en-CA" w:eastAsia="ja-JP"/>
    </w:rPr>
  </w:style>
  <w:style w:type="paragraph" w:customStyle="1" w:styleId="Cornernotation">
    <w:name w:val="Corner notation"/>
    <w:basedOn w:val="a"/>
    <w:rsid w:val="004569FB"/>
    <w:pPr>
      <w:ind w:left="170" w:right="3119" w:hanging="170"/>
      <w:jc w:val="left"/>
    </w:pPr>
    <w:rPr>
      <w:rFonts w:eastAsia="Times New Roman" w:cs="Times New Roman"/>
      <w:sz w:val="24"/>
      <w:lang w:eastAsia="ja-JP"/>
    </w:rPr>
  </w:style>
  <w:style w:type="character" w:customStyle="1" w:styleId="UnresolvedMention1">
    <w:name w:val="Unresolved Mention1"/>
    <w:uiPriority w:val="99"/>
    <w:semiHidden/>
    <w:unhideWhenUsed/>
    <w:rsid w:val="004569FB"/>
    <w:rPr>
      <w:color w:val="605E5C"/>
      <w:shd w:val="clear" w:color="auto" w:fill="E1DFDD"/>
    </w:rPr>
  </w:style>
  <w:style w:type="paragraph" w:styleId="9">
    <w:name w:val="toc 9"/>
    <w:basedOn w:val="a"/>
    <w:next w:val="a"/>
    <w:autoRedefine/>
    <w:uiPriority w:val="39"/>
    <w:semiHidden/>
    <w:rsid w:val="004569FB"/>
    <w:pPr>
      <w:tabs>
        <w:tab w:val="num" w:pos="2171"/>
      </w:tabs>
      <w:spacing w:before="120" w:after="120"/>
      <w:ind w:left="2171" w:hanging="360"/>
      <w:jc w:val="left"/>
    </w:pPr>
    <w:rPr>
      <w:rFonts w:eastAsia="Times New Roman" w:cs="Times New Roman"/>
    </w:rPr>
  </w:style>
  <w:style w:type="paragraph" w:customStyle="1" w:styleId="heading2notforTOC">
    <w:name w:val="heading 2 not for TOC"/>
    <w:basedOn w:val="3"/>
    <w:rsid w:val="004569FB"/>
    <w:pPr>
      <w:keepLines w:val="0"/>
      <w:tabs>
        <w:tab w:val="left" w:pos="567"/>
        <w:tab w:val="num" w:pos="644"/>
      </w:tabs>
      <w:ind w:left="284"/>
    </w:pPr>
    <w:rPr>
      <w:iCs/>
      <w:sz w:val="22"/>
      <w:lang w:val="en-GB" w:eastAsia="x-none"/>
    </w:rPr>
  </w:style>
  <w:style w:type="character" w:customStyle="1" w:styleId="UnresolvedMention">
    <w:name w:val="Unresolved Mention"/>
    <w:basedOn w:val="a0"/>
    <w:uiPriority w:val="99"/>
    <w:semiHidden/>
    <w:unhideWhenUsed/>
    <w:rsid w:val="00EC4E70"/>
    <w:rPr>
      <w:color w:val="605E5C"/>
      <w:shd w:val="clear" w:color="auto" w:fill="E1DFDD"/>
    </w:rPr>
  </w:style>
  <w:style w:type="table" w:styleId="afa">
    <w:name w:val="Table Grid"/>
    <w:basedOn w:val="a1"/>
    <w:uiPriority w:val="59"/>
    <w:rsid w:val="00B93F5D"/>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a"/>
    <w:uiPriority w:val="59"/>
    <w:rsid w:val="00B93F5D"/>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B93F5D"/>
    <w:rPr>
      <w:color w:val="80808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c"/>
    <w:rsid w:val="00C56A0A"/>
    <w:pPr>
      <w:spacing w:after="160" w:line="240" w:lineRule="exact"/>
      <w:jc w:val="left"/>
    </w:pPr>
    <w:rPr>
      <w:rFonts w:ascii="Calibri" w:eastAsia="Calibri" w:hAnsi="Calibri" w:cs="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052">
      <w:bodyDiv w:val="1"/>
      <w:marLeft w:val="0"/>
      <w:marRight w:val="0"/>
      <w:marTop w:val="0"/>
      <w:marBottom w:val="0"/>
      <w:divBdr>
        <w:top w:val="none" w:sz="0" w:space="0" w:color="auto"/>
        <w:left w:val="none" w:sz="0" w:space="0" w:color="auto"/>
        <w:bottom w:val="none" w:sz="0" w:space="0" w:color="auto"/>
        <w:right w:val="none" w:sz="0" w:space="0" w:color="auto"/>
      </w:divBdr>
    </w:div>
    <w:div w:id="1039861654">
      <w:bodyDiv w:val="1"/>
      <w:marLeft w:val="0"/>
      <w:marRight w:val="0"/>
      <w:marTop w:val="0"/>
      <w:marBottom w:val="0"/>
      <w:divBdr>
        <w:top w:val="none" w:sz="0" w:space="0" w:color="auto"/>
        <w:left w:val="none" w:sz="0" w:space="0" w:color="auto"/>
        <w:bottom w:val="none" w:sz="0" w:space="0" w:color="auto"/>
        <w:right w:val="none" w:sz="0" w:space="0" w:color="auto"/>
      </w:divBdr>
    </w:div>
    <w:div w:id="1296059967">
      <w:bodyDiv w:val="1"/>
      <w:marLeft w:val="0"/>
      <w:marRight w:val="0"/>
      <w:marTop w:val="0"/>
      <w:marBottom w:val="0"/>
      <w:divBdr>
        <w:top w:val="none" w:sz="0" w:space="0" w:color="auto"/>
        <w:left w:val="none" w:sz="0" w:space="0" w:color="auto"/>
        <w:bottom w:val="none" w:sz="0" w:space="0" w:color="auto"/>
        <w:right w:val="none" w:sz="0" w:space="0" w:color="auto"/>
      </w:divBdr>
    </w:div>
    <w:div w:id="14073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www.cbd.int/doc/decisions/cp-mop-09/cp-mop-09-dec-06-ru.pdf"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www.cbd.int/doc/decisions/mop-08/mop-08-dec-15-ru.pdf"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http://bch.cbd.int/protocol/decisions/?decisionID=12329" TargetMode="External"/><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bch.cbd.int/protocol/cpb_art23_pow_evaluation.shtml" TargetMode="External"/><Relationship Id="rId3" Type="http://schemas.openxmlformats.org/officeDocument/2006/relationships/hyperlink" Target="http://bch.cbd.int/database/reports/surveyonindicators.shtml" TargetMode="External"/><Relationship Id="rId7" Type="http://schemas.openxmlformats.org/officeDocument/2006/relationships/hyperlink" Target="http://bch.cbd.int/about/news/" TargetMode="External"/><Relationship Id="rId2" Type="http://schemas.openxmlformats.org/officeDocument/2006/relationships/hyperlink" Target="https://www.cbd.int/doc/notifications/2019/ntf-2019-019-bs-en.pdf" TargetMode="External"/><Relationship Id="rId1" Type="http://schemas.openxmlformats.org/officeDocument/2006/relationships/hyperlink" Target="https://beta.bch.cbd.int/register/NR4" TargetMode="External"/><Relationship Id="rId6" Type="http://schemas.openxmlformats.org/officeDocument/2006/relationships/hyperlink" Target="http://bch.cbd.int/protocol/issues/cpb_stplan_txt.shtml" TargetMode="External"/><Relationship Id="rId5" Type="http://schemas.openxmlformats.org/officeDocument/2006/relationships/hyperlink" Target="http://bch.cbd.int/protocol/issues/final_evaluation.shtml" TargetMode="External"/><Relationship Id="rId4" Type="http://schemas.openxmlformats.org/officeDocument/2006/relationships/hyperlink" Target="http://bch.cbd.int/database/reports/analyz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A6901CC37F44978C0FD015AF4CEDBE"/>
        <w:category>
          <w:name w:val="General"/>
          <w:gallery w:val="placeholder"/>
        </w:category>
        <w:types>
          <w:type w:val="bbPlcHdr"/>
        </w:types>
        <w:behaviors>
          <w:behavior w:val="content"/>
        </w:behaviors>
        <w:guid w:val="{AD2CB991-CD94-4DB6-B618-37315DD2F2ED}"/>
      </w:docPartPr>
      <w:docPartBody>
        <w:p w:rsidR="003A1B04" w:rsidRDefault="003A1B04" w:rsidP="003A1B04">
          <w:pPr>
            <w:pStyle w:val="7DA6901CC37F44978C0FD015AF4CEDBE"/>
          </w:pPr>
          <w:r w:rsidRPr="007E02EB">
            <w:rPr>
              <w:rStyle w:val="a3"/>
            </w:rPr>
            <w:t>[Subject]</w:t>
          </w:r>
        </w:p>
      </w:docPartBody>
    </w:docPart>
    <w:docPart>
      <w:docPartPr>
        <w:name w:val="7CAC84CC5B834614A625AEEEEF6CFDB7"/>
        <w:category>
          <w:name w:val="General"/>
          <w:gallery w:val="placeholder"/>
        </w:category>
        <w:types>
          <w:type w:val="bbPlcHdr"/>
        </w:types>
        <w:behaviors>
          <w:behavior w:val="content"/>
        </w:behaviors>
        <w:guid w:val="{BE65C213-2A3C-4DEA-8F4D-A1152BCED4CC}"/>
      </w:docPartPr>
      <w:docPartBody>
        <w:p w:rsidR="00B471DF" w:rsidRDefault="003A1B04">
          <w:r w:rsidRPr="00F75626">
            <w:rPr>
              <w:rStyle w:val="a3"/>
            </w:rPr>
            <w:t>[Title]</w:t>
          </w:r>
        </w:p>
      </w:docPartBody>
    </w:docPart>
    <w:docPart>
      <w:docPartPr>
        <w:name w:val="82182D0F2EF84A8C865674E788541DAB"/>
        <w:category>
          <w:name w:val="General"/>
          <w:gallery w:val="placeholder"/>
        </w:category>
        <w:types>
          <w:type w:val="bbPlcHdr"/>
        </w:types>
        <w:behaviors>
          <w:behavior w:val="content"/>
        </w:behaviors>
        <w:guid w:val="{08D70CBF-3209-497C-9B9E-815BEF8BA56D}"/>
      </w:docPartPr>
      <w:docPartBody>
        <w:p w:rsidR="00B471DF" w:rsidRDefault="003A1B04">
          <w:r w:rsidRPr="00F75626">
            <w:rPr>
              <w:rStyle w:val="a3"/>
            </w:rPr>
            <w:t>[Subject]</w:t>
          </w:r>
        </w:p>
      </w:docPartBody>
    </w:docPart>
    <w:docPart>
      <w:docPartPr>
        <w:name w:val="CE49E04E20A54C39948CC19C501DFF12"/>
        <w:category>
          <w:name w:val="General"/>
          <w:gallery w:val="placeholder"/>
        </w:category>
        <w:types>
          <w:type w:val="bbPlcHdr"/>
        </w:types>
        <w:behaviors>
          <w:behavior w:val="content"/>
        </w:behaviors>
        <w:guid w:val="{6B892EA2-6EDE-4CDC-9F40-80AD25B65916}"/>
      </w:docPartPr>
      <w:docPartBody>
        <w:p w:rsidR="00B471DF" w:rsidRDefault="003A1B04" w:rsidP="003A1B04">
          <w:pPr>
            <w:pStyle w:val="CE49E04E20A54C39948CC19C501DFF12"/>
          </w:pPr>
          <w:r w:rsidRPr="00F75626">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04"/>
    <w:rsid w:val="002E5DDB"/>
    <w:rsid w:val="00314C64"/>
    <w:rsid w:val="003A1B04"/>
    <w:rsid w:val="003A5823"/>
    <w:rsid w:val="004E44E9"/>
    <w:rsid w:val="00575AAC"/>
    <w:rsid w:val="005B100E"/>
    <w:rsid w:val="00620A54"/>
    <w:rsid w:val="007D73DD"/>
    <w:rsid w:val="00891EFE"/>
    <w:rsid w:val="009749A8"/>
    <w:rsid w:val="009E39AB"/>
    <w:rsid w:val="00B471DF"/>
    <w:rsid w:val="00B730FA"/>
    <w:rsid w:val="00BB0845"/>
    <w:rsid w:val="00C61526"/>
    <w:rsid w:val="00CE7B58"/>
    <w:rsid w:val="00CF0D95"/>
    <w:rsid w:val="00D152DE"/>
    <w:rsid w:val="00E465A3"/>
    <w:rsid w:val="00F039BA"/>
    <w:rsid w:val="00F1577E"/>
    <w:rsid w:val="00FD11D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5AAC"/>
  </w:style>
  <w:style w:type="paragraph" w:customStyle="1" w:styleId="0F82417FB9EB4366ACB960FFD0A7BB8C">
    <w:name w:val="0F82417FB9EB4366ACB960FFD0A7BB8C"/>
    <w:rsid w:val="003A1B04"/>
  </w:style>
  <w:style w:type="paragraph" w:customStyle="1" w:styleId="7DA6901CC37F44978C0FD015AF4CEDBE">
    <w:name w:val="7DA6901CC37F44978C0FD015AF4CEDBE"/>
    <w:rsid w:val="003A1B04"/>
  </w:style>
  <w:style w:type="paragraph" w:customStyle="1" w:styleId="B6389A8AB36E449BAE84AB56AF4EA992">
    <w:name w:val="B6389A8AB36E449BAE84AB56AF4EA992"/>
    <w:rsid w:val="003A1B04"/>
  </w:style>
  <w:style w:type="paragraph" w:customStyle="1" w:styleId="CE49E04E20A54C39948CC19C501DFF12">
    <w:name w:val="CE49E04E20A54C39948CC19C501DFF12"/>
    <w:rsid w:val="003A1B04"/>
  </w:style>
  <w:style w:type="paragraph" w:customStyle="1" w:styleId="4FD58F16F1524AA5A3865A6D94737E2A">
    <w:name w:val="4FD58F16F1524AA5A3865A6D94737E2A"/>
    <w:rsid w:val="003A1B04"/>
  </w:style>
  <w:style w:type="paragraph" w:customStyle="1" w:styleId="343029DF05CD476A87A41CF746812349">
    <w:name w:val="343029DF05CD476A87A41CF746812349"/>
    <w:rsid w:val="00575AAC"/>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5AAC"/>
  </w:style>
  <w:style w:type="paragraph" w:customStyle="1" w:styleId="0F82417FB9EB4366ACB960FFD0A7BB8C">
    <w:name w:val="0F82417FB9EB4366ACB960FFD0A7BB8C"/>
    <w:rsid w:val="003A1B04"/>
  </w:style>
  <w:style w:type="paragraph" w:customStyle="1" w:styleId="7DA6901CC37F44978C0FD015AF4CEDBE">
    <w:name w:val="7DA6901CC37F44978C0FD015AF4CEDBE"/>
    <w:rsid w:val="003A1B04"/>
  </w:style>
  <w:style w:type="paragraph" w:customStyle="1" w:styleId="B6389A8AB36E449BAE84AB56AF4EA992">
    <w:name w:val="B6389A8AB36E449BAE84AB56AF4EA992"/>
    <w:rsid w:val="003A1B04"/>
  </w:style>
  <w:style w:type="paragraph" w:customStyle="1" w:styleId="CE49E04E20A54C39948CC19C501DFF12">
    <w:name w:val="CE49E04E20A54C39948CC19C501DFF12"/>
    <w:rsid w:val="003A1B04"/>
  </w:style>
  <w:style w:type="paragraph" w:customStyle="1" w:styleId="4FD58F16F1524AA5A3865A6D94737E2A">
    <w:name w:val="4FD58F16F1524AA5A3865A6D94737E2A"/>
    <w:rsid w:val="003A1B04"/>
  </w:style>
  <w:style w:type="paragraph" w:customStyle="1" w:styleId="343029DF05CD476A87A41CF746812349">
    <w:name w:val="343029DF05CD476A87A41CF746812349"/>
    <w:rsid w:val="00575AAC"/>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8455-6226-435B-A594-A80CB7E13827}">
  <ds:schemaRefs>
    <ds:schemaRef ds:uri="http://schemas.microsoft.com/sharepoint/v3/contenttype/forms"/>
  </ds:schemaRefs>
</ds:datastoreItem>
</file>

<file path=customXml/itemProps2.xml><?xml version="1.0" encoding="utf-8"?>
<ds:datastoreItem xmlns:ds="http://schemas.openxmlformats.org/officeDocument/2006/customXml" ds:itemID="{6AE98CD2-20D2-4DBC-86A4-BA7EFE019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E1FF8-10C7-4574-A3DB-D100C6321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34C6B-1FDF-491E-94CC-77B5801A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9928</TotalTime>
  <Pages>39</Pages>
  <Words>17034</Words>
  <Characters>97094</Characters>
  <Application>Microsoft Office Word</Application>
  <DocSecurity>0</DocSecurity>
  <Lines>809</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анализ информации для оценки и обзора эффективности картахенского протокола по биобезопасности и заключительной оценки стратегического плана картахенского протокола на период 2011-2020 годов</vt:lpstr>
      <vt:lpstr>ANALYSIS OF INFORMATION FOR THE ASSESSMENT AND REVIEW OF THE EFFECTIVENESS OF THE CARTAGENA PROTOCOL ON BIOSAFETY AND FINAL EVALUATION OF THE STRATEGIC PLAN FOR THE CARTAGENA PROTOCOL FOR THE PERIOD 2011-2020</vt:lpstr>
    </vt:vector>
  </TitlesOfParts>
  <Company>SCBD</Company>
  <LinksUpToDate>false</LinksUpToDate>
  <CharactersWithSpaces>113901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информации для оценки и обзора эффективности картахенского протокола по биобезопасности и заключительной оценки стратегического плана картахенского протокола на период 2011-2020 годов</dc:title>
  <dc:subject>CBD/SBI/3/3/Add.1</dc:subject>
  <dc:creator>SCBD</dc:creator>
  <cp:keywords>Subsidiary Body on Implementation, third meeting, Convention on Biological Diversity</cp:keywords>
  <cp:lastModifiedBy>PC</cp:lastModifiedBy>
  <cp:revision>142</cp:revision>
  <cp:lastPrinted>2019-03-05T16:56:00Z</cp:lastPrinted>
  <dcterms:created xsi:type="dcterms:W3CDTF">2020-09-04T20:27:00Z</dcterms:created>
  <dcterms:modified xsi:type="dcterms:W3CDTF">2020-09-24T20:17:00Z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