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FC435E" w:rsidRPr="00853A7F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FC435E" w:rsidRPr="00853A7F" w:rsidRDefault="00F42A52" w:rsidP="00FC435E">
            <w:pPr>
              <w:pStyle w:val="Textoindependiente2"/>
              <w:rPr>
                <w:b/>
                <w:snapToGrid w:val="0"/>
                <w:kern w:val="22"/>
              </w:rPr>
            </w:pPr>
            <w:bookmarkStart w:id="0" w:name="_GoBack"/>
            <w:bookmarkEnd w:id="0"/>
            <w:r>
              <w:rPr>
                <w:b/>
                <w:noProof/>
                <w:snapToGrid w:val="0"/>
              </w:rPr>
              <w:drawing>
                <wp:inline distT="0" distB="0" distL="0" distR="0">
                  <wp:extent cx="482600" cy="40640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C435E" w:rsidRPr="00853A7F" w:rsidRDefault="00F42A52" w:rsidP="008E52F4">
            <w:pPr>
              <w:rPr>
                <w:snapToGrid w:val="0"/>
                <w:kern w:val="22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342900" cy="406400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671687" w:rsidRPr="00853A7F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671687" w:rsidRPr="001738F3" w:rsidRDefault="00671687" w:rsidP="00B2360E">
            <w:pPr>
              <w:rPr>
                <w:snapToGrid w:val="0"/>
                <w:kern w:val="22"/>
              </w:rPr>
            </w:pPr>
          </w:p>
          <w:p w:rsidR="00671687" w:rsidRPr="001738F3" w:rsidRDefault="005F31ED" w:rsidP="00B2360E">
            <w:pPr>
              <w:rPr>
                <w:snapToGrid w:val="0"/>
                <w:kern w:val="22"/>
              </w:rPr>
            </w:pPr>
            <w:r w:rsidRPr="005F31ED">
              <w:rPr>
                <w:noProof/>
                <w:snapToGrid w:val="0"/>
                <w:lang w:val="es-ES_tradnl"/>
              </w:rPr>
              <w:drawing>
                <wp:inline distT="0" distB="0" distL="0" distR="0">
                  <wp:extent cx="2908300" cy="1079500"/>
                  <wp:effectExtent l="0" t="0" r="635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687" w:rsidRPr="001738F3" w:rsidRDefault="00671687" w:rsidP="00B2360E">
            <w:pPr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671687" w:rsidRPr="00853A7F" w:rsidRDefault="00671687" w:rsidP="00B2360E">
            <w:pPr>
              <w:pStyle w:val="Encabezado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Distr.</w:t>
            </w:r>
          </w:p>
          <w:p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CBD/SBI/3/1</w:t>
            </w:r>
          </w:p>
          <w:p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21 de octubre de 2019</w:t>
            </w:r>
          </w:p>
          <w:p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:rsidR="005F31ED" w:rsidRDefault="00671687" w:rsidP="00853A7F">
            <w:pPr>
              <w:ind w:left="459"/>
              <w:jc w:val="left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 xml:space="preserve">ESPAÑOL </w:t>
            </w:r>
          </w:p>
          <w:p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>ORIGINAL:</w:t>
            </w:r>
            <w:r w:rsidR="005F31ED">
              <w:rPr>
                <w:snapToGrid w:val="0"/>
                <w:szCs w:val="22"/>
              </w:rPr>
              <w:t xml:space="preserve"> </w:t>
            </w:r>
            <w:r>
              <w:rPr>
                <w:snapToGrid w:val="0"/>
                <w:szCs w:val="22"/>
              </w:rPr>
              <w:t>INGLÉS</w:t>
            </w:r>
          </w:p>
        </w:tc>
      </w:tr>
    </w:tbl>
    <w:p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1" w:name="Meeting"/>
      <w:r>
        <w:t>ÓRGANO SUBSIDIARIO SOBRE LA APLICACIÓN</w:t>
      </w:r>
      <w:bookmarkEnd w:id="1"/>
    </w:p>
    <w:p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Tercera reunión</w:t>
      </w:r>
    </w:p>
    <w:p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Montreal (Canadá), 25 a 30 de mayo de 2020</w:t>
      </w:r>
    </w:p>
    <w:p w:rsidR="002C19E5" w:rsidRPr="00853A7F" w:rsidRDefault="00671687" w:rsidP="00497555">
      <w:pPr>
        <w:pStyle w:val="Encabezado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>
        <w:rPr>
          <w:snapToGrid w:val="0"/>
          <w:szCs w:val="22"/>
        </w:rPr>
        <w:t>Tema</w:t>
      </w:r>
      <w:r w:rsidR="005F31ED">
        <w:rPr>
          <w:snapToGrid w:val="0"/>
          <w:szCs w:val="22"/>
        </w:rPr>
        <w:t> </w:t>
      </w:r>
      <w:r>
        <w:rPr>
          <w:snapToGrid w:val="0"/>
          <w:szCs w:val="22"/>
        </w:rPr>
        <w:t>2 del programa provisional</w:t>
      </w:r>
    </w:p>
    <w:p w:rsidR="00EA0F6F" w:rsidRPr="00853A7F" w:rsidRDefault="002D7067" w:rsidP="00853A7F">
      <w:pPr>
        <w:pStyle w:val="HEADINGNOTFORTOC"/>
        <w:tabs>
          <w:tab w:val="clear" w:pos="720"/>
        </w:tabs>
        <w:spacing w:after="100" w:afterAutospacing="1"/>
        <w:rPr>
          <w:snapToGrid w:val="0"/>
          <w:kern w:val="22"/>
          <w:szCs w:val="22"/>
        </w:rPr>
      </w:pPr>
      <w:r>
        <w:rPr>
          <w:snapToGrid w:val="0"/>
          <w:szCs w:val="22"/>
        </w:rPr>
        <w:t>PROGRAMA PROVISIONAL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Apertura de la reunión.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Adopción del programa y organización de los trabajos.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Revisión de los progresos en la aplicación del Convenio y la implementación del Plan Estratégico para la Diversidad Biológica 2011-2020.</w:t>
      </w:r>
    </w:p>
    <w:p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Evaluación y revisión de la eficacia del Protocolo de Cartagena sobre Seguridad de la Biotecnología.</w:t>
      </w:r>
    </w:p>
    <w:p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Marco mundial de la diversidad biológica posterior a 2020.</w:t>
      </w:r>
    </w:p>
    <w:p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Movilización de recursos y el mecanismo financiero.</w:t>
      </w:r>
    </w:p>
    <w:p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Creación de capacidad, cooperación científica y técnica, transferencia de tecnología, gestión de conocimientos y comunicación.</w:t>
      </w:r>
    </w:p>
    <w:p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Cooperación con otros convenios, organizaciones internacionales e iniciativas.</w:t>
      </w:r>
    </w:p>
    <w:p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Mecanismos de presentación de informes, evaluación y revisión de la aplicación.</w:t>
      </w:r>
    </w:p>
    <w:p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Revisión de la eficacia de los procesos del Convenio y sus Protocolos.</w:t>
      </w:r>
    </w:p>
    <w:p w:rsidR="00385FAA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Integración de la diversidad biológica en todos los sectores y otras medidas estratégicas para intensificar la aplicación.</w:t>
      </w:r>
    </w:p>
    <w:p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Instrumentos internacionales especializados de acceso y participación en los beneficios en el contexto del artículo 4, párrafo 4, del Protocolo de Nagoya.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snapToGrid w:val="0"/>
          <w:szCs w:val="22"/>
        </w:rPr>
        <w:t>Mecanismo mundial multilateral de participación en los beneficios (artículo 10 del Protocolo de Nagoya).</w:t>
      </w:r>
    </w:p>
    <w:p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Cuestiones administrativas y presupuestarias.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Otros asuntos.</w:t>
      </w:r>
    </w:p>
    <w:p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Adopción del informe.</w:t>
      </w:r>
    </w:p>
    <w:p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Clausura de la reunión.</w:t>
      </w:r>
    </w:p>
    <w:p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__________</w:t>
      </w:r>
    </w:p>
    <w:sectPr w:rsidR="00F26CC6" w:rsidRPr="00853A7F" w:rsidSect="00497555">
      <w:headerReference w:type="even" r:id="rId11"/>
      <w:footerReference w:type="first" r:id="rId12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44" w:rsidRDefault="00DB1144">
      <w:r>
        <w:separator/>
      </w:r>
    </w:p>
  </w:endnote>
  <w:endnote w:type="continuationSeparator" w:id="0">
    <w:p w:rsidR="00DB1144" w:rsidRDefault="00D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ED6" w:rsidRDefault="00612ED6" w:rsidP="00497555">
    <w:pPr>
      <w:pStyle w:val="Piedepgina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44" w:rsidRDefault="00DB1144">
      <w:r>
        <w:separator/>
      </w:r>
    </w:p>
  </w:footnote>
  <w:footnote w:type="continuationSeparator" w:id="0">
    <w:p w:rsidR="00DB1144" w:rsidRDefault="00DB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5E" w:rsidRPr="00497555" w:rsidRDefault="00FC435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  <w:r>
      <w:t>CBD/SBI/3/1</w:t>
    </w:r>
  </w:p>
  <w:p w:rsidR="00FC435E" w:rsidRPr="00497555" w:rsidRDefault="00FC435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  <w:r>
      <w:t xml:space="preserve">Página </w:t>
    </w:r>
    <w:r w:rsidRPr="00497555">
      <w:fldChar w:fldCharType="begin"/>
    </w:r>
    <w:r w:rsidRPr="00497555">
      <w:instrText xml:space="preserve"> PAGE   \* MERGEFORMAT </w:instrText>
    </w:r>
    <w:r w:rsidRPr="00497555">
      <w:fldChar w:fldCharType="separate"/>
    </w:r>
    <w:r w:rsidR="001001C6">
      <w:t>2</w:t>
    </w:r>
    <w:r w:rsidRPr="00497555">
      <w:fldChar w:fldCharType="end"/>
    </w:r>
  </w:p>
  <w:p w:rsidR="004B44DE" w:rsidRPr="00497555" w:rsidRDefault="004B44DE" w:rsidP="00497555">
    <w:pPr>
      <w:pStyle w:val="Encabezado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C19E5"/>
    <w:rsid w:val="002D7067"/>
    <w:rsid w:val="00316D91"/>
    <w:rsid w:val="00347B6F"/>
    <w:rsid w:val="00384489"/>
    <w:rsid w:val="00384D09"/>
    <w:rsid w:val="00385FAA"/>
    <w:rsid w:val="00386CD0"/>
    <w:rsid w:val="00411584"/>
    <w:rsid w:val="00443379"/>
    <w:rsid w:val="00453B3E"/>
    <w:rsid w:val="00497555"/>
    <w:rsid w:val="004B44DE"/>
    <w:rsid w:val="004E2293"/>
    <w:rsid w:val="00532076"/>
    <w:rsid w:val="00535F90"/>
    <w:rsid w:val="005365CB"/>
    <w:rsid w:val="00536853"/>
    <w:rsid w:val="005425FB"/>
    <w:rsid w:val="00567EDB"/>
    <w:rsid w:val="005D2533"/>
    <w:rsid w:val="005D4AD9"/>
    <w:rsid w:val="005E7D9D"/>
    <w:rsid w:val="005F162B"/>
    <w:rsid w:val="005F31ED"/>
    <w:rsid w:val="00612ED6"/>
    <w:rsid w:val="0066496C"/>
    <w:rsid w:val="00671687"/>
    <w:rsid w:val="006A4DCE"/>
    <w:rsid w:val="006B723D"/>
    <w:rsid w:val="006C209A"/>
    <w:rsid w:val="00704D99"/>
    <w:rsid w:val="0070788C"/>
    <w:rsid w:val="0071601F"/>
    <w:rsid w:val="00787166"/>
    <w:rsid w:val="0079634D"/>
    <w:rsid w:val="007D4DA0"/>
    <w:rsid w:val="008351AB"/>
    <w:rsid w:val="008425FF"/>
    <w:rsid w:val="008459D4"/>
    <w:rsid w:val="00853A7F"/>
    <w:rsid w:val="008C7794"/>
    <w:rsid w:val="008E52F4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546F0"/>
    <w:rsid w:val="00DB1144"/>
    <w:rsid w:val="00DB3733"/>
    <w:rsid w:val="00DC764D"/>
    <w:rsid w:val="00DE4301"/>
    <w:rsid w:val="00E04388"/>
    <w:rsid w:val="00E816A5"/>
    <w:rsid w:val="00E872C7"/>
    <w:rsid w:val="00E97396"/>
    <w:rsid w:val="00EA0F6F"/>
    <w:rsid w:val="00EB4272"/>
    <w:rsid w:val="00ED139B"/>
    <w:rsid w:val="00EE4142"/>
    <w:rsid w:val="00EE66A8"/>
    <w:rsid w:val="00F074D1"/>
    <w:rsid w:val="00F26CC6"/>
    <w:rsid w:val="00F42A52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A0F6F"/>
    <w:rPr>
      <w:rFonts w:ascii="Times New Roman" w:eastAsia="MS Mincho" w:hAnsi="Times New Roman" w:cs="Angsana New"/>
      <w:b/>
      <w:bCs/>
      <w:i/>
      <w:iCs/>
      <w:szCs w:val="24"/>
      <w:lang w:val="es-ES"/>
    </w:rPr>
  </w:style>
  <w:style w:type="paragraph" w:customStyle="1" w:styleId="HEADINGNOTFORTOC">
    <w:name w:val="HEADING (NOT FOR TOC)"/>
    <w:basedOn w:val="Ttulo1"/>
    <w:next w:val="Ttulo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tulo1Car">
    <w:name w:val="Título 1 Car"/>
    <w:link w:val="Ttulo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Encabezado">
    <w:name w:val="header"/>
    <w:basedOn w:val="Normal"/>
    <w:link w:val="EncabezadoC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71687"/>
    <w:rPr>
      <w:rFonts w:ascii="Times New Roman" w:eastAsia="Times New Roman" w:hAnsi="Times New Roman" w:cs="Angsana New"/>
      <w:szCs w:val="24"/>
      <w:lang w:val="es-ES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1687"/>
    <w:rPr>
      <w:rFonts w:ascii="Tahoma" w:eastAsia="MS Mincho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EB4272"/>
    <w:rPr>
      <w:rFonts w:ascii="Times New Roman" w:eastAsia="Times New Roman" w:hAnsi="Times New Roman" w:cs="Times New Roman"/>
      <w:szCs w:val="24"/>
      <w:lang w:val="es-ES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FC435E"/>
    <w:rPr>
      <w:rFonts w:ascii="Times New Roman" w:eastAsia="MS Mincho" w:hAnsi="Times New Roman" w:cs="Angsana New"/>
      <w:sz w:val="22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4DC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A4DCE"/>
    <w:rPr>
      <w:rFonts w:ascii="Times New Roman" w:eastAsia="MS Mincho" w:hAnsi="Times New Roman" w:cs="Angsana New"/>
      <w:lang w:val="es-ES"/>
    </w:rPr>
  </w:style>
  <w:style w:type="character" w:styleId="Refdenotaalpie">
    <w:name w:val="footnote reference"/>
    <w:uiPriority w:val="99"/>
    <w:semiHidden/>
    <w:unhideWhenUsed/>
    <w:rsid w:val="006A4DCE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29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E2293"/>
    <w:rPr>
      <w:rFonts w:ascii="Times New Roman" w:eastAsia="MS Mincho" w:hAnsi="Times New Roman" w:cs="Angsana New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2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E2293"/>
    <w:rPr>
      <w:rFonts w:ascii="Times New Roman" w:eastAsia="MS Mincho" w:hAnsi="Times New Roman" w:cs="Angsana New"/>
      <w:b/>
      <w:bCs/>
      <w:lang w:val="es-ES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8D6B-FBD6-471A-9E5D-A9699DAA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Maria Troitino</cp:lastModifiedBy>
  <cp:revision>2</cp:revision>
  <cp:lastPrinted>2019-03-05T19:56:00Z</cp:lastPrinted>
  <dcterms:created xsi:type="dcterms:W3CDTF">2019-11-19T19:50:00Z</dcterms:created>
  <dcterms:modified xsi:type="dcterms:W3CDTF">2019-11-19T19:50:00Z</dcterms:modified>
</cp:coreProperties>
</file>