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8" w:type="dxa"/>
        <w:tblInd w:w="-318" w:type="dxa"/>
        <w:tblLook w:val="04A0" w:firstRow="1" w:lastRow="0" w:firstColumn="1" w:lastColumn="0" w:noHBand="0" w:noVBand="1"/>
      </w:tblPr>
      <w:tblGrid>
        <w:gridCol w:w="976"/>
        <w:gridCol w:w="5141"/>
        <w:gridCol w:w="4090"/>
        <w:gridCol w:w="601"/>
      </w:tblGrid>
      <w:tr w:rsidR="005111BD" w:rsidRPr="00EE0850" w14:paraId="24E5303C" w14:textId="77777777" w:rsidTr="005111BD">
        <w:trPr>
          <w:trHeight w:val="709"/>
        </w:trPr>
        <w:tc>
          <w:tcPr>
            <w:tcW w:w="976" w:type="dxa"/>
            <w:tcBorders>
              <w:bottom w:val="single" w:sz="12" w:space="0" w:color="auto"/>
            </w:tcBorders>
          </w:tcPr>
          <w:p w14:paraId="645BDDE1" w14:textId="77777777" w:rsidR="005111BD" w:rsidRPr="00EE0850" w:rsidRDefault="005111BD" w:rsidP="00547CB8">
            <w:pPr>
              <w:rPr>
                <w:kern w:val="22"/>
              </w:rPr>
            </w:pPr>
            <w:r w:rsidRPr="00EE0850">
              <w:rPr>
                <w:noProof/>
                <w:kern w:val="22"/>
                <w:lang w:val="fr-CA" w:eastAsia="fr-CA"/>
              </w:rPr>
              <w:drawing>
                <wp:inline distT="0" distB="0" distL="0" distR="0" wp14:anchorId="077845C4" wp14:editId="2C192D1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35BDC87" w14:textId="77777777" w:rsidR="005111BD" w:rsidRPr="00EE0850" w:rsidRDefault="005111BD" w:rsidP="00547CB8">
            <w:pPr>
              <w:rPr>
                <w:kern w:val="22"/>
              </w:rPr>
            </w:pPr>
            <w:r w:rsidRPr="00EE0850">
              <w:rPr>
                <w:noProof/>
                <w:kern w:val="22"/>
                <w:lang w:val="fr-CA" w:eastAsia="fr-CA"/>
              </w:rPr>
              <w:drawing>
                <wp:inline distT="0" distB="0" distL="0" distR="0" wp14:anchorId="5CE4CB96" wp14:editId="506324B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691" w:type="dxa"/>
            <w:gridSpan w:val="2"/>
            <w:tcBorders>
              <w:bottom w:val="single" w:sz="12" w:space="0" w:color="auto"/>
            </w:tcBorders>
          </w:tcPr>
          <w:p w14:paraId="6627EE13" w14:textId="77777777" w:rsidR="005111BD" w:rsidRPr="00EE0850" w:rsidRDefault="005111BD" w:rsidP="00547CB8">
            <w:pPr>
              <w:jc w:val="right"/>
              <w:rPr>
                <w:rFonts w:ascii="Arial" w:hAnsi="Arial" w:cs="Arial"/>
                <w:b/>
                <w:kern w:val="22"/>
                <w:sz w:val="32"/>
                <w:szCs w:val="32"/>
              </w:rPr>
            </w:pPr>
            <w:r w:rsidRPr="00EE0850">
              <w:rPr>
                <w:rFonts w:ascii="Arial" w:hAnsi="Arial" w:cs="Arial"/>
                <w:b/>
                <w:kern w:val="22"/>
                <w:sz w:val="32"/>
                <w:szCs w:val="32"/>
              </w:rPr>
              <w:t>CBD</w:t>
            </w:r>
          </w:p>
        </w:tc>
      </w:tr>
      <w:tr w:rsidR="00921CAB" w:rsidRPr="00EE0850" w14:paraId="3256F1E2" w14:textId="77777777" w:rsidTr="00921CAB">
        <w:trPr>
          <w:gridAfter w:val="1"/>
          <w:wAfter w:w="601" w:type="dxa"/>
          <w:trHeight w:val="1815"/>
        </w:trPr>
        <w:tc>
          <w:tcPr>
            <w:tcW w:w="6117" w:type="dxa"/>
            <w:gridSpan w:val="2"/>
            <w:tcBorders>
              <w:top w:val="single" w:sz="12" w:space="0" w:color="auto"/>
              <w:bottom w:val="single" w:sz="36" w:space="0" w:color="auto"/>
            </w:tcBorders>
            <w:vAlign w:val="center"/>
          </w:tcPr>
          <w:p w14:paraId="4A8BF8CC" w14:textId="7287D4B6" w:rsidR="00921CAB" w:rsidRPr="00EE0850" w:rsidRDefault="00C2631D" w:rsidP="00891A19">
            <w:pPr>
              <w:suppressLineNumbers/>
              <w:suppressAutoHyphens/>
              <w:kinsoku w:val="0"/>
              <w:overflowPunct w:val="0"/>
              <w:autoSpaceDE w:val="0"/>
              <w:autoSpaceDN w:val="0"/>
              <w:rPr>
                <w:szCs w:val="22"/>
              </w:rPr>
            </w:pPr>
            <w:r w:rsidRPr="00C95DDA">
              <w:rPr>
                <w:bCs/>
                <w:noProof/>
                <w:szCs w:val="22"/>
                <w:lang w:val="fr-CA" w:eastAsia="fr-CA"/>
              </w:rPr>
              <w:drawing>
                <wp:inline distT="0" distB="0" distL="0" distR="0" wp14:anchorId="5FF851E3" wp14:editId="546A5066">
                  <wp:extent cx="2857500" cy="1076325"/>
                  <wp:effectExtent l="0" t="0" r="0" b="0"/>
                  <wp:docPr id="2" name="Pictur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6D47C01" w14:textId="77777777" w:rsidR="00921CAB" w:rsidRPr="00852E3F" w:rsidRDefault="00921CAB" w:rsidP="000C6220">
            <w:pPr>
              <w:suppressLineNumbers/>
              <w:suppressAutoHyphens/>
              <w:kinsoku w:val="0"/>
              <w:overflowPunct w:val="0"/>
              <w:autoSpaceDE w:val="0"/>
              <w:autoSpaceDN w:val="0"/>
              <w:spacing w:after="0" w:line="240" w:lineRule="auto"/>
              <w:ind w:left="1354"/>
              <w:rPr>
                <w:szCs w:val="22"/>
                <w:lang w:val="fr-CA"/>
              </w:rPr>
            </w:pPr>
            <w:r w:rsidRPr="00852E3F">
              <w:rPr>
                <w:szCs w:val="22"/>
                <w:lang w:val="fr-CA"/>
              </w:rPr>
              <w:t>Distr.</w:t>
            </w:r>
          </w:p>
          <w:p w14:paraId="50A620A8" w14:textId="6CA5A4E2" w:rsidR="00921CAB" w:rsidRPr="00852E3F" w:rsidRDefault="00B77ED6" w:rsidP="000C6220">
            <w:pPr>
              <w:suppressLineNumbers/>
              <w:suppressAutoHyphens/>
              <w:kinsoku w:val="0"/>
              <w:overflowPunct w:val="0"/>
              <w:autoSpaceDE w:val="0"/>
              <w:autoSpaceDN w:val="0"/>
              <w:spacing w:after="0" w:line="240" w:lineRule="auto"/>
              <w:ind w:left="1354"/>
              <w:rPr>
                <w:szCs w:val="22"/>
                <w:lang w:val="fr-CA"/>
              </w:rPr>
            </w:pPr>
            <w:sdt>
              <w:sdtPr>
                <w:rPr>
                  <w:snapToGrid w:val="0"/>
                  <w:kern w:val="22"/>
                  <w:szCs w:val="22"/>
                  <w:lang w:val="fr-CA"/>
                </w:rPr>
                <w:alias w:val="Status"/>
                <w:tag w:val=""/>
                <w:id w:val="307985777"/>
                <w:placeholder>
                  <w:docPart w:val="C6A360793BC64D399A021CF8819C75E4"/>
                </w:placeholder>
                <w:dataBinding w:prefixMappings="xmlns:ns0='http://purl.org/dc/elements/1.1/' xmlns:ns1='http://schemas.openxmlformats.org/package/2006/metadata/core-properties' " w:xpath="/ns1:coreProperties[1]/ns1:contentStatus[1]" w:storeItemID="{6C3C8BC8-F283-45AE-878A-BAB7291924A1}"/>
                <w:text/>
              </w:sdtPr>
              <w:sdtEndPr/>
              <w:sdtContent>
                <w:r w:rsidR="00C2631D" w:rsidRPr="00852E3F">
                  <w:rPr>
                    <w:snapToGrid w:val="0"/>
                    <w:kern w:val="22"/>
                    <w:szCs w:val="22"/>
                    <w:lang w:val="fr-CA"/>
                  </w:rPr>
                  <w:t>GÉNÉRALE</w:t>
                </w:r>
              </w:sdtContent>
            </w:sdt>
          </w:p>
          <w:p w14:paraId="103FB542" w14:textId="77777777" w:rsidR="00921CAB" w:rsidRPr="00852E3F" w:rsidRDefault="00921CAB" w:rsidP="000C6220">
            <w:pPr>
              <w:suppressLineNumbers/>
              <w:suppressAutoHyphens/>
              <w:kinsoku w:val="0"/>
              <w:overflowPunct w:val="0"/>
              <w:autoSpaceDE w:val="0"/>
              <w:autoSpaceDN w:val="0"/>
              <w:spacing w:after="0" w:line="240" w:lineRule="auto"/>
              <w:ind w:left="1354"/>
              <w:rPr>
                <w:szCs w:val="22"/>
                <w:lang w:val="fr-CA"/>
              </w:rPr>
            </w:pPr>
          </w:p>
          <w:p w14:paraId="771971DA" w14:textId="7DC0F928" w:rsidR="00921CAB" w:rsidRPr="00852E3F" w:rsidRDefault="00B77ED6" w:rsidP="000C6220">
            <w:pPr>
              <w:suppressLineNumbers/>
              <w:suppressAutoHyphens/>
              <w:kinsoku w:val="0"/>
              <w:overflowPunct w:val="0"/>
              <w:autoSpaceDE w:val="0"/>
              <w:autoSpaceDN w:val="0"/>
              <w:spacing w:after="0" w:line="240" w:lineRule="auto"/>
              <w:ind w:left="1354"/>
              <w:rPr>
                <w:szCs w:val="22"/>
                <w:lang w:val="fr-CA"/>
              </w:rPr>
            </w:pPr>
            <w:sdt>
              <w:sdtPr>
                <w:rPr>
                  <w:bCs/>
                  <w:szCs w:val="22"/>
                  <w:lang w:val="fr-CA"/>
                </w:rPr>
                <w:alias w:val="Subject"/>
                <w:tag w:val=""/>
                <w:id w:val="686406857"/>
                <w:placeholder>
                  <w:docPart w:val="DC00FD0B698B4096A87445AB89260D34"/>
                </w:placeholder>
                <w:dataBinding w:prefixMappings="xmlns:ns0='http://purl.org/dc/elements/1.1/' xmlns:ns1='http://schemas.openxmlformats.org/package/2006/metadata/core-properties' " w:xpath="/ns1:coreProperties[1]/ns0:subject[1]" w:storeItemID="{6C3C8BC8-F283-45AE-878A-BAB7291924A1}"/>
                <w:text/>
              </w:sdtPr>
              <w:sdtEndPr/>
              <w:sdtContent>
                <w:r w:rsidR="00E118A2" w:rsidRPr="00852E3F">
                  <w:rPr>
                    <w:bCs/>
                    <w:szCs w:val="22"/>
                    <w:lang w:val="fr-CA"/>
                  </w:rPr>
                  <w:t>CBD/NP/MOP/3/10</w:t>
                </w:r>
              </w:sdtContent>
            </w:sdt>
          </w:p>
          <w:p w14:paraId="26319FF9" w14:textId="4063C45A" w:rsidR="00921CAB" w:rsidRPr="00EE0850" w:rsidRDefault="002F0C59" w:rsidP="000C6220">
            <w:pPr>
              <w:suppressLineNumbers/>
              <w:suppressAutoHyphens/>
              <w:kinsoku w:val="0"/>
              <w:overflowPunct w:val="0"/>
              <w:autoSpaceDE w:val="0"/>
              <w:autoSpaceDN w:val="0"/>
              <w:spacing w:after="0" w:line="240" w:lineRule="auto"/>
              <w:ind w:left="1354"/>
              <w:rPr>
                <w:szCs w:val="22"/>
              </w:rPr>
            </w:pPr>
            <w:r w:rsidRPr="00EE0850">
              <w:rPr>
                <w:szCs w:val="22"/>
                <w:lang w:val="en-US"/>
              </w:rPr>
              <w:t>3</w:t>
            </w:r>
            <w:r w:rsidRPr="00EE0850">
              <w:rPr>
                <w:lang w:val="en-US"/>
              </w:rPr>
              <w:t xml:space="preserve">1 </w:t>
            </w:r>
            <w:r w:rsidR="00C2631D">
              <w:rPr>
                <w:lang w:val="en-US"/>
              </w:rPr>
              <w:t>janvier</w:t>
            </w:r>
            <w:r w:rsidR="00921CAB" w:rsidRPr="00EE0850">
              <w:rPr>
                <w:szCs w:val="22"/>
                <w:lang w:val="en-US"/>
              </w:rPr>
              <w:t xml:space="preserve"> 201</w:t>
            </w:r>
            <w:r w:rsidRPr="00EE0850">
              <w:rPr>
                <w:szCs w:val="22"/>
                <w:lang w:val="en-US"/>
              </w:rPr>
              <w:t>9</w:t>
            </w:r>
          </w:p>
          <w:p w14:paraId="58D2DCF6" w14:textId="77777777" w:rsidR="00921CAB" w:rsidRPr="00EE0850" w:rsidRDefault="00921CAB" w:rsidP="000C6220">
            <w:pPr>
              <w:suppressLineNumbers/>
              <w:suppressAutoHyphens/>
              <w:kinsoku w:val="0"/>
              <w:overflowPunct w:val="0"/>
              <w:autoSpaceDE w:val="0"/>
              <w:autoSpaceDN w:val="0"/>
              <w:spacing w:after="0" w:line="240" w:lineRule="auto"/>
              <w:ind w:left="1354"/>
              <w:rPr>
                <w:szCs w:val="22"/>
              </w:rPr>
            </w:pPr>
          </w:p>
          <w:p w14:paraId="5FDF5E00" w14:textId="77777777" w:rsidR="00C2631D" w:rsidRDefault="00C2631D" w:rsidP="000C6220">
            <w:pPr>
              <w:suppressLineNumbers/>
              <w:suppressAutoHyphens/>
              <w:kinsoku w:val="0"/>
              <w:overflowPunct w:val="0"/>
              <w:autoSpaceDE w:val="0"/>
              <w:autoSpaceDN w:val="0"/>
              <w:spacing w:after="0" w:line="240" w:lineRule="auto"/>
              <w:ind w:left="1354"/>
              <w:rPr>
                <w:szCs w:val="22"/>
              </w:rPr>
            </w:pPr>
            <w:r>
              <w:rPr>
                <w:szCs w:val="22"/>
              </w:rPr>
              <w:t>FRANÇAIS</w:t>
            </w:r>
          </w:p>
          <w:p w14:paraId="2C73AA7A" w14:textId="496EC83B" w:rsidR="00921CAB" w:rsidRPr="00EE0850" w:rsidRDefault="00921CAB" w:rsidP="000C6220">
            <w:pPr>
              <w:suppressLineNumbers/>
              <w:suppressAutoHyphens/>
              <w:kinsoku w:val="0"/>
              <w:overflowPunct w:val="0"/>
              <w:autoSpaceDE w:val="0"/>
              <w:autoSpaceDN w:val="0"/>
              <w:spacing w:after="0" w:line="240" w:lineRule="auto"/>
              <w:ind w:left="1354"/>
              <w:rPr>
                <w:szCs w:val="22"/>
              </w:rPr>
            </w:pPr>
            <w:r w:rsidRPr="00EE0850">
              <w:rPr>
                <w:szCs w:val="22"/>
              </w:rPr>
              <w:t xml:space="preserve">ORIGINAL: </w:t>
            </w:r>
            <w:r w:rsidR="00E6278A">
              <w:rPr>
                <w:szCs w:val="22"/>
              </w:rPr>
              <w:t>ANGLAIS</w:t>
            </w:r>
          </w:p>
          <w:p w14:paraId="6C5FCD61" w14:textId="77777777" w:rsidR="00921CAB" w:rsidRPr="00EE0850" w:rsidRDefault="00921CAB" w:rsidP="000C6220">
            <w:pPr>
              <w:suppressLineNumbers/>
              <w:suppressAutoHyphens/>
              <w:kinsoku w:val="0"/>
              <w:overflowPunct w:val="0"/>
              <w:autoSpaceDE w:val="0"/>
              <w:autoSpaceDN w:val="0"/>
              <w:spacing w:after="0" w:line="240" w:lineRule="auto"/>
              <w:jc w:val="left"/>
              <w:rPr>
                <w:szCs w:val="22"/>
              </w:rPr>
            </w:pPr>
          </w:p>
        </w:tc>
      </w:tr>
    </w:tbl>
    <w:p w14:paraId="6E223EA9" w14:textId="77777777" w:rsidR="00C2631D" w:rsidRPr="00C95DDA" w:rsidRDefault="00C2631D" w:rsidP="00C2631D">
      <w:pPr>
        <w:suppressLineNumbers/>
        <w:tabs>
          <w:tab w:val="left" w:pos="5580"/>
        </w:tabs>
        <w:suppressAutoHyphens/>
        <w:kinsoku w:val="0"/>
        <w:overflowPunct w:val="0"/>
        <w:autoSpaceDE w:val="0"/>
        <w:autoSpaceDN w:val="0"/>
        <w:spacing w:after="0" w:line="240" w:lineRule="auto"/>
        <w:ind w:left="170" w:right="3938" w:hanging="170"/>
        <w:jc w:val="left"/>
        <w:rPr>
          <w:rFonts w:eastAsia="Batang"/>
          <w:snapToGrid w:val="0"/>
          <w:kern w:val="22"/>
          <w:lang w:val="fr-CA"/>
        </w:rPr>
      </w:pPr>
      <w:r w:rsidRPr="00C95DDA">
        <w:rPr>
          <w:snapToGrid w:val="0"/>
          <w:kern w:val="22"/>
          <w:lang w:val="fr-CA"/>
        </w:rPr>
        <w:t>CONFÉRENCE DES PARTIES À LA CONVENTION SUR LA DIVERSITÉ BIOLOGIQUE SIÉGEANT EN TANT QUE RÉUNION DES PARTIES AU PROTOCOLE</w:t>
      </w:r>
      <w:r w:rsidRPr="00C95DDA">
        <w:rPr>
          <w:rFonts w:eastAsia="Batang"/>
          <w:snapToGrid w:val="0"/>
          <w:kern w:val="22"/>
          <w:lang w:val="fr-CA"/>
        </w:rPr>
        <w:t xml:space="preserve"> DE NAGOYA SUR L’ACCÈS AUX RESSOURCES GÉNÉTIQUES ET LE PARTAGE JUSTE ET ÉQUITABLE DES AVANTAGES DÉCOULANT DE LEUR UTILISATION</w:t>
      </w:r>
    </w:p>
    <w:p w14:paraId="32CABC9A" w14:textId="77777777" w:rsidR="00C2631D" w:rsidRPr="00C95DDA" w:rsidRDefault="00C2631D" w:rsidP="00C2631D">
      <w:pPr>
        <w:suppressLineNumbers/>
        <w:suppressAutoHyphens/>
        <w:kinsoku w:val="0"/>
        <w:overflowPunct w:val="0"/>
        <w:autoSpaceDE w:val="0"/>
        <w:autoSpaceDN w:val="0"/>
        <w:spacing w:after="0" w:line="240" w:lineRule="auto"/>
        <w:ind w:left="170" w:right="3119" w:hanging="170"/>
        <w:jc w:val="left"/>
        <w:rPr>
          <w:rFonts w:eastAsia="Batang"/>
          <w:snapToGrid w:val="0"/>
          <w:kern w:val="22"/>
          <w:lang w:val="fr-CA"/>
        </w:rPr>
      </w:pPr>
      <w:r w:rsidRPr="00C95DDA">
        <w:rPr>
          <w:rFonts w:eastAsia="Batang"/>
          <w:snapToGrid w:val="0"/>
          <w:kern w:val="22"/>
          <w:lang w:val="fr-CA"/>
        </w:rPr>
        <w:t>Troisième réunion</w:t>
      </w:r>
    </w:p>
    <w:p w14:paraId="1E9726C8" w14:textId="26B2264E" w:rsidR="00E606C0" w:rsidRPr="00C2631D" w:rsidRDefault="00C2631D" w:rsidP="00C2631D">
      <w:pPr>
        <w:suppressLineNumbers/>
        <w:suppressAutoHyphens/>
        <w:kinsoku w:val="0"/>
        <w:overflowPunct w:val="0"/>
        <w:autoSpaceDE w:val="0"/>
        <w:autoSpaceDN w:val="0"/>
        <w:spacing w:after="0" w:line="240" w:lineRule="auto"/>
        <w:ind w:right="4422"/>
        <w:jc w:val="left"/>
        <w:rPr>
          <w:rFonts w:eastAsia="Times New Roman"/>
          <w:snapToGrid w:val="0"/>
          <w:kern w:val="22"/>
          <w:szCs w:val="22"/>
          <w:lang w:val="fr-CA" w:eastAsia="en-CA"/>
        </w:rPr>
      </w:pPr>
      <w:bookmarkStart w:id="0" w:name="_Hlk505863673"/>
      <w:r w:rsidRPr="00C95DDA">
        <w:rPr>
          <w:noProof/>
          <w:snapToGrid w:val="0"/>
          <w:kern w:val="22"/>
          <w:szCs w:val="22"/>
          <w:lang w:val="fr-CA" w:eastAsia="nb-NO"/>
        </w:rPr>
        <w:t>Charm el</w:t>
      </w:r>
      <w:r w:rsidRPr="00C95DDA">
        <w:rPr>
          <w:noProof/>
          <w:snapToGrid w:val="0"/>
          <w:kern w:val="22"/>
          <w:szCs w:val="22"/>
          <w:lang w:val="fr-CA" w:eastAsia="nb-NO"/>
        </w:rPr>
        <w:noBreakHyphen/>
        <w:t>Cheikh</w:t>
      </w:r>
      <w:r>
        <w:rPr>
          <w:noProof/>
          <w:snapToGrid w:val="0"/>
          <w:kern w:val="22"/>
          <w:szCs w:val="22"/>
          <w:lang w:val="fr-CA" w:eastAsia="nb-NO"/>
        </w:rPr>
        <w:t>, É</w:t>
      </w:r>
      <w:r w:rsidRPr="00C95DDA">
        <w:rPr>
          <w:noProof/>
          <w:snapToGrid w:val="0"/>
          <w:kern w:val="22"/>
          <w:szCs w:val="22"/>
          <w:lang w:val="fr-CA" w:eastAsia="nb-NO"/>
        </w:rPr>
        <w:t>gypt</w:t>
      </w:r>
      <w:bookmarkEnd w:id="0"/>
      <w:r w:rsidRPr="00C95DDA">
        <w:rPr>
          <w:noProof/>
          <w:snapToGrid w:val="0"/>
          <w:kern w:val="22"/>
          <w:szCs w:val="22"/>
          <w:lang w:val="fr-CA" w:eastAsia="nb-NO"/>
        </w:rPr>
        <w:t>e</w:t>
      </w:r>
      <w:r w:rsidRPr="00C95DDA">
        <w:rPr>
          <w:snapToGrid w:val="0"/>
          <w:kern w:val="22"/>
          <w:szCs w:val="22"/>
          <w:lang w:val="fr-CA" w:eastAsia="nb-NO"/>
        </w:rPr>
        <w:t>, 17</w:t>
      </w:r>
      <w:r w:rsidRPr="00C95DDA">
        <w:rPr>
          <w:snapToGrid w:val="0"/>
          <w:kern w:val="22"/>
          <w:szCs w:val="22"/>
          <w:lang w:val="fr-CA" w:eastAsia="nb-NO"/>
        </w:rPr>
        <w:noBreakHyphen/>
        <w:t>29 novembre </w:t>
      </w:r>
      <w:r w:rsidR="00E606C0" w:rsidRPr="00C2631D">
        <w:rPr>
          <w:rFonts w:eastAsia="Times New Roman"/>
          <w:snapToGrid w:val="0"/>
          <w:kern w:val="22"/>
          <w:szCs w:val="22"/>
          <w:lang w:val="fr-CA" w:eastAsia="en-CA"/>
        </w:rPr>
        <w:t xml:space="preserve"> 2018</w:t>
      </w:r>
    </w:p>
    <w:p w14:paraId="27B777E3" w14:textId="77777777" w:rsidR="00E606C0" w:rsidRPr="00C2631D" w:rsidRDefault="00E606C0" w:rsidP="005C78D8">
      <w:pPr>
        <w:suppressLineNumbers/>
        <w:suppressAutoHyphens/>
        <w:kinsoku w:val="0"/>
        <w:overflowPunct w:val="0"/>
        <w:autoSpaceDE w:val="0"/>
        <w:autoSpaceDN w:val="0"/>
        <w:ind w:left="170" w:right="3119"/>
        <w:jc w:val="left"/>
        <w:rPr>
          <w:rFonts w:eastAsia="Batang"/>
          <w:snapToGrid w:val="0"/>
          <w:kern w:val="22"/>
          <w:lang w:val="fr-CA"/>
        </w:rPr>
      </w:pPr>
    </w:p>
    <w:p w14:paraId="447EFFE7" w14:textId="29418EC2" w:rsidR="00E606C0" w:rsidRPr="00AC0070" w:rsidRDefault="00AC0070" w:rsidP="000C6220">
      <w:pPr>
        <w:pStyle w:val="Titre1"/>
        <w:spacing w:before="0" w:after="0" w:line="240" w:lineRule="auto"/>
        <w:rPr>
          <w:rFonts w:hint="eastAsia"/>
          <w:lang w:val="fr-CA"/>
        </w:rPr>
      </w:pPr>
      <w:r>
        <w:rPr>
          <w:lang w:val="fr-CA"/>
        </w:rPr>
        <w:t xml:space="preserve">rapport de la </w:t>
      </w:r>
      <w:r w:rsidR="00382307">
        <w:rPr>
          <w:lang w:val="fr-CA"/>
        </w:rPr>
        <w:t xml:space="preserve">troisième réunion de la </w:t>
      </w:r>
      <w:r>
        <w:rPr>
          <w:lang w:val="fr-CA"/>
        </w:rPr>
        <w:t>conférence des parties à la convention sur la diversité biologique siégeant en tant que réunion des parties au protocole de nagoya sur l’accès aux res</w:t>
      </w:r>
      <w:r w:rsidR="00382307">
        <w:rPr>
          <w:lang w:val="fr-CA"/>
        </w:rPr>
        <w:t>sources génétiques et le partag</w:t>
      </w:r>
      <w:r>
        <w:rPr>
          <w:lang w:val="fr-CA"/>
        </w:rPr>
        <w:t>e juste et équitable des avantages dé</w:t>
      </w:r>
      <w:r w:rsidR="00382307">
        <w:rPr>
          <w:lang w:val="fr-CA"/>
        </w:rPr>
        <w:t xml:space="preserve">coulant de leur utilisation </w:t>
      </w:r>
    </w:p>
    <w:tbl>
      <w:tblPr>
        <w:tblW w:w="0" w:type="auto"/>
        <w:tblLook w:val="04A0" w:firstRow="1" w:lastRow="0" w:firstColumn="1" w:lastColumn="0" w:noHBand="0" w:noVBand="1"/>
      </w:tblPr>
      <w:tblGrid>
        <w:gridCol w:w="9956"/>
      </w:tblGrid>
      <w:tr w:rsidR="00856680" w:rsidRPr="00AB4311" w14:paraId="1DA97563" w14:textId="77777777" w:rsidTr="00856680">
        <w:tc>
          <w:tcPr>
            <w:tcW w:w="9956" w:type="dxa"/>
          </w:tcPr>
          <w:p w14:paraId="572C22D9" w14:textId="781869CB" w:rsidR="00856680" w:rsidRPr="00AC0070" w:rsidRDefault="00382307" w:rsidP="000C6220">
            <w:pPr>
              <w:spacing w:before="240" w:line="240" w:lineRule="auto"/>
              <w:ind w:firstLine="567"/>
              <w:rPr>
                <w:lang w:val="fr-CA"/>
              </w:rPr>
            </w:pPr>
            <w:r w:rsidRPr="00382307">
              <w:rPr>
                <w:lang w:val="fr-CA"/>
              </w:rPr>
              <w:t>La troisième r</w:t>
            </w:r>
            <w:r>
              <w:rPr>
                <w:lang w:val="fr-CA"/>
              </w:rPr>
              <w:t>é</w:t>
            </w:r>
            <w:r w:rsidRPr="00382307">
              <w:rPr>
                <w:lang w:val="fr-CA"/>
              </w:rPr>
              <w:t>union de la Conférence des Parties à la Convention sur la diversité biologique sur l’acc</w:t>
            </w:r>
            <w:r>
              <w:rPr>
                <w:lang w:val="fr-CA"/>
              </w:rPr>
              <w:t>ès aux ressources génétiques et le partage juste et équitable des avantages découlant de leur utilisation a eu lieu à Charm el-</w:t>
            </w:r>
            <w:r w:rsidR="000220FB">
              <w:rPr>
                <w:lang w:val="fr-CA"/>
              </w:rPr>
              <w:t>C</w:t>
            </w:r>
            <w:r>
              <w:rPr>
                <w:lang w:val="fr-CA"/>
              </w:rPr>
              <w:t>heikh, en Égypte, du 17 au 29 novembre 2018. Elle a adopté 16 décisions, présentées au chapitre 1 du présent rapport</w:t>
            </w:r>
            <w:r w:rsidR="00856680" w:rsidRPr="00AC0070">
              <w:rPr>
                <w:lang w:val="fr-CA"/>
              </w:rPr>
              <w:t>.</w:t>
            </w:r>
          </w:p>
          <w:p w14:paraId="5341C82E" w14:textId="7EABBBCE" w:rsidR="00856680" w:rsidRPr="00AC0070" w:rsidRDefault="00382307" w:rsidP="00382307">
            <w:pPr>
              <w:spacing w:line="240" w:lineRule="auto"/>
              <w:ind w:firstLine="592"/>
              <w:rPr>
                <w:i/>
                <w:lang w:val="fr-CA"/>
              </w:rPr>
            </w:pPr>
            <w:r>
              <w:rPr>
                <w:lang w:val="fr-CA"/>
              </w:rPr>
              <w:t>Le compte rendu des débats de la réunion est présenté au chapitre II du rapport</w:t>
            </w:r>
            <w:r w:rsidR="00856680" w:rsidRPr="00AC0070">
              <w:rPr>
                <w:lang w:val="fr-CA"/>
              </w:rPr>
              <w:t>.</w:t>
            </w:r>
          </w:p>
        </w:tc>
      </w:tr>
    </w:tbl>
    <w:p w14:paraId="0909274B" w14:textId="77777777" w:rsidR="00856680" w:rsidRPr="00AC0070" w:rsidRDefault="00856680" w:rsidP="008F1D76">
      <w:pPr>
        <w:pStyle w:val="Titre1"/>
        <w:rPr>
          <w:rFonts w:ascii="Times New Roman" w:hAnsi="Times New Roman"/>
          <w:b w:val="0"/>
          <w:i/>
          <w:caps w:val="0"/>
          <w:lang w:val="fr-CA"/>
        </w:rPr>
      </w:pPr>
    </w:p>
    <w:p w14:paraId="71D76C80" w14:textId="5B2DFE01" w:rsidR="00F729B5" w:rsidRPr="00AC0070" w:rsidRDefault="00F729B5" w:rsidP="00475D73">
      <w:pPr>
        <w:pStyle w:val="Titre1"/>
        <w:rPr>
          <w:rFonts w:hint="eastAsia"/>
          <w:lang w:val="fr-CA"/>
        </w:rPr>
      </w:pPr>
      <w:r w:rsidRPr="00AC0070">
        <w:rPr>
          <w:lang w:val="fr-CA"/>
        </w:rPr>
        <w:br w:type="page"/>
      </w:r>
    </w:p>
    <w:p w14:paraId="42B4BA8F" w14:textId="4D654746" w:rsidR="000B078F" w:rsidRPr="00C94DDB" w:rsidRDefault="00C84C5E" w:rsidP="00C84C5E">
      <w:pPr>
        <w:spacing w:line="240" w:lineRule="auto"/>
        <w:jc w:val="center"/>
        <w:rPr>
          <w:i/>
          <w:sz w:val="24"/>
          <w:lang w:val="fr-CA"/>
        </w:rPr>
      </w:pPr>
      <w:r w:rsidRPr="00C94DDB">
        <w:rPr>
          <w:i/>
          <w:sz w:val="24"/>
          <w:lang w:val="fr-CA"/>
        </w:rPr>
        <w:lastRenderedPageBreak/>
        <w:t>Table des matières</w:t>
      </w:r>
    </w:p>
    <w:p w14:paraId="43C4EC14" w14:textId="77777777" w:rsidR="009951A8" w:rsidRPr="00C94DDB" w:rsidRDefault="009951A8" w:rsidP="00C84C5E">
      <w:pPr>
        <w:spacing w:line="240" w:lineRule="auto"/>
        <w:jc w:val="center"/>
        <w:rPr>
          <w:i/>
          <w:lang w:val="fr-CA"/>
        </w:rPr>
      </w:pPr>
    </w:p>
    <w:p w14:paraId="3C3A37AA" w14:textId="77777777" w:rsidR="00C94DDB" w:rsidRPr="00C94DDB" w:rsidRDefault="00C84C5E" w:rsidP="009951A8">
      <w:pPr>
        <w:pStyle w:val="Paragraphedeliste"/>
        <w:numPr>
          <w:ilvl w:val="0"/>
          <w:numId w:val="85"/>
        </w:numPr>
        <w:tabs>
          <w:tab w:val="left" w:pos="9000"/>
        </w:tabs>
        <w:spacing w:line="240" w:lineRule="auto"/>
        <w:rPr>
          <w:sz w:val="24"/>
          <w:lang w:val="fr-CA"/>
        </w:rPr>
      </w:pPr>
      <w:r w:rsidRPr="00C94DDB">
        <w:rPr>
          <w:sz w:val="24"/>
          <w:lang w:val="fr-CA"/>
        </w:rPr>
        <w:t>DÉCISIONS</w:t>
      </w:r>
    </w:p>
    <w:p w14:paraId="3F9D08C6" w14:textId="308B1078" w:rsidR="00C84C5E" w:rsidRPr="00C94DDB" w:rsidRDefault="009951A8" w:rsidP="00C94DDB">
      <w:pPr>
        <w:pStyle w:val="Paragraphedeliste"/>
        <w:tabs>
          <w:tab w:val="left" w:pos="9000"/>
        </w:tabs>
        <w:spacing w:line="240" w:lineRule="auto"/>
        <w:ind w:left="1080"/>
        <w:rPr>
          <w:lang w:val="fr-CA"/>
        </w:rPr>
      </w:pPr>
      <w:r>
        <w:tab/>
      </w:r>
      <w:r w:rsidR="00C94DDB" w:rsidRPr="00C94DDB">
        <w:rPr>
          <w:lang w:val="fr-CA"/>
        </w:rPr>
        <w:t>5</w:t>
      </w:r>
      <w:r w:rsidRPr="00C94DDB">
        <w:rPr>
          <w:lang w:val="fr-CA"/>
        </w:rPr>
        <w:tab/>
      </w:r>
      <w:r w:rsidRPr="00C94DDB">
        <w:rPr>
          <w:lang w:val="fr-CA"/>
        </w:rPr>
        <w:tab/>
      </w:r>
    </w:p>
    <w:p w14:paraId="23ECA076" w14:textId="3E8D006A" w:rsidR="00C84C5E" w:rsidRDefault="00C84C5E" w:rsidP="009951A8">
      <w:pPr>
        <w:pStyle w:val="Paragraphedeliste"/>
        <w:tabs>
          <w:tab w:val="left" w:pos="9000"/>
        </w:tabs>
        <w:spacing w:line="240" w:lineRule="auto"/>
        <w:ind w:left="1987" w:hanging="907"/>
        <w:rPr>
          <w:lang w:val="fr-CA"/>
        </w:rPr>
      </w:pPr>
      <w:r w:rsidRPr="00C84C5E">
        <w:rPr>
          <w:lang w:val="fr-CA"/>
        </w:rPr>
        <w:t>3/1</w:t>
      </w:r>
      <w:r w:rsidR="009951A8">
        <w:rPr>
          <w:lang w:val="fr-CA"/>
        </w:rPr>
        <w:tab/>
        <w:t>Évaluation e</w:t>
      </w:r>
      <w:r w:rsidRPr="00C84C5E">
        <w:rPr>
          <w:lang w:val="fr-CA"/>
        </w:rPr>
        <w:t>t examen de l’efficacité du Protocole (article 31)</w:t>
      </w:r>
      <w:r w:rsidRPr="00C84C5E">
        <w:rPr>
          <w:lang w:val="fr-CA"/>
        </w:rPr>
        <w:tab/>
      </w:r>
      <w:r w:rsidR="00C94DDB">
        <w:rPr>
          <w:lang w:val="fr-CA"/>
        </w:rPr>
        <w:t>5</w:t>
      </w:r>
    </w:p>
    <w:p w14:paraId="748DEAA1" w14:textId="77777777" w:rsidR="009951A8" w:rsidRDefault="009951A8" w:rsidP="009951A8">
      <w:pPr>
        <w:pStyle w:val="Paragraphedeliste"/>
        <w:tabs>
          <w:tab w:val="left" w:pos="9000"/>
        </w:tabs>
        <w:spacing w:line="240" w:lineRule="auto"/>
        <w:ind w:left="1987" w:hanging="907"/>
        <w:rPr>
          <w:lang w:val="fr-CA"/>
        </w:rPr>
      </w:pPr>
    </w:p>
    <w:p w14:paraId="5C109279" w14:textId="6CC8C3C7" w:rsidR="009951A8" w:rsidRDefault="009951A8" w:rsidP="009951A8">
      <w:pPr>
        <w:pStyle w:val="Paragraphedeliste"/>
        <w:tabs>
          <w:tab w:val="left" w:pos="9000"/>
        </w:tabs>
        <w:spacing w:before="240" w:line="240" w:lineRule="auto"/>
        <w:ind w:left="1987" w:hanging="907"/>
        <w:rPr>
          <w:lang w:val="fr-CA"/>
        </w:rPr>
      </w:pPr>
      <w:r>
        <w:rPr>
          <w:lang w:val="fr-CA"/>
        </w:rPr>
        <w:t>3/2</w:t>
      </w:r>
      <w:r>
        <w:rPr>
          <w:lang w:val="fr-CA"/>
        </w:rPr>
        <w:tab/>
        <w:t>Conformité aux dispositions du Protocole</w:t>
      </w:r>
      <w:r>
        <w:rPr>
          <w:lang w:val="fr-CA"/>
        </w:rPr>
        <w:tab/>
        <w:t>2</w:t>
      </w:r>
      <w:r w:rsidR="00C94DDB">
        <w:rPr>
          <w:lang w:val="fr-CA"/>
        </w:rPr>
        <w:t>3</w:t>
      </w:r>
    </w:p>
    <w:p w14:paraId="7E0DC985" w14:textId="77777777" w:rsidR="009951A8" w:rsidRDefault="009951A8" w:rsidP="009951A8">
      <w:pPr>
        <w:pStyle w:val="Paragraphedeliste"/>
        <w:tabs>
          <w:tab w:val="left" w:pos="9000"/>
        </w:tabs>
        <w:spacing w:before="240" w:line="240" w:lineRule="auto"/>
        <w:ind w:left="1987" w:hanging="907"/>
        <w:rPr>
          <w:lang w:val="fr-CA"/>
        </w:rPr>
      </w:pPr>
    </w:p>
    <w:p w14:paraId="77667E44" w14:textId="24A2DA9F" w:rsidR="009951A8" w:rsidRDefault="009951A8" w:rsidP="009951A8">
      <w:pPr>
        <w:pStyle w:val="Paragraphedeliste"/>
        <w:tabs>
          <w:tab w:val="left" w:pos="9000"/>
        </w:tabs>
        <w:spacing w:before="240" w:line="240" w:lineRule="auto"/>
        <w:ind w:left="1987" w:hanging="907"/>
        <w:rPr>
          <w:lang w:val="fr-CA"/>
        </w:rPr>
      </w:pPr>
      <w:r>
        <w:rPr>
          <w:lang w:val="fr-CA"/>
        </w:rPr>
        <w:t>3/3</w:t>
      </w:r>
      <w:r>
        <w:rPr>
          <w:lang w:val="fr-CA"/>
        </w:rPr>
        <w:tab/>
        <w:t xml:space="preserve">Le Centre d’échange sur l’accès et le partage des avantages et </w:t>
      </w:r>
      <w:r w:rsidR="00745DB3">
        <w:rPr>
          <w:lang w:val="fr-CA"/>
        </w:rPr>
        <w:tab/>
        <w:t>24</w:t>
      </w:r>
    </w:p>
    <w:p w14:paraId="05CA6F15" w14:textId="0A7E9074" w:rsidR="009951A8" w:rsidRDefault="009951A8" w:rsidP="009951A8">
      <w:pPr>
        <w:pStyle w:val="Paragraphedeliste"/>
        <w:tabs>
          <w:tab w:val="left" w:pos="9000"/>
        </w:tabs>
        <w:spacing w:before="240" w:line="240" w:lineRule="auto"/>
        <w:ind w:left="1987" w:hanging="907"/>
        <w:rPr>
          <w:lang w:val="fr-CA"/>
        </w:rPr>
      </w:pPr>
      <w:r>
        <w:rPr>
          <w:lang w:val="fr-CA"/>
        </w:rPr>
        <w:tab/>
        <w:t>l’échange d’</w:t>
      </w:r>
      <w:r w:rsidR="00745DB3">
        <w:rPr>
          <w:lang w:val="fr-CA"/>
        </w:rPr>
        <w:t>information</w:t>
      </w:r>
      <w:r w:rsidR="00745DB3">
        <w:rPr>
          <w:lang w:val="fr-CA"/>
        </w:rPr>
        <w:tab/>
      </w:r>
    </w:p>
    <w:p w14:paraId="3299A56C" w14:textId="77777777" w:rsidR="009951A8" w:rsidRDefault="009951A8" w:rsidP="009951A8">
      <w:pPr>
        <w:pStyle w:val="Paragraphedeliste"/>
        <w:tabs>
          <w:tab w:val="left" w:pos="9000"/>
        </w:tabs>
        <w:spacing w:before="240" w:line="240" w:lineRule="auto"/>
        <w:ind w:left="1987" w:hanging="907"/>
        <w:rPr>
          <w:lang w:val="fr-CA"/>
        </w:rPr>
      </w:pPr>
    </w:p>
    <w:p w14:paraId="4B6BFF8B" w14:textId="481816A6" w:rsidR="009951A8" w:rsidRDefault="009951A8" w:rsidP="009951A8">
      <w:pPr>
        <w:pStyle w:val="Paragraphedeliste"/>
        <w:tabs>
          <w:tab w:val="left" w:pos="9000"/>
        </w:tabs>
        <w:spacing w:before="240" w:line="240" w:lineRule="auto"/>
        <w:ind w:left="1987" w:hanging="907"/>
        <w:rPr>
          <w:lang w:val="fr-CA"/>
        </w:rPr>
      </w:pPr>
      <w:r>
        <w:rPr>
          <w:lang w:val="fr-CA"/>
        </w:rPr>
        <w:t>3/4</w:t>
      </w:r>
      <w:r>
        <w:rPr>
          <w:lang w:val="fr-CA"/>
        </w:rPr>
        <w:tab/>
        <w:t>Suivi et établissement des rapports</w:t>
      </w:r>
      <w:r>
        <w:rPr>
          <w:lang w:val="fr-CA"/>
        </w:rPr>
        <w:tab/>
      </w:r>
      <w:r w:rsidR="00864A1D">
        <w:rPr>
          <w:lang w:val="fr-CA"/>
        </w:rPr>
        <w:t>2</w:t>
      </w:r>
      <w:r w:rsidR="00C94DDB">
        <w:rPr>
          <w:lang w:val="fr-CA"/>
        </w:rPr>
        <w:t>7</w:t>
      </w:r>
    </w:p>
    <w:p w14:paraId="75A48F94" w14:textId="77777777" w:rsidR="00864A1D" w:rsidRDefault="00864A1D" w:rsidP="009951A8">
      <w:pPr>
        <w:pStyle w:val="Paragraphedeliste"/>
        <w:tabs>
          <w:tab w:val="left" w:pos="9000"/>
        </w:tabs>
        <w:spacing w:before="240" w:line="240" w:lineRule="auto"/>
        <w:ind w:left="1987" w:hanging="907"/>
        <w:rPr>
          <w:lang w:val="fr-CA"/>
        </w:rPr>
      </w:pPr>
    </w:p>
    <w:p w14:paraId="313AB2BB" w14:textId="12788F65" w:rsidR="00864A1D" w:rsidRDefault="00864A1D" w:rsidP="00864A1D">
      <w:pPr>
        <w:pStyle w:val="Paragraphedeliste"/>
        <w:tabs>
          <w:tab w:val="left" w:pos="9000"/>
        </w:tabs>
        <w:spacing w:before="240" w:line="240" w:lineRule="auto"/>
        <w:ind w:left="1987" w:hanging="907"/>
        <w:jc w:val="left"/>
        <w:rPr>
          <w:lang w:val="fr-CA"/>
        </w:rPr>
      </w:pPr>
      <w:r>
        <w:rPr>
          <w:lang w:val="fr-CA"/>
        </w:rPr>
        <w:t>3/5</w:t>
      </w:r>
      <w:r>
        <w:rPr>
          <w:lang w:val="fr-CA"/>
        </w:rPr>
        <w:tab/>
        <w:t>Mesures d’aide au développement et au renforcement des capacités</w:t>
      </w:r>
      <w:r w:rsidR="00745DB3">
        <w:rPr>
          <w:lang w:val="fr-CA"/>
        </w:rPr>
        <w:tab/>
        <w:t>28</w:t>
      </w:r>
      <w:r>
        <w:rPr>
          <w:lang w:val="fr-CA"/>
        </w:rPr>
        <w:br/>
        <w:t>(article 22)</w:t>
      </w:r>
      <w:r>
        <w:rPr>
          <w:lang w:val="fr-CA"/>
        </w:rPr>
        <w:tab/>
      </w:r>
    </w:p>
    <w:p w14:paraId="51F6E11F" w14:textId="77777777" w:rsidR="00864A1D" w:rsidRDefault="00864A1D" w:rsidP="00864A1D">
      <w:pPr>
        <w:pStyle w:val="Paragraphedeliste"/>
        <w:tabs>
          <w:tab w:val="left" w:pos="9000"/>
        </w:tabs>
        <w:spacing w:before="240" w:line="240" w:lineRule="auto"/>
        <w:ind w:left="1987" w:hanging="907"/>
        <w:jc w:val="left"/>
        <w:rPr>
          <w:lang w:val="fr-CA"/>
        </w:rPr>
      </w:pPr>
    </w:p>
    <w:p w14:paraId="107FF073" w14:textId="11AA690C" w:rsidR="00745DB3" w:rsidRPr="00745DB3" w:rsidRDefault="00864A1D" w:rsidP="00745DB3">
      <w:pPr>
        <w:pStyle w:val="Paragraphedeliste"/>
        <w:tabs>
          <w:tab w:val="left" w:pos="9000"/>
        </w:tabs>
        <w:spacing w:before="240" w:line="240" w:lineRule="auto"/>
        <w:ind w:left="1987" w:hanging="907"/>
        <w:jc w:val="left"/>
        <w:rPr>
          <w:lang w:val="fr-CA"/>
        </w:rPr>
      </w:pPr>
      <w:r>
        <w:rPr>
          <w:lang w:val="fr-CA"/>
        </w:rPr>
        <w:t>3/6</w:t>
      </w:r>
      <w:r>
        <w:rPr>
          <w:lang w:val="fr-CA"/>
        </w:rPr>
        <w:tab/>
        <w:t xml:space="preserve">Mesures pour sensibiliser le public à l’importance des ressources </w:t>
      </w:r>
      <w:r w:rsidR="00745DB3">
        <w:rPr>
          <w:lang w:val="fr-CA"/>
        </w:rPr>
        <w:tab/>
        <w:t>32</w:t>
      </w:r>
      <w:r>
        <w:rPr>
          <w:lang w:val="fr-CA"/>
        </w:rPr>
        <w:br/>
        <w:t>génétiques et des connaissances traditionnelles associées (article 21)</w:t>
      </w:r>
      <w:r>
        <w:rPr>
          <w:lang w:val="fr-CA"/>
        </w:rPr>
        <w:tab/>
      </w:r>
    </w:p>
    <w:p w14:paraId="5F4647F9" w14:textId="77777777" w:rsidR="00864A1D" w:rsidRDefault="00864A1D" w:rsidP="00864A1D">
      <w:pPr>
        <w:pStyle w:val="Paragraphedeliste"/>
        <w:tabs>
          <w:tab w:val="left" w:pos="9000"/>
        </w:tabs>
        <w:spacing w:before="240" w:line="240" w:lineRule="auto"/>
        <w:ind w:left="1987" w:hanging="907"/>
        <w:jc w:val="left"/>
        <w:rPr>
          <w:lang w:val="fr-CA"/>
        </w:rPr>
      </w:pPr>
    </w:p>
    <w:p w14:paraId="3589784A" w14:textId="1F784CFF" w:rsidR="00864A1D" w:rsidRDefault="00864A1D" w:rsidP="00864A1D">
      <w:pPr>
        <w:pStyle w:val="Paragraphedeliste"/>
        <w:tabs>
          <w:tab w:val="left" w:pos="9000"/>
        </w:tabs>
        <w:spacing w:before="240" w:line="240" w:lineRule="auto"/>
        <w:ind w:left="1987" w:hanging="907"/>
        <w:jc w:val="left"/>
        <w:rPr>
          <w:lang w:val="fr-CA"/>
        </w:rPr>
      </w:pPr>
      <w:r>
        <w:rPr>
          <w:lang w:val="fr-CA"/>
        </w:rPr>
        <w:t>3/7</w:t>
      </w:r>
      <w:r>
        <w:rPr>
          <w:lang w:val="fr-CA"/>
        </w:rPr>
        <w:tab/>
        <w:t>Coopération avec d’autres conventions, organisations et initiatives</w:t>
      </w:r>
      <w:r w:rsidR="00745DB3">
        <w:rPr>
          <w:lang w:val="fr-CA"/>
        </w:rPr>
        <w:tab/>
        <w:t>33</w:t>
      </w:r>
      <w:r>
        <w:rPr>
          <w:lang w:val="fr-CA"/>
        </w:rPr>
        <w:br/>
        <w:t>internationales</w:t>
      </w:r>
      <w:r>
        <w:rPr>
          <w:lang w:val="fr-CA"/>
        </w:rPr>
        <w:tab/>
      </w:r>
    </w:p>
    <w:p w14:paraId="0D3EA730" w14:textId="77777777" w:rsidR="00864A1D" w:rsidRDefault="00864A1D" w:rsidP="00864A1D">
      <w:pPr>
        <w:pStyle w:val="Paragraphedeliste"/>
        <w:tabs>
          <w:tab w:val="left" w:pos="9000"/>
        </w:tabs>
        <w:spacing w:before="240" w:line="240" w:lineRule="auto"/>
        <w:ind w:left="1987" w:hanging="907"/>
        <w:jc w:val="left"/>
        <w:rPr>
          <w:lang w:val="fr-CA"/>
        </w:rPr>
      </w:pPr>
    </w:p>
    <w:p w14:paraId="41C65165" w14:textId="3C6D825D" w:rsidR="005126E3" w:rsidRDefault="00864A1D" w:rsidP="00864A1D">
      <w:pPr>
        <w:pStyle w:val="Paragraphedeliste"/>
        <w:tabs>
          <w:tab w:val="left" w:pos="9000"/>
        </w:tabs>
        <w:spacing w:before="240" w:line="240" w:lineRule="auto"/>
        <w:ind w:left="1987" w:hanging="907"/>
        <w:jc w:val="left"/>
        <w:rPr>
          <w:lang w:val="fr-CA"/>
        </w:rPr>
      </w:pPr>
      <w:r>
        <w:rPr>
          <w:lang w:val="fr-CA"/>
        </w:rPr>
        <w:t>3/8</w:t>
      </w:r>
      <w:r>
        <w:rPr>
          <w:lang w:val="fr-CA"/>
        </w:rPr>
        <w:tab/>
      </w:r>
      <w:r w:rsidR="00745DB3">
        <w:rPr>
          <w:lang w:val="fr-CA"/>
        </w:rPr>
        <w:t>Mécanisme financier</w:t>
      </w:r>
      <w:r w:rsidR="00745DB3">
        <w:rPr>
          <w:lang w:val="fr-CA"/>
        </w:rPr>
        <w:tab/>
        <w:t>34</w:t>
      </w:r>
    </w:p>
    <w:p w14:paraId="17EEA6D3" w14:textId="77777777" w:rsidR="005126E3" w:rsidRDefault="005126E3" w:rsidP="00864A1D">
      <w:pPr>
        <w:pStyle w:val="Paragraphedeliste"/>
        <w:tabs>
          <w:tab w:val="left" w:pos="9000"/>
        </w:tabs>
        <w:spacing w:before="240" w:line="240" w:lineRule="auto"/>
        <w:ind w:left="1987" w:hanging="907"/>
        <w:jc w:val="left"/>
        <w:rPr>
          <w:lang w:val="fr-CA"/>
        </w:rPr>
      </w:pPr>
    </w:p>
    <w:p w14:paraId="38626F99" w14:textId="0A0B897D" w:rsidR="005126E3" w:rsidRDefault="005126E3" w:rsidP="00864A1D">
      <w:pPr>
        <w:pStyle w:val="Paragraphedeliste"/>
        <w:tabs>
          <w:tab w:val="left" w:pos="9000"/>
        </w:tabs>
        <w:spacing w:before="240" w:line="240" w:lineRule="auto"/>
        <w:ind w:left="1987" w:hanging="907"/>
        <w:jc w:val="left"/>
        <w:rPr>
          <w:lang w:val="fr-CA"/>
        </w:rPr>
      </w:pPr>
      <w:r>
        <w:rPr>
          <w:lang w:val="fr-CA"/>
        </w:rPr>
        <w:t>3/9</w:t>
      </w:r>
      <w:r>
        <w:rPr>
          <w:lang w:val="fr-CA"/>
        </w:rPr>
        <w:tab/>
        <w:t>Renforcer l’intégration au titre de la Convention et de ses protocoles pour</w:t>
      </w:r>
      <w:r w:rsidR="00745DB3">
        <w:rPr>
          <w:lang w:val="fr-CA"/>
        </w:rPr>
        <w:tab/>
        <w:t>35</w:t>
      </w:r>
      <w:r>
        <w:rPr>
          <w:lang w:val="fr-CA"/>
        </w:rPr>
        <w:br/>
        <w:t>ce qui est des dispositions relatives à l’accès et au partage des avantages</w:t>
      </w:r>
      <w:r>
        <w:rPr>
          <w:lang w:val="fr-CA"/>
        </w:rPr>
        <w:tab/>
      </w:r>
    </w:p>
    <w:p w14:paraId="0904F15C" w14:textId="77777777" w:rsidR="005126E3" w:rsidRDefault="005126E3" w:rsidP="00864A1D">
      <w:pPr>
        <w:pStyle w:val="Paragraphedeliste"/>
        <w:tabs>
          <w:tab w:val="left" w:pos="9000"/>
        </w:tabs>
        <w:spacing w:before="240" w:line="240" w:lineRule="auto"/>
        <w:ind w:left="1987" w:hanging="907"/>
        <w:jc w:val="left"/>
        <w:rPr>
          <w:lang w:val="fr-CA"/>
        </w:rPr>
      </w:pPr>
    </w:p>
    <w:p w14:paraId="0B36B735" w14:textId="6DB902EA" w:rsidR="00001E40" w:rsidRDefault="005126E3" w:rsidP="00864A1D">
      <w:pPr>
        <w:pStyle w:val="Paragraphedeliste"/>
        <w:tabs>
          <w:tab w:val="left" w:pos="9000"/>
        </w:tabs>
        <w:spacing w:before="240" w:line="240" w:lineRule="auto"/>
        <w:ind w:left="1987" w:hanging="907"/>
        <w:jc w:val="left"/>
        <w:rPr>
          <w:lang w:val="fr-CA"/>
        </w:rPr>
      </w:pPr>
      <w:r>
        <w:rPr>
          <w:lang w:val="fr-CA"/>
        </w:rPr>
        <w:t>3/10</w:t>
      </w:r>
      <w:r>
        <w:rPr>
          <w:lang w:val="fr-CA"/>
        </w:rPr>
        <w:tab/>
        <w:t>Examen de l’expérience de la tenue de réunions concomitantes de la</w:t>
      </w:r>
      <w:r w:rsidR="00745DB3">
        <w:rPr>
          <w:lang w:val="fr-CA"/>
        </w:rPr>
        <w:tab/>
        <w:t>36</w:t>
      </w:r>
      <w:r>
        <w:rPr>
          <w:lang w:val="fr-CA"/>
        </w:rPr>
        <w:br/>
        <w:t xml:space="preserve">Conférence des Parties à la Convention, de la Conférence des Parties </w:t>
      </w:r>
      <w:r>
        <w:rPr>
          <w:lang w:val="fr-CA"/>
        </w:rPr>
        <w:br/>
        <w:t>siégeant en tant que réunion des Parties au</w:t>
      </w:r>
      <w:r w:rsidR="00001E40">
        <w:rPr>
          <w:lang w:val="fr-CA"/>
        </w:rPr>
        <w:t xml:space="preserve"> Protocole de Cartagena et de </w:t>
      </w:r>
      <w:r>
        <w:rPr>
          <w:lang w:val="fr-CA"/>
        </w:rPr>
        <w:br/>
      </w:r>
      <w:r w:rsidR="00001E40">
        <w:rPr>
          <w:lang w:val="fr-CA"/>
        </w:rPr>
        <w:t xml:space="preserve">la </w:t>
      </w:r>
      <w:r>
        <w:rPr>
          <w:lang w:val="fr-CA"/>
        </w:rPr>
        <w:t xml:space="preserve">Conférence des Parties siégeant en tant que réunion des Parties au </w:t>
      </w:r>
      <w:r w:rsidR="00001E40">
        <w:rPr>
          <w:lang w:val="fr-CA"/>
        </w:rPr>
        <w:br/>
      </w:r>
      <w:r>
        <w:rPr>
          <w:lang w:val="fr-CA"/>
        </w:rPr>
        <w:t>Proto</w:t>
      </w:r>
      <w:r w:rsidR="00001E40">
        <w:rPr>
          <w:lang w:val="fr-CA"/>
        </w:rPr>
        <w:t>cole de Nagoya</w:t>
      </w:r>
      <w:r w:rsidR="00001E40">
        <w:rPr>
          <w:lang w:val="fr-CA"/>
        </w:rPr>
        <w:tab/>
      </w:r>
    </w:p>
    <w:p w14:paraId="3EF43064" w14:textId="77777777" w:rsidR="00001E40" w:rsidRDefault="00001E40" w:rsidP="00864A1D">
      <w:pPr>
        <w:pStyle w:val="Paragraphedeliste"/>
        <w:tabs>
          <w:tab w:val="left" w:pos="9000"/>
        </w:tabs>
        <w:spacing w:before="240" w:line="240" w:lineRule="auto"/>
        <w:ind w:left="1987" w:hanging="907"/>
        <w:jc w:val="left"/>
        <w:rPr>
          <w:lang w:val="fr-CA"/>
        </w:rPr>
      </w:pPr>
    </w:p>
    <w:p w14:paraId="0A788131" w14:textId="04F286AE" w:rsidR="00001E40" w:rsidRDefault="00001E40" w:rsidP="00864A1D">
      <w:pPr>
        <w:pStyle w:val="Paragraphedeliste"/>
        <w:tabs>
          <w:tab w:val="left" w:pos="9000"/>
        </w:tabs>
        <w:spacing w:before="240" w:line="240" w:lineRule="auto"/>
        <w:ind w:left="1987" w:hanging="907"/>
        <w:jc w:val="left"/>
        <w:rPr>
          <w:lang w:val="fr-CA"/>
        </w:rPr>
      </w:pPr>
      <w:r>
        <w:rPr>
          <w:lang w:val="fr-CA"/>
        </w:rPr>
        <w:t>3/11</w:t>
      </w:r>
      <w:r>
        <w:rPr>
          <w:lang w:val="fr-CA"/>
        </w:rPr>
        <w:tab/>
        <w:t>Procédure relative à la prévention et à la gestion des conflits d’intérêt</w:t>
      </w:r>
      <w:r w:rsidR="00745DB3">
        <w:rPr>
          <w:lang w:val="fr-CA"/>
        </w:rPr>
        <w:tab/>
        <w:t>37</w:t>
      </w:r>
      <w:r>
        <w:rPr>
          <w:lang w:val="fr-CA"/>
        </w:rPr>
        <w:br/>
        <w:t>au sein des groupes d’</w:t>
      </w:r>
      <w:r w:rsidR="00745DB3">
        <w:rPr>
          <w:lang w:val="fr-CA"/>
        </w:rPr>
        <w:t>experts</w:t>
      </w:r>
      <w:r w:rsidR="00745DB3">
        <w:rPr>
          <w:lang w:val="fr-CA"/>
        </w:rPr>
        <w:tab/>
      </w:r>
    </w:p>
    <w:p w14:paraId="5BC1879B" w14:textId="77777777" w:rsidR="00001E40" w:rsidRDefault="00001E40" w:rsidP="00864A1D">
      <w:pPr>
        <w:pStyle w:val="Paragraphedeliste"/>
        <w:tabs>
          <w:tab w:val="left" w:pos="9000"/>
        </w:tabs>
        <w:spacing w:before="240" w:line="240" w:lineRule="auto"/>
        <w:ind w:left="1987" w:hanging="907"/>
        <w:jc w:val="left"/>
        <w:rPr>
          <w:lang w:val="fr-CA"/>
        </w:rPr>
      </w:pPr>
    </w:p>
    <w:p w14:paraId="178B4DED" w14:textId="1E98EA58" w:rsidR="00001E40" w:rsidRDefault="00001E40" w:rsidP="00864A1D">
      <w:pPr>
        <w:pStyle w:val="Paragraphedeliste"/>
        <w:tabs>
          <w:tab w:val="left" w:pos="9000"/>
        </w:tabs>
        <w:spacing w:before="240" w:line="240" w:lineRule="auto"/>
        <w:ind w:left="1987" w:hanging="907"/>
        <w:jc w:val="left"/>
        <w:rPr>
          <w:lang w:val="fr-CA"/>
        </w:rPr>
      </w:pPr>
      <w:r>
        <w:rPr>
          <w:lang w:val="fr-CA"/>
        </w:rPr>
        <w:t>3/12</w:t>
      </w:r>
      <w:r>
        <w:rPr>
          <w:lang w:val="fr-CA"/>
        </w:rPr>
        <w:tab/>
        <w:t>Information de séquençage numérique sur les ressources génétiques</w:t>
      </w:r>
      <w:r>
        <w:rPr>
          <w:lang w:val="fr-CA"/>
        </w:rPr>
        <w:tab/>
        <w:t>3</w:t>
      </w:r>
      <w:r w:rsidR="00745DB3">
        <w:rPr>
          <w:lang w:val="fr-CA"/>
        </w:rPr>
        <w:t>8</w:t>
      </w:r>
    </w:p>
    <w:p w14:paraId="6D8A4C3B" w14:textId="77777777" w:rsidR="00001E40" w:rsidRDefault="00001E40" w:rsidP="00864A1D">
      <w:pPr>
        <w:pStyle w:val="Paragraphedeliste"/>
        <w:tabs>
          <w:tab w:val="left" w:pos="9000"/>
        </w:tabs>
        <w:spacing w:before="240" w:line="240" w:lineRule="auto"/>
        <w:ind w:left="1987" w:hanging="907"/>
        <w:jc w:val="left"/>
        <w:rPr>
          <w:lang w:val="fr-CA"/>
        </w:rPr>
      </w:pPr>
    </w:p>
    <w:p w14:paraId="3B5BC248" w14:textId="4F8FAF7A" w:rsidR="00001E40" w:rsidRDefault="00001E40" w:rsidP="00864A1D">
      <w:pPr>
        <w:pStyle w:val="Paragraphedeliste"/>
        <w:tabs>
          <w:tab w:val="left" w:pos="9000"/>
        </w:tabs>
        <w:spacing w:before="240" w:line="240" w:lineRule="auto"/>
        <w:ind w:left="1987" w:hanging="907"/>
        <w:jc w:val="left"/>
        <w:rPr>
          <w:lang w:val="fr-CA"/>
        </w:rPr>
      </w:pPr>
      <w:r>
        <w:rPr>
          <w:lang w:val="fr-CA"/>
        </w:rPr>
        <w:t>3/13</w:t>
      </w:r>
      <w:r>
        <w:rPr>
          <w:lang w:val="fr-CA"/>
        </w:rPr>
        <w:tab/>
        <w:t>Mécanisme multilatéral mondial de partage des avantages (article 10)</w:t>
      </w:r>
      <w:r>
        <w:rPr>
          <w:lang w:val="fr-CA"/>
        </w:rPr>
        <w:tab/>
        <w:t>3</w:t>
      </w:r>
      <w:r w:rsidR="00745DB3">
        <w:rPr>
          <w:lang w:val="fr-CA"/>
        </w:rPr>
        <w:t>9</w:t>
      </w:r>
    </w:p>
    <w:p w14:paraId="0B3DDCF4" w14:textId="77777777" w:rsidR="00001E40" w:rsidRDefault="00001E40" w:rsidP="00864A1D">
      <w:pPr>
        <w:pStyle w:val="Paragraphedeliste"/>
        <w:tabs>
          <w:tab w:val="left" w:pos="9000"/>
        </w:tabs>
        <w:spacing w:before="240" w:line="240" w:lineRule="auto"/>
        <w:ind w:left="1987" w:hanging="907"/>
        <w:jc w:val="left"/>
        <w:rPr>
          <w:lang w:val="fr-CA"/>
        </w:rPr>
      </w:pPr>
    </w:p>
    <w:p w14:paraId="33846343" w14:textId="41421D59" w:rsidR="00001E40" w:rsidRDefault="00001E40" w:rsidP="00864A1D">
      <w:pPr>
        <w:pStyle w:val="Paragraphedeliste"/>
        <w:tabs>
          <w:tab w:val="left" w:pos="9000"/>
        </w:tabs>
        <w:spacing w:before="240" w:line="240" w:lineRule="auto"/>
        <w:ind w:left="1987" w:hanging="907"/>
        <w:jc w:val="left"/>
        <w:rPr>
          <w:lang w:val="fr-CA"/>
        </w:rPr>
      </w:pPr>
      <w:r>
        <w:rPr>
          <w:lang w:val="fr-CA"/>
        </w:rPr>
        <w:t>3/14</w:t>
      </w:r>
      <w:r>
        <w:rPr>
          <w:lang w:val="fr-CA"/>
        </w:rPr>
        <w:tab/>
        <w:t xml:space="preserve">Instruments internationaux spéciaux sur l’accès et le partage des </w:t>
      </w:r>
      <w:r w:rsidR="00745DB3">
        <w:rPr>
          <w:lang w:val="fr-CA"/>
        </w:rPr>
        <w:tab/>
        <w:t>41</w:t>
      </w:r>
      <w:r>
        <w:rPr>
          <w:lang w:val="fr-CA"/>
        </w:rPr>
        <w:br/>
        <w:t>avantages dans le contexte du paragraphe 4 de l’article 4 du Protocole</w:t>
      </w:r>
      <w:r>
        <w:rPr>
          <w:lang w:val="fr-CA"/>
        </w:rPr>
        <w:tab/>
      </w:r>
    </w:p>
    <w:p w14:paraId="6595C1C2" w14:textId="77777777" w:rsidR="00001E40" w:rsidRDefault="00001E40" w:rsidP="00864A1D">
      <w:pPr>
        <w:pStyle w:val="Paragraphedeliste"/>
        <w:tabs>
          <w:tab w:val="left" w:pos="9000"/>
        </w:tabs>
        <w:spacing w:before="240" w:line="240" w:lineRule="auto"/>
        <w:ind w:left="1987" w:hanging="907"/>
        <w:jc w:val="left"/>
        <w:rPr>
          <w:lang w:val="fr-CA"/>
        </w:rPr>
      </w:pPr>
    </w:p>
    <w:p w14:paraId="364A82CD" w14:textId="6FDC0674" w:rsidR="00001E40" w:rsidRDefault="00001E40" w:rsidP="00864A1D">
      <w:pPr>
        <w:pStyle w:val="Paragraphedeliste"/>
        <w:tabs>
          <w:tab w:val="left" w:pos="9000"/>
        </w:tabs>
        <w:spacing w:before="240" w:line="240" w:lineRule="auto"/>
        <w:ind w:left="1987" w:hanging="907"/>
        <w:jc w:val="left"/>
        <w:rPr>
          <w:lang w:val="fr-CA"/>
        </w:rPr>
      </w:pPr>
      <w:r>
        <w:rPr>
          <w:lang w:val="fr-CA"/>
        </w:rPr>
        <w:t>3/15</w:t>
      </w:r>
      <w:r>
        <w:rPr>
          <w:lang w:val="fr-CA"/>
        </w:rPr>
        <w:tab/>
        <w:t>Préparation du suivi du Plan stratégique pour la diversité</w:t>
      </w:r>
      <w:r w:rsidR="00745DB3">
        <w:rPr>
          <w:lang w:val="fr-CA"/>
        </w:rPr>
        <w:tab/>
        <w:t>43</w:t>
      </w:r>
      <w:r>
        <w:rPr>
          <w:lang w:val="fr-CA"/>
        </w:rPr>
        <w:br/>
        <w:t>biologique 2011-2020</w:t>
      </w:r>
      <w:r>
        <w:rPr>
          <w:lang w:val="fr-CA"/>
        </w:rPr>
        <w:tab/>
      </w:r>
    </w:p>
    <w:p w14:paraId="11B6EEE0" w14:textId="77777777" w:rsidR="00001E40" w:rsidRDefault="00001E40" w:rsidP="00864A1D">
      <w:pPr>
        <w:pStyle w:val="Paragraphedeliste"/>
        <w:tabs>
          <w:tab w:val="left" w:pos="9000"/>
        </w:tabs>
        <w:spacing w:before="240" w:line="240" w:lineRule="auto"/>
        <w:ind w:left="1987" w:hanging="907"/>
        <w:jc w:val="left"/>
        <w:rPr>
          <w:lang w:val="fr-CA"/>
        </w:rPr>
      </w:pPr>
    </w:p>
    <w:p w14:paraId="6E756D6E" w14:textId="3A15479D" w:rsidR="00D03CC0" w:rsidRDefault="00001E40" w:rsidP="00864A1D">
      <w:pPr>
        <w:pStyle w:val="Paragraphedeliste"/>
        <w:tabs>
          <w:tab w:val="left" w:pos="9000"/>
        </w:tabs>
        <w:spacing w:before="240" w:line="240" w:lineRule="auto"/>
        <w:ind w:left="1987" w:hanging="907"/>
        <w:jc w:val="left"/>
        <w:rPr>
          <w:lang w:val="fr-CA"/>
        </w:rPr>
      </w:pPr>
      <w:r>
        <w:rPr>
          <w:lang w:val="fr-CA"/>
        </w:rPr>
        <w:t>3/16</w:t>
      </w:r>
      <w:r>
        <w:rPr>
          <w:lang w:val="fr-CA"/>
        </w:rPr>
        <w:tab/>
      </w:r>
      <w:r w:rsidR="00D03CC0">
        <w:rPr>
          <w:lang w:val="fr-CA"/>
        </w:rPr>
        <w:t>Budget du programme de travail intégré du Secrétariat</w:t>
      </w:r>
      <w:r w:rsidR="00D03CC0">
        <w:rPr>
          <w:lang w:val="fr-CA"/>
        </w:rPr>
        <w:tab/>
      </w:r>
      <w:r w:rsidR="00745DB3">
        <w:rPr>
          <w:lang w:val="fr-CA"/>
        </w:rPr>
        <w:t>44</w:t>
      </w:r>
    </w:p>
    <w:p w14:paraId="0F39937F" w14:textId="77777777" w:rsidR="00D03CC0" w:rsidRDefault="00D03CC0" w:rsidP="00864A1D">
      <w:pPr>
        <w:pStyle w:val="Paragraphedeliste"/>
        <w:tabs>
          <w:tab w:val="left" w:pos="9000"/>
        </w:tabs>
        <w:spacing w:before="240" w:line="240" w:lineRule="auto"/>
        <w:ind w:left="1987" w:hanging="907"/>
        <w:jc w:val="left"/>
        <w:rPr>
          <w:lang w:val="fr-CA"/>
        </w:rPr>
      </w:pPr>
    </w:p>
    <w:p w14:paraId="4C87E575" w14:textId="77777777" w:rsidR="00D03CC0" w:rsidRDefault="00D03CC0">
      <w:pPr>
        <w:jc w:val="left"/>
        <w:rPr>
          <w:lang w:val="fr-CA"/>
        </w:rPr>
      </w:pPr>
      <w:r>
        <w:rPr>
          <w:lang w:val="fr-CA"/>
        </w:rPr>
        <w:br w:type="page"/>
      </w:r>
    </w:p>
    <w:p w14:paraId="13112CCE" w14:textId="77777777" w:rsidR="00B56F5A" w:rsidRDefault="00B56F5A" w:rsidP="00D03CC0">
      <w:pPr>
        <w:pStyle w:val="Paragraphedeliste"/>
        <w:tabs>
          <w:tab w:val="left" w:pos="9000"/>
        </w:tabs>
        <w:spacing w:before="240" w:line="240" w:lineRule="auto"/>
        <w:ind w:left="900" w:hanging="547"/>
        <w:jc w:val="left"/>
        <w:rPr>
          <w:lang w:val="fr-CA"/>
        </w:rPr>
      </w:pPr>
    </w:p>
    <w:p w14:paraId="5AC8B23F" w14:textId="77777777" w:rsidR="008A5DEB" w:rsidRDefault="008A5DEB" w:rsidP="00D03CC0">
      <w:pPr>
        <w:pStyle w:val="Paragraphedeliste"/>
        <w:tabs>
          <w:tab w:val="left" w:pos="9000"/>
        </w:tabs>
        <w:spacing w:before="240" w:line="240" w:lineRule="auto"/>
        <w:ind w:left="900" w:hanging="547"/>
        <w:jc w:val="left"/>
        <w:rPr>
          <w:lang w:val="fr-CA"/>
        </w:rPr>
      </w:pPr>
    </w:p>
    <w:p w14:paraId="083E5207" w14:textId="5FDADCEE" w:rsidR="00D03CC0" w:rsidRPr="008A5DEB" w:rsidRDefault="00D03CC0" w:rsidP="00D03CC0">
      <w:pPr>
        <w:pStyle w:val="Paragraphedeliste"/>
        <w:tabs>
          <w:tab w:val="left" w:pos="9000"/>
        </w:tabs>
        <w:spacing w:before="240" w:line="240" w:lineRule="auto"/>
        <w:ind w:left="900" w:hanging="547"/>
        <w:jc w:val="left"/>
        <w:rPr>
          <w:sz w:val="24"/>
          <w:lang w:val="fr-CA"/>
        </w:rPr>
      </w:pPr>
      <w:r w:rsidRPr="008A5DEB">
        <w:rPr>
          <w:sz w:val="24"/>
          <w:lang w:val="fr-CA"/>
        </w:rPr>
        <w:t>II</w:t>
      </w:r>
      <w:r w:rsidRPr="008A5DEB">
        <w:rPr>
          <w:sz w:val="24"/>
          <w:lang w:val="fr-CA"/>
        </w:rPr>
        <w:tab/>
        <w:t>COMPTE RENDU DES DÉBATS DE LA RÉUNION</w:t>
      </w:r>
      <w:r w:rsidR="00AD437E">
        <w:rPr>
          <w:sz w:val="24"/>
          <w:lang w:val="fr-CA"/>
        </w:rPr>
        <w:tab/>
        <w:t>52</w:t>
      </w:r>
    </w:p>
    <w:p w14:paraId="242146B0" w14:textId="77777777" w:rsidR="00D03CC0" w:rsidRDefault="00D03CC0" w:rsidP="00D03CC0">
      <w:pPr>
        <w:pStyle w:val="Paragraphedeliste"/>
        <w:tabs>
          <w:tab w:val="left" w:pos="9000"/>
        </w:tabs>
        <w:spacing w:before="240" w:line="240" w:lineRule="auto"/>
        <w:ind w:left="1260" w:hanging="907"/>
        <w:jc w:val="left"/>
        <w:rPr>
          <w:lang w:val="fr-CA"/>
        </w:rPr>
      </w:pPr>
    </w:p>
    <w:p w14:paraId="61616E5B" w14:textId="77777777" w:rsidR="008A5DEB" w:rsidRDefault="008A5DEB" w:rsidP="00D03CC0">
      <w:pPr>
        <w:pStyle w:val="Paragraphedeliste"/>
        <w:tabs>
          <w:tab w:val="left" w:pos="9000"/>
        </w:tabs>
        <w:spacing w:before="240" w:line="240" w:lineRule="auto"/>
        <w:ind w:left="1260" w:hanging="907"/>
        <w:jc w:val="left"/>
        <w:rPr>
          <w:lang w:val="fr-CA"/>
        </w:rPr>
      </w:pPr>
    </w:p>
    <w:p w14:paraId="71D38600" w14:textId="77777777" w:rsidR="008A5DEB" w:rsidRDefault="008A5DEB" w:rsidP="00D03CC0">
      <w:pPr>
        <w:pStyle w:val="Paragraphedeliste"/>
        <w:tabs>
          <w:tab w:val="left" w:pos="9000"/>
        </w:tabs>
        <w:spacing w:before="240" w:line="240" w:lineRule="auto"/>
        <w:ind w:left="1260" w:hanging="907"/>
        <w:jc w:val="left"/>
        <w:rPr>
          <w:lang w:val="fr-CA"/>
        </w:rPr>
      </w:pPr>
    </w:p>
    <w:p w14:paraId="553B3362" w14:textId="34A5098C" w:rsidR="00B56F5A" w:rsidRDefault="00D03CC0" w:rsidP="00D03CC0">
      <w:pPr>
        <w:pStyle w:val="Paragraphedeliste"/>
        <w:tabs>
          <w:tab w:val="left" w:pos="900"/>
          <w:tab w:val="left" w:pos="9000"/>
        </w:tabs>
        <w:spacing w:before="240" w:line="240" w:lineRule="auto"/>
        <w:ind w:left="1980" w:hanging="1627"/>
        <w:jc w:val="left"/>
        <w:rPr>
          <w:lang w:val="fr-CA"/>
        </w:rPr>
      </w:pPr>
      <w:r>
        <w:rPr>
          <w:lang w:val="fr-CA"/>
        </w:rPr>
        <w:tab/>
      </w:r>
      <w:r w:rsidR="00B56F5A">
        <w:rPr>
          <w:lang w:val="fr-CA"/>
        </w:rPr>
        <w:t>Point 1</w:t>
      </w:r>
      <w:r>
        <w:rPr>
          <w:lang w:val="fr-CA"/>
        </w:rPr>
        <w:tab/>
      </w:r>
      <w:r w:rsidR="00B56F5A">
        <w:rPr>
          <w:lang w:val="fr-CA"/>
        </w:rPr>
        <w:t>Ouverture de la réunion</w:t>
      </w:r>
      <w:r w:rsidR="00B56F5A">
        <w:rPr>
          <w:lang w:val="fr-CA"/>
        </w:rPr>
        <w:tab/>
      </w:r>
      <w:r w:rsidR="00AD437E">
        <w:rPr>
          <w:lang w:val="fr-CA"/>
        </w:rPr>
        <w:t>53</w:t>
      </w:r>
    </w:p>
    <w:p w14:paraId="36D8D942" w14:textId="77777777" w:rsidR="00B56F5A" w:rsidRDefault="00B56F5A" w:rsidP="00D03CC0">
      <w:pPr>
        <w:pStyle w:val="Paragraphedeliste"/>
        <w:tabs>
          <w:tab w:val="left" w:pos="900"/>
          <w:tab w:val="left" w:pos="9000"/>
        </w:tabs>
        <w:spacing w:before="240" w:line="240" w:lineRule="auto"/>
        <w:ind w:left="1980" w:hanging="1627"/>
        <w:jc w:val="left"/>
        <w:rPr>
          <w:lang w:val="fr-CA"/>
        </w:rPr>
      </w:pPr>
    </w:p>
    <w:p w14:paraId="5E6759C7" w14:textId="77777777" w:rsidR="00B56F5A" w:rsidRDefault="00B56F5A" w:rsidP="00D03CC0">
      <w:pPr>
        <w:pStyle w:val="Paragraphedeliste"/>
        <w:tabs>
          <w:tab w:val="left" w:pos="900"/>
          <w:tab w:val="left" w:pos="9000"/>
        </w:tabs>
        <w:spacing w:before="240" w:line="240" w:lineRule="auto"/>
        <w:ind w:left="1980" w:hanging="1627"/>
        <w:jc w:val="left"/>
        <w:rPr>
          <w:lang w:val="fr-CA"/>
        </w:rPr>
      </w:pPr>
      <w:r>
        <w:rPr>
          <w:lang w:val="fr-CA"/>
        </w:rPr>
        <w:tab/>
        <w:t>Point 2</w:t>
      </w:r>
      <w:r>
        <w:rPr>
          <w:lang w:val="fr-CA"/>
        </w:rPr>
        <w:tab/>
        <w:t>Questions d’organisation</w:t>
      </w:r>
      <w:r>
        <w:rPr>
          <w:lang w:val="fr-CA"/>
        </w:rPr>
        <w:tab/>
        <w:t>53</w:t>
      </w:r>
    </w:p>
    <w:p w14:paraId="2424CDCF" w14:textId="77777777" w:rsidR="00B56F5A" w:rsidRDefault="00B56F5A" w:rsidP="00D03CC0">
      <w:pPr>
        <w:pStyle w:val="Paragraphedeliste"/>
        <w:tabs>
          <w:tab w:val="left" w:pos="900"/>
          <w:tab w:val="left" w:pos="9000"/>
        </w:tabs>
        <w:spacing w:before="240" w:line="240" w:lineRule="auto"/>
        <w:ind w:left="1980" w:hanging="1627"/>
        <w:jc w:val="left"/>
        <w:rPr>
          <w:lang w:val="fr-CA"/>
        </w:rPr>
      </w:pPr>
    </w:p>
    <w:p w14:paraId="52A488C5" w14:textId="0317469D" w:rsidR="00B56F5A" w:rsidRDefault="00B56F5A" w:rsidP="00D03CC0">
      <w:pPr>
        <w:pStyle w:val="Paragraphedeliste"/>
        <w:tabs>
          <w:tab w:val="left" w:pos="900"/>
          <w:tab w:val="left" w:pos="9000"/>
        </w:tabs>
        <w:spacing w:before="240" w:line="240" w:lineRule="auto"/>
        <w:ind w:left="1980" w:hanging="1627"/>
        <w:jc w:val="left"/>
        <w:rPr>
          <w:lang w:val="fr-CA"/>
        </w:rPr>
      </w:pPr>
      <w:r>
        <w:rPr>
          <w:lang w:val="fr-CA"/>
        </w:rPr>
        <w:tab/>
        <w:t>Point 3</w:t>
      </w:r>
      <w:r>
        <w:rPr>
          <w:lang w:val="fr-CA"/>
        </w:rPr>
        <w:tab/>
        <w:t>Rapport sur la vérification des pouvoirs des représentants à la</w:t>
      </w:r>
      <w:r w:rsidR="00AD437E">
        <w:rPr>
          <w:lang w:val="fr-CA"/>
        </w:rPr>
        <w:tab/>
        <w:t>56</w:t>
      </w:r>
      <w:r>
        <w:rPr>
          <w:lang w:val="fr-CA"/>
        </w:rPr>
        <w:br/>
        <w:t>troisième réunion de la Conférence des Parties siégeant en tant</w:t>
      </w:r>
      <w:r>
        <w:rPr>
          <w:lang w:val="fr-CA"/>
        </w:rPr>
        <w:br/>
        <w:t>que réunion des Parties au Protocole de Nagoya</w:t>
      </w:r>
      <w:r>
        <w:rPr>
          <w:lang w:val="fr-CA"/>
        </w:rPr>
        <w:tab/>
      </w:r>
    </w:p>
    <w:p w14:paraId="1606BFE8" w14:textId="77777777" w:rsidR="00B56F5A" w:rsidRDefault="00B56F5A" w:rsidP="00D03CC0">
      <w:pPr>
        <w:pStyle w:val="Paragraphedeliste"/>
        <w:tabs>
          <w:tab w:val="left" w:pos="900"/>
          <w:tab w:val="left" w:pos="9000"/>
        </w:tabs>
        <w:spacing w:before="240" w:line="240" w:lineRule="auto"/>
        <w:ind w:left="1980" w:hanging="1627"/>
        <w:jc w:val="left"/>
        <w:rPr>
          <w:lang w:val="fr-CA"/>
        </w:rPr>
      </w:pPr>
    </w:p>
    <w:p w14:paraId="37570E1D" w14:textId="77777777" w:rsidR="00DA26D7" w:rsidRDefault="00B56F5A" w:rsidP="00D03CC0">
      <w:pPr>
        <w:pStyle w:val="Paragraphedeliste"/>
        <w:tabs>
          <w:tab w:val="left" w:pos="900"/>
          <w:tab w:val="left" w:pos="9000"/>
        </w:tabs>
        <w:spacing w:before="240" w:line="240" w:lineRule="auto"/>
        <w:ind w:left="1980" w:hanging="1627"/>
        <w:jc w:val="left"/>
        <w:rPr>
          <w:lang w:val="fr-CA"/>
        </w:rPr>
      </w:pPr>
      <w:r>
        <w:rPr>
          <w:lang w:val="fr-CA"/>
        </w:rPr>
        <w:tab/>
        <w:t>Point 4</w:t>
      </w:r>
      <w:r>
        <w:rPr>
          <w:lang w:val="fr-CA"/>
        </w:rPr>
        <w:tab/>
        <w:t>Rapports des organes subsidiaires</w:t>
      </w:r>
      <w:r>
        <w:rPr>
          <w:lang w:val="fr-CA"/>
        </w:rPr>
        <w:tab/>
      </w:r>
      <w:r w:rsidR="00DA26D7">
        <w:rPr>
          <w:lang w:val="fr-CA"/>
        </w:rPr>
        <w:t>57</w:t>
      </w:r>
    </w:p>
    <w:p w14:paraId="25E13A4B" w14:textId="77777777" w:rsidR="00DA26D7" w:rsidRDefault="00DA26D7" w:rsidP="00D03CC0">
      <w:pPr>
        <w:pStyle w:val="Paragraphedeliste"/>
        <w:tabs>
          <w:tab w:val="left" w:pos="900"/>
          <w:tab w:val="left" w:pos="9000"/>
        </w:tabs>
        <w:spacing w:before="240" w:line="240" w:lineRule="auto"/>
        <w:ind w:left="1980" w:hanging="1627"/>
        <w:jc w:val="left"/>
        <w:rPr>
          <w:lang w:val="fr-CA"/>
        </w:rPr>
      </w:pPr>
    </w:p>
    <w:p w14:paraId="07865967" w14:textId="77777777" w:rsidR="00DA26D7" w:rsidRDefault="00DA26D7" w:rsidP="00D03CC0">
      <w:pPr>
        <w:pStyle w:val="Paragraphedeliste"/>
        <w:tabs>
          <w:tab w:val="left" w:pos="900"/>
          <w:tab w:val="left" w:pos="9000"/>
        </w:tabs>
        <w:spacing w:before="240" w:line="240" w:lineRule="auto"/>
        <w:ind w:left="1980" w:hanging="1627"/>
        <w:jc w:val="left"/>
        <w:rPr>
          <w:lang w:val="fr-CA"/>
        </w:rPr>
      </w:pPr>
      <w:r>
        <w:rPr>
          <w:lang w:val="fr-CA"/>
        </w:rPr>
        <w:tab/>
        <w:t>Point 5</w:t>
      </w:r>
      <w:r>
        <w:rPr>
          <w:lang w:val="fr-CA"/>
        </w:rPr>
        <w:tab/>
        <w:t>Rapport du Comité de conformité (article 30)</w:t>
      </w:r>
      <w:r>
        <w:rPr>
          <w:lang w:val="fr-CA"/>
        </w:rPr>
        <w:tab/>
        <w:t>57</w:t>
      </w:r>
    </w:p>
    <w:p w14:paraId="205F60F8" w14:textId="77777777" w:rsidR="00DA26D7" w:rsidRDefault="00DA26D7" w:rsidP="00D03CC0">
      <w:pPr>
        <w:pStyle w:val="Paragraphedeliste"/>
        <w:tabs>
          <w:tab w:val="left" w:pos="900"/>
          <w:tab w:val="left" w:pos="9000"/>
        </w:tabs>
        <w:spacing w:before="240" w:line="240" w:lineRule="auto"/>
        <w:ind w:left="1980" w:hanging="1627"/>
        <w:jc w:val="left"/>
        <w:rPr>
          <w:lang w:val="fr-CA"/>
        </w:rPr>
      </w:pPr>
    </w:p>
    <w:p w14:paraId="5086D84C" w14:textId="30B4BA04" w:rsidR="00DA26D7" w:rsidRDefault="00DA26D7" w:rsidP="00D03CC0">
      <w:pPr>
        <w:pStyle w:val="Paragraphedeliste"/>
        <w:tabs>
          <w:tab w:val="left" w:pos="900"/>
          <w:tab w:val="left" w:pos="9000"/>
        </w:tabs>
        <w:spacing w:before="240" w:line="240" w:lineRule="auto"/>
        <w:ind w:left="1980" w:hanging="1627"/>
        <w:jc w:val="left"/>
        <w:rPr>
          <w:lang w:val="fr-CA"/>
        </w:rPr>
      </w:pPr>
      <w:r>
        <w:rPr>
          <w:lang w:val="fr-CA"/>
        </w:rPr>
        <w:tab/>
        <w:t>Point 6</w:t>
      </w:r>
      <w:r>
        <w:rPr>
          <w:lang w:val="fr-CA"/>
        </w:rPr>
        <w:tab/>
        <w:t>Administration du Protocole et budget pour les fonds d’affectation</w:t>
      </w:r>
      <w:r w:rsidR="00AD437E">
        <w:rPr>
          <w:lang w:val="fr-CA"/>
        </w:rPr>
        <w:tab/>
        <w:t>58</w:t>
      </w:r>
      <w:r>
        <w:rPr>
          <w:lang w:val="fr-CA"/>
        </w:rPr>
        <w:br/>
        <w:t>spéciale</w:t>
      </w:r>
      <w:r>
        <w:rPr>
          <w:lang w:val="fr-CA"/>
        </w:rPr>
        <w:tab/>
      </w:r>
    </w:p>
    <w:p w14:paraId="79EA7E9D" w14:textId="77777777" w:rsidR="00DA26D7" w:rsidRDefault="00DA26D7" w:rsidP="00D03CC0">
      <w:pPr>
        <w:pStyle w:val="Paragraphedeliste"/>
        <w:tabs>
          <w:tab w:val="left" w:pos="900"/>
          <w:tab w:val="left" w:pos="9000"/>
        </w:tabs>
        <w:spacing w:before="240" w:line="240" w:lineRule="auto"/>
        <w:ind w:left="1980" w:hanging="1627"/>
        <w:jc w:val="left"/>
        <w:rPr>
          <w:lang w:val="fr-CA"/>
        </w:rPr>
      </w:pPr>
    </w:p>
    <w:p w14:paraId="6B339F8F" w14:textId="77777777" w:rsidR="00DA26D7" w:rsidRDefault="00DA26D7" w:rsidP="00D03CC0">
      <w:pPr>
        <w:pStyle w:val="Paragraphedeliste"/>
        <w:tabs>
          <w:tab w:val="left" w:pos="900"/>
          <w:tab w:val="left" w:pos="9000"/>
        </w:tabs>
        <w:spacing w:before="240" w:line="240" w:lineRule="auto"/>
        <w:ind w:left="1980" w:hanging="1627"/>
        <w:jc w:val="left"/>
        <w:rPr>
          <w:lang w:val="fr-CA"/>
        </w:rPr>
      </w:pPr>
      <w:r>
        <w:rPr>
          <w:lang w:val="fr-CA"/>
        </w:rPr>
        <w:tab/>
        <w:t>Point 7</w:t>
      </w:r>
      <w:r>
        <w:rPr>
          <w:lang w:val="fr-CA"/>
        </w:rPr>
        <w:tab/>
        <w:t>Évaluation et examen de l’efficacité du Protocole (article 31)</w:t>
      </w:r>
      <w:r>
        <w:rPr>
          <w:lang w:val="fr-CA"/>
        </w:rPr>
        <w:tab/>
        <w:t>59</w:t>
      </w:r>
    </w:p>
    <w:p w14:paraId="7BD936A7" w14:textId="77777777" w:rsidR="00DA26D7" w:rsidRDefault="00DA26D7" w:rsidP="00D03CC0">
      <w:pPr>
        <w:pStyle w:val="Paragraphedeliste"/>
        <w:tabs>
          <w:tab w:val="left" w:pos="900"/>
          <w:tab w:val="left" w:pos="9000"/>
        </w:tabs>
        <w:spacing w:before="240" w:line="240" w:lineRule="auto"/>
        <w:ind w:left="1980" w:hanging="1627"/>
        <w:jc w:val="left"/>
        <w:rPr>
          <w:lang w:val="fr-CA"/>
        </w:rPr>
      </w:pPr>
    </w:p>
    <w:p w14:paraId="59D1E48F" w14:textId="77777777" w:rsidR="00DA26D7" w:rsidRDefault="00DA26D7" w:rsidP="00D03CC0">
      <w:pPr>
        <w:pStyle w:val="Paragraphedeliste"/>
        <w:tabs>
          <w:tab w:val="left" w:pos="900"/>
          <w:tab w:val="left" w:pos="9000"/>
        </w:tabs>
        <w:spacing w:before="240" w:line="240" w:lineRule="auto"/>
        <w:ind w:left="1980" w:hanging="1627"/>
        <w:jc w:val="left"/>
        <w:rPr>
          <w:lang w:val="fr-CA"/>
        </w:rPr>
      </w:pPr>
      <w:r>
        <w:rPr>
          <w:lang w:val="fr-CA"/>
        </w:rPr>
        <w:tab/>
        <w:t>Point 8</w:t>
      </w:r>
      <w:r>
        <w:rPr>
          <w:lang w:val="fr-CA"/>
        </w:rPr>
        <w:tab/>
        <w:t>Mécanisme de financement et ressources financières (article 25)</w:t>
      </w:r>
      <w:r>
        <w:rPr>
          <w:lang w:val="fr-CA"/>
        </w:rPr>
        <w:tab/>
        <w:t>59</w:t>
      </w:r>
    </w:p>
    <w:p w14:paraId="26A48AE6" w14:textId="77777777" w:rsidR="00DA26D7" w:rsidRDefault="00DA26D7" w:rsidP="00D03CC0">
      <w:pPr>
        <w:pStyle w:val="Paragraphedeliste"/>
        <w:tabs>
          <w:tab w:val="left" w:pos="900"/>
          <w:tab w:val="left" w:pos="9000"/>
        </w:tabs>
        <w:spacing w:before="240" w:line="240" w:lineRule="auto"/>
        <w:ind w:left="1980" w:hanging="1627"/>
        <w:jc w:val="left"/>
        <w:rPr>
          <w:lang w:val="fr-CA"/>
        </w:rPr>
      </w:pPr>
    </w:p>
    <w:p w14:paraId="0C799226" w14:textId="47273B5A" w:rsidR="00DA26D7" w:rsidRDefault="00DA26D7" w:rsidP="00D03CC0">
      <w:pPr>
        <w:pStyle w:val="Paragraphedeliste"/>
        <w:tabs>
          <w:tab w:val="left" w:pos="900"/>
          <w:tab w:val="left" w:pos="9000"/>
        </w:tabs>
        <w:spacing w:before="240" w:line="240" w:lineRule="auto"/>
        <w:ind w:left="1980" w:hanging="1627"/>
        <w:jc w:val="left"/>
        <w:rPr>
          <w:lang w:val="fr-CA"/>
        </w:rPr>
      </w:pPr>
      <w:r>
        <w:rPr>
          <w:lang w:val="fr-CA"/>
        </w:rPr>
        <w:tab/>
        <w:t>Point 9</w:t>
      </w:r>
      <w:r>
        <w:rPr>
          <w:lang w:val="fr-CA"/>
        </w:rPr>
        <w:tab/>
        <w:t>Mesures d’aide à la création et au renforcement des capacités</w:t>
      </w:r>
      <w:r w:rsidR="00AD437E">
        <w:rPr>
          <w:lang w:val="fr-CA"/>
        </w:rPr>
        <w:tab/>
        <w:t>60</w:t>
      </w:r>
      <w:r>
        <w:rPr>
          <w:lang w:val="fr-CA"/>
        </w:rPr>
        <w:br/>
        <w:t>(article 22)</w:t>
      </w:r>
      <w:r>
        <w:rPr>
          <w:lang w:val="fr-CA"/>
        </w:rPr>
        <w:tab/>
      </w:r>
    </w:p>
    <w:p w14:paraId="26696A2D" w14:textId="77777777" w:rsidR="00DA26D7" w:rsidRDefault="00DA26D7" w:rsidP="00D03CC0">
      <w:pPr>
        <w:pStyle w:val="Paragraphedeliste"/>
        <w:tabs>
          <w:tab w:val="left" w:pos="900"/>
          <w:tab w:val="left" w:pos="9000"/>
        </w:tabs>
        <w:spacing w:before="240" w:line="240" w:lineRule="auto"/>
        <w:ind w:left="1980" w:hanging="1627"/>
        <w:jc w:val="left"/>
        <w:rPr>
          <w:lang w:val="fr-CA"/>
        </w:rPr>
      </w:pPr>
    </w:p>
    <w:p w14:paraId="02D8F704" w14:textId="71E33B5A" w:rsidR="00DA26D7" w:rsidRDefault="00B56F5A" w:rsidP="00D03CC0">
      <w:pPr>
        <w:pStyle w:val="Paragraphedeliste"/>
        <w:tabs>
          <w:tab w:val="left" w:pos="900"/>
          <w:tab w:val="left" w:pos="9000"/>
        </w:tabs>
        <w:spacing w:before="240" w:line="240" w:lineRule="auto"/>
        <w:ind w:left="1980" w:hanging="1627"/>
        <w:jc w:val="left"/>
        <w:rPr>
          <w:lang w:val="fr-CA"/>
        </w:rPr>
      </w:pPr>
      <w:r>
        <w:rPr>
          <w:lang w:val="fr-CA"/>
        </w:rPr>
        <w:tab/>
      </w:r>
      <w:r w:rsidR="00DA26D7">
        <w:rPr>
          <w:lang w:val="fr-CA"/>
        </w:rPr>
        <w:t>Point 10</w:t>
      </w:r>
      <w:r w:rsidR="00DA26D7">
        <w:rPr>
          <w:lang w:val="fr-CA"/>
        </w:rPr>
        <w:tab/>
        <w:t>Le Centre d’échange sur l’accès et le partage des avantages,</w:t>
      </w:r>
      <w:r w:rsidR="00AD437E">
        <w:rPr>
          <w:lang w:val="fr-CA"/>
        </w:rPr>
        <w:tab/>
        <w:t>61</w:t>
      </w:r>
      <w:r w:rsidR="00DA26D7">
        <w:rPr>
          <w:lang w:val="fr-CA"/>
        </w:rPr>
        <w:br/>
        <w:t>et l’échange d’informations (article 14)</w:t>
      </w:r>
      <w:r w:rsidR="00DA26D7">
        <w:rPr>
          <w:lang w:val="fr-CA"/>
        </w:rPr>
        <w:tab/>
      </w:r>
    </w:p>
    <w:p w14:paraId="1CE23D0D" w14:textId="77777777" w:rsidR="00DA26D7" w:rsidRDefault="00DA26D7" w:rsidP="00D03CC0">
      <w:pPr>
        <w:pStyle w:val="Paragraphedeliste"/>
        <w:tabs>
          <w:tab w:val="left" w:pos="900"/>
          <w:tab w:val="left" w:pos="9000"/>
        </w:tabs>
        <w:spacing w:before="240" w:line="240" w:lineRule="auto"/>
        <w:ind w:left="1980" w:hanging="1627"/>
        <w:jc w:val="left"/>
        <w:rPr>
          <w:lang w:val="fr-CA"/>
        </w:rPr>
      </w:pPr>
    </w:p>
    <w:p w14:paraId="508BF963" w14:textId="77777777" w:rsidR="00DD4C4E" w:rsidRDefault="00DA26D7" w:rsidP="00DA26D7">
      <w:pPr>
        <w:pStyle w:val="Paragraphedeliste"/>
        <w:tabs>
          <w:tab w:val="left" w:pos="900"/>
          <w:tab w:val="left" w:pos="9000"/>
        </w:tabs>
        <w:spacing w:before="240" w:line="240" w:lineRule="auto"/>
        <w:ind w:left="1980" w:hanging="1627"/>
        <w:jc w:val="left"/>
        <w:rPr>
          <w:lang w:val="fr-CA"/>
        </w:rPr>
      </w:pPr>
      <w:r>
        <w:rPr>
          <w:lang w:val="fr-CA"/>
        </w:rPr>
        <w:tab/>
        <w:t>Point 11</w:t>
      </w:r>
      <w:r>
        <w:rPr>
          <w:lang w:val="fr-CA"/>
        </w:rPr>
        <w:tab/>
      </w:r>
      <w:r w:rsidR="00DD4C4E">
        <w:rPr>
          <w:lang w:val="fr-CA"/>
        </w:rPr>
        <w:t>Suivi et établissement de rapports (article 29)</w:t>
      </w:r>
      <w:r w:rsidR="00DD4C4E">
        <w:rPr>
          <w:lang w:val="fr-CA"/>
        </w:rPr>
        <w:tab/>
        <w:t>61</w:t>
      </w:r>
    </w:p>
    <w:p w14:paraId="6D823266" w14:textId="77777777" w:rsidR="00DD4C4E" w:rsidRDefault="00DD4C4E" w:rsidP="00DA26D7">
      <w:pPr>
        <w:pStyle w:val="Paragraphedeliste"/>
        <w:tabs>
          <w:tab w:val="left" w:pos="900"/>
          <w:tab w:val="left" w:pos="9000"/>
        </w:tabs>
        <w:spacing w:before="240" w:line="240" w:lineRule="auto"/>
        <w:ind w:left="1980" w:hanging="1627"/>
        <w:jc w:val="left"/>
        <w:rPr>
          <w:lang w:val="fr-CA"/>
        </w:rPr>
      </w:pPr>
    </w:p>
    <w:p w14:paraId="4FA6B089" w14:textId="731519E4" w:rsidR="00DD4C4E" w:rsidRDefault="00DD4C4E" w:rsidP="00DA26D7">
      <w:pPr>
        <w:pStyle w:val="Paragraphedeliste"/>
        <w:tabs>
          <w:tab w:val="left" w:pos="900"/>
          <w:tab w:val="left" w:pos="9000"/>
        </w:tabs>
        <w:spacing w:before="240" w:line="240" w:lineRule="auto"/>
        <w:ind w:left="1980" w:hanging="1627"/>
        <w:jc w:val="left"/>
        <w:rPr>
          <w:lang w:val="fr-CA"/>
        </w:rPr>
      </w:pPr>
      <w:r>
        <w:rPr>
          <w:lang w:val="fr-CA"/>
        </w:rPr>
        <w:tab/>
        <w:t>Point 12</w:t>
      </w:r>
      <w:r>
        <w:rPr>
          <w:lang w:val="fr-CA"/>
        </w:rPr>
        <w:tab/>
        <w:t>Mesures prises pour sensibiliser le public à l’importance des ressources</w:t>
      </w:r>
      <w:r w:rsidR="00AD437E">
        <w:rPr>
          <w:lang w:val="fr-CA"/>
        </w:rPr>
        <w:tab/>
        <w:t>62</w:t>
      </w:r>
      <w:r>
        <w:rPr>
          <w:lang w:val="fr-CA"/>
        </w:rPr>
        <w:br/>
        <w:t>génétiques et des connaissances traditionnelles associées (article 21)</w:t>
      </w:r>
      <w:r>
        <w:rPr>
          <w:lang w:val="fr-CA"/>
        </w:rPr>
        <w:tab/>
      </w:r>
    </w:p>
    <w:p w14:paraId="576E9D54" w14:textId="77777777" w:rsidR="00DD4C4E" w:rsidRDefault="00DD4C4E" w:rsidP="00DA26D7">
      <w:pPr>
        <w:pStyle w:val="Paragraphedeliste"/>
        <w:tabs>
          <w:tab w:val="left" w:pos="900"/>
          <w:tab w:val="left" w:pos="9000"/>
        </w:tabs>
        <w:spacing w:before="240" w:line="240" w:lineRule="auto"/>
        <w:ind w:left="1980" w:hanging="1627"/>
        <w:jc w:val="left"/>
        <w:rPr>
          <w:lang w:val="fr-CA"/>
        </w:rPr>
      </w:pPr>
    </w:p>
    <w:p w14:paraId="065B791E" w14:textId="414C03CD" w:rsidR="00DD4C4E" w:rsidRDefault="00DD4C4E" w:rsidP="00DA26D7">
      <w:pPr>
        <w:pStyle w:val="Paragraphedeliste"/>
        <w:tabs>
          <w:tab w:val="left" w:pos="900"/>
          <w:tab w:val="left" w:pos="9000"/>
        </w:tabs>
        <w:spacing w:before="240" w:line="240" w:lineRule="auto"/>
        <w:ind w:left="1980" w:hanging="1627"/>
        <w:jc w:val="left"/>
        <w:rPr>
          <w:lang w:val="fr-CA"/>
        </w:rPr>
      </w:pPr>
      <w:r>
        <w:rPr>
          <w:lang w:val="fr-CA"/>
        </w:rPr>
        <w:tab/>
        <w:t>Point 13</w:t>
      </w:r>
      <w:r>
        <w:rPr>
          <w:lang w:val="fr-CA"/>
        </w:rPr>
        <w:tab/>
        <w:t>Accroissement de l’intégration au titre de la Convention et de ses</w:t>
      </w:r>
      <w:r w:rsidR="00AD437E">
        <w:rPr>
          <w:lang w:val="fr-CA"/>
        </w:rPr>
        <w:tab/>
        <w:t>63</w:t>
      </w:r>
      <w:r>
        <w:rPr>
          <w:lang w:val="fr-CA"/>
        </w:rPr>
        <w:br/>
        <w:t>protocoles concernant les dispositions relatives à l’accès et au</w:t>
      </w:r>
      <w:r>
        <w:rPr>
          <w:lang w:val="fr-CA"/>
        </w:rPr>
        <w:br/>
        <w:t>partage des avantages</w:t>
      </w:r>
      <w:r>
        <w:rPr>
          <w:lang w:val="fr-CA"/>
        </w:rPr>
        <w:tab/>
      </w:r>
    </w:p>
    <w:p w14:paraId="4AFE9EC5" w14:textId="77777777" w:rsidR="00DD4C4E" w:rsidRDefault="00DD4C4E" w:rsidP="00DA26D7">
      <w:pPr>
        <w:pStyle w:val="Paragraphedeliste"/>
        <w:tabs>
          <w:tab w:val="left" w:pos="900"/>
          <w:tab w:val="left" w:pos="9000"/>
        </w:tabs>
        <w:spacing w:before="240" w:line="240" w:lineRule="auto"/>
        <w:ind w:left="1980" w:hanging="1627"/>
        <w:jc w:val="left"/>
        <w:rPr>
          <w:lang w:val="fr-CA"/>
        </w:rPr>
      </w:pPr>
    </w:p>
    <w:p w14:paraId="5D5C871E" w14:textId="7C603703" w:rsidR="00DD4C4E" w:rsidRDefault="00DD4C4E" w:rsidP="00DA26D7">
      <w:pPr>
        <w:pStyle w:val="Paragraphedeliste"/>
        <w:tabs>
          <w:tab w:val="left" w:pos="900"/>
          <w:tab w:val="left" w:pos="9000"/>
        </w:tabs>
        <w:spacing w:before="240" w:line="240" w:lineRule="auto"/>
        <w:ind w:left="1980" w:hanging="1627"/>
        <w:jc w:val="left"/>
        <w:rPr>
          <w:lang w:val="fr-CA"/>
        </w:rPr>
      </w:pPr>
      <w:r>
        <w:rPr>
          <w:lang w:val="fr-CA"/>
        </w:rPr>
        <w:tab/>
        <w:t>Point 14</w:t>
      </w:r>
      <w:r>
        <w:rPr>
          <w:lang w:val="fr-CA"/>
        </w:rPr>
        <w:tab/>
        <w:t>Coopération avec d’autr</w:t>
      </w:r>
      <w:r w:rsidR="00AD437E">
        <w:rPr>
          <w:lang w:val="fr-CA"/>
        </w:rPr>
        <w:t>es organisations, conventions et</w:t>
      </w:r>
      <w:r w:rsidR="00AD437E">
        <w:rPr>
          <w:lang w:val="fr-CA"/>
        </w:rPr>
        <w:tab/>
        <w:t>63</w:t>
      </w:r>
      <w:r w:rsidR="00AD437E">
        <w:rPr>
          <w:lang w:val="fr-CA"/>
        </w:rPr>
        <w:br/>
        <w:t>i</w:t>
      </w:r>
      <w:r>
        <w:rPr>
          <w:lang w:val="fr-CA"/>
        </w:rPr>
        <w:t>nitiatives internationales</w:t>
      </w:r>
      <w:r>
        <w:rPr>
          <w:lang w:val="fr-CA"/>
        </w:rPr>
        <w:tab/>
      </w:r>
    </w:p>
    <w:p w14:paraId="5C947BC6" w14:textId="77777777" w:rsidR="00DD4C4E" w:rsidRDefault="00DD4C4E" w:rsidP="00DA26D7">
      <w:pPr>
        <w:pStyle w:val="Paragraphedeliste"/>
        <w:tabs>
          <w:tab w:val="left" w:pos="900"/>
          <w:tab w:val="left" w:pos="9000"/>
        </w:tabs>
        <w:spacing w:before="240" w:line="240" w:lineRule="auto"/>
        <w:ind w:left="1980" w:hanging="1627"/>
        <w:jc w:val="left"/>
        <w:rPr>
          <w:lang w:val="fr-CA"/>
        </w:rPr>
      </w:pPr>
    </w:p>
    <w:p w14:paraId="53488025" w14:textId="77777777" w:rsidR="00DD4C4E" w:rsidRDefault="00DD4C4E" w:rsidP="00DA26D7">
      <w:pPr>
        <w:pStyle w:val="Paragraphedeliste"/>
        <w:tabs>
          <w:tab w:val="left" w:pos="900"/>
          <w:tab w:val="left" w:pos="9000"/>
        </w:tabs>
        <w:spacing w:before="240" w:line="240" w:lineRule="auto"/>
        <w:ind w:left="1980" w:hanging="1627"/>
        <w:jc w:val="left"/>
        <w:rPr>
          <w:lang w:val="fr-CA"/>
        </w:rPr>
      </w:pPr>
      <w:r>
        <w:rPr>
          <w:lang w:val="fr-CA"/>
        </w:rPr>
        <w:tab/>
        <w:t>Point 15</w:t>
      </w:r>
      <w:r>
        <w:rPr>
          <w:lang w:val="fr-CA"/>
        </w:rPr>
        <w:tab/>
        <w:t>Examen de l’efficacité des structures et processus</w:t>
      </w:r>
      <w:r>
        <w:rPr>
          <w:lang w:val="fr-CA"/>
        </w:rPr>
        <w:tab/>
        <w:t>64</w:t>
      </w:r>
    </w:p>
    <w:p w14:paraId="19BD23F7" w14:textId="77777777" w:rsidR="00DD4C4E" w:rsidRDefault="00DD4C4E" w:rsidP="00DA26D7">
      <w:pPr>
        <w:pStyle w:val="Paragraphedeliste"/>
        <w:tabs>
          <w:tab w:val="left" w:pos="900"/>
          <w:tab w:val="left" w:pos="9000"/>
        </w:tabs>
        <w:spacing w:before="240" w:line="240" w:lineRule="auto"/>
        <w:ind w:left="1980" w:hanging="1627"/>
        <w:jc w:val="left"/>
        <w:rPr>
          <w:lang w:val="fr-CA"/>
        </w:rPr>
      </w:pPr>
    </w:p>
    <w:p w14:paraId="11BC88BA" w14:textId="71A6823A" w:rsidR="008A5DEB" w:rsidRDefault="00DD4C4E" w:rsidP="00DA26D7">
      <w:pPr>
        <w:pStyle w:val="Paragraphedeliste"/>
        <w:tabs>
          <w:tab w:val="left" w:pos="900"/>
          <w:tab w:val="left" w:pos="9000"/>
        </w:tabs>
        <w:spacing w:before="240" w:line="240" w:lineRule="auto"/>
        <w:ind w:left="1980" w:hanging="1627"/>
        <w:jc w:val="left"/>
        <w:rPr>
          <w:lang w:val="fr-CA"/>
        </w:rPr>
      </w:pPr>
      <w:r>
        <w:rPr>
          <w:lang w:val="fr-CA"/>
        </w:rPr>
        <w:tab/>
        <w:t>Point 16</w:t>
      </w:r>
      <w:r>
        <w:rPr>
          <w:lang w:val="fr-CA"/>
        </w:rPr>
        <w:tab/>
        <w:t xml:space="preserve">Préparation du suivi du Plan stratégique </w:t>
      </w:r>
      <w:r w:rsidR="008A5DEB">
        <w:rPr>
          <w:lang w:val="fr-CA"/>
        </w:rPr>
        <w:t xml:space="preserve">pour la diversité </w:t>
      </w:r>
      <w:r w:rsidR="00AD437E">
        <w:rPr>
          <w:lang w:val="fr-CA"/>
        </w:rPr>
        <w:tab/>
        <w:t>65</w:t>
      </w:r>
      <w:r w:rsidR="008A5DEB">
        <w:rPr>
          <w:lang w:val="fr-CA"/>
        </w:rPr>
        <w:br/>
        <w:t>biologique 2011-2020</w:t>
      </w:r>
      <w:r w:rsidR="008A5DEB">
        <w:rPr>
          <w:lang w:val="fr-CA"/>
        </w:rPr>
        <w:tab/>
      </w:r>
    </w:p>
    <w:p w14:paraId="13E48ED8" w14:textId="77777777" w:rsidR="008A5DEB" w:rsidRDefault="008A5DEB" w:rsidP="00DA26D7">
      <w:pPr>
        <w:pStyle w:val="Paragraphedeliste"/>
        <w:tabs>
          <w:tab w:val="left" w:pos="900"/>
          <w:tab w:val="left" w:pos="9000"/>
        </w:tabs>
        <w:spacing w:before="240" w:line="240" w:lineRule="auto"/>
        <w:ind w:left="1980" w:hanging="1627"/>
        <w:jc w:val="left"/>
        <w:rPr>
          <w:lang w:val="fr-CA"/>
        </w:rPr>
      </w:pPr>
    </w:p>
    <w:p w14:paraId="1EAEDF96" w14:textId="09804BB1" w:rsidR="008A5DEB" w:rsidRDefault="008A5DEB" w:rsidP="00DA26D7">
      <w:pPr>
        <w:pStyle w:val="Paragraphedeliste"/>
        <w:tabs>
          <w:tab w:val="left" w:pos="900"/>
          <w:tab w:val="left" w:pos="9000"/>
        </w:tabs>
        <w:spacing w:before="240" w:line="240" w:lineRule="auto"/>
        <w:ind w:left="1980" w:hanging="1627"/>
        <w:jc w:val="left"/>
        <w:rPr>
          <w:lang w:val="fr-CA"/>
        </w:rPr>
      </w:pPr>
      <w:r>
        <w:rPr>
          <w:lang w:val="fr-CA"/>
        </w:rPr>
        <w:tab/>
        <w:t>Point 17</w:t>
      </w:r>
      <w:r>
        <w:rPr>
          <w:lang w:val="fr-CA"/>
        </w:rPr>
        <w:tab/>
        <w:t>Information de séquençage numérique sur les ressources génétiques</w:t>
      </w:r>
      <w:r>
        <w:rPr>
          <w:lang w:val="fr-CA"/>
        </w:rPr>
        <w:tab/>
        <w:t>66</w:t>
      </w:r>
      <w:r w:rsidR="00864A1D">
        <w:rPr>
          <w:lang w:val="fr-CA"/>
        </w:rPr>
        <w:br/>
      </w:r>
    </w:p>
    <w:p w14:paraId="19E46CB7" w14:textId="77777777" w:rsidR="008A5DEB" w:rsidRDefault="008A5DEB">
      <w:pPr>
        <w:jc w:val="left"/>
        <w:rPr>
          <w:lang w:val="fr-CA"/>
        </w:rPr>
      </w:pPr>
      <w:r>
        <w:rPr>
          <w:lang w:val="fr-CA"/>
        </w:rPr>
        <w:br w:type="page"/>
      </w:r>
    </w:p>
    <w:p w14:paraId="29AB87D5" w14:textId="77777777" w:rsidR="008A5DEB" w:rsidRDefault="008A5DEB" w:rsidP="00DA26D7">
      <w:pPr>
        <w:pStyle w:val="Paragraphedeliste"/>
        <w:tabs>
          <w:tab w:val="left" w:pos="900"/>
          <w:tab w:val="left" w:pos="9000"/>
        </w:tabs>
        <w:spacing w:before="240" w:line="240" w:lineRule="auto"/>
        <w:ind w:left="1980" w:hanging="1627"/>
        <w:jc w:val="left"/>
        <w:rPr>
          <w:lang w:val="fr-CA"/>
        </w:rPr>
      </w:pPr>
    </w:p>
    <w:p w14:paraId="3486B52B" w14:textId="77777777" w:rsidR="008A5DEB" w:rsidRDefault="008A5DEB" w:rsidP="00DA26D7">
      <w:pPr>
        <w:pStyle w:val="Paragraphedeliste"/>
        <w:tabs>
          <w:tab w:val="left" w:pos="900"/>
          <w:tab w:val="left" w:pos="9000"/>
        </w:tabs>
        <w:spacing w:before="240" w:line="240" w:lineRule="auto"/>
        <w:ind w:left="1980" w:hanging="1627"/>
        <w:jc w:val="left"/>
        <w:rPr>
          <w:lang w:val="fr-CA"/>
        </w:rPr>
      </w:pPr>
    </w:p>
    <w:p w14:paraId="2EE114B4" w14:textId="77777777" w:rsidR="008A5DEB" w:rsidRDefault="008A5DEB" w:rsidP="00DA26D7">
      <w:pPr>
        <w:pStyle w:val="Paragraphedeliste"/>
        <w:tabs>
          <w:tab w:val="left" w:pos="900"/>
          <w:tab w:val="left" w:pos="9000"/>
        </w:tabs>
        <w:spacing w:before="240" w:line="240" w:lineRule="auto"/>
        <w:ind w:left="1980" w:hanging="1627"/>
        <w:jc w:val="left"/>
        <w:rPr>
          <w:lang w:val="fr-CA"/>
        </w:rPr>
      </w:pPr>
    </w:p>
    <w:p w14:paraId="3C7A014D" w14:textId="451FFC59" w:rsidR="008A5DEB" w:rsidRDefault="008A5DEB" w:rsidP="00DA26D7">
      <w:pPr>
        <w:pStyle w:val="Paragraphedeliste"/>
        <w:tabs>
          <w:tab w:val="left" w:pos="900"/>
          <w:tab w:val="left" w:pos="9000"/>
        </w:tabs>
        <w:spacing w:before="240" w:line="240" w:lineRule="auto"/>
        <w:ind w:left="1980" w:hanging="1627"/>
        <w:jc w:val="left"/>
        <w:rPr>
          <w:lang w:val="fr-CA"/>
        </w:rPr>
      </w:pPr>
      <w:r>
        <w:rPr>
          <w:lang w:val="fr-CA"/>
        </w:rPr>
        <w:tab/>
        <w:t>Point 18</w:t>
      </w:r>
      <w:r>
        <w:rPr>
          <w:lang w:val="fr-CA"/>
        </w:rPr>
        <w:tab/>
        <w:t>Instruments internationaux spécialisés en matière d’accès et de</w:t>
      </w:r>
      <w:r w:rsidR="00AD437E">
        <w:rPr>
          <w:lang w:val="fr-CA"/>
        </w:rPr>
        <w:tab/>
        <w:t>67</w:t>
      </w:r>
      <w:r>
        <w:rPr>
          <w:lang w:val="fr-CA"/>
        </w:rPr>
        <w:br/>
        <w:t>partage des avantages dans le contexte de l’article 4, paragraphe 4</w:t>
      </w:r>
      <w:r>
        <w:rPr>
          <w:lang w:val="fr-CA"/>
        </w:rPr>
        <w:br/>
        <w:t>du Protocole de Nagoya</w:t>
      </w:r>
      <w:r>
        <w:rPr>
          <w:lang w:val="fr-CA"/>
        </w:rPr>
        <w:tab/>
      </w:r>
    </w:p>
    <w:p w14:paraId="5F615BCF" w14:textId="77777777" w:rsidR="008A5DEB" w:rsidRDefault="008A5DEB" w:rsidP="00DA26D7">
      <w:pPr>
        <w:pStyle w:val="Paragraphedeliste"/>
        <w:tabs>
          <w:tab w:val="left" w:pos="900"/>
          <w:tab w:val="left" w:pos="9000"/>
        </w:tabs>
        <w:spacing w:before="240" w:line="240" w:lineRule="auto"/>
        <w:ind w:left="1980" w:hanging="1627"/>
        <w:jc w:val="left"/>
        <w:rPr>
          <w:lang w:val="fr-CA"/>
        </w:rPr>
      </w:pPr>
    </w:p>
    <w:p w14:paraId="1D02F86F" w14:textId="77777777" w:rsidR="00C94DDB" w:rsidRDefault="008A5DEB" w:rsidP="00DA26D7">
      <w:pPr>
        <w:pStyle w:val="Paragraphedeliste"/>
        <w:tabs>
          <w:tab w:val="left" w:pos="900"/>
          <w:tab w:val="left" w:pos="9000"/>
        </w:tabs>
        <w:spacing w:before="240" w:line="240" w:lineRule="auto"/>
        <w:ind w:left="1980" w:hanging="1627"/>
        <w:jc w:val="left"/>
        <w:rPr>
          <w:lang w:val="fr-CA"/>
        </w:rPr>
      </w:pPr>
      <w:r>
        <w:rPr>
          <w:lang w:val="fr-CA"/>
        </w:rPr>
        <w:tab/>
        <w:t>Point 19</w:t>
      </w:r>
      <w:r>
        <w:rPr>
          <w:lang w:val="fr-CA"/>
        </w:rPr>
        <w:tab/>
        <w:t>Mécanisme multilatéral mondial de partage des avantages (article 10)</w:t>
      </w:r>
      <w:r>
        <w:rPr>
          <w:lang w:val="fr-CA"/>
        </w:rPr>
        <w:tab/>
      </w:r>
      <w:r w:rsidR="00C94DDB">
        <w:rPr>
          <w:lang w:val="fr-CA"/>
        </w:rPr>
        <w:t>68</w:t>
      </w:r>
    </w:p>
    <w:p w14:paraId="527EC4E2" w14:textId="77777777" w:rsidR="00C94DDB" w:rsidRDefault="00C94DDB" w:rsidP="00DA26D7">
      <w:pPr>
        <w:pStyle w:val="Paragraphedeliste"/>
        <w:tabs>
          <w:tab w:val="left" w:pos="900"/>
          <w:tab w:val="left" w:pos="9000"/>
        </w:tabs>
        <w:spacing w:before="240" w:line="240" w:lineRule="auto"/>
        <w:ind w:left="1980" w:hanging="1627"/>
        <w:jc w:val="left"/>
        <w:rPr>
          <w:lang w:val="fr-CA"/>
        </w:rPr>
      </w:pPr>
    </w:p>
    <w:p w14:paraId="25204FE7" w14:textId="77777777" w:rsidR="00C94DDB" w:rsidRDefault="00C94DDB" w:rsidP="00DA26D7">
      <w:pPr>
        <w:pStyle w:val="Paragraphedeliste"/>
        <w:tabs>
          <w:tab w:val="left" w:pos="900"/>
          <w:tab w:val="left" w:pos="9000"/>
        </w:tabs>
        <w:spacing w:before="240" w:line="240" w:lineRule="auto"/>
        <w:ind w:left="1980" w:hanging="1627"/>
        <w:jc w:val="left"/>
        <w:rPr>
          <w:lang w:val="fr-CA"/>
        </w:rPr>
      </w:pPr>
      <w:r>
        <w:rPr>
          <w:lang w:val="fr-CA"/>
        </w:rPr>
        <w:tab/>
        <w:t>Point 20</w:t>
      </w:r>
      <w:r>
        <w:rPr>
          <w:lang w:val="fr-CA"/>
        </w:rPr>
        <w:tab/>
        <w:t>Questions diverses</w:t>
      </w:r>
      <w:r>
        <w:rPr>
          <w:lang w:val="fr-CA"/>
        </w:rPr>
        <w:tab/>
        <w:t>68</w:t>
      </w:r>
    </w:p>
    <w:p w14:paraId="7436FA86" w14:textId="77777777" w:rsidR="00C94DDB" w:rsidRDefault="00C94DDB" w:rsidP="00DA26D7">
      <w:pPr>
        <w:pStyle w:val="Paragraphedeliste"/>
        <w:tabs>
          <w:tab w:val="left" w:pos="900"/>
          <w:tab w:val="left" w:pos="9000"/>
        </w:tabs>
        <w:spacing w:before="240" w:line="240" w:lineRule="auto"/>
        <w:ind w:left="1980" w:hanging="1627"/>
        <w:jc w:val="left"/>
        <w:rPr>
          <w:lang w:val="fr-CA"/>
        </w:rPr>
      </w:pPr>
    </w:p>
    <w:p w14:paraId="42FC8CB6" w14:textId="77777777" w:rsidR="00C94DDB" w:rsidRDefault="00C94DDB" w:rsidP="00DA26D7">
      <w:pPr>
        <w:pStyle w:val="Paragraphedeliste"/>
        <w:tabs>
          <w:tab w:val="left" w:pos="900"/>
          <w:tab w:val="left" w:pos="9000"/>
        </w:tabs>
        <w:spacing w:before="240" w:line="240" w:lineRule="auto"/>
        <w:ind w:left="1980" w:hanging="1627"/>
        <w:jc w:val="left"/>
        <w:rPr>
          <w:lang w:val="fr-CA"/>
        </w:rPr>
      </w:pPr>
      <w:r>
        <w:rPr>
          <w:lang w:val="fr-CA"/>
        </w:rPr>
        <w:tab/>
        <w:t>Point 21</w:t>
      </w:r>
      <w:r>
        <w:rPr>
          <w:lang w:val="fr-CA"/>
        </w:rPr>
        <w:tab/>
        <w:t>Adoption du rapport</w:t>
      </w:r>
      <w:r>
        <w:rPr>
          <w:lang w:val="fr-CA"/>
        </w:rPr>
        <w:tab/>
        <w:t>69</w:t>
      </w:r>
    </w:p>
    <w:p w14:paraId="6F074086" w14:textId="77777777" w:rsidR="00C94DDB" w:rsidRDefault="00C94DDB" w:rsidP="00DA26D7">
      <w:pPr>
        <w:pStyle w:val="Paragraphedeliste"/>
        <w:tabs>
          <w:tab w:val="left" w:pos="900"/>
          <w:tab w:val="left" w:pos="9000"/>
        </w:tabs>
        <w:spacing w:before="240" w:line="240" w:lineRule="auto"/>
        <w:ind w:left="1980" w:hanging="1627"/>
        <w:jc w:val="left"/>
        <w:rPr>
          <w:lang w:val="fr-CA"/>
        </w:rPr>
      </w:pPr>
    </w:p>
    <w:p w14:paraId="6FFCA52A" w14:textId="77777777" w:rsidR="00C94DDB" w:rsidRDefault="00C94DDB" w:rsidP="00DA26D7">
      <w:pPr>
        <w:pStyle w:val="Paragraphedeliste"/>
        <w:tabs>
          <w:tab w:val="left" w:pos="900"/>
          <w:tab w:val="left" w:pos="9000"/>
        </w:tabs>
        <w:spacing w:before="240" w:line="240" w:lineRule="auto"/>
        <w:ind w:left="1980" w:hanging="1627"/>
        <w:jc w:val="left"/>
        <w:rPr>
          <w:lang w:val="fr-CA"/>
        </w:rPr>
      </w:pPr>
      <w:r>
        <w:rPr>
          <w:lang w:val="fr-CA"/>
        </w:rPr>
        <w:tab/>
        <w:t>Point 22</w:t>
      </w:r>
      <w:r>
        <w:rPr>
          <w:lang w:val="fr-CA"/>
        </w:rPr>
        <w:tab/>
        <w:t>Clôture de la réunion</w:t>
      </w:r>
      <w:r>
        <w:rPr>
          <w:lang w:val="fr-CA"/>
        </w:rPr>
        <w:tab/>
        <w:t>69</w:t>
      </w:r>
    </w:p>
    <w:p w14:paraId="5B88772A" w14:textId="77777777" w:rsidR="00C94DDB" w:rsidRDefault="00C94DDB" w:rsidP="00DA26D7">
      <w:pPr>
        <w:pStyle w:val="Paragraphedeliste"/>
        <w:tabs>
          <w:tab w:val="left" w:pos="900"/>
          <w:tab w:val="left" w:pos="9000"/>
        </w:tabs>
        <w:spacing w:before="240" w:line="240" w:lineRule="auto"/>
        <w:ind w:left="1980" w:hanging="1627"/>
        <w:jc w:val="left"/>
        <w:rPr>
          <w:lang w:val="fr-CA"/>
        </w:rPr>
      </w:pPr>
    </w:p>
    <w:p w14:paraId="1D50621F" w14:textId="77777777" w:rsidR="00C94DDB" w:rsidRDefault="00C94DDB" w:rsidP="00DA26D7">
      <w:pPr>
        <w:pStyle w:val="Paragraphedeliste"/>
        <w:tabs>
          <w:tab w:val="left" w:pos="900"/>
          <w:tab w:val="left" w:pos="9000"/>
        </w:tabs>
        <w:spacing w:before="240" w:line="240" w:lineRule="auto"/>
        <w:ind w:left="1980" w:hanging="1627"/>
        <w:jc w:val="left"/>
        <w:rPr>
          <w:lang w:val="fr-CA"/>
        </w:rPr>
      </w:pPr>
    </w:p>
    <w:p w14:paraId="23F85923" w14:textId="01F6A08E" w:rsidR="000B078F" w:rsidRPr="00C84C5E" w:rsidRDefault="00C94DDB" w:rsidP="00C94DDB">
      <w:pPr>
        <w:pStyle w:val="Paragraphedeliste"/>
        <w:tabs>
          <w:tab w:val="left" w:pos="900"/>
          <w:tab w:val="left" w:pos="9000"/>
        </w:tabs>
        <w:spacing w:before="240" w:line="240" w:lineRule="auto"/>
        <w:ind w:left="1980" w:hanging="1627"/>
        <w:jc w:val="center"/>
        <w:rPr>
          <w:lang w:val="fr-CA"/>
        </w:rPr>
      </w:pPr>
      <w:r>
        <w:rPr>
          <w:lang w:val="fr-CA"/>
        </w:rPr>
        <w:t>______________</w:t>
      </w:r>
    </w:p>
    <w:p w14:paraId="571C41EC" w14:textId="77777777" w:rsidR="00D03CC0" w:rsidRDefault="00D03CC0">
      <w:pPr>
        <w:jc w:val="left"/>
        <w:rPr>
          <w:lang w:val="fr-CA"/>
        </w:rPr>
      </w:pPr>
      <w:r>
        <w:rPr>
          <w:lang w:val="fr-CA"/>
        </w:rPr>
        <w:br w:type="page"/>
      </w:r>
    </w:p>
    <w:p w14:paraId="0E76495A" w14:textId="7C92B3B8" w:rsidR="000B078F" w:rsidRPr="00C84C5E" w:rsidRDefault="000B078F" w:rsidP="000C6220">
      <w:pPr>
        <w:spacing w:line="240" w:lineRule="auto"/>
        <w:jc w:val="left"/>
        <w:rPr>
          <w:lang w:val="fr-CA"/>
        </w:rPr>
      </w:pPr>
    </w:p>
    <w:p w14:paraId="706A55DF" w14:textId="53313A23" w:rsidR="00F729B5" w:rsidRPr="00382307" w:rsidRDefault="00C2631D" w:rsidP="00375D2B">
      <w:pPr>
        <w:pStyle w:val="Heading1report"/>
        <w:spacing w:before="0" w:after="240" w:line="240" w:lineRule="auto"/>
        <w:ind w:left="0" w:firstLine="0"/>
        <w:rPr>
          <w:rFonts w:hint="eastAsia"/>
          <w:lang w:val="fr-CA"/>
        </w:rPr>
      </w:pPr>
      <w:bookmarkStart w:id="1" w:name="_Toc256200"/>
      <w:r w:rsidRPr="00382307">
        <w:rPr>
          <w:lang w:val="fr-CA"/>
        </w:rPr>
        <w:t>DÉ</w:t>
      </w:r>
      <w:r w:rsidR="00F729B5" w:rsidRPr="00382307">
        <w:rPr>
          <w:lang w:val="fr-CA"/>
        </w:rPr>
        <w:t>CISIONS</w:t>
      </w:r>
      <w:bookmarkEnd w:id="1"/>
    </w:p>
    <w:p w14:paraId="60869233" w14:textId="24B2AF6D" w:rsidR="0045416C" w:rsidRPr="00E44242" w:rsidRDefault="00B77ED6" w:rsidP="0045416C">
      <w:pPr>
        <w:pStyle w:val="recommendationheader"/>
        <w:rPr>
          <w:caps/>
          <w:kern w:val="22"/>
          <w:lang w:val="fr-CA"/>
        </w:rPr>
      </w:pPr>
      <w:sdt>
        <w:sdtPr>
          <w:rPr>
            <w:kern w:val="22"/>
            <w:lang w:val="fr-CA"/>
          </w:rPr>
          <w:alias w:val="Title"/>
          <w:tag w:val=""/>
          <w:id w:val="772832786"/>
          <w:placeholder>
            <w:docPart w:val="4D0A6CE60D4B492695D985CC8DEC3E27"/>
          </w:placeholder>
          <w:dataBinding w:prefixMappings="xmlns:ns0='http://purl.org/dc/elements/1.1/' xmlns:ns1='http://schemas.openxmlformats.org/package/2006/metadata/core-properties' " w:xpath="/ns1:coreProperties[1]/ns0:title[1]" w:storeItemID="{6C3C8BC8-F283-45AE-878A-BAB7291924A1}"/>
          <w:text/>
        </w:sdtPr>
        <w:sdtEndPr/>
        <w:sdtContent>
          <w:r w:rsidR="00E44242" w:rsidRPr="00E44242">
            <w:rPr>
              <w:kern w:val="22"/>
              <w:lang w:val="fr-CA"/>
            </w:rPr>
            <w:t>3/1 Évaluation et examen de l’efficacité du Protocole (article 31)</w:t>
          </w:r>
        </w:sdtContent>
      </w:sdt>
    </w:p>
    <w:p w14:paraId="25A3A909" w14:textId="77777777" w:rsidR="0045416C" w:rsidRPr="007B687E" w:rsidRDefault="0045416C" w:rsidP="0045416C">
      <w:pPr>
        <w:pStyle w:val="Paragraphedeliste"/>
        <w:keepNext/>
        <w:numPr>
          <w:ilvl w:val="0"/>
          <w:numId w:val="55"/>
        </w:numPr>
        <w:spacing w:before="120" w:line="240" w:lineRule="auto"/>
        <w:jc w:val="left"/>
        <w:rPr>
          <w:b/>
          <w:snapToGrid w:val="0"/>
          <w:szCs w:val="22"/>
          <w:lang w:val="fr-CA"/>
        </w:rPr>
      </w:pPr>
      <w:r w:rsidRPr="007B687E">
        <w:rPr>
          <w:b/>
          <w:snapToGrid w:val="0"/>
          <w:kern w:val="22"/>
          <w:szCs w:val="22"/>
          <w:lang w:val="fr-CA" w:eastAsia="en-CA"/>
        </w:rPr>
        <w:t>Premier exercice d’évaluation et d’examen due l’efficacité du Protocole</w:t>
      </w:r>
    </w:p>
    <w:p w14:paraId="12989770"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ind w:firstLine="720"/>
        <w:rPr>
          <w:i/>
          <w:kern w:val="22"/>
          <w:szCs w:val="22"/>
          <w:lang w:val="fr-CA"/>
        </w:rPr>
      </w:pPr>
      <w:r w:rsidRPr="007B687E">
        <w:rPr>
          <w:i/>
          <w:kern w:val="22"/>
          <w:szCs w:val="22"/>
          <w:lang w:val="fr-CA"/>
        </w:rPr>
        <w:t>La Conférence des Parties siégeant en tant que réunion des Parties au Protocole de Nagoya</w:t>
      </w:r>
    </w:p>
    <w:p w14:paraId="02F65D03"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1.</w:t>
      </w:r>
      <w:r w:rsidRPr="007B687E">
        <w:rPr>
          <w:rFonts w:eastAsia="Calibri"/>
          <w:kern w:val="22"/>
          <w:szCs w:val="22"/>
          <w:lang w:val="fr-CA"/>
        </w:rPr>
        <w:tab/>
      </w:r>
      <w:r w:rsidRPr="007B687E">
        <w:rPr>
          <w:rFonts w:eastAsia="Calibri"/>
          <w:i/>
          <w:kern w:val="22"/>
          <w:szCs w:val="22"/>
          <w:lang w:val="fr-CA"/>
        </w:rPr>
        <w:t>Prend note</w:t>
      </w:r>
      <w:r w:rsidRPr="007B687E">
        <w:rPr>
          <w:rFonts w:eastAsia="Calibri"/>
          <w:kern w:val="22"/>
          <w:szCs w:val="22"/>
          <w:lang w:val="fr-CA"/>
        </w:rPr>
        <w:t xml:space="preserve"> des principales conclusions du premier exercice d’évaluation et d’examen du Protocole figurant à l’annexe I, qui intègre les contri</w:t>
      </w:r>
      <w:r>
        <w:rPr>
          <w:rFonts w:eastAsia="Calibri"/>
          <w:kern w:val="22"/>
          <w:szCs w:val="22"/>
          <w:lang w:val="fr-CA"/>
        </w:rPr>
        <w:t>butions du Comité de conformité;</w:t>
      </w:r>
      <w:r w:rsidRPr="007B687E">
        <w:rPr>
          <w:rFonts w:eastAsia="Calibri"/>
          <w:kern w:val="22"/>
          <w:szCs w:val="22"/>
          <w:lang w:val="fr-CA"/>
        </w:rPr>
        <w:t xml:space="preserve">    </w:t>
      </w:r>
    </w:p>
    <w:p w14:paraId="405AEDD8"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2.</w:t>
      </w:r>
      <w:r w:rsidRPr="007B687E">
        <w:rPr>
          <w:rFonts w:eastAsia="Calibri"/>
          <w:kern w:val="22"/>
          <w:szCs w:val="22"/>
          <w:lang w:val="fr-CA"/>
        </w:rPr>
        <w:tab/>
      </w:r>
      <w:r w:rsidRPr="007B687E">
        <w:rPr>
          <w:rFonts w:eastAsia="Calibri"/>
          <w:i/>
          <w:kern w:val="22"/>
          <w:szCs w:val="22"/>
          <w:lang w:val="fr-CA"/>
        </w:rPr>
        <w:t xml:space="preserve">Accueille avec satisfaction </w:t>
      </w:r>
      <w:r w:rsidRPr="007B687E">
        <w:rPr>
          <w:rFonts w:eastAsia="Calibri"/>
          <w:kern w:val="22"/>
          <w:szCs w:val="22"/>
          <w:lang w:val="fr-CA"/>
        </w:rPr>
        <w:t xml:space="preserve">le cadre d’indicateurs figurant à l’annexe II, et </w:t>
      </w:r>
      <w:r w:rsidRPr="007B687E">
        <w:rPr>
          <w:rFonts w:eastAsia="Calibri"/>
          <w:i/>
          <w:kern w:val="22"/>
          <w:szCs w:val="22"/>
          <w:lang w:val="fr-CA"/>
        </w:rPr>
        <w:t>accepte</w:t>
      </w:r>
      <w:r w:rsidRPr="007B687E">
        <w:rPr>
          <w:rFonts w:eastAsia="Calibri"/>
          <w:kern w:val="22"/>
          <w:szCs w:val="22"/>
          <w:lang w:val="fr-CA"/>
        </w:rPr>
        <w:t xml:space="preserve"> d’utiliser les points de référence qu’il contient comme base de référence qui permettra de mesurer les progrès accomplis à l’avenir</w:t>
      </w:r>
      <w:r>
        <w:rPr>
          <w:rFonts w:eastAsia="Calibri"/>
          <w:kern w:val="22"/>
          <w:szCs w:val="22"/>
          <w:lang w:val="fr-CA"/>
        </w:rPr>
        <w:t>;</w:t>
      </w:r>
    </w:p>
    <w:p w14:paraId="7B634252"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3.</w:t>
      </w:r>
      <w:r w:rsidRPr="007B687E">
        <w:rPr>
          <w:rFonts w:eastAsia="Calibri"/>
          <w:kern w:val="22"/>
          <w:szCs w:val="22"/>
          <w:lang w:val="fr-CA"/>
        </w:rPr>
        <w:tab/>
      </w:r>
      <w:r w:rsidRPr="007B687E">
        <w:rPr>
          <w:rFonts w:eastAsia="Calibri"/>
          <w:i/>
          <w:kern w:val="22"/>
          <w:szCs w:val="22"/>
          <w:lang w:val="fr-CA"/>
        </w:rPr>
        <w:t>Décide</w:t>
      </w:r>
      <w:r w:rsidRPr="007B687E">
        <w:rPr>
          <w:rFonts w:eastAsia="Calibri"/>
          <w:kern w:val="22"/>
          <w:szCs w:val="22"/>
          <w:lang w:val="fr-CA"/>
        </w:rPr>
        <w:t xml:space="preserve"> de réexaminer et d’adapter le cadre, selon qu’il convient, au vu des progrès futurs dans le cadre de l’application;</w:t>
      </w:r>
    </w:p>
    <w:p w14:paraId="29F4463E"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kern w:val="22"/>
          <w:szCs w:val="22"/>
          <w:lang w:val="fr-CA"/>
        </w:rPr>
      </w:pPr>
      <w:r w:rsidRPr="007B687E">
        <w:rPr>
          <w:rFonts w:eastAsia="Calibri"/>
          <w:kern w:val="22"/>
          <w:szCs w:val="22"/>
          <w:lang w:val="fr-CA"/>
        </w:rPr>
        <w:t>4.</w:t>
      </w:r>
      <w:r w:rsidRPr="007B687E">
        <w:rPr>
          <w:rFonts w:eastAsia="Calibri"/>
          <w:kern w:val="22"/>
          <w:szCs w:val="22"/>
          <w:lang w:val="fr-CA"/>
        </w:rPr>
        <w:tab/>
      </w:r>
      <w:r w:rsidRPr="007B687E">
        <w:rPr>
          <w:rFonts w:eastAsia="Calibri"/>
          <w:i/>
          <w:kern w:val="22"/>
          <w:szCs w:val="22"/>
          <w:lang w:val="fr-CA"/>
        </w:rPr>
        <w:t>Accueille avec satisfaction</w:t>
      </w:r>
      <w:r w:rsidRPr="007B687E">
        <w:rPr>
          <w:rFonts w:eastAsia="Calibri"/>
          <w:kern w:val="22"/>
          <w:szCs w:val="22"/>
          <w:lang w:val="fr-CA"/>
        </w:rPr>
        <w:t xml:space="preserve"> les progrès accomplis par les Parties afin de rendre le Protocole opérationnel;</w:t>
      </w:r>
    </w:p>
    <w:p w14:paraId="1B377525"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5.</w:t>
      </w:r>
      <w:r w:rsidRPr="007B687E">
        <w:rPr>
          <w:rFonts w:eastAsia="Calibri"/>
          <w:kern w:val="22"/>
          <w:szCs w:val="22"/>
          <w:lang w:val="fr-CA"/>
        </w:rPr>
        <w:tab/>
      </w:r>
      <w:r w:rsidRPr="00C40140">
        <w:rPr>
          <w:rFonts w:eastAsia="Calibri"/>
          <w:i/>
          <w:kern w:val="22"/>
          <w:szCs w:val="22"/>
          <w:lang w:val="fr-CA"/>
        </w:rPr>
        <w:t>Reconnaît</w:t>
      </w:r>
      <w:r w:rsidRPr="00C40140">
        <w:rPr>
          <w:rFonts w:eastAsia="Calibri"/>
          <w:kern w:val="22"/>
          <w:szCs w:val="22"/>
          <w:lang w:val="fr-CA"/>
        </w:rPr>
        <w:t xml:space="preserve"> qu</w:t>
      </w:r>
      <w:r>
        <w:rPr>
          <w:rFonts w:eastAsia="Calibri"/>
          <w:kern w:val="22"/>
          <w:szCs w:val="22"/>
          <w:lang w:val="fr-CA"/>
        </w:rPr>
        <w:t>’</w:t>
      </w:r>
      <w:r w:rsidRPr="00C40140">
        <w:rPr>
          <w:rFonts w:eastAsia="Calibri"/>
          <w:kern w:val="22"/>
          <w:szCs w:val="22"/>
          <w:lang w:val="fr-CA"/>
        </w:rPr>
        <w:t>il convient de tra</w:t>
      </w:r>
      <w:r>
        <w:rPr>
          <w:rFonts w:eastAsia="Calibri"/>
          <w:kern w:val="22"/>
          <w:szCs w:val="22"/>
          <w:lang w:val="fr-CA"/>
        </w:rPr>
        <w:t>vailler plus avant, en priorité :</w:t>
      </w:r>
    </w:p>
    <w:p w14:paraId="3995BDE5"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a)</w:t>
      </w:r>
      <w:r w:rsidRPr="007B687E">
        <w:rPr>
          <w:rFonts w:eastAsia="Calibri"/>
          <w:kern w:val="22"/>
          <w:szCs w:val="22"/>
          <w:lang w:val="fr-CA"/>
        </w:rPr>
        <w:tab/>
        <w:t>Pour élaborer une législation ou des exigences réglementaires qui assurent la sécurité juridique, la clarté et la transparence, en tenant compte des considérations particulières conformément à l’article 8 du Protocole et de la nécessité de garantir que le Protocole de Nagoya et les autres instruments internationaux pertinents sont appliqués dans le soutien mutuel</w:t>
      </w:r>
      <w:r>
        <w:rPr>
          <w:rFonts w:eastAsia="Calibri"/>
          <w:kern w:val="22"/>
          <w:szCs w:val="22"/>
          <w:lang w:val="fr-CA"/>
        </w:rPr>
        <w:t>;</w:t>
      </w:r>
    </w:p>
    <w:p w14:paraId="40A2CF89"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b)</w:t>
      </w:r>
      <w:r w:rsidRPr="007B687E">
        <w:rPr>
          <w:rFonts w:eastAsia="Calibri"/>
          <w:kern w:val="22"/>
          <w:szCs w:val="22"/>
          <w:lang w:val="fr-CA"/>
        </w:rPr>
        <w:tab/>
        <w:t>Pour renforcer la mise en œuvre par les Parties des dispositions relatives au respect des lois nationales et des exigences réglementaires sur l’accès et le partage des avantages (articles 15 et 16), la surveillance de l’utilisation des ressources génétiques (article 17), y compris la désignation des points de contrôle, ainsi que les dispositions relatives aux peuples autochtones et communautés locales (articles 5, 6, 7 et 12);</w:t>
      </w:r>
    </w:p>
    <w:p w14:paraId="41009057"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c)</w:t>
      </w:r>
      <w:r w:rsidRPr="007B687E">
        <w:rPr>
          <w:rFonts w:eastAsia="Calibri"/>
          <w:kern w:val="22"/>
          <w:szCs w:val="22"/>
          <w:lang w:val="fr-CA"/>
        </w:rPr>
        <w:tab/>
        <w:t>Pour soutenir la participation pleine et effective des peuples autochtones et des communautés locales à l’application du Protocole, y compris en renforçant leur connaissance de l’accès et du partage des avantages et leurs capacités en la matière, et en appuyant l’élaboration par les peuples autochtones et communautés locales de protocoles et procédures communautaires, d’exigences minimales pour les conditions convenues d’un commun accord et les clauses contractuelles types concernant le partage des avantages découlant de l’utilisation des connaissances traditionnelles associées aux ressources génétiques, compte tenu de leurs lois coutumières;</w:t>
      </w:r>
    </w:p>
    <w:p w14:paraId="4DAE1DB7"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d)</w:t>
      </w:r>
      <w:r w:rsidRPr="007B687E">
        <w:rPr>
          <w:rFonts w:eastAsia="Calibri"/>
          <w:kern w:val="22"/>
          <w:szCs w:val="22"/>
          <w:lang w:val="fr-CA"/>
        </w:rPr>
        <w:tab/>
        <w:t>Pour sensibiliser les parties prenantes concernées et encourager leur participation à l’application du Protocole;</w:t>
      </w:r>
    </w:p>
    <w:p w14:paraId="2BB6D398"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6.</w:t>
      </w:r>
      <w:r w:rsidRPr="007B687E">
        <w:rPr>
          <w:rFonts w:eastAsia="Calibri"/>
          <w:kern w:val="22"/>
          <w:szCs w:val="22"/>
          <w:lang w:val="fr-CA"/>
        </w:rPr>
        <w:tab/>
      </w:r>
      <w:r w:rsidRPr="007B687E">
        <w:rPr>
          <w:rFonts w:eastAsia="Calibri"/>
          <w:i/>
          <w:kern w:val="22"/>
          <w:szCs w:val="22"/>
          <w:lang w:val="fr-CA"/>
        </w:rPr>
        <w:t>Exhorte</w:t>
      </w:r>
      <w:r w:rsidRPr="007B687E">
        <w:rPr>
          <w:rFonts w:eastAsia="Calibri"/>
          <w:kern w:val="22"/>
          <w:szCs w:val="22"/>
          <w:lang w:val="fr-CA"/>
        </w:rPr>
        <w:t xml:space="preserve"> les Parties qui ne l’ont pas encore fait :</w:t>
      </w:r>
    </w:p>
    <w:p w14:paraId="1FE02717"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a)</w:t>
      </w:r>
      <w:r w:rsidRPr="007B687E">
        <w:rPr>
          <w:rFonts w:eastAsia="Calibri"/>
          <w:kern w:val="22"/>
          <w:szCs w:val="22"/>
          <w:lang w:val="fr-CA"/>
        </w:rPr>
        <w:tab/>
        <w:t>À instaurer des structures institutionnelles et des mesures législatives, administratives ou de politique générale sur l’accès et le partage des avantages, en tenant compte des paragraphes 5 a) et b) ci-dessus</w:t>
      </w:r>
      <w:r>
        <w:rPr>
          <w:rFonts w:eastAsia="Calibri"/>
          <w:kern w:val="22"/>
          <w:szCs w:val="22"/>
          <w:lang w:val="fr-CA"/>
        </w:rPr>
        <w:t>;</w:t>
      </w:r>
    </w:p>
    <w:p w14:paraId="75487206"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b)</w:t>
      </w:r>
      <w:r w:rsidRPr="007B687E">
        <w:rPr>
          <w:rFonts w:eastAsia="Calibri"/>
          <w:kern w:val="22"/>
          <w:szCs w:val="22"/>
          <w:lang w:val="fr-CA"/>
        </w:rPr>
        <w:tab/>
        <w:t>À prendre des mesures destinées à traiter les secteurs prioritaires identifiés aux paragraphes 5 c) et d) ci-dessus</w:t>
      </w:r>
      <w:r>
        <w:rPr>
          <w:rFonts w:eastAsia="Calibri"/>
          <w:kern w:val="22"/>
          <w:szCs w:val="22"/>
          <w:lang w:val="fr-CA"/>
        </w:rPr>
        <w:t>;</w:t>
      </w:r>
    </w:p>
    <w:p w14:paraId="774B33C2"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kern w:val="22"/>
          <w:szCs w:val="22"/>
          <w:u w:val="single" w:color="000000"/>
          <w:lang w:val="fr-CA"/>
        </w:rPr>
      </w:pPr>
      <w:r w:rsidRPr="007B687E">
        <w:rPr>
          <w:rFonts w:eastAsia="Calibri"/>
          <w:kern w:val="22"/>
          <w:szCs w:val="22"/>
          <w:lang w:val="fr-CA"/>
        </w:rPr>
        <w:t>c)</w:t>
      </w:r>
      <w:r w:rsidRPr="007B687E">
        <w:rPr>
          <w:rFonts w:eastAsia="Calibri"/>
          <w:kern w:val="22"/>
          <w:szCs w:val="22"/>
          <w:lang w:val="fr-CA"/>
        </w:rPr>
        <w:tab/>
        <w:t>À publier dans le Centre d’échange sur l’accès et le partage des avantages toutes les informations obligatoires disponibles à l’échelle nationale conformément aux obligations énoncées au paragraphe 2 de l’article 14 du Protocole dès que possible, y compris des informations sur les permis ou leurs équivalents pour constituer des certificats de conformité reconnus à l’échelle internationale, afin de faciliter la surveillance de l’utilisation des ressources génétiques et la coopération entre les Parties;</w:t>
      </w:r>
    </w:p>
    <w:p w14:paraId="1B0D82C1"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7.</w:t>
      </w:r>
      <w:r w:rsidRPr="007B687E">
        <w:rPr>
          <w:rFonts w:eastAsia="Calibri"/>
          <w:kern w:val="22"/>
          <w:szCs w:val="22"/>
          <w:lang w:val="fr-CA"/>
        </w:rPr>
        <w:tab/>
      </w:r>
      <w:r w:rsidRPr="007B687E">
        <w:rPr>
          <w:rFonts w:eastAsia="Calibri"/>
          <w:i/>
          <w:kern w:val="22"/>
          <w:szCs w:val="22"/>
          <w:lang w:val="fr-CA"/>
        </w:rPr>
        <w:t>Encourage</w:t>
      </w:r>
      <w:r w:rsidRPr="007B687E">
        <w:rPr>
          <w:rFonts w:eastAsia="Calibri"/>
          <w:kern w:val="22"/>
          <w:szCs w:val="22"/>
          <w:lang w:val="fr-CA"/>
        </w:rPr>
        <w:t xml:space="preserve"> les Parties, les États non-Parties et les organisations compétentes en mesure de le faire :</w:t>
      </w:r>
    </w:p>
    <w:p w14:paraId="705DE187"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lastRenderedPageBreak/>
        <w:t>a)</w:t>
      </w:r>
      <w:r w:rsidRPr="007B687E">
        <w:rPr>
          <w:rFonts w:eastAsia="Calibri"/>
          <w:kern w:val="22"/>
          <w:szCs w:val="22"/>
          <w:lang w:val="fr-CA"/>
        </w:rPr>
        <w:tab/>
        <w:t>À intensifier leurs efforts pour renforcer les capacités des pays en développement Parties, en particulier les pays les moins avancés et les petits États insulaires en développement parmi eux, et les Parties à économie en transition, d’appliquer le Protocole de Nagoya, en tenant compte des domaines prioritaires identifiés au paragraphe 5 ci-dessus, de la nécessité de renforcer les capacités institutionnelles,  ainsi que des principales conclusions figurant à l’annexe I et des besoins et priorités des peuples autochtones et communautés locales, et des parties prenantes concernées;</w:t>
      </w:r>
    </w:p>
    <w:p w14:paraId="5CA1F9D1"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b)</w:t>
      </w:r>
      <w:r w:rsidRPr="007B687E">
        <w:rPr>
          <w:rFonts w:eastAsia="Calibri"/>
          <w:kern w:val="22"/>
          <w:szCs w:val="22"/>
          <w:lang w:val="fr-CA"/>
        </w:rPr>
        <w:tab/>
        <w:t>À soutenir les initiatives de renforcement des capacités aux fins d’application du Protocole, telles que le programme de renforcement des capacités du Secrétariat et l’Organisation internationale du droit du développement pour l’établissement de cadres juridiques nationaux, y compris par l’apport de ressources financières;</w:t>
      </w:r>
    </w:p>
    <w:p w14:paraId="4CF9B7D8"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c)</w:t>
      </w:r>
      <w:r w:rsidRPr="007B687E">
        <w:rPr>
          <w:rFonts w:eastAsia="Calibri"/>
          <w:kern w:val="22"/>
          <w:szCs w:val="22"/>
          <w:lang w:val="fr-CA"/>
        </w:rPr>
        <w:tab/>
        <w:t>À mettre à disposition des informations sur les initiatives et ressources en matière de renforcement des capacités dans le Centre d’échange sur l’accès et le partage des avantages;</w:t>
      </w:r>
    </w:p>
    <w:p w14:paraId="230EA90B"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d)</w:t>
      </w:r>
      <w:r w:rsidRPr="007B687E">
        <w:rPr>
          <w:rFonts w:eastAsia="Calibri"/>
          <w:kern w:val="22"/>
          <w:szCs w:val="22"/>
          <w:lang w:val="fr-CA"/>
        </w:rPr>
        <w:tab/>
        <w:t>À envisager des approches régionales visant à soutenir l’application harmonisée du Protocole par le biais, entre autres, d’activités de renforcement des capacités entre les pays qui partagent les mêmes ressources génétiques ou connaissances traditionnelles qui leur sont associées;</w:t>
      </w:r>
    </w:p>
    <w:p w14:paraId="0477E118"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e)</w:t>
      </w:r>
      <w:r w:rsidRPr="007B687E">
        <w:rPr>
          <w:rFonts w:eastAsia="Calibri"/>
          <w:kern w:val="22"/>
          <w:szCs w:val="22"/>
          <w:lang w:val="fr-CA"/>
        </w:rPr>
        <w:tab/>
        <w:t>À faciliter le partage d’informations et d’expériences par rapport à la coopération transfrontalière conformément à l’article 11 du Protocole;</w:t>
      </w:r>
    </w:p>
    <w:p w14:paraId="0602FDE2"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f)</w:t>
      </w:r>
      <w:r w:rsidRPr="007B687E">
        <w:rPr>
          <w:rFonts w:eastAsia="Calibri"/>
          <w:kern w:val="22"/>
          <w:szCs w:val="22"/>
          <w:lang w:val="fr-CA"/>
        </w:rPr>
        <w:tab/>
        <w:t>À appuyer la communication stratégique pour améliorer la prise de conscience du Protocole;</w:t>
      </w:r>
    </w:p>
    <w:p w14:paraId="3BD2885D"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g)</w:t>
      </w:r>
      <w:r w:rsidRPr="007B687E">
        <w:rPr>
          <w:rFonts w:eastAsia="Calibri"/>
          <w:kern w:val="22"/>
          <w:szCs w:val="22"/>
          <w:lang w:val="fr-CA"/>
        </w:rPr>
        <w:tab/>
        <w:t>À renforcer la capacité des Parties ainsi que des peuples autochtones et des communautés locales à négocier des conditions convenues d’un commun accord et à promouvoir des partenariats et le transfert de technologies entre les utilisateurs et les fournisseurs de ressources génétiques et/ou connaissances traditionnelles associées;</w:t>
      </w:r>
    </w:p>
    <w:p w14:paraId="16C639A5"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8.</w:t>
      </w:r>
      <w:r w:rsidRPr="007B687E">
        <w:rPr>
          <w:rFonts w:eastAsia="Calibri"/>
          <w:kern w:val="22"/>
          <w:szCs w:val="22"/>
          <w:lang w:val="fr-CA"/>
        </w:rPr>
        <w:tab/>
      </w:r>
      <w:r w:rsidRPr="007B687E">
        <w:rPr>
          <w:rFonts w:eastAsia="Calibri"/>
          <w:i/>
          <w:kern w:val="22"/>
          <w:szCs w:val="22"/>
          <w:lang w:val="fr-CA"/>
        </w:rPr>
        <w:t>Invite</w:t>
      </w:r>
      <w:r w:rsidRPr="007B687E">
        <w:rPr>
          <w:rFonts w:eastAsia="Calibri"/>
          <w:kern w:val="22"/>
          <w:szCs w:val="22"/>
          <w:lang w:val="fr-CA"/>
        </w:rPr>
        <w:t xml:space="preserve"> les Parties, les États non-Parties, les organisations internationales, les banques régionales de développement, d’autres institutions financières et le secteur privé, selon qu’il convient, à intensifier leurs efforts pour fournir des ressources financières en appui à l’application du Protocole;</w:t>
      </w:r>
    </w:p>
    <w:p w14:paraId="4D9E2AF5"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9.</w:t>
      </w:r>
      <w:r w:rsidRPr="007B687E">
        <w:rPr>
          <w:rFonts w:eastAsia="Calibri"/>
          <w:kern w:val="22"/>
          <w:szCs w:val="22"/>
          <w:lang w:val="fr-CA"/>
        </w:rPr>
        <w:tab/>
      </w:r>
      <w:r w:rsidRPr="007B687E">
        <w:rPr>
          <w:rFonts w:eastAsia="Calibri"/>
          <w:i/>
          <w:kern w:val="22"/>
          <w:szCs w:val="22"/>
          <w:lang w:val="fr-CA"/>
        </w:rPr>
        <w:t>Recommande</w:t>
      </w:r>
      <w:r w:rsidRPr="007B687E">
        <w:rPr>
          <w:rFonts w:eastAsia="Calibri"/>
          <w:kern w:val="22"/>
          <w:szCs w:val="22"/>
          <w:lang w:val="fr-CA"/>
        </w:rPr>
        <w:t xml:space="preserve"> que la Conférence des Parties, dans le cadre de l’adoption de ses orientations au mécanisme de financement concernant le soutien apporté à l’application du Protocole de Nagoya, invite le Fonds pour l’environnement mondial à continuer à soutenir les Parties admissibles dans le cadre de l’application du Protocole de Nagoya, y compris l’adoption des mesures législatives, administratives et de politique générale sur l’accès et le partage des avantages et de modalités institutionnelles connexes, et à dégager des fonds à cet effet;</w:t>
      </w:r>
    </w:p>
    <w:p w14:paraId="47E2E5CD"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10.</w:t>
      </w:r>
      <w:r w:rsidRPr="007B687E">
        <w:rPr>
          <w:rFonts w:eastAsia="Calibri"/>
          <w:kern w:val="22"/>
          <w:szCs w:val="22"/>
          <w:lang w:val="fr-CA"/>
        </w:rPr>
        <w:tab/>
      </w:r>
      <w:r w:rsidRPr="007B687E">
        <w:rPr>
          <w:rFonts w:eastAsia="Calibri"/>
          <w:i/>
          <w:kern w:val="22"/>
          <w:szCs w:val="22"/>
          <w:lang w:val="fr-CA"/>
        </w:rPr>
        <w:t>Encourage</w:t>
      </w:r>
      <w:r w:rsidRPr="007B687E">
        <w:rPr>
          <w:rFonts w:eastAsia="Calibri"/>
          <w:kern w:val="22"/>
          <w:szCs w:val="22"/>
          <w:lang w:val="fr-CA"/>
        </w:rPr>
        <w:t xml:space="preserve"> les Parties, les États non-Parties, les peuples autochtones et communautés locales et les organisations compétentes à exploiter les nombreuses informations et expériences mises à disposition dans les rapports nationaux provisoires et le Centre d’échange sur l’accès et le partage des avantages, ainsi que les outils et ressources existants (tels que les lignes directrices et les outils de renforcement des capacités) dans le but de soutenir la mise en œuvre et de promouvoir l’échange d’expériences;</w:t>
      </w:r>
    </w:p>
    <w:p w14:paraId="6696B96B"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11.</w:t>
      </w:r>
      <w:r w:rsidRPr="007B687E">
        <w:rPr>
          <w:rFonts w:eastAsia="Calibri"/>
          <w:kern w:val="22"/>
          <w:szCs w:val="22"/>
          <w:lang w:val="fr-CA"/>
        </w:rPr>
        <w:tab/>
      </w:r>
      <w:r w:rsidRPr="007B687E">
        <w:rPr>
          <w:rFonts w:eastAsia="Calibri"/>
          <w:i/>
          <w:kern w:val="22"/>
          <w:szCs w:val="22"/>
          <w:lang w:val="fr-CA"/>
        </w:rPr>
        <w:t>Invite</w:t>
      </w:r>
      <w:r w:rsidRPr="007B687E">
        <w:rPr>
          <w:rFonts w:eastAsia="Calibri"/>
          <w:kern w:val="22"/>
          <w:szCs w:val="22"/>
          <w:lang w:val="fr-CA"/>
        </w:rPr>
        <w:t xml:space="preserve"> les Parties, étant donné le caractère pluridisciplinaire du Protocole, à instaurer des mécanismes appropriés afin de faciliter :</w:t>
      </w:r>
    </w:p>
    <w:p w14:paraId="3F5436CE"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a)</w:t>
      </w:r>
      <w:r w:rsidRPr="007B687E">
        <w:rPr>
          <w:rFonts w:eastAsia="Calibri"/>
          <w:kern w:val="22"/>
          <w:szCs w:val="22"/>
          <w:lang w:val="fr-CA"/>
        </w:rPr>
        <w:tab/>
        <w:t>La coordination nationale entre les différentes institutions, y compris les correspondants nationaux, les autorités nationales compétentes et les différents ministères qui présentent une importance pour l’accès et le partage des avantages;</w:t>
      </w:r>
    </w:p>
    <w:p w14:paraId="1CC75D1F"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kern w:val="22"/>
          <w:szCs w:val="22"/>
          <w:lang w:val="fr-CA"/>
        </w:rPr>
      </w:pPr>
      <w:r w:rsidRPr="007B687E">
        <w:rPr>
          <w:kern w:val="22"/>
          <w:szCs w:val="22"/>
          <w:lang w:val="fr-CA"/>
        </w:rPr>
        <w:t>b)</w:t>
      </w:r>
      <w:r w:rsidRPr="007B687E">
        <w:rPr>
          <w:kern w:val="22"/>
          <w:szCs w:val="22"/>
          <w:lang w:val="fr-CA"/>
        </w:rPr>
        <w:tab/>
      </w:r>
      <w:r>
        <w:rPr>
          <w:kern w:val="22"/>
          <w:szCs w:val="22"/>
          <w:lang w:val="fr-CA"/>
        </w:rPr>
        <w:t xml:space="preserve">La participation pleine et effective </w:t>
      </w:r>
      <w:r w:rsidRPr="007B687E">
        <w:rPr>
          <w:rFonts w:eastAsia="Calibri"/>
          <w:kern w:val="22"/>
          <w:szCs w:val="22"/>
          <w:lang w:val="fr-CA"/>
        </w:rPr>
        <w:t xml:space="preserve">des peuples autochtones et communautés locales à l’application </w:t>
      </w:r>
      <w:r>
        <w:rPr>
          <w:rFonts w:eastAsia="Calibri"/>
          <w:kern w:val="22"/>
          <w:szCs w:val="22"/>
          <w:lang w:val="fr-CA"/>
        </w:rPr>
        <w:t xml:space="preserve">des dispositions </w:t>
      </w:r>
      <w:r w:rsidRPr="007B687E">
        <w:rPr>
          <w:rFonts w:eastAsia="Calibri"/>
          <w:kern w:val="22"/>
          <w:szCs w:val="22"/>
          <w:lang w:val="fr-CA"/>
        </w:rPr>
        <w:t>du Protocole</w:t>
      </w:r>
      <w:r>
        <w:rPr>
          <w:rFonts w:eastAsia="Calibri"/>
          <w:kern w:val="22"/>
          <w:szCs w:val="22"/>
          <w:lang w:val="fr-CA"/>
        </w:rPr>
        <w:t xml:space="preserve"> en lien avec les peuples autochtones et communautés locales, en vue de tenir compte de leurs besoins ainsi que de leurs circonstances nationales</w:t>
      </w:r>
      <w:r w:rsidRPr="007B687E">
        <w:rPr>
          <w:rFonts w:eastAsia="Calibri"/>
          <w:kern w:val="22"/>
          <w:szCs w:val="22"/>
          <w:lang w:val="fr-CA"/>
        </w:rPr>
        <w:t>;</w:t>
      </w:r>
    </w:p>
    <w:p w14:paraId="274C3166" w14:textId="77777777" w:rsidR="0045416C" w:rsidRPr="007B687E" w:rsidRDefault="0045416C" w:rsidP="00E44242">
      <w:pPr>
        <w:suppressLineNumbers/>
        <w:tabs>
          <w:tab w:val="left" w:pos="1440"/>
        </w:tab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kern w:val="22"/>
          <w:szCs w:val="22"/>
          <w:lang w:val="fr-CA"/>
        </w:rPr>
        <w:t>c)</w:t>
      </w:r>
      <w:r w:rsidRPr="007B687E">
        <w:rPr>
          <w:kern w:val="22"/>
          <w:szCs w:val="22"/>
          <w:lang w:val="fr-CA"/>
        </w:rPr>
        <w:tab/>
      </w:r>
      <w:r>
        <w:rPr>
          <w:rFonts w:eastAsia="Calibri"/>
          <w:kern w:val="22"/>
          <w:szCs w:val="22"/>
          <w:lang w:val="fr-CA"/>
        </w:rPr>
        <w:t>La participation des parties prenantes compétentes des différents secteurs d’activités, en vue de tenir compte de leurs besoins lors de l’élaboration des mesures législatives, administratives et de politique générale sur l’accès et le partage des avantages;</w:t>
      </w:r>
    </w:p>
    <w:p w14:paraId="7EECF97F" w14:textId="77777777" w:rsidR="00E44242" w:rsidRDefault="00E44242">
      <w:pPr>
        <w:jc w:val="left"/>
        <w:rPr>
          <w:rFonts w:eastAsia="Calibri"/>
          <w:kern w:val="22"/>
          <w:szCs w:val="22"/>
          <w:lang w:val="fr-CA"/>
        </w:rPr>
      </w:pPr>
      <w:r>
        <w:rPr>
          <w:rFonts w:eastAsia="Calibri"/>
          <w:kern w:val="22"/>
          <w:szCs w:val="22"/>
          <w:lang w:val="fr-CA"/>
        </w:rPr>
        <w:br w:type="page"/>
      </w:r>
    </w:p>
    <w:p w14:paraId="310FE64E" w14:textId="160CAA46"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i/>
          <w:kern w:val="22"/>
          <w:szCs w:val="22"/>
          <w:lang w:val="fr-CA"/>
        </w:rPr>
      </w:pPr>
      <w:r w:rsidRPr="007B687E">
        <w:rPr>
          <w:rFonts w:eastAsia="Calibri"/>
          <w:kern w:val="22"/>
          <w:szCs w:val="22"/>
          <w:lang w:val="fr-CA"/>
        </w:rPr>
        <w:lastRenderedPageBreak/>
        <w:t>12.</w:t>
      </w:r>
      <w:r w:rsidRPr="007B687E">
        <w:rPr>
          <w:rFonts w:eastAsia="Calibri"/>
          <w:kern w:val="22"/>
          <w:szCs w:val="22"/>
          <w:lang w:val="fr-CA"/>
        </w:rPr>
        <w:tab/>
      </w:r>
      <w:r w:rsidRPr="007B687E">
        <w:rPr>
          <w:rFonts w:eastAsia="Calibri"/>
          <w:i/>
          <w:kern w:val="22"/>
          <w:szCs w:val="22"/>
          <w:lang w:val="fr-CA"/>
        </w:rPr>
        <w:t xml:space="preserve">Invite aussi </w:t>
      </w:r>
      <w:r w:rsidRPr="007B687E">
        <w:rPr>
          <w:rFonts w:eastAsia="Calibri"/>
          <w:kern w:val="22"/>
          <w:szCs w:val="22"/>
          <w:lang w:val="fr-CA"/>
        </w:rPr>
        <w:t>les Parties à :</w:t>
      </w:r>
    </w:p>
    <w:p w14:paraId="4A03066B"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a)</w:t>
      </w:r>
      <w:r w:rsidRPr="007B687E">
        <w:rPr>
          <w:rFonts w:eastAsia="Calibri"/>
          <w:kern w:val="22"/>
          <w:szCs w:val="22"/>
          <w:lang w:val="fr-CA"/>
        </w:rPr>
        <w:tab/>
        <w:t>Envisager la mise en œuvre de mesures provisoires afin d’acquérir des expériences permettant de contribuer à l’élaboration de mesures législatives, administratives ou de politique générale sur l’accès et le partage des avantages;</w:t>
      </w:r>
    </w:p>
    <w:p w14:paraId="711A06AB"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kern w:val="22"/>
          <w:szCs w:val="22"/>
          <w:lang w:val="fr-CA"/>
        </w:rPr>
      </w:pPr>
      <w:r w:rsidRPr="007B687E">
        <w:rPr>
          <w:kern w:val="22"/>
          <w:szCs w:val="22"/>
          <w:lang w:val="fr-CA"/>
        </w:rPr>
        <w:t>b)</w:t>
      </w:r>
      <w:r w:rsidRPr="007B687E">
        <w:rPr>
          <w:kern w:val="22"/>
          <w:szCs w:val="22"/>
          <w:lang w:val="fr-CA"/>
        </w:rPr>
        <w:tab/>
        <w:t xml:space="preserve">Tenir compte, </w:t>
      </w:r>
      <w:r w:rsidRPr="007B687E">
        <w:rPr>
          <w:rFonts w:eastAsia="Calibri"/>
          <w:kern w:val="22"/>
          <w:szCs w:val="22"/>
          <w:lang w:val="fr-CA"/>
        </w:rPr>
        <w:t>dans le cadre de l’application de l’article 8 du Protocole,</w:t>
      </w:r>
      <w:r w:rsidRPr="007B687E">
        <w:rPr>
          <w:kern w:val="22"/>
          <w:szCs w:val="22"/>
          <w:lang w:val="fr-CA"/>
        </w:rPr>
        <w:t xml:space="preserve"> des travaux pertinents menés par l’</w:t>
      </w:r>
      <w:r w:rsidRPr="007B687E">
        <w:rPr>
          <w:rFonts w:eastAsia="Calibri"/>
          <w:kern w:val="22"/>
          <w:szCs w:val="22"/>
          <w:lang w:val="fr-CA"/>
        </w:rPr>
        <w:t>Organisation des Nations Unies pour l’alimentation et l’agriculture, l’Organisation mondiale de la Santé et d’autres organisations compétentes, selon qu’il convient et en fonction du contexte national;</w:t>
      </w:r>
    </w:p>
    <w:p w14:paraId="0E7EB91F"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kern w:val="22"/>
          <w:szCs w:val="22"/>
          <w:lang w:val="fr-CA"/>
        </w:rPr>
      </w:pPr>
      <w:r w:rsidRPr="007B687E">
        <w:rPr>
          <w:kern w:val="22"/>
          <w:szCs w:val="22"/>
          <w:lang w:val="fr-CA"/>
        </w:rPr>
        <w:t>c)</w:t>
      </w:r>
      <w:r w:rsidRPr="007B687E">
        <w:rPr>
          <w:kern w:val="22"/>
          <w:szCs w:val="22"/>
          <w:lang w:val="fr-CA"/>
        </w:rPr>
        <w:tab/>
      </w:r>
      <w:r w:rsidRPr="007B687E">
        <w:rPr>
          <w:rFonts w:eastAsia="Calibri"/>
          <w:kern w:val="22"/>
          <w:szCs w:val="22"/>
          <w:lang w:val="fr-CA"/>
        </w:rPr>
        <w:t>À prendre note, dans l’application de l’article 16 du Protocole, des travaux pertinents effectués par l’Organisation mondiale de la propriété intellectuelle, selon qu’il convient, à condition qu’ils n’aillent pas à l’encontre des objectifs de la Convention et du Protocole;</w:t>
      </w:r>
    </w:p>
    <w:p w14:paraId="2E909C6D"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13.</w:t>
      </w:r>
      <w:r w:rsidRPr="007B687E">
        <w:rPr>
          <w:rFonts w:eastAsia="Calibri"/>
          <w:kern w:val="22"/>
          <w:szCs w:val="22"/>
          <w:lang w:val="fr-CA"/>
        </w:rPr>
        <w:tab/>
      </w:r>
      <w:r w:rsidRPr="007B687E">
        <w:rPr>
          <w:rFonts w:eastAsia="Calibri"/>
          <w:i/>
          <w:kern w:val="22"/>
          <w:szCs w:val="22"/>
          <w:lang w:val="fr-CA"/>
        </w:rPr>
        <w:t>Invite</w:t>
      </w:r>
      <w:r w:rsidRPr="007B687E">
        <w:rPr>
          <w:rFonts w:eastAsia="Calibri"/>
          <w:kern w:val="22"/>
          <w:szCs w:val="22"/>
          <w:lang w:val="fr-CA"/>
        </w:rPr>
        <w:t xml:space="preserve"> les peuples autochtones et les communautés locales à engager des processus d’accès et de partage des avantages conformément à leurs pratiques coutumières, y compris en élaborant des protocoles et procédures communautaires</w:t>
      </w:r>
      <w:r w:rsidRPr="003B09C1">
        <w:rPr>
          <w:rStyle w:val="Appelnotedebasdep"/>
          <w:rFonts w:eastAsia="Calibri"/>
          <w:kern w:val="22"/>
          <w:szCs w:val="22"/>
          <w:u w:val="none"/>
          <w:vertAlign w:val="superscript"/>
          <w:lang w:eastAsia="x-none"/>
        </w:rPr>
        <w:footnoteReference w:id="1"/>
      </w:r>
      <w:r w:rsidRPr="009A54B7">
        <w:rPr>
          <w:rFonts w:eastAsia="Calibri"/>
          <w:kern w:val="22"/>
          <w:szCs w:val="22"/>
          <w:lang w:val="fr-CA" w:eastAsia="x-none"/>
        </w:rPr>
        <w:t xml:space="preserve"> </w:t>
      </w:r>
      <w:r w:rsidRPr="007B687E">
        <w:rPr>
          <w:rFonts w:eastAsia="Calibri"/>
          <w:kern w:val="22"/>
          <w:szCs w:val="22"/>
          <w:lang w:val="fr-CA"/>
        </w:rPr>
        <w:t>pour l’accès et le partage des avantages, et à les mettre à disposition par le biais du Centre d’échange sur l’accès et le partage des avantages</w:t>
      </w:r>
      <w:r>
        <w:rPr>
          <w:rFonts w:eastAsia="Calibri"/>
          <w:kern w:val="22"/>
          <w:szCs w:val="22"/>
          <w:lang w:val="fr-CA"/>
        </w:rPr>
        <w:t xml:space="preserve">, et </w:t>
      </w:r>
      <w:r w:rsidRPr="009A54B7">
        <w:rPr>
          <w:rFonts w:eastAsia="Calibri"/>
          <w:i/>
          <w:kern w:val="22"/>
          <w:szCs w:val="22"/>
          <w:lang w:val="fr-CA"/>
        </w:rPr>
        <w:t>invite</w:t>
      </w:r>
      <w:r>
        <w:rPr>
          <w:rFonts w:eastAsia="Calibri"/>
          <w:kern w:val="22"/>
          <w:szCs w:val="22"/>
          <w:lang w:val="fr-CA"/>
        </w:rPr>
        <w:t xml:space="preserve"> les organisations compétentes à fournir une orientation afin de soutenir les peuples autochtones et les communautés locales dans l’élaboration de ces protocoles et procédures communautaires</w:t>
      </w:r>
      <w:r w:rsidRPr="007B687E">
        <w:rPr>
          <w:rFonts w:eastAsia="Calibri"/>
          <w:kern w:val="22"/>
          <w:szCs w:val="22"/>
          <w:lang w:val="fr-CA"/>
        </w:rPr>
        <w:t>;</w:t>
      </w:r>
    </w:p>
    <w:p w14:paraId="7CCDC3FB"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14.</w:t>
      </w:r>
      <w:r w:rsidRPr="007B687E">
        <w:rPr>
          <w:rFonts w:eastAsia="Calibri"/>
          <w:kern w:val="22"/>
          <w:szCs w:val="22"/>
          <w:lang w:val="fr-CA"/>
        </w:rPr>
        <w:tab/>
      </w:r>
      <w:r w:rsidRPr="007B687E">
        <w:rPr>
          <w:rFonts w:eastAsia="Calibri"/>
          <w:i/>
          <w:kern w:val="22"/>
          <w:szCs w:val="22"/>
          <w:lang w:val="fr-CA"/>
        </w:rPr>
        <w:t>Invite</w:t>
      </w:r>
      <w:r w:rsidRPr="007B687E">
        <w:rPr>
          <w:rFonts w:eastAsia="Calibri"/>
          <w:kern w:val="22"/>
          <w:szCs w:val="22"/>
          <w:lang w:val="fr-CA"/>
        </w:rPr>
        <w:t xml:space="preserve"> les parties prenantes concernées et les organisations et réseaux d’utilisateurs à engager des processus d’accès et de partage des avantages, y compris en élaborant des outils, tels que des clauses contractuelles types, codes de conduite, lignes directrices, bonnes pratiques et/ou normes, qui traitent les besoins de leurs groupes de parties prenantes et facilitent le respect des exigences relatives à l’accès et au partage des avantages, et à mettre ces outils à disposition par le biais du Centre d’échange sur l’accès et le partage des avantages;</w:t>
      </w:r>
    </w:p>
    <w:p w14:paraId="7CE471D6"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15.</w:t>
      </w:r>
      <w:r w:rsidRPr="007B687E">
        <w:rPr>
          <w:rFonts w:eastAsia="Calibri"/>
          <w:kern w:val="22"/>
          <w:szCs w:val="22"/>
          <w:lang w:val="fr-CA"/>
        </w:rPr>
        <w:tab/>
      </w:r>
      <w:r w:rsidRPr="007B687E">
        <w:rPr>
          <w:rFonts w:eastAsia="Calibri"/>
          <w:i/>
          <w:kern w:val="22"/>
          <w:szCs w:val="22"/>
          <w:lang w:val="fr-CA"/>
        </w:rPr>
        <w:t>Note</w:t>
      </w:r>
      <w:r w:rsidRPr="007B687E">
        <w:rPr>
          <w:rFonts w:eastAsia="Calibri"/>
          <w:kern w:val="22"/>
          <w:szCs w:val="22"/>
          <w:lang w:val="fr-CA"/>
        </w:rPr>
        <w:t xml:space="preserve"> que les travaux engagés sur un ou plusieurs instruments juridiques internationaux concernant la propriété intellectuelle en vue d’assurer la protection équilibrée et efficace des ressources génétiques, des connaissances traditionnelles et des expressions culturelles traditionnelles au titre de l’Organisation mondiale de la propriété intellectuelle se poursuivent et que, par conséquent, il serait prématuré de déterminer comment les résultats de ce processus pourraient contribuer à l’application du Protocole;</w:t>
      </w:r>
    </w:p>
    <w:p w14:paraId="62F0101B"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kern w:val="22"/>
          <w:szCs w:val="22"/>
          <w:lang w:val="fr-CA"/>
        </w:rPr>
      </w:pPr>
      <w:r w:rsidRPr="007B687E">
        <w:rPr>
          <w:rFonts w:eastAsia="Calibri"/>
          <w:kern w:val="22"/>
          <w:szCs w:val="22"/>
          <w:lang w:val="fr-CA"/>
        </w:rPr>
        <w:t>16.</w:t>
      </w:r>
      <w:r w:rsidRPr="007B687E">
        <w:rPr>
          <w:rFonts w:eastAsia="Calibri"/>
          <w:kern w:val="22"/>
          <w:szCs w:val="22"/>
          <w:lang w:val="fr-CA"/>
        </w:rPr>
        <w:tab/>
      </w:r>
      <w:r w:rsidRPr="007B687E">
        <w:rPr>
          <w:rFonts w:eastAsia="Calibri"/>
          <w:i/>
          <w:kern w:val="22"/>
          <w:szCs w:val="22"/>
          <w:lang w:val="fr-CA"/>
        </w:rPr>
        <w:t>Note également</w:t>
      </w:r>
      <w:r w:rsidRPr="007B687E">
        <w:rPr>
          <w:rFonts w:eastAsia="Calibri"/>
          <w:kern w:val="22"/>
          <w:szCs w:val="22"/>
          <w:lang w:val="fr-CA"/>
        </w:rPr>
        <w:t xml:space="preserve"> qu’on ne dispose pas d’informations suffisantes pour mesurer l’efficacité de l’article 18 conformément au paragraphe 4 de l’article 18 du Protocole;</w:t>
      </w:r>
    </w:p>
    <w:p w14:paraId="2EA6D545"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17.</w:t>
      </w:r>
      <w:r w:rsidRPr="007B687E">
        <w:rPr>
          <w:rFonts w:eastAsia="Calibri"/>
          <w:kern w:val="22"/>
          <w:szCs w:val="22"/>
          <w:lang w:val="fr-CA"/>
        </w:rPr>
        <w:tab/>
      </w:r>
      <w:r w:rsidRPr="007B687E">
        <w:rPr>
          <w:rFonts w:eastAsia="Calibri"/>
          <w:i/>
          <w:kern w:val="22"/>
          <w:szCs w:val="22"/>
          <w:lang w:val="fr-CA"/>
        </w:rPr>
        <w:t>Décide</w:t>
      </w:r>
      <w:r w:rsidRPr="007B687E">
        <w:rPr>
          <w:rFonts w:eastAsia="Calibri"/>
          <w:kern w:val="22"/>
          <w:szCs w:val="22"/>
          <w:lang w:val="fr-CA"/>
        </w:rPr>
        <w:t xml:space="preserve"> d’évaluer tous les éléments qui présentent un intérêt pour l’application du Protocole, y compris ceux identifiés au paragraphe 16 ci-dessus, ainsi que les progrès accomplis dans l’application de l’article 10 sur un mécanisme multilatéral mondial de partage des avantages et de l’article 23 sur le transfert de technologies, la collaboration et la coopération, lors du deuxième exercice d’évaluation et d’examen du Protocole;</w:t>
      </w:r>
    </w:p>
    <w:p w14:paraId="51507C66"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18.</w:t>
      </w:r>
      <w:r w:rsidRPr="007B687E">
        <w:rPr>
          <w:rFonts w:eastAsia="Calibri"/>
          <w:kern w:val="22"/>
          <w:szCs w:val="22"/>
          <w:lang w:val="fr-CA"/>
        </w:rPr>
        <w:tab/>
      </w:r>
      <w:r w:rsidRPr="007B687E">
        <w:rPr>
          <w:rFonts w:eastAsia="Calibri"/>
          <w:i/>
          <w:kern w:val="22"/>
          <w:szCs w:val="22"/>
          <w:lang w:val="fr-CA"/>
        </w:rPr>
        <w:t>Prie</w:t>
      </w:r>
      <w:r w:rsidRPr="007B687E">
        <w:rPr>
          <w:rFonts w:eastAsia="Calibri"/>
          <w:kern w:val="22"/>
          <w:szCs w:val="22"/>
          <w:lang w:val="fr-CA"/>
        </w:rPr>
        <w:t xml:space="preserve"> la Secrétaire exécutive :</w:t>
      </w:r>
    </w:p>
    <w:p w14:paraId="17C14813"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fr-CA"/>
        </w:rPr>
      </w:pPr>
      <w:r w:rsidRPr="007B687E">
        <w:rPr>
          <w:rFonts w:eastAsia="Calibri"/>
          <w:kern w:val="22"/>
          <w:szCs w:val="22"/>
          <w:u w:color="000000"/>
          <w:lang w:val="fr-CA"/>
        </w:rPr>
        <w:t>a)</w:t>
      </w:r>
      <w:r w:rsidRPr="007B687E">
        <w:rPr>
          <w:rFonts w:eastAsia="Calibri"/>
          <w:kern w:val="22"/>
          <w:szCs w:val="22"/>
          <w:u w:color="000000"/>
          <w:lang w:val="fr-CA"/>
        </w:rPr>
        <w:tab/>
        <w:t>D’entreprendre une enquête ciblée des correspondants nationaux chargés de l’accès et du partage des avantages, des autorités nationales compétentes et des utilisateurs et fournisseurs de ressources génétiques et/ou connaissances traditionnelles associées, sur les défis liés à l’application du Protocole afin de fournir une source additionnelle d’information dans les futurs processus d’évaluation et d’examen de l’efficacité du Protocole;</w:t>
      </w:r>
    </w:p>
    <w:p w14:paraId="6CF6AD68"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fr-CA"/>
        </w:rPr>
      </w:pPr>
      <w:r w:rsidRPr="007B687E">
        <w:rPr>
          <w:rFonts w:eastAsia="Calibri"/>
          <w:kern w:val="22"/>
          <w:szCs w:val="22"/>
          <w:u w:color="000000"/>
          <w:lang w:val="fr-CA"/>
        </w:rPr>
        <w:t>b)</w:t>
      </w:r>
      <w:r w:rsidRPr="007B687E">
        <w:rPr>
          <w:rFonts w:eastAsia="Calibri"/>
          <w:kern w:val="22"/>
          <w:szCs w:val="22"/>
          <w:u w:color="000000"/>
          <w:lang w:val="fr-CA"/>
        </w:rPr>
        <w:tab/>
        <w:t>De tenir compte des indicateurs figurant à l’annexe II lors de la préparation du format proposé pour le prochain rapport national sur l’application du Protocole de Nagoya;</w:t>
      </w:r>
    </w:p>
    <w:p w14:paraId="4E676AF0"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19.</w:t>
      </w:r>
      <w:r w:rsidRPr="007B687E">
        <w:rPr>
          <w:rFonts w:eastAsia="Calibri"/>
          <w:kern w:val="22"/>
          <w:szCs w:val="22"/>
          <w:lang w:val="fr-CA"/>
        </w:rPr>
        <w:tab/>
      </w:r>
      <w:r w:rsidRPr="007B687E">
        <w:rPr>
          <w:rFonts w:eastAsia="Calibri"/>
          <w:i/>
          <w:kern w:val="22"/>
          <w:szCs w:val="22"/>
          <w:lang w:val="fr-CA"/>
        </w:rPr>
        <w:t>Accueille avec satisfaction</w:t>
      </w:r>
      <w:r w:rsidRPr="007B687E">
        <w:rPr>
          <w:rFonts w:eastAsia="Calibri"/>
          <w:kern w:val="22"/>
          <w:szCs w:val="22"/>
          <w:lang w:val="fr-CA"/>
        </w:rPr>
        <w:t xml:space="preserve"> les progrès accomplis par le Secrétariat dans la mise en œuvre et le fonctionnement du Centre d’échange sur l’accès et le partage des avantages, et </w:t>
      </w:r>
      <w:r w:rsidRPr="007B687E">
        <w:rPr>
          <w:rFonts w:eastAsia="Calibri"/>
          <w:i/>
          <w:kern w:val="22"/>
          <w:szCs w:val="22"/>
          <w:lang w:val="fr-CA"/>
        </w:rPr>
        <w:t>souligne</w:t>
      </w:r>
      <w:r w:rsidRPr="007B687E">
        <w:rPr>
          <w:rFonts w:eastAsia="Calibri"/>
          <w:kern w:val="22"/>
          <w:szCs w:val="22"/>
          <w:lang w:val="fr-CA"/>
        </w:rPr>
        <w:t xml:space="preserve"> l’importance de mettre à disposition les informations relatives aux procédures à suivre afin d’accéder aux ressources génétiques et aux connaissances traditionnelles associées dans un pays;</w:t>
      </w:r>
    </w:p>
    <w:p w14:paraId="148156F5" w14:textId="77777777" w:rsidR="003B09C1" w:rsidRDefault="003B09C1">
      <w:pPr>
        <w:jc w:val="left"/>
        <w:rPr>
          <w:rFonts w:eastAsia="Calibri"/>
          <w:kern w:val="22"/>
          <w:szCs w:val="22"/>
          <w:lang w:val="fr-CA"/>
        </w:rPr>
      </w:pPr>
      <w:r>
        <w:rPr>
          <w:rFonts w:eastAsia="Calibri"/>
          <w:kern w:val="22"/>
          <w:szCs w:val="22"/>
          <w:lang w:val="fr-CA"/>
        </w:rPr>
        <w:br w:type="page"/>
      </w:r>
    </w:p>
    <w:p w14:paraId="707E5246" w14:textId="3BF72CE0"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lastRenderedPageBreak/>
        <w:t>20.</w:t>
      </w:r>
      <w:r w:rsidRPr="007B687E">
        <w:rPr>
          <w:rFonts w:eastAsia="Calibri"/>
          <w:kern w:val="22"/>
          <w:szCs w:val="22"/>
          <w:lang w:val="fr-CA"/>
        </w:rPr>
        <w:tab/>
      </w:r>
      <w:r w:rsidRPr="007B687E">
        <w:rPr>
          <w:rFonts w:eastAsia="Calibri"/>
          <w:i/>
          <w:kern w:val="22"/>
          <w:szCs w:val="22"/>
          <w:lang w:val="fr-CA"/>
        </w:rPr>
        <w:t>Prie</w:t>
      </w:r>
      <w:r w:rsidRPr="007B687E">
        <w:rPr>
          <w:rFonts w:eastAsia="Calibri"/>
          <w:kern w:val="22"/>
          <w:szCs w:val="22"/>
          <w:lang w:val="fr-CA"/>
        </w:rPr>
        <w:t xml:space="preserve"> la Secrétaire exécutive :</w:t>
      </w:r>
    </w:p>
    <w:p w14:paraId="39274682"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a)</w:t>
      </w:r>
      <w:r w:rsidRPr="007B687E">
        <w:rPr>
          <w:rFonts w:eastAsia="Calibri"/>
          <w:kern w:val="22"/>
          <w:szCs w:val="22"/>
          <w:lang w:val="fr-CA"/>
        </w:rPr>
        <w:tab/>
        <w:t>D’accorder la priorité à la traduction du contenu du Centre d’échange sur l’accès et le partage des avantages dans les six langues officielles des Nations Unies;</w:t>
      </w:r>
    </w:p>
    <w:p w14:paraId="32C8C577" w14:textId="77777777" w:rsidR="0045416C" w:rsidRPr="007B687E" w:rsidRDefault="0045416C" w:rsidP="00E44242">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20"/>
        <w:rPr>
          <w:rFonts w:eastAsia="Calibri"/>
          <w:spacing w:val="-1"/>
          <w:kern w:val="22"/>
          <w:szCs w:val="22"/>
          <w:lang w:val="fr-CA"/>
        </w:rPr>
      </w:pPr>
      <w:r w:rsidRPr="007B687E">
        <w:rPr>
          <w:rFonts w:eastAsia="Calibri"/>
          <w:spacing w:val="-1"/>
          <w:kern w:val="22"/>
          <w:szCs w:val="22"/>
          <w:lang w:val="fr-CA"/>
        </w:rPr>
        <w:t>b)</w:t>
      </w:r>
      <w:r w:rsidRPr="007B687E">
        <w:rPr>
          <w:rFonts w:eastAsia="Calibri"/>
          <w:spacing w:val="-1"/>
          <w:kern w:val="22"/>
          <w:szCs w:val="22"/>
          <w:lang w:val="fr-CA"/>
        </w:rPr>
        <w:tab/>
        <w:t>De continuer à améliorer les performances du Centre d’échange sur l’accès et le partage des avantages;</w:t>
      </w:r>
    </w:p>
    <w:p w14:paraId="5B4C30B5"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c)</w:t>
      </w:r>
      <w:r w:rsidRPr="007B687E">
        <w:rPr>
          <w:rFonts w:eastAsia="Calibri"/>
          <w:kern w:val="22"/>
          <w:szCs w:val="22"/>
          <w:lang w:val="fr-CA"/>
        </w:rPr>
        <w:tab/>
        <w:t>De solliciter des commentaires de la part de tous les types d’utilisateurs du Centre d’échange sur l’accès et le partage des avantages à propos de sa mise en œuvre et de son fonctionnement;</w:t>
      </w:r>
    </w:p>
    <w:p w14:paraId="14F57EBA"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lang w:val="fr-CA"/>
        </w:rPr>
      </w:pPr>
      <w:r w:rsidRPr="007B687E">
        <w:rPr>
          <w:rFonts w:eastAsia="Calibri"/>
          <w:kern w:val="22"/>
          <w:szCs w:val="22"/>
          <w:lang w:val="fr-CA"/>
        </w:rPr>
        <w:t>21.</w:t>
      </w:r>
      <w:r w:rsidRPr="007B687E">
        <w:rPr>
          <w:rFonts w:eastAsia="Calibri"/>
          <w:kern w:val="22"/>
          <w:szCs w:val="22"/>
          <w:lang w:val="fr-CA"/>
        </w:rPr>
        <w:tab/>
      </w:r>
      <w:r w:rsidRPr="007B687E">
        <w:rPr>
          <w:rFonts w:eastAsia="Calibri"/>
          <w:i/>
          <w:kern w:val="22"/>
          <w:szCs w:val="22"/>
          <w:lang w:val="fr-CA"/>
        </w:rPr>
        <w:t>Prie également</w:t>
      </w:r>
      <w:r w:rsidRPr="007B687E">
        <w:rPr>
          <w:rFonts w:eastAsia="Calibri"/>
          <w:kern w:val="22"/>
          <w:szCs w:val="22"/>
          <w:lang w:val="fr-CA"/>
        </w:rPr>
        <w:t xml:space="preserve"> la Secrétaire exécutive de continuer à fournir une assistance technique dans le cadre de la communication d’informations sur le Centre d’échange sur l’accès et le partage des avantages, notamment :</w:t>
      </w:r>
    </w:p>
    <w:p w14:paraId="290B596C"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fr-CA"/>
        </w:rPr>
      </w:pPr>
      <w:r w:rsidRPr="007B687E">
        <w:rPr>
          <w:rFonts w:eastAsia="Calibri"/>
          <w:kern w:val="22"/>
          <w:szCs w:val="22"/>
          <w:u w:color="000000"/>
          <w:lang w:val="fr-CA"/>
        </w:rPr>
        <w:t>a)</w:t>
      </w:r>
      <w:r w:rsidRPr="007B687E">
        <w:rPr>
          <w:rFonts w:eastAsia="Calibri"/>
          <w:kern w:val="22"/>
          <w:szCs w:val="22"/>
          <w:u w:color="000000"/>
          <w:lang w:val="fr-CA"/>
        </w:rPr>
        <w:tab/>
        <w:t>En encourageant la publication par les Parties, ainsi que les États non-Parties, de l’ensemble des informations obligatoires et autres informations pertinentes disponibles à l’échelle nationale dans le Centre d’échange sur l’accès et le partage des avantages et en proposant des formations sur l’utilisation du Centre d’échange sur l’accès et le partage des avantages;</w:t>
      </w:r>
    </w:p>
    <w:p w14:paraId="33725263"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fr-CA"/>
        </w:rPr>
      </w:pPr>
      <w:r w:rsidRPr="007B687E">
        <w:rPr>
          <w:rFonts w:eastAsia="Calibri"/>
          <w:kern w:val="22"/>
          <w:szCs w:val="22"/>
          <w:u w:color="000000"/>
          <w:lang w:val="fr-CA"/>
        </w:rPr>
        <w:t>b)</w:t>
      </w:r>
      <w:r w:rsidRPr="007B687E">
        <w:rPr>
          <w:rFonts w:eastAsia="Calibri"/>
          <w:kern w:val="22"/>
          <w:szCs w:val="22"/>
          <w:u w:color="000000"/>
          <w:lang w:val="fr-CA"/>
        </w:rPr>
        <w:tab/>
        <w:t>En encourageant la publication de dossiers de référence, selon qu’il convient, par les parties prenantes concernées, les peuples autochtones et les communautés locales, et les organisations compétentes sur le Centre d’échange sur l’accès et le partage des avantages;</w:t>
      </w:r>
    </w:p>
    <w:p w14:paraId="43CF64C0" w14:textId="77777777" w:rsidR="0045416C" w:rsidRPr="007B687E" w:rsidRDefault="0045416C" w:rsidP="00E44242">
      <w:pPr>
        <w:suppressLineNumbers/>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fr-CA"/>
        </w:rPr>
      </w:pPr>
      <w:r w:rsidRPr="007B687E">
        <w:rPr>
          <w:rFonts w:eastAsia="Calibri"/>
          <w:kern w:val="22"/>
          <w:szCs w:val="22"/>
          <w:u w:color="000000"/>
          <w:lang w:val="fr-CA"/>
        </w:rPr>
        <w:t>c)</w:t>
      </w:r>
      <w:r w:rsidRPr="007B687E">
        <w:rPr>
          <w:rFonts w:eastAsia="Calibri"/>
          <w:kern w:val="22"/>
          <w:szCs w:val="22"/>
          <w:u w:color="000000"/>
          <w:lang w:val="fr-CA"/>
        </w:rPr>
        <w:tab/>
        <w:t>En améliorant la compréhension du fonctionnement du système pour la surveillance de l’utilisation des ressources génétiques par le biais du Centre d’échange sur l’accès et le partage des avantages;</w:t>
      </w:r>
    </w:p>
    <w:p w14:paraId="0658E9DA" w14:textId="77777777" w:rsidR="0045416C" w:rsidRPr="009B0896" w:rsidRDefault="0045416C" w:rsidP="00E44242">
      <w:pPr>
        <w:suppressLineNumbers/>
        <w:suppressAutoHyphens/>
        <w:kinsoku w:val="0"/>
        <w:overflowPunct w:val="0"/>
        <w:autoSpaceDE w:val="0"/>
        <w:autoSpaceDN w:val="0"/>
        <w:adjustRightInd w:val="0"/>
        <w:snapToGrid w:val="0"/>
        <w:spacing w:before="120" w:line="240" w:lineRule="auto"/>
        <w:ind w:firstLine="720"/>
        <w:rPr>
          <w:b/>
          <w:snapToGrid w:val="0"/>
          <w:kern w:val="22"/>
          <w:szCs w:val="22"/>
          <w:lang w:val="fr-CA" w:eastAsia="en-CA"/>
        </w:rPr>
      </w:pPr>
      <w:r w:rsidRPr="007B687E">
        <w:rPr>
          <w:rFonts w:eastAsia="Calibri"/>
          <w:kern w:val="22"/>
          <w:szCs w:val="22"/>
          <w:u w:color="000000"/>
          <w:lang w:val="fr-CA"/>
        </w:rPr>
        <w:t>d)</w:t>
      </w:r>
      <w:r w:rsidRPr="007B687E">
        <w:rPr>
          <w:rFonts w:eastAsia="Calibri"/>
          <w:kern w:val="22"/>
          <w:szCs w:val="22"/>
          <w:u w:color="000000"/>
          <w:lang w:val="fr-CA"/>
        </w:rPr>
        <w:tab/>
        <w:t>En favorisant l’utilisation des fonctions d’interopérabilité du Centre d’échange sur l’accès et le partage des avantages, telles que l’interface de programmation d’applications</w:t>
      </w:r>
      <w:r w:rsidRPr="009B0896">
        <w:rPr>
          <w:rFonts w:eastAsia="Calibri"/>
          <w:kern w:val="22"/>
          <w:szCs w:val="22"/>
          <w:u w:color="000000"/>
          <w:lang w:val="fr-CA"/>
        </w:rPr>
        <w:t>;</w:t>
      </w:r>
    </w:p>
    <w:p w14:paraId="1C100A58" w14:textId="77777777" w:rsidR="0045416C" w:rsidRPr="007B687E" w:rsidRDefault="0045416C" w:rsidP="00E44242">
      <w:pPr>
        <w:pStyle w:val="Paragraphedeliste"/>
        <w:keepNext/>
        <w:numPr>
          <w:ilvl w:val="0"/>
          <w:numId w:val="55"/>
        </w:numPr>
        <w:spacing w:before="120" w:line="240" w:lineRule="auto"/>
        <w:ind w:left="0" w:hanging="11"/>
        <w:contextualSpacing w:val="0"/>
        <w:jc w:val="center"/>
        <w:rPr>
          <w:b/>
          <w:snapToGrid w:val="0"/>
          <w:szCs w:val="22"/>
          <w:lang w:val="fr-CA"/>
        </w:rPr>
      </w:pPr>
      <w:r w:rsidRPr="007B687E">
        <w:rPr>
          <w:b/>
          <w:snapToGrid w:val="0"/>
          <w:kern w:val="22"/>
          <w:szCs w:val="22"/>
          <w:lang w:val="fr-CA" w:eastAsia="en-CA"/>
        </w:rPr>
        <w:t>Deuxième exercice d’évaluation et d’examen du Protocole</w:t>
      </w:r>
    </w:p>
    <w:p w14:paraId="2E6983A6" w14:textId="77777777" w:rsidR="0045416C" w:rsidRPr="007B687E" w:rsidRDefault="0045416C" w:rsidP="00E44242">
      <w:pPr>
        <w:pStyle w:val="Paragraphedeliste"/>
        <w:suppressLineNumbers/>
        <w:suppressAutoHyphens/>
        <w:kinsoku w:val="0"/>
        <w:overflowPunct w:val="0"/>
        <w:autoSpaceDE w:val="0"/>
        <w:autoSpaceDN w:val="0"/>
        <w:adjustRightInd w:val="0"/>
        <w:snapToGrid w:val="0"/>
        <w:spacing w:before="120" w:line="240" w:lineRule="auto"/>
        <w:rPr>
          <w:i/>
          <w:kern w:val="22"/>
          <w:szCs w:val="22"/>
          <w:lang w:val="fr-CA"/>
        </w:rPr>
      </w:pPr>
      <w:r w:rsidRPr="007B687E">
        <w:rPr>
          <w:i/>
          <w:kern w:val="22"/>
          <w:szCs w:val="22"/>
          <w:lang w:val="fr-CA"/>
        </w:rPr>
        <w:t>La Conférence des Parties siégeant en tant que réunion des Parties au Protocole de Nagoya</w:t>
      </w:r>
    </w:p>
    <w:p w14:paraId="20EC3B31" w14:textId="77777777" w:rsidR="0045416C" w:rsidRPr="007B687E" w:rsidRDefault="0045416C" w:rsidP="00E44242">
      <w:pPr>
        <w:suppressLineNumbers/>
        <w:shd w:val="clear" w:color="auto" w:fill="FFFFFF" w:themeFill="background1"/>
        <w:suppressAutoHyphens/>
        <w:kinsoku w:val="0"/>
        <w:overflowPunct w:val="0"/>
        <w:autoSpaceDE w:val="0"/>
        <w:autoSpaceDN w:val="0"/>
        <w:snapToGrid w:val="0"/>
        <w:spacing w:before="120" w:line="240" w:lineRule="auto"/>
        <w:ind w:firstLine="720"/>
        <w:rPr>
          <w:i/>
          <w:snapToGrid w:val="0"/>
          <w:kern w:val="22"/>
          <w:szCs w:val="22"/>
          <w:lang w:val="fr-CA" w:eastAsia="en-CA"/>
        </w:rPr>
      </w:pPr>
      <w:r w:rsidRPr="007B687E">
        <w:rPr>
          <w:i/>
          <w:kern w:val="22"/>
          <w:szCs w:val="22"/>
          <w:lang w:val="fr-CA"/>
        </w:rPr>
        <w:t>Ayant examiné</w:t>
      </w:r>
      <w:r w:rsidRPr="007B687E">
        <w:rPr>
          <w:kern w:val="22"/>
          <w:szCs w:val="22"/>
          <w:lang w:val="fr-CA"/>
        </w:rPr>
        <w:t xml:space="preserve"> la note de la Secrétaire exécutive sur l’évaluation et l’examen de l’efficacité du Protocole (article 31</w:t>
      </w:r>
      <w:r w:rsidRPr="007B687E">
        <w:rPr>
          <w:i/>
          <w:kern w:val="22"/>
          <w:szCs w:val="22"/>
          <w:lang w:val="fr-CA"/>
        </w:rPr>
        <w:t>),</w:t>
      </w:r>
      <w:r w:rsidRPr="003B09C1">
        <w:rPr>
          <w:rStyle w:val="Appelnotedebasdep"/>
          <w:rFonts w:eastAsiaTheme="majorEastAsia"/>
          <w:kern w:val="22"/>
          <w:szCs w:val="22"/>
          <w:u w:val="none"/>
          <w:vertAlign w:val="superscript"/>
          <w:lang w:val="fr-CA"/>
        </w:rPr>
        <w:footnoteReference w:id="2"/>
      </w:r>
    </w:p>
    <w:p w14:paraId="21A79002" w14:textId="77777777" w:rsidR="0045416C" w:rsidRPr="007B687E" w:rsidRDefault="0045416C" w:rsidP="00E44242">
      <w:pPr>
        <w:suppressLineNumbers/>
        <w:shd w:val="clear" w:color="auto" w:fill="FFFFFF" w:themeFill="background1"/>
        <w:suppressAutoHyphens/>
        <w:kinsoku w:val="0"/>
        <w:overflowPunct w:val="0"/>
        <w:autoSpaceDE w:val="0"/>
        <w:autoSpaceDN w:val="0"/>
        <w:snapToGrid w:val="0"/>
        <w:spacing w:before="120" w:line="240" w:lineRule="auto"/>
        <w:ind w:firstLine="720"/>
        <w:rPr>
          <w:i/>
          <w:snapToGrid w:val="0"/>
          <w:kern w:val="22"/>
          <w:szCs w:val="22"/>
          <w:lang w:val="fr-CA" w:eastAsia="en-CA"/>
        </w:rPr>
      </w:pPr>
      <w:r w:rsidRPr="007B687E">
        <w:rPr>
          <w:i/>
          <w:snapToGrid w:val="0"/>
          <w:kern w:val="22"/>
          <w:szCs w:val="22"/>
          <w:lang w:val="fr-CA"/>
        </w:rPr>
        <w:t>Consciente</w:t>
      </w:r>
      <w:r w:rsidRPr="007B687E">
        <w:rPr>
          <w:snapToGrid w:val="0"/>
          <w:kern w:val="22"/>
          <w:szCs w:val="22"/>
          <w:lang w:val="fr-CA"/>
        </w:rPr>
        <w:t xml:space="preserve"> des liens entre la présentation des rapports nationaux et le processus d’évaluation et d’examen,</w:t>
      </w:r>
    </w:p>
    <w:p w14:paraId="344C61F6" w14:textId="77777777" w:rsidR="0045416C" w:rsidRPr="007B687E" w:rsidRDefault="0045416C" w:rsidP="00E44242">
      <w:pPr>
        <w:suppressLineNumbers/>
        <w:shd w:val="clear" w:color="auto" w:fill="F2F2F2" w:themeFill="background1" w:themeFillShade="F2"/>
        <w:suppressAutoHyphens/>
        <w:kinsoku w:val="0"/>
        <w:overflowPunct w:val="0"/>
        <w:autoSpaceDE w:val="0"/>
        <w:autoSpaceDN w:val="0"/>
        <w:snapToGrid w:val="0"/>
        <w:spacing w:before="120" w:line="240" w:lineRule="auto"/>
        <w:ind w:firstLine="720"/>
        <w:rPr>
          <w:snapToGrid w:val="0"/>
          <w:kern w:val="22"/>
          <w:szCs w:val="22"/>
          <w:lang w:val="fr-CA" w:eastAsia="en-CA"/>
        </w:rPr>
      </w:pPr>
      <w:r w:rsidRPr="007B687E">
        <w:rPr>
          <w:snapToGrid w:val="0"/>
          <w:kern w:val="22"/>
          <w:szCs w:val="22"/>
          <w:lang w:val="fr-CA" w:eastAsia="en-CA"/>
        </w:rPr>
        <w:t>1.</w:t>
      </w:r>
      <w:r w:rsidRPr="007B687E">
        <w:rPr>
          <w:snapToGrid w:val="0"/>
          <w:kern w:val="22"/>
          <w:szCs w:val="22"/>
          <w:lang w:val="fr-CA" w:eastAsia="en-CA"/>
        </w:rPr>
        <w:tab/>
      </w:r>
      <w:r w:rsidRPr="007B687E">
        <w:rPr>
          <w:i/>
          <w:snapToGrid w:val="0"/>
          <w:kern w:val="22"/>
          <w:szCs w:val="22"/>
          <w:lang w:val="fr-CA"/>
        </w:rPr>
        <w:t>Décide</w:t>
      </w:r>
      <w:r w:rsidRPr="007B687E">
        <w:rPr>
          <w:snapToGrid w:val="0"/>
          <w:kern w:val="22"/>
          <w:szCs w:val="22"/>
          <w:lang w:val="fr-CA"/>
        </w:rPr>
        <w:t xml:space="preserve"> de </w:t>
      </w:r>
      <w:r>
        <w:rPr>
          <w:snapToGrid w:val="0"/>
          <w:kern w:val="22"/>
          <w:szCs w:val="22"/>
          <w:lang w:val="fr-CA"/>
        </w:rPr>
        <w:t>réaliser</w:t>
      </w:r>
      <w:r w:rsidRPr="007B687E">
        <w:rPr>
          <w:snapToGrid w:val="0"/>
          <w:kern w:val="22"/>
          <w:szCs w:val="22"/>
          <w:lang w:val="fr-CA"/>
        </w:rPr>
        <w:t xml:space="preserve"> le deuxième exercice d’évaluation et d’examen de l’efficacité du Protocole à la sixième réunion de la Conférence des Parties siégeant en tant que Réunion des Parties au Protocole, en 2024;</w:t>
      </w:r>
    </w:p>
    <w:p w14:paraId="7156EDE9" w14:textId="77777777" w:rsidR="0045416C" w:rsidRPr="007B687E" w:rsidRDefault="0045416C" w:rsidP="00E44242">
      <w:pPr>
        <w:suppressLineNumbers/>
        <w:shd w:val="clear" w:color="auto" w:fill="FFFFFF" w:themeFill="background1"/>
        <w:suppressAutoHyphens/>
        <w:kinsoku w:val="0"/>
        <w:overflowPunct w:val="0"/>
        <w:autoSpaceDE w:val="0"/>
        <w:autoSpaceDN w:val="0"/>
        <w:snapToGrid w:val="0"/>
        <w:spacing w:before="120" w:line="240" w:lineRule="auto"/>
        <w:ind w:firstLine="720"/>
        <w:rPr>
          <w:snapToGrid w:val="0"/>
          <w:kern w:val="22"/>
          <w:szCs w:val="22"/>
          <w:lang w:val="fr-CA" w:eastAsia="en-CA"/>
        </w:rPr>
      </w:pPr>
      <w:r w:rsidRPr="007B687E">
        <w:rPr>
          <w:snapToGrid w:val="0"/>
          <w:kern w:val="22"/>
          <w:szCs w:val="22"/>
          <w:lang w:val="fr-CA"/>
        </w:rPr>
        <w:t>2.</w:t>
      </w:r>
      <w:r w:rsidRPr="007B687E">
        <w:rPr>
          <w:snapToGrid w:val="0"/>
          <w:kern w:val="22"/>
          <w:szCs w:val="22"/>
          <w:lang w:val="fr-CA"/>
        </w:rPr>
        <w:tab/>
      </w:r>
      <w:r w:rsidRPr="007B687E">
        <w:rPr>
          <w:i/>
          <w:snapToGrid w:val="0"/>
          <w:kern w:val="22"/>
          <w:szCs w:val="22"/>
          <w:lang w:val="fr-CA"/>
        </w:rPr>
        <w:t>Prie</w:t>
      </w:r>
      <w:r w:rsidRPr="007B687E">
        <w:rPr>
          <w:snapToGrid w:val="0"/>
          <w:kern w:val="22"/>
          <w:szCs w:val="22"/>
          <w:lang w:val="fr-CA"/>
        </w:rPr>
        <w:t xml:space="preserve"> la Secrétaire exécutive de proposer une méthodologie pour </w:t>
      </w:r>
      <w:r>
        <w:rPr>
          <w:snapToGrid w:val="0"/>
          <w:kern w:val="22"/>
          <w:szCs w:val="22"/>
          <w:lang w:val="fr-CA"/>
        </w:rPr>
        <w:t>réaliser</w:t>
      </w:r>
      <w:r w:rsidRPr="007B687E">
        <w:rPr>
          <w:snapToGrid w:val="0"/>
          <w:kern w:val="22"/>
          <w:szCs w:val="22"/>
          <w:lang w:val="fr-CA"/>
        </w:rPr>
        <w:t xml:space="preserve"> le deuxième exercice d’évaluation et d’examen de l’efficacité du Protocole, en tenant compte des résultats et des enseignements tirés du premier processus d’évaluation et d’examen, de l’expérience acquise dans le cadre du processus d’évaluation et d’examen au titre du Protocole de Cartagena sur la prévention des risques biotechnologiques, et du Cadre mondial pour la biodiversité</w:t>
      </w:r>
      <w:r>
        <w:rPr>
          <w:snapToGrid w:val="0"/>
          <w:kern w:val="22"/>
          <w:szCs w:val="22"/>
          <w:lang w:val="fr-CA"/>
        </w:rPr>
        <w:t xml:space="preserve"> de l’après-2020</w:t>
      </w:r>
      <w:r w:rsidRPr="007B687E">
        <w:rPr>
          <w:snapToGrid w:val="0"/>
          <w:kern w:val="22"/>
          <w:szCs w:val="22"/>
          <w:lang w:val="fr-CA" w:eastAsia="en-CA"/>
        </w:rPr>
        <w:t xml:space="preserve">; </w:t>
      </w:r>
    </w:p>
    <w:p w14:paraId="2EF1F1CA" w14:textId="77777777" w:rsidR="0045416C" w:rsidRPr="007B687E" w:rsidRDefault="0045416C" w:rsidP="00E44242">
      <w:pPr>
        <w:suppressLineNumbers/>
        <w:shd w:val="clear" w:color="auto" w:fill="FFFFFF" w:themeFill="background1"/>
        <w:suppressAutoHyphens/>
        <w:spacing w:before="120" w:line="240" w:lineRule="auto"/>
        <w:ind w:firstLine="720"/>
        <w:rPr>
          <w:snapToGrid w:val="0"/>
          <w:kern w:val="22"/>
          <w:szCs w:val="22"/>
          <w:lang w:val="fr-CA" w:eastAsia="en-CA"/>
        </w:rPr>
      </w:pPr>
      <w:r w:rsidRPr="007B687E">
        <w:rPr>
          <w:snapToGrid w:val="0"/>
          <w:kern w:val="22"/>
          <w:szCs w:val="22"/>
          <w:lang w:val="fr-CA" w:eastAsia="en-CA"/>
        </w:rPr>
        <w:t>3.</w:t>
      </w:r>
      <w:r w:rsidRPr="007B687E">
        <w:rPr>
          <w:i/>
          <w:snapToGrid w:val="0"/>
          <w:kern w:val="22"/>
          <w:szCs w:val="22"/>
          <w:lang w:val="fr-CA" w:eastAsia="en-CA"/>
        </w:rPr>
        <w:tab/>
      </w:r>
      <w:r w:rsidRPr="007B687E">
        <w:rPr>
          <w:i/>
          <w:snapToGrid w:val="0"/>
          <w:kern w:val="22"/>
          <w:szCs w:val="22"/>
          <w:lang w:val="fr-CA"/>
        </w:rPr>
        <w:t>Prie</w:t>
      </w:r>
      <w:r w:rsidRPr="007B687E">
        <w:rPr>
          <w:snapToGrid w:val="0"/>
          <w:kern w:val="22"/>
          <w:szCs w:val="22"/>
          <w:lang w:val="fr-CA"/>
        </w:rPr>
        <w:t xml:space="preserve"> l’Organe subsidiaire chargé de l’application d’examiner, à sa quatrième réunion, la méthodologie proposée dont il est question au paragraphe 2 ci-dessus et de présenter des recommandations aux fins d’examen par la Conférence des Parties siégeant en tant que Réunion des Parties au Protocole à sa cinquième réunion</w:t>
      </w:r>
      <w:r w:rsidRPr="007B687E">
        <w:rPr>
          <w:i/>
          <w:snapToGrid w:val="0"/>
          <w:kern w:val="22"/>
          <w:szCs w:val="22"/>
          <w:lang w:val="fr-CA" w:eastAsia="en-CA"/>
        </w:rPr>
        <w:t>;</w:t>
      </w:r>
    </w:p>
    <w:p w14:paraId="12D5ACD3" w14:textId="77777777" w:rsidR="0045416C" w:rsidRPr="009B0896" w:rsidRDefault="0045416C" w:rsidP="00E44242">
      <w:pPr>
        <w:suppressLineNumbers/>
        <w:shd w:val="clear" w:color="auto" w:fill="FFFFFF" w:themeFill="background1"/>
        <w:suppressAutoHyphens/>
        <w:kinsoku w:val="0"/>
        <w:overflowPunct w:val="0"/>
        <w:autoSpaceDE w:val="0"/>
        <w:autoSpaceDN w:val="0"/>
        <w:snapToGrid w:val="0"/>
        <w:spacing w:before="120" w:line="240" w:lineRule="auto"/>
        <w:ind w:firstLine="720"/>
        <w:rPr>
          <w:snapToGrid w:val="0"/>
          <w:kern w:val="22"/>
          <w:szCs w:val="22"/>
          <w:lang w:val="fr-CA" w:eastAsia="en-CA"/>
        </w:rPr>
      </w:pPr>
      <w:r w:rsidRPr="007B687E">
        <w:rPr>
          <w:snapToGrid w:val="0"/>
          <w:kern w:val="22"/>
          <w:szCs w:val="22"/>
          <w:lang w:val="fr-CA" w:eastAsia="en-CA"/>
        </w:rPr>
        <w:t>4.</w:t>
      </w:r>
      <w:r w:rsidRPr="007B687E">
        <w:rPr>
          <w:snapToGrid w:val="0"/>
          <w:kern w:val="22"/>
          <w:szCs w:val="22"/>
          <w:lang w:val="fr-CA" w:eastAsia="en-CA"/>
        </w:rPr>
        <w:tab/>
      </w:r>
      <w:r w:rsidRPr="007B687E">
        <w:rPr>
          <w:i/>
          <w:snapToGrid w:val="0"/>
          <w:kern w:val="22"/>
          <w:szCs w:val="22"/>
          <w:lang w:val="fr-CA"/>
        </w:rPr>
        <w:t>Décide</w:t>
      </w:r>
      <w:r w:rsidRPr="007B687E">
        <w:rPr>
          <w:snapToGrid w:val="0"/>
          <w:kern w:val="22"/>
          <w:szCs w:val="22"/>
          <w:lang w:val="fr-CA"/>
        </w:rPr>
        <w:t xml:space="preserve"> de réexaminer la question de la détermination des intervalles auxquels les exercices futurs d’évaluation et d’examen de l’efficacité du Protocole auront lieu lors d’une réunion ultérieure des Parties au Protocole</w:t>
      </w:r>
      <w:r w:rsidRPr="009B0896">
        <w:rPr>
          <w:snapToGrid w:val="0"/>
          <w:kern w:val="22"/>
          <w:szCs w:val="22"/>
          <w:lang w:val="fr-CA" w:eastAsia="en-CA"/>
        </w:rPr>
        <w:t>.</w:t>
      </w:r>
    </w:p>
    <w:p w14:paraId="2A53D759" w14:textId="77777777" w:rsidR="0045416C" w:rsidRPr="009B0896" w:rsidRDefault="0045416C" w:rsidP="0045416C">
      <w:pPr>
        <w:suppressLineNumbers/>
        <w:shd w:val="clear" w:color="auto" w:fill="FFFFFF" w:themeFill="background1"/>
        <w:suppressAutoHyphens/>
        <w:kinsoku w:val="0"/>
        <w:overflowPunct w:val="0"/>
        <w:autoSpaceDE w:val="0"/>
        <w:autoSpaceDN w:val="0"/>
        <w:adjustRightInd w:val="0"/>
        <w:snapToGrid w:val="0"/>
        <w:spacing w:line="240" w:lineRule="auto"/>
        <w:rPr>
          <w:rFonts w:eastAsia="Calibri"/>
          <w:kern w:val="22"/>
          <w:szCs w:val="22"/>
          <w:u w:color="000000"/>
          <w:lang w:val="fr-CA"/>
        </w:rPr>
      </w:pPr>
    </w:p>
    <w:p w14:paraId="6D7929C0"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jc w:val="center"/>
        <w:outlineLvl w:val="2"/>
        <w:rPr>
          <w:i/>
          <w:kern w:val="22"/>
          <w:szCs w:val="22"/>
          <w:lang w:val="fr-CA"/>
        </w:rPr>
      </w:pPr>
      <w:r w:rsidRPr="007B687E">
        <w:rPr>
          <w:i/>
          <w:kern w:val="22"/>
          <w:szCs w:val="22"/>
          <w:lang w:val="fr-CA"/>
        </w:rPr>
        <w:lastRenderedPageBreak/>
        <w:t>Annexe I</w:t>
      </w:r>
    </w:p>
    <w:p w14:paraId="5C43A256" w14:textId="77777777" w:rsidR="0045416C" w:rsidRPr="007B687E" w:rsidRDefault="0045416C" w:rsidP="0045416C">
      <w:pPr>
        <w:keepNext/>
        <w:suppressLineNumbers/>
        <w:suppressAutoHyphens/>
        <w:kinsoku w:val="0"/>
        <w:overflowPunct w:val="0"/>
        <w:autoSpaceDE w:val="0"/>
        <w:autoSpaceDN w:val="0"/>
        <w:adjustRightInd w:val="0"/>
        <w:snapToGrid w:val="0"/>
        <w:spacing w:before="120" w:line="240" w:lineRule="auto"/>
        <w:jc w:val="center"/>
        <w:rPr>
          <w:b/>
          <w:kern w:val="22"/>
          <w:szCs w:val="22"/>
          <w:lang w:val="fr-CA"/>
        </w:rPr>
      </w:pPr>
      <w:r w:rsidRPr="007B687E">
        <w:rPr>
          <w:b/>
          <w:kern w:val="22"/>
          <w:szCs w:val="20"/>
          <w:lang w:val="fr-CA"/>
        </w:rPr>
        <w:t>PRINCIPALES CONCLUSIONS</w:t>
      </w:r>
    </w:p>
    <w:p w14:paraId="29B79330"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1267" w:hanging="1267"/>
        <w:rPr>
          <w:rFonts w:eastAsia="Calibri"/>
          <w:b/>
          <w:color w:val="000000"/>
          <w:kern w:val="22"/>
          <w:szCs w:val="22"/>
          <w:u w:color="000000"/>
          <w:lang w:val="fr-CA"/>
        </w:rPr>
      </w:pPr>
      <w:r w:rsidRPr="007B687E">
        <w:rPr>
          <w:rFonts w:ascii="Times New Roman Bold" w:eastAsia="Calibri" w:hAnsi="Times New Roman Bold" w:cs="Times New Roman Bold"/>
          <w:b/>
          <w:color w:val="000000"/>
          <w:kern w:val="22"/>
          <w:szCs w:val="20"/>
          <w:u w:color="000000"/>
          <w:lang w:val="fr-CA"/>
        </w:rPr>
        <w:t>Élément a) :</w:t>
      </w:r>
      <w:r w:rsidRPr="007B687E">
        <w:rPr>
          <w:rFonts w:ascii="Times New Roman Bold" w:eastAsia="Calibri" w:hAnsi="Times New Roman Bold" w:cs="Times New Roman Bold"/>
          <w:b/>
          <w:color w:val="000000"/>
          <w:kern w:val="22"/>
          <w:szCs w:val="20"/>
          <w:u w:color="000000"/>
          <w:lang w:val="fr-CA"/>
        </w:rPr>
        <w:tab/>
        <w:t>Degré d’application des dispositions du Protocole de Nagoya et des obligations connexes des Parties, y compris une évaluation des progrès accomplis par les Parties dans la mise en place de structures institutionnelles et de mesures relatives à l’accès et au partage des avantages aux fins d’application du Protocole</w:t>
      </w:r>
    </w:p>
    <w:p w14:paraId="02965908"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1.</w:t>
      </w:r>
      <w:r w:rsidRPr="007B687E">
        <w:rPr>
          <w:kern w:val="22"/>
          <w:szCs w:val="22"/>
          <w:lang w:val="fr-CA"/>
        </w:rPr>
        <w:tab/>
      </w:r>
      <w:r>
        <w:rPr>
          <w:kern w:val="22"/>
          <w:szCs w:val="20"/>
          <w:lang w:val="fr-CA"/>
        </w:rPr>
        <w:t>L</w:t>
      </w:r>
      <w:r w:rsidRPr="007B687E">
        <w:rPr>
          <w:kern w:val="22"/>
          <w:szCs w:val="20"/>
          <w:lang w:val="fr-CA"/>
        </w:rPr>
        <w:t>es Parties doivent mettre en place des mesures législatives, administratives et de politique générale sur l’accès et le partage des avantages, ainsi que des dispositifs institutionnels, afin de rendre le Protocole de Nagoya opérationnel,</w:t>
      </w:r>
      <w:r>
        <w:rPr>
          <w:kern w:val="22"/>
          <w:szCs w:val="20"/>
          <w:lang w:val="fr-CA"/>
        </w:rPr>
        <w:t xml:space="preserve"> mais</w:t>
      </w:r>
      <w:r w:rsidRPr="007B687E">
        <w:rPr>
          <w:kern w:val="22"/>
          <w:szCs w:val="20"/>
          <w:lang w:val="fr-CA"/>
        </w:rPr>
        <w:t xml:space="preserve"> la plupart d’entre elles n’ont pas encore finalisé ces mesures et ces dispositifs. Cette procédure est longue et difficile pour un grand nombre d’entre elles</w:t>
      </w:r>
      <w:r w:rsidRPr="007B687E">
        <w:rPr>
          <w:kern w:val="22"/>
          <w:szCs w:val="22"/>
          <w:lang w:val="fr-CA"/>
        </w:rPr>
        <w:t>.</w:t>
      </w:r>
    </w:p>
    <w:p w14:paraId="5CE22B0C"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2.</w:t>
      </w:r>
      <w:r w:rsidRPr="007B687E">
        <w:rPr>
          <w:kern w:val="22"/>
          <w:szCs w:val="22"/>
          <w:lang w:val="fr-CA"/>
        </w:rPr>
        <w:tab/>
      </w:r>
      <w:r w:rsidRPr="007B687E">
        <w:rPr>
          <w:kern w:val="22"/>
          <w:szCs w:val="20"/>
          <w:lang w:val="fr-CA"/>
        </w:rPr>
        <w:t>Les progrès accomplis dans l’établissement de dispositifs institutionnels, tels que les autorités nationales compétentes et les points de contrôle, sont étroitement liés à l’adoption des mesures relatives à l’accès et au partage des avantages. Plusieurs mesures adoptées avant le Protocole de Nagoya prévoyaient de désigner des autorités nationales compétentes. La mise en place de points de contrôle, qui constitue une nouvelle exigence créée par le Protocole, n’a toutefois pas encore été concrétisée par de nombreuses Parties</w:t>
      </w:r>
      <w:r w:rsidRPr="007B687E">
        <w:rPr>
          <w:kern w:val="22"/>
          <w:szCs w:val="22"/>
          <w:lang w:val="fr-CA"/>
        </w:rPr>
        <w:t>.</w:t>
      </w:r>
    </w:p>
    <w:p w14:paraId="6B9A4C77"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3.</w:t>
      </w:r>
      <w:r w:rsidRPr="007B687E">
        <w:rPr>
          <w:kern w:val="22"/>
          <w:szCs w:val="22"/>
          <w:lang w:val="fr-CA"/>
        </w:rPr>
        <w:tab/>
      </w:r>
      <w:r>
        <w:rPr>
          <w:kern w:val="22"/>
          <w:szCs w:val="20"/>
          <w:lang w:val="fr-CA"/>
        </w:rPr>
        <w:t>Bien que</w:t>
      </w:r>
      <w:r w:rsidRPr="007B687E">
        <w:rPr>
          <w:kern w:val="22"/>
          <w:szCs w:val="20"/>
          <w:lang w:val="fr-CA"/>
        </w:rPr>
        <w:t xml:space="preserve"> la publication des informations obligatoires par le Centre d’échange sur l’accès et le partage des avantages </w:t>
      </w:r>
      <w:r>
        <w:rPr>
          <w:kern w:val="22"/>
          <w:szCs w:val="20"/>
          <w:lang w:val="fr-CA"/>
        </w:rPr>
        <w:t>soit</w:t>
      </w:r>
      <w:r w:rsidRPr="007B687E">
        <w:rPr>
          <w:kern w:val="22"/>
          <w:szCs w:val="20"/>
          <w:lang w:val="fr-CA"/>
        </w:rPr>
        <w:t xml:space="preserve"> essentielle à la mise en œuvre du Protocole, plusieurs Parties n’ont pas encore communiqué au centre d’échange toute information qu’elles sont tenues de fournir sur leur pays en vertu de l’article 14 du Protocole de Nagoya</w:t>
      </w:r>
      <w:r w:rsidRPr="007B687E">
        <w:rPr>
          <w:kern w:val="22"/>
          <w:szCs w:val="22"/>
          <w:lang w:val="fr-CA"/>
        </w:rPr>
        <w:t>.</w:t>
      </w:r>
    </w:p>
    <w:p w14:paraId="197471A9"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4.</w:t>
      </w:r>
      <w:r w:rsidRPr="007B687E">
        <w:rPr>
          <w:kern w:val="22"/>
          <w:szCs w:val="22"/>
          <w:lang w:val="fr-CA"/>
        </w:rPr>
        <w:tab/>
      </w:r>
      <w:r w:rsidRPr="007B687E">
        <w:rPr>
          <w:kern w:val="22"/>
          <w:szCs w:val="20"/>
          <w:lang w:val="fr-CA"/>
        </w:rPr>
        <w:t>En raison de son caractère pluridisciplinaire, la mise en œuvre du Protocole exige la participation des peuples autochtones et des communautés autochtones et locales et des parties prenantes pertinentes (par ex. les différents milieux d’affaires et les organismes scientifiques), ainsi que des activités de coordination entre les différents institutions et ministères (par ex. les ministères de la science et de l’éducation, de l’agriculture, du commerce et de la propriété intellectuelle). Afin de résoudre cette difficulté, des mécanismes appropriés pourraient être créés pour faciliter la coordination et la participation. Des actions de sensibilisation et de renforcement de capacités pourraient également être nécessaires</w:t>
      </w:r>
      <w:r w:rsidRPr="007B687E">
        <w:rPr>
          <w:kern w:val="22"/>
          <w:szCs w:val="22"/>
          <w:lang w:val="fr-CA"/>
        </w:rPr>
        <w:t>.</w:t>
      </w:r>
    </w:p>
    <w:p w14:paraId="233920C3"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5.</w:t>
      </w:r>
      <w:r w:rsidRPr="007B687E">
        <w:rPr>
          <w:kern w:val="22"/>
          <w:szCs w:val="22"/>
          <w:lang w:val="fr-CA"/>
        </w:rPr>
        <w:tab/>
      </w:r>
      <w:r w:rsidRPr="007B687E">
        <w:rPr>
          <w:kern w:val="22"/>
          <w:szCs w:val="20"/>
          <w:lang w:val="fr-CA"/>
        </w:rPr>
        <w:t>Les autres difficultés incluent l’élaboration de mesures relatives à l’accès et au partage des avantages qui facilitent ce partage, tout en assurant la sécurité juridique, en empêchant les complications juridiques inutiles, les délais, l’augmentation de la charge de travail, l’accroissement des coûts imposés aux utilisateurs et la limitation des ressources humaines chargées de ces questions et du Protocole de Nagoya dans de nombreuses Parties</w:t>
      </w:r>
      <w:r w:rsidRPr="007B687E">
        <w:rPr>
          <w:kern w:val="22"/>
          <w:szCs w:val="22"/>
          <w:lang w:val="fr-CA"/>
        </w:rPr>
        <w:t>.</w:t>
      </w:r>
    </w:p>
    <w:p w14:paraId="61AA8D70"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6.</w:t>
      </w:r>
      <w:r w:rsidRPr="007B687E">
        <w:rPr>
          <w:kern w:val="22"/>
          <w:szCs w:val="22"/>
          <w:lang w:val="fr-CA"/>
        </w:rPr>
        <w:tab/>
      </w:r>
      <w:r w:rsidRPr="007B687E">
        <w:rPr>
          <w:kern w:val="22"/>
          <w:szCs w:val="20"/>
          <w:lang w:val="fr-CA"/>
        </w:rPr>
        <w:t>Face à ces difficultés, l’élaboration de mesures provisoires pourrait apparaître comme une première étape. Cette élaboration devrait également prendre en compte les besoins des utilisateurs des ressources génétiques et des connaissances traditionnelles, dont les parties prenantes associées des différents milieux d’affaires. Les approches régionales pourront également faciliter l’harmonisation de l’application du Protocole</w:t>
      </w:r>
      <w:r w:rsidRPr="003B09C1">
        <w:rPr>
          <w:rStyle w:val="Appelnotedebasdep"/>
          <w:rFonts w:eastAsia="Calibri"/>
          <w:kern w:val="22"/>
          <w:szCs w:val="20"/>
          <w:u w:val="none"/>
          <w:vertAlign w:val="superscript"/>
          <w:lang w:val="fr-CA"/>
        </w:rPr>
        <w:footnoteReference w:id="3"/>
      </w:r>
      <w:r w:rsidRPr="003B09C1">
        <w:rPr>
          <w:rStyle w:val="Appelnotedebasdep"/>
          <w:rFonts w:eastAsia="Calibri"/>
          <w:kern w:val="22"/>
          <w:szCs w:val="20"/>
          <w:u w:val="none"/>
          <w:lang w:val="fr-CA"/>
        </w:rPr>
        <w:t>.</w:t>
      </w:r>
    </w:p>
    <w:p w14:paraId="6700EF28"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7.</w:t>
      </w:r>
      <w:r w:rsidRPr="007B687E">
        <w:rPr>
          <w:kern w:val="22"/>
          <w:szCs w:val="22"/>
          <w:lang w:val="fr-CA"/>
        </w:rPr>
        <w:tab/>
      </w:r>
      <w:r w:rsidRPr="007B687E">
        <w:rPr>
          <w:kern w:val="22"/>
          <w:szCs w:val="20"/>
          <w:lang w:val="fr-CA"/>
        </w:rPr>
        <w:t>Il est particulièrement difficile d’appliquer certains des nouveaux éléments du Protocole, à savoir les dispositions relatives à la conformité, à la surveillance de l’utilisation des ressources génétiques, dont la mise en place de points de contrôle, ainsi que les obligations liées aux peuples autochtones et communautés locales</w:t>
      </w:r>
      <w:r w:rsidRPr="007B687E">
        <w:rPr>
          <w:kern w:val="22"/>
          <w:szCs w:val="22"/>
          <w:lang w:val="fr-CA"/>
        </w:rPr>
        <w:t>.</w:t>
      </w:r>
    </w:p>
    <w:p w14:paraId="29E3B9D5"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8.</w:t>
      </w:r>
      <w:r w:rsidRPr="007B687E">
        <w:rPr>
          <w:kern w:val="22"/>
          <w:szCs w:val="22"/>
          <w:lang w:val="fr-CA"/>
        </w:rPr>
        <w:tab/>
      </w:r>
      <w:r w:rsidRPr="007B687E">
        <w:rPr>
          <w:kern w:val="22"/>
          <w:szCs w:val="20"/>
          <w:lang w:val="fr-CA"/>
        </w:rPr>
        <w:t>Le Protocole de Nagoya n’établit aucune distinction entre les pays utilisateurs de ressources génétiques et les pays fournisseurs de ressources génétiques. Ses obligations s’appliquent à toutes les Parties, notamment ses dispositions relatives au respect des dispositions législatives ou réglementaires internes visées aux articles 15 et 16</w:t>
      </w:r>
      <w:r w:rsidRPr="007B687E">
        <w:rPr>
          <w:kern w:val="22"/>
          <w:szCs w:val="22"/>
          <w:lang w:val="fr-CA"/>
        </w:rPr>
        <w:t>.</w:t>
      </w:r>
    </w:p>
    <w:p w14:paraId="205CF43A"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9.</w:t>
      </w:r>
      <w:r w:rsidRPr="007B687E">
        <w:rPr>
          <w:kern w:val="22"/>
          <w:szCs w:val="22"/>
          <w:lang w:val="fr-CA"/>
        </w:rPr>
        <w:tab/>
      </w:r>
      <w:r w:rsidRPr="007B687E">
        <w:rPr>
          <w:kern w:val="22"/>
          <w:szCs w:val="20"/>
          <w:lang w:val="fr-CA"/>
        </w:rPr>
        <w:t>Au sujet des points de contrôle, il est nécessaire que les Parties comprennent mieux leurs fonctions et les possibilités de leur désignation dans le contexte national. Il est également nécessaire de renforcer la capacité des points de contrôle existants afin qu’ils puissent s’acquitter de leurs fonctions</w:t>
      </w:r>
      <w:r w:rsidRPr="007B687E">
        <w:rPr>
          <w:kern w:val="22"/>
          <w:szCs w:val="22"/>
          <w:lang w:val="fr-CA"/>
        </w:rPr>
        <w:t>.</w:t>
      </w:r>
    </w:p>
    <w:p w14:paraId="2912125D"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lastRenderedPageBreak/>
        <w:t>10.</w:t>
      </w:r>
      <w:r w:rsidRPr="007B687E">
        <w:rPr>
          <w:kern w:val="22"/>
          <w:szCs w:val="22"/>
          <w:lang w:val="fr-CA"/>
        </w:rPr>
        <w:tab/>
      </w:r>
      <w:r w:rsidRPr="007B687E">
        <w:rPr>
          <w:kern w:val="22"/>
          <w:szCs w:val="20"/>
          <w:lang w:val="fr-CA"/>
        </w:rPr>
        <w:t>Les difficultés relatives aux peuples autochtones et communautés locales incluent : de déterminer de quelle manière le concept de « peuples autochtones et communautés locales » s’applique à l’échelle nationale; d’établir les droits des peuples autochtones et communautés locales à l’égard des ressources génétiques et/ou des connaissances traditionnelles associées à ces ressources; de recenser les différents groupes de communautés concernés; de mieux comprendre leur mode d’organisation; et de nouer des liens entre les connaissances traditionnelles et les détenteurs de ces connaissances. Afin de résoudre ces difficultés, les actions suivantes pourraient être envisagées :</w:t>
      </w:r>
    </w:p>
    <w:p w14:paraId="35574397" w14:textId="77777777" w:rsidR="0045416C" w:rsidRPr="007B687E" w:rsidRDefault="0045416C" w:rsidP="0045416C">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09"/>
        <w:rPr>
          <w:rFonts w:eastAsia="Calibri"/>
          <w:kern w:val="22"/>
          <w:szCs w:val="20"/>
          <w:u w:color="000000"/>
          <w:lang w:val="fr-CA"/>
        </w:rPr>
      </w:pPr>
      <w:r w:rsidRPr="007B687E">
        <w:rPr>
          <w:rFonts w:eastAsia="Calibri"/>
          <w:kern w:val="22"/>
          <w:szCs w:val="20"/>
          <w:u w:color="000000"/>
          <w:lang w:val="fr-CA"/>
        </w:rPr>
        <w:t>a)</w:t>
      </w:r>
      <w:r w:rsidRPr="007B687E">
        <w:rPr>
          <w:rFonts w:eastAsia="Calibri"/>
          <w:kern w:val="22"/>
          <w:szCs w:val="20"/>
          <w:u w:color="000000"/>
          <w:lang w:val="fr-CA"/>
        </w:rPr>
        <w:tab/>
        <w:t>Renforcer les capacités des Parties à faciliter la mise en œuvre des dispositions du Protocole relatives aux peuples autochtones et aux communautés locales, ainsi que les capacités de ces derniers à résoudre les questions relatives à l’accès et au partage des avantages;</w:t>
      </w:r>
    </w:p>
    <w:p w14:paraId="6FC8CE78" w14:textId="77777777" w:rsidR="0045416C" w:rsidRPr="007B687E" w:rsidRDefault="0045416C" w:rsidP="0045416C">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09"/>
        <w:rPr>
          <w:rFonts w:eastAsia="Calibri"/>
          <w:kern w:val="22"/>
          <w:szCs w:val="20"/>
          <w:u w:color="000000"/>
          <w:lang w:val="fr-CA"/>
        </w:rPr>
      </w:pPr>
      <w:r w:rsidRPr="007B687E">
        <w:rPr>
          <w:rFonts w:eastAsia="Calibri"/>
          <w:kern w:val="22"/>
          <w:szCs w:val="20"/>
          <w:u w:color="000000"/>
          <w:lang w:val="fr-CA"/>
        </w:rPr>
        <w:t>b)</w:t>
      </w:r>
      <w:r w:rsidRPr="007B687E">
        <w:rPr>
          <w:rFonts w:eastAsia="Calibri"/>
          <w:kern w:val="22"/>
          <w:szCs w:val="20"/>
          <w:u w:color="000000"/>
          <w:lang w:val="fr-CA"/>
        </w:rPr>
        <w:tab/>
        <w:t>Axer les travaux du Groupe de travail spécial à composition non limitée sur l’article 8 j) et les dispositions connexes sur le concept de peuples autochtones et de communautés locales</w:t>
      </w:r>
      <w:r w:rsidRPr="003B09C1">
        <w:rPr>
          <w:rStyle w:val="Appelnotedebasdep"/>
          <w:rFonts w:eastAsia="Calibri"/>
          <w:kern w:val="22"/>
          <w:szCs w:val="20"/>
          <w:u w:val="none"/>
          <w:vertAlign w:val="superscript"/>
          <w:lang w:val="fr-CA"/>
        </w:rPr>
        <w:footnoteReference w:id="4"/>
      </w:r>
      <w:r w:rsidRPr="007B687E">
        <w:rPr>
          <w:rFonts w:eastAsia="Calibri"/>
          <w:kern w:val="22"/>
          <w:szCs w:val="20"/>
          <w:u w:color="000000"/>
          <w:lang w:val="fr-CA"/>
        </w:rPr>
        <w:t>;</w:t>
      </w:r>
    </w:p>
    <w:p w14:paraId="05A5D0E7" w14:textId="77777777" w:rsidR="0045416C" w:rsidRPr="007B687E" w:rsidRDefault="0045416C" w:rsidP="0045416C">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09"/>
        <w:rPr>
          <w:rFonts w:eastAsia="Calibri"/>
          <w:kern w:val="22"/>
          <w:szCs w:val="20"/>
          <w:u w:color="000000"/>
          <w:lang w:val="fr-CA"/>
        </w:rPr>
      </w:pPr>
      <w:r w:rsidRPr="007B687E">
        <w:rPr>
          <w:rFonts w:eastAsia="Calibri"/>
          <w:kern w:val="22"/>
          <w:szCs w:val="20"/>
          <w:u w:color="000000"/>
          <w:lang w:val="fr-CA"/>
        </w:rPr>
        <w:t>c)</w:t>
      </w:r>
      <w:r w:rsidRPr="007B687E">
        <w:rPr>
          <w:rFonts w:eastAsia="Calibri"/>
          <w:kern w:val="22"/>
          <w:szCs w:val="20"/>
          <w:u w:color="000000"/>
          <w:lang w:val="fr-CA"/>
        </w:rPr>
        <w:tab/>
        <w:t>Mettre en place des mécanismes nationaux pour assurer la participation des peuples autochtones et communautés locales à la mise en œuvre des dispositions du Protocole relatives à ces derniers en tenant compte du contexte national;</w:t>
      </w:r>
    </w:p>
    <w:p w14:paraId="454BD268" w14:textId="77777777" w:rsidR="0045416C" w:rsidRPr="007B687E" w:rsidRDefault="0045416C" w:rsidP="0045416C">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09"/>
        <w:rPr>
          <w:rFonts w:eastAsia="Calibri"/>
          <w:kern w:val="22"/>
          <w:szCs w:val="20"/>
          <w:u w:color="000000"/>
          <w:lang w:val="fr-CA"/>
        </w:rPr>
      </w:pPr>
      <w:r w:rsidRPr="007B687E">
        <w:rPr>
          <w:rFonts w:eastAsia="Calibri"/>
          <w:kern w:val="22"/>
          <w:szCs w:val="20"/>
          <w:u w:color="000000"/>
          <w:lang w:val="fr-CA"/>
        </w:rPr>
        <w:t>d)</w:t>
      </w:r>
      <w:r w:rsidRPr="007B687E">
        <w:rPr>
          <w:rFonts w:eastAsia="Calibri"/>
          <w:kern w:val="22"/>
          <w:szCs w:val="20"/>
          <w:u w:color="000000"/>
          <w:lang w:val="fr-CA"/>
        </w:rPr>
        <w:tab/>
        <w:t>Faciliter la coordination et la consolidation des institutions dans, et parmi, les peuples autochtones et communautés locales, afin de résoudre les questions relatives à l’accès et au partage des avantages, en élaborant notamment des protocoles communautaires;</w:t>
      </w:r>
    </w:p>
    <w:p w14:paraId="08D3CB3B" w14:textId="77777777" w:rsidR="0045416C" w:rsidRPr="007B687E" w:rsidRDefault="0045416C" w:rsidP="0045416C">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09"/>
        <w:rPr>
          <w:rFonts w:eastAsia="Calibri"/>
          <w:kern w:val="22"/>
          <w:szCs w:val="22"/>
          <w:u w:color="000000"/>
          <w:lang w:val="fr-CA"/>
        </w:rPr>
      </w:pPr>
      <w:r w:rsidRPr="007B687E">
        <w:rPr>
          <w:rFonts w:eastAsia="Calibri"/>
          <w:kern w:val="22"/>
          <w:szCs w:val="20"/>
          <w:u w:color="000000"/>
          <w:lang w:val="fr-CA"/>
        </w:rPr>
        <w:t>e)</w:t>
      </w:r>
      <w:r w:rsidRPr="007B687E">
        <w:rPr>
          <w:rFonts w:eastAsia="Calibri"/>
          <w:kern w:val="22"/>
          <w:szCs w:val="20"/>
          <w:u w:color="000000"/>
          <w:lang w:val="fr-CA"/>
        </w:rPr>
        <w:tab/>
        <w:t>Renforcer les capacités des peuples autochtones et des communautés locales à élaborer des conditions minimales pour la négociation de conditions convenues d’un commun accord et de clauses contractuelles types, aux fins du partage des avantages découlant de l’utilisation des connaissances traditionnelles associées aux ressources génétiques.</w:t>
      </w:r>
    </w:p>
    <w:p w14:paraId="40285C0B"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11.</w:t>
      </w:r>
      <w:r w:rsidRPr="007B687E">
        <w:rPr>
          <w:kern w:val="22"/>
          <w:szCs w:val="22"/>
          <w:lang w:val="fr-CA"/>
        </w:rPr>
        <w:tab/>
      </w:r>
      <w:r w:rsidRPr="007B687E">
        <w:rPr>
          <w:kern w:val="22"/>
          <w:szCs w:val="20"/>
          <w:lang w:val="fr-CA"/>
        </w:rPr>
        <w:t>Les Parties adoptent des approches différentes pour le consentement préalable donné en connaissance de cause, les conditions convenues d’un commun accord et la délivrance des permis. Il importe que les Parties communiquent au Centre d’échange sur l’accès et le partage des avantages, des informations claires sur les procédures à suivre pour accéder aux ressources génétiques et aux connaissances traditionnelles associées</w:t>
      </w:r>
      <w:r w:rsidRPr="007B687E">
        <w:rPr>
          <w:kern w:val="22"/>
          <w:szCs w:val="22"/>
          <w:lang w:val="fr-CA"/>
        </w:rPr>
        <w:t>.</w:t>
      </w:r>
    </w:p>
    <w:p w14:paraId="675FE204"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spacing w:val="-2"/>
          <w:kern w:val="22"/>
          <w:szCs w:val="22"/>
          <w:lang w:val="fr-CA"/>
        </w:rPr>
      </w:pPr>
      <w:r w:rsidRPr="007B687E">
        <w:rPr>
          <w:spacing w:val="-2"/>
          <w:kern w:val="22"/>
          <w:szCs w:val="22"/>
          <w:lang w:val="fr-CA"/>
        </w:rPr>
        <w:t>12.</w:t>
      </w:r>
      <w:r w:rsidRPr="007B687E">
        <w:rPr>
          <w:spacing w:val="-2"/>
          <w:kern w:val="22"/>
          <w:szCs w:val="22"/>
          <w:lang w:val="fr-CA"/>
        </w:rPr>
        <w:tab/>
      </w:r>
      <w:r w:rsidRPr="007B687E">
        <w:rPr>
          <w:spacing w:val="-2"/>
          <w:kern w:val="22"/>
          <w:szCs w:val="20"/>
          <w:lang w:val="fr-CA"/>
        </w:rPr>
        <w:t>De même, il importe que les Parties veillent à respecter plusieurs considérations spéciales lors de l’élaboration et de la mise en œuvre des dispositions législatives ou réglementaires sur l’accès et le partage des avantages, comme le prévoit l’article 8 du Protocole. Les travaux entrepris à ce sujet par l’Organisation des Nations Unies pour l’alimentation et l’agriculture</w:t>
      </w:r>
      <w:r w:rsidRPr="00335607">
        <w:rPr>
          <w:rStyle w:val="Appelnotedebasdep"/>
          <w:rFonts w:eastAsia="Calibri"/>
          <w:spacing w:val="-2"/>
          <w:kern w:val="22"/>
          <w:szCs w:val="20"/>
          <w:u w:val="none"/>
          <w:vertAlign w:val="superscript"/>
          <w:lang w:val="fr-CA"/>
        </w:rPr>
        <w:footnoteReference w:id="5"/>
      </w:r>
      <w:r>
        <w:rPr>
          <w:spacing w:val="-2"/>
          <w:kern w:val="22"/>
          <w:szCs w:val="20"/>
          <w:lang w:val="fr-CA"/>
        </w:rPr>
        <w:t>,</w:t>
      </w:r>
      <w:r w:rsidRPr="007B687E">
        <w:rPr>
          <w:spacing w:val="-2"/>
          <w:kern w:val="22"/>
          <w:szCs w:val="20"/>
          <w:lang w:val="fr-CA"/>
        </w:rPr>
        <w:t xml:space="preserve"> l’Organisation mondiale de la Santé et d’autres organisations pourront être utiles à cet égard</w:t>
      </w:r>
      <w:r w:rsidRPr="007B687E">
        <w:rPr>
          <w:spacing w:val="-2"/>
          <w:kern w:val="22"/>
          <w:szCs w:val="22"/>
          <w:lang w:val="fr-CA"/>
        </w:rPr>
        <w:t>.</w:t>
      </w:r>
    </w:p>
    <w:p w14:paraId="646EB35B"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13.</w:t>
      </w:r>
      <w:r w:rsidRPr="007B687E">
        <w:rPr>
          <w:kern w:val="22"/>
          <w:szCs w:val="22"/>
          <w:lang w:val="fr-CA"/>
        </w:rPr>
        <w:tab/>
      </w:r>
      <w:r w:rsidRPr="007B687E">
        <w:rPr>
          <w:kern w:val="22"/>
          <w:szCs w:val="20"/>
          <w:lang w:val="fr-CA"/>
        </w:rPr>
        <w:t>L’importance de partager les informations et les expériences relatives à la coopération transfrontière (article 11) a été soulignée. L’expérience acquise dans le cadre de projets infrarégionaux et bilatéraux pourrait en particulier faciliter la mise en œuvre de cet article Des structures ou projets régionaux ont été identifiés par certaines Parties en vue de résoudre cette difficulté et la nécessité de renforcer la capacité des structures régionales concernées a été soulignée</w:t>
      </w:r>
      <w:r w:rsidRPr="007B687E">
        <w:rPr>
          <w:kern w:val="22"/>
          <w:szCs w:val="22"/>
          <w:lang w:val="fr-CA"/>
        </w:rPr>
        <w:t>.</w:t>
      </w:r>
    </w:p>
    <w:p w14:paraId="05E38639"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14.</w:t>
      </w:r>
      <w:r w:rsidRPr="007B687E">
        <w:rPr>
          <w:kern w:val="22"/>
          <w:szCs w:val="22"/>
          <w:lang w:val="fr-CA"/>
        </w:rPr>
        <w:tab/>
      </w:r>
      <w:r w:rsidRPr="007B687E">
        <w:rPr>
          <w:lang w:val="fr-CA"/>
        </w:rPr>
        <w:t>Le renforcement des capacités pourrait également soutenir l’application harmonisée du Protocole entre les pays qui partagent les mêmes ressources génétiques ou les connaissances traditionnelles associées aux ressources génétiques</w:t>
      </w:r>
      <w:r w:rsidRPr="007B687E">
        <w:rPr>
          <w:kern w:val="22"/>
          <w:szCs w:val="22"/>
          <w:lang w:val="fr-CA"/>
        </w:rPr>
        <w:t>.</w:t>
      </w:r>
    </w:p>
    <w:p w14:paraId="04A0FC39"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jc w:val="left"/>
        <w:rPr>
          <w:b/>
          <w:kern w:val="22"/>
          <w:szCs w:val="22"/>
          <w:lang w:val="fr-CA"/>
        </w:rPr>
      </w:pPr>
      <w:r w:rsidRPr="007B687E">
        <w:rPr>
          <w:b/>
          <w:kern w:val="22"/>
          <w:szCs w:val="20"/>
          <w:lang w:val="fr-CA"/>
        </w:rPr>
        <w:lastRenderedPageBreak/>
        <w:t>Élément b) Établissement de points de référence pour mesurer l’efficacité</w:t>
      </w:r>
    </w:p>
    <w:p w14:paraId="2EF8BD12"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15.</w:t>
      </w:r>
      <w:r w:rsidRPr="007B687E">
        <w:rPr>
          <w:kern w:val="22"/>
          <w:szCs w:val="22"/>
          <w:lang w:val="fr-CA"/>
        </w:rPr>
        <w:tab/>
      </w:r>
      <w:r w:rsidRPr="007B687E">
        <w:rPr>
          <w:kern w:val="22"/>
          <w:szCs w:val="20"/>
          <w:lang w:val="fr-CA"/>
        </w:rPr>
        <w:t>Plusieurs Parties ont déclaré qu’elles avaient tiré des avantages de l’utilisation des ressources génétiques et des connaissances traditionnelles associées</w:t>
      </w:r>
      <w:r w:rsidRPr="007B687E">
        <w:rPr>
          <w:kern w:val="22"/>
          <w:szCs w:val="22"/>
          <w:lang w:val="fr-CA"/>
        </w:rPr>
        <w:t>.</w:t>
      </w:r>
    </w:p>
    <w:p w14:paraId="177A3562"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16.</w:t>
      </w:r>
      <w:r w:rsidRPr="007B687E">
        <w:rPr>
          <w:kern w:val="22"/>
          <w:szCs w:val="22"/>
          <w:lang w:val="fr-CA"/>
        </w:rPr>
        <w:tab/>
      </w:r>
      <w:r w:rsidRPr="007B687E">
        <w:rPr>
          <w:kern w:val="22"/>
          <w:szCs w:val="20"/>
          <w:lang w:val="fr-CA"/>
        </w:rPr>
        <w:t>Au sujet de la contribution de l’application du Protocole de Nagoya à la conservation et à l’utilisation durable de la diversité biologique dans leur pays, de nombreuses Parties ont considéré qu’il était prématuré de répondre à cette question en raison du caractère récent de l’application du Protocole de Nagoya</w:t>
      </w:r>
      <w:r w:rsidRPr="007B687E">
        <w:rPr>
          <w:kern w:val="22"/>
          <w:szCs w:val="22"/>
          <w:lang w:val="fr-CA"/>
        </w:rPr>
        <w:t>.</w:t>
      </w:r>
    </w:p>
    <w:p w14:paraId="465E9BE9"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17.</w:t>
      </w:r>
      <w:r w:rsidRPr="007B687E">
        <w:rPr>
          <w:kern w:val="22"/>
          <w:szCs w:val="22"/>
          <w:lang w:val="fr-CA"/>
        </w:rPr>
        <w:tab/>
      </w:r>
      <w:r w:rsidRPr="007B687E">
        <w:rPr>
          <w:kern w:val="22"/>
          <w:szCs w:val="20"/>
          <w:lang w:val="fr-CA"/>
        </w:rPr>
        <w:t>La contribution la plus couramment citée concerne la sensibilisation accrue à l’égard de la valeur de la conservation, de l’utilisation durable de la diversité biologique et des services écosystémiques. Les exemples d’autres contributions cités par les pays sont les suivants :</w:t>
      </w:r>
    </w:p>
    <w:p w14:paraId="36901309" w14:textId="77777777" w:rsidR="0045416C" w:rsidRPr="007B687E" w:rsidRDefault="0045416C" w:rsidP="0045416C">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20"/>
        <w:rPr>
          <w:rFonts w:eastAsia="Calibri"/>
          <w:kern w:val="22"/>
          <w:szCs w:val="20"/>
          <w:u w:color="000000"/>
          <w:lang w:val="fr-CA"/>
        </w:rPr>
      </w:pPr>
      <w:r w:rsidRPr="007B687E">
        <w:rPr>
          <w:rFonts w:eastAsia="Calibri"/>
          <w:kern w:val="22"/>
          <w:szCs w:val="20"/>
          <w:u w:color="000000"/>
          <w:lang w:val="fr-CA"/>
        </w:rPr>
        <w:t>a)</w:t>
      </w:r>
      <w:r w:rsidRPr="007B687E">
        <w:rPr>
          <w:rFonts w:eastAsia="Calibri"/>
          <w:kern w:val="22"/>
          <w:szCs w:val="20"/>
          <w:u w:color="000000"/>
          <w:lang w:val="fr-CA"/>
        </w:rPr>
        <w:tab/>
        <w:t>Les gestionnaires ou les autorités chargés des ressources naturelles connaissent mieux les avantages offerts par le Protocole de Nagoya et élaborent des pratiques de conservation;</w:t>
      </w:r>
    </w:p>
    <w:p w14:paraId="50370E7E" w14:textId="77777777" w:rsidR="0045416C" w:rsidRPr="007B687E" w:rsidRDefault="0045416C" w:rsidP="0045416C">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20"/>
        <w:rPr>
          <w:rFonts w:eastAsia="Calibri"/>
          <w:kern w:val="22"/>
          <w:szCs w:val="20"/>
          <w:u w:color="000000"/>
          <w:lang w:val="fr-CA"/>
        </w:rPr>
      </w:pPr>
      <w:r w:rsidRPr="007B687E">
        <w:rPr>
          <w:rFonts w:eastAsia="Calibri"/>
          <w:kern w:val="22"/>
          <w:szCs w:val="20"/>
          <w:u w:color="000000"/>
          <w:lang w:val="fr-CA"/>
        </w:rPr>
        <w:t>b)</w:t>
      </w:r>
      <w:r w:rsidRPr="007B687E">
        <w:rPr>
          <w:rFonts w:eastAsia="Calibri"/>
          <w:kern w:val="22"/>
          <w:szCs w:val="20"/>
          <w:u w:color="000000"/>
          <w:lang w:val="fr-CA"/>
        </w:rPr>
        <w:tab/>
        <w:t>L’application du Protocole de Nagoya a contribué à améliorer les connaissances sur les espèces, notamment dans le cadre de la constitution de bases de données ou de bilans, et leurs populations, et à valoriser les approches axées sur les ressources génétiques ou la conservation;</w:t>
      </w:r>
    </w:p>
    <w:p w14:paraId="6B33E9E3" w14:textId="77777777" w:rsidR="0045416C" w:rsidRPr="007B687E" w:rsidRDefault="0045416C" w:rsidP="0045416C">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20"/>
        <w:rPr>
          <w:rFonts w:eastAsia="Calibri"/>
          <w:kern w:val="22"/>
          <w:szCs w:val="20"/>
          <w:u w:color="000000"/>
          <w:lang w:val="fr-CA"/>
        </w:rPr>
      </w:pPr>
      <w:r w:rsidRPr="007B687E">
        <w:rPr>
          <w:rFonts w:eastAsia="Calibri"/>
          <w:kern w:val="22"/>
          <w:szCs w:val="20"/>
          <w:u w:color="000000"/>
          <w:lang w:val="fr-CA"/>
        </w:rPr>
        <w:t>c)</w:t>
      </w:r>
      <w:r w:rsidRPr="007B687E">
        <w:rPr>
          <w:rFonts w:eastAsia="Calibri"/>
          <w:kern w:val="22"/>
          <w:szCs w:val="20"/>
          <w:u w:color="000000"/>
          <w:lang w:val="fr-CA"/>
        </w:rPr>
        <w:tab/>
        <w:t>Les communautés participent davantage à la conservation et à l’utilisation durable des ressources;</w:t>
      </w:r>
    </w:p>
    <w:p w14:paraId="41A09BCE" w14:textId="77777777" w:rsidR="0045416C" w:rsidRPr="007B687E" w:rsidRDefault="0045416C" w:rsidP="0045416C">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20"/>
        <w:rPr>
          <w:rFonts w:eastAsia="Calibri"/>
          <w:kern w:val="22"/>
          <w:szCs w:val="20"/>
          <w:u w:color="000000"/>
          <w:lang w:val="fr-CA"/>
        </w:rPr>
      </w:pPr>
      <w:r w:rsidRPr="007B687E">
        <w:rPr>
          <w:rFonts w:eastAsia="Calibri"/>
          <w:kern w:val="22"/>
          <w:szCs w:val="20"/>
          <w:u w:color="000000"/>
          <w:lang w:val="fr-CA"/>
        </w:rPr>
        <w:t>d)</w:t>
      </w:r>
      <w:r w:rsidRPr="007B687E">
        <w:rPr>
          <w:rFonts w:eastAsia="Calibri"/>
          <w:kern w:val="22"/>
          <w:szCs w:val="20"/>
          <w:u w:color="000000"/>
          <w:lang w:val="fr-CA"/>
        </w:rPr>
        <w:tab/>
        <w:t>Le respect des utilisateurs s’accroît à l’égard des ressources génétiques;</w:t>
      </w:r>
    </w:p>
    <w:p w14:paraId="49860EDE" w14:textId="77777777" w:rsidR="0045416C" w:rsidRPr="007B687E" w:rsidRDefault="0045416C" w:rsidP="0045416C">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20"/>
        <w:rPr>
          <w:rFonts w:eastAsia="Calibri"/>
          <w:spacing w:val="-9"/>
          <w:kern w:val="22"/>
          <w:szCs w:val="20"/>
          <w:u w:color="000000"/>
          <w:lang w:val="fr-CA"/>
        </w:rPr>
      </w:pPr>
      <w:r w:rsidRPr="007B687E">
        <w:rPr>
          <w:rFonts w:eastAsia="Calibri"/>
          <w:spacing w:val="-9"/>
          <w:kern w:val="22"/>
          <w:szCs w:val="20"/>
          <w:u w:color="000000"/>
          <w:lang w:val="fr-CA"/>
        </w:rPr>
        <w:t>e)</w:t>
      </w:r>
      <w:r w:rsidRPr="007B687E">
        <w:rPr>
          <w:rFonts w:eastAsia="Calibri"/>
          <w:spacing w:val="-9"/>
          <w:kern w:val="22"/>
          <w:szCs w:val="20"/>
          <w:u w:color="000000"/>
          <w:lang w:val="fr-CA"/>
        </w:rPr>
        <w:tab/>
        <w:t>L’importance centrale des travaux de recherche et de développement pour la valorisation des ressources génétiques est reconnue;</w:t>
      </w:r>
    </w:p>
    <w:p w14:paraId="36F53D1B" w14:textId="77777777" w:rsidR="0045416C" w:rsidRPr="007B687E" w:rsidRDefault="0045416C" w:rsidP="0045416C">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line="240" w:lineRule="auto"/>
        <w:ind w:firstLine="720"/>
        <w:rPr>
          <w:rFonts w:eastAsia="Calibri"/>
          <w:kern w:val="22"/>
          <w:szCs w:val="22"/>
          <w:u w:color="000000"/>
          <w:lang w:val="fr-CA"/>
        </w:rPr>
      </w:pPr>
      <w:r w:rsidRPr="007B687E">
        <w:rPr>
          <w:rFonts w:eastAsia="Calibri"/>
          <w:kern w:val="22"/>
          <w:szCs w:val="20"/>
          <w:u w:color="000000"/>
          <w:lang w:val="fr-CA"/>
        </w:rPr>
        <w:t>f)</w:t>
      </w:r>
      <w:r w:rsidRPr="007B687E">
        <w:rPr>
          <w:rFonts w:eastAsia="Calibri"/>
          <w:kern w:val="22"/>
          <w:szCs w:val="20"/>
          <w:u w:color="000000"/>
          <w:lang w:val="fr-CA"/>
        </w:rPr>
        <w:tab/>
        <w:t>L’application du Protocole a fortement contribué à l’intégration d’éléments constitutifs de la conservation et de l’utilisation de la diversité biologique dans les programmes publics de développement, notamment le Programme de développement durable à l’horizon 2030.</w:t>
      </w:r>
    </w:p>
    <w:p w14:paraId="79360235"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jc w:val="left"/>
        <w:rPr>
          <w:rFonts w:eastAsia="Calibri"/>
          <w:b/>
          <w:color w:val="000000"/>
          <w:kern w:val="22"/>
          <w:szCs w:val="22"/>
          <w:u w:color="000000"/>
          <w:lang w:val="fr-CA"/>
        </w:rPr>
      </w:pPr>
      <w:r w:rsidRPr="007B687E">
        <w:rPr>
          <w:rFonts w:eastAsia="Calibri"/>
          <w:b/>
          <w:color w:val="000000"/>
          <w:kern w:val="22"/>
          <w:szCs w:val="20"/>
          <w:u w:color="000000"/>
          <w:lang w:val="fr-CA"/>
        </w:rPr>
        <w:t>Élément c) : Établissement de points de référence sur le soutien disponible pour l’application</w:t>
      </w:r>
    </w:p>
    <w:p w14:paraId="27FF9D72"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18.</w:t>
      </w:r>
      <w:r w:rsidRPr="007B687E">
        <w:rPr>
          <w:kern w:val="22"/>
          <w:szCs w:val="22"/>
          <w:lang w:val="fr-CA"/>
        </w:rPr>
        <w:tab/>
      </w:r>
      <w:r>
        <w:rPr>
          <w:kern w:val="22"/>
          <w:szCs w:val="20"/>
          <w:lang w:val="fr-CA"/>
        </w:rPr>
        <w:t>Bien que</w:t>
      </w:r>
      <w:r w:rsidRPr="007B687E">
        <w:rPr>
          <w:kern w:val="22"/>
          <w:szCs w:val="20"/>
          <w:lang w:val="fr-CA"/>
        </w:rPr>
        <w:t xml:space="preserve"> plusieurs initiatives relatives à la création et au renforcement des capacités encouragent actuellement la ratification et la mise en œuvre du Protocole de Nagoya, un grand nombre de Parties disposent encore de capacités et de ressources financières insuffisantes au bon fonctionnement du Protocole. Cet encouragement continue ainsi d’être essentiel à l’avancement de la mise en œuvre du Protocole, en particulier pour les pays en développement Parties et les Parties </w:t>
      </w:r>
      <w:r>
        <w:rPr>
          <w:kern w:val="22"/>
          <w:szCs w:val="20"/>
          <w:lang w:val="fr-CA"/>
        </w:rPr>
        <w:t>à économie</w:t>
      </w:r>
      <w:r w:rsidRPr="007B687E">
        <w:rPr>
          <w:kern w:val="22"/>
          <w:szCs w:val="20"/>
          <w:lang w:val="fr-CA"/>
        </w:rPr>
        <w:t xml:space="preserve"> en transition</w:t>
      </w:r>
      <w:r w:rsidRPr="007B687E">
        <w:rPr>
          <w:kern w:val="22"/>
          <w:szCs w:val="22"/>
          <w:lang w:val="fr-CA"/>
        </w:rPr>
        <w:t>.</w:t>
      </w:r>
    </w:p>
    <w:p w14:paraId="1447F15D"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19.</w:t>
      </w:r>
      <w:r w:rsidRPr="007B687E">
        <w:rPr>
          <w:kern w:val="22"/>
          <w:szCs w:val="22"/>
          <w:lang w:val="fr-CA"/>
        </w:rPr>
        <w:tab/>
      </w:r>
      <w:r w:rsidRPr="007B687E">
        <w:rPr>
          <w:kern w:val="22"/>
          <w:szCs w:val="20"/>
          <w:lang w:val="fr-CA"/>
        </w:rPr>
        <w:t>L’abondance des informations et des expériences communiquées dans les rapports nationaux et au Centre d’échange sur l’accès et le partage des avantages, ainsi que l’échange d’expériences, pourront être utiles aux Parties qui établissent des structures institutionnelles et élaborent des mesures en ce sens. Ces informations pourraient également être prises en compte dans les projets relatifs au renforcement des capacités. L’utilisation des outils et ressources existants (par ex. les lignes directrices et les matériels de renforcement des capacités) pourrait enfin être encouragée pour faciliter la mise en œuvre</w:t>
      </w:r>
      <w:r w:rsidRPr="007B687E">
        <w:rPr>
          <w:kern w:val="22"/>
          <w:szCs w:val="22"/>
          <w:lang w:val="fr-CA"/>
        </w:rPr>
        <w:t>.</w:t>
      </w:r>
    </w:p>
    <w:p w14:paraId="2703332F"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jc w:val="left"/>
        <w:rPr>
          <w:rFonts w:eastAsia="Calibri"/>
          <w:b/>
          <w:color w:val="000000"/>
          <w:kern w:val="22"/>
          <w:szCs w:val="22"/>
          <w:u w:color="000000"/>
          <w:lang w:val="fr-CA"/>
        </w:rPr>
      </w:pPr>
      <w:r w:rsidRPr="007B687E">
        <w:rPr>
          <w:rFonts w:eastAsia="Calibri"/>
          <w:b/>
          <w:color w:val="000000"/>
          <w:kern w:val="22"/>
          <w:szCs w:val="20"/>
          <w:u w:color="000000"/>
          <w:lang w:val="fr-CA"/>
        </w:rPr>
        <w:t>Élément d) : Évaluation de l’efficacité de l’article 18 (degré d’application)</w:t>
      </w:r>
    </w:p>
    <w:p w14:paraId="40CF66F8"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20.</w:t>
      </w:r>
      <w:r w:rsidRPr="007B687E">
        <w:rPr>
          <w:kern w:val="22"/>
          <w:szCs w:val="22"/>
          <w:lang w:val="fr-CA"/>
        </w:rPr>
        <w:tab/>
      </w:r>
      <w:r w:rsidRPr="007B687E">
        <w:rPr>
          <w:kern w:val="22"/>
          <w:szCs w:val="20"/>
          <w:lang w:val="fr-CA"/>
        </w:rPr>
        <w:t>Les dispositions de l’article 18 sur le respect des conditions convenues d’un commun accord sont souvent appliquées à l’échelle nationale dans le cadre de lois existantes (par ex. droit contractuel, droit international privé, mesures nationales relatives à l’accès à la justice), et non par des mesures expressément axées sur l’accès et le partage des avantages</w:t>
      </w:r>
      <w:r w:rsidRPr="007B687E">
        <w:rPr>
          <w:kern w:val="22"/>
          <w:szCs w:val="22"/>
          <w:lang w:val="fr-CA"/>
        </w:rPr>
        <w:t>.</w:t>
      </w:r>
    </w:p>
    <w:p w14:paraId="6FAE0A36"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21.</w:t>
      </w:r>
      <w:r w:rsidRPr="007B687E">
        <w:rPr>
          <w:kern w:val="22"/>
          <w:szCs w:val="22"/>
          <w:lang w:val="fr-CA"/>
        </w:rPr>
        <w:tab/>
      </w:r>
      <w:r w:rsidRPr="007B687E">
        <w:rPr>
          <w:kern w:val="22"/>
          <w:szCs w:val="20"/>
          <w:lang w:val="fr-CA"/>
        </w:rPr>
        <w:t>Lorsqu’une des parties au contrat réside dans un pays étranger, l’engagement contractuel relève du droit international privé. Ce dernier détermine en premier lieu la juridiction chargée du différend; en deuxième lieu, la loi applicable au différend; et en troisième lieu, si des décisions ou jugements éventuels sont reconnus, la manière dont ils le sont, et s’ils pourront être mis en œuvre dans une autre juridiction. Chaque État possède ses propres règles pour ces questions même si certaines d’entre elles ont été harmonisées dans le cadre d’accords internationaux, de lignes directrices et de lois types</w:t>
      </w:r>
      <w:r w:rsidRPr="007B687E">
        <w:rPr>
          <w:kern w:val="22"/>
          <w:szCs w:val="22"/>
          <w:lang w:val="fr-CA"/>
        </w:rPr>
        <w:t>.</w:t>
      </w:r>
    </w:p>
    <w:p w14:paraId="02CABCD2"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22.</w:t>
      </w:r>
      <w:r w:rsidRPr="007B687E">
        <w:rPr>
          <w:kern w:val="22"/>
          <w:szCs w:val="22"/>
          <w:lang w:val="fr-CA"/>
        </w:rPr>
        <w:tab/>
      </w:r>
      <w:r w:rsidRPr="007B687E">
        <w:rPr>
          <w:kern w:val="22"/>
          <w:szCs w:val="20"/>
          <w:lang w:val="fr-CA"/>
        </w:rPr>
        <w:t xml:space="preserve">Il se peut que les États qui élaborent des mesures sur l’accès et le partage des avantages et/ou mettent en œuvre le Protocole ignorent certaines dispositions législatives du droit des contrats, du droit international privé et </w:t>
      </w:r>
      <w:r w:rsidRPr="007B687E">
        <w:rPr>
          <w:kern w:val="22"/>
          <w:szCs w:val="20"/>
          <w:lang w:val="fr-CA"/>
        </w:rPr>
        <w:lastRenderedPageBreak/>
        <w:t>des mesures internes relatives à l’accès à la justice. Un mécanisme chargé de faciliter la coordination à l’échelle nationale pourrait tirer parti des compétences d’autres institutions agissant dans ce domaine</w:t>
      </w:r>
      <w:r w:rsidRPr="007B687E">
        <w:rPr>
          <w:kern w:val="22"/>
          <w:szCs w:val="22"/>
          <w:lang w:val="fr-CA"/>
        </w:rPr>
        <w:t>.</w:t>
      </w:r>
    </w:p>
    <w:p w14:paraId="36BA79DD"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23.</w:t>
      </w:r>
      <w:r w:rsidRPr="007B687E">
        <w:rPr>
          <w:kern w:val="22"/>
          <w:szCs w:val="22"/>
          <w:lang w:val="fr-CA"/>
        </w:rPr>
        <w:tab/>
      </w:r>
      <w:r w:rsidRPr="007B687E">
        <w:rPr>
          <w:kern w:val="22"/>
          <w:szCs w:val="20"/>
          <w:lang w:val="fr-CA"/>
        </w:rPr>
        <w:t>Les informations figurant dans les rapports nationaux provisoires, ainsi que l’échange d’expériences pourraient permettre aux Parties de comprendre les mécanismes de soutien à l’application de l’article 18.</w:t>
      </w:r>
    </w:p>
    <w:p w14:paraId="2AE1E842"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1267" w:hanging="1267"/>
        <w:rPr>
          <w:rFonts w:eastAsia="Calibri"/>
          <w:b/>
          <w:color w:val="000000"/>
          <w:kern w:val="22"/>
          <w:szCs w:val="22"/>
          <w:u w:color="000000"/>
          <w:lang w:val="fr-CA"/>
        </w:rPr>
      </w:pPr>
      <w:r w:rsidRPr="007B687E">
        <w:rPr>
          <w:rFonts w:eastAsia="Calibri"/>
          <w:b/>
          <w:color w:val="000000"/>
          <w:kern w:val="22"/>
          <w:szCs w:val="20"/>
          <w:u w:color="000000"/>
          <w:lang w:val="fr-CA"/>
        </w:rPr>
        <w:t xml:space="preserve">Élément </w:t>
      </w:r>
      <w:r w:rsidRPr="007B687E">
        <w:rPr>
          <w:rFonts w:eastAsia="Calibri"/>
          <w:b/>
          <w:kern w:val="22"/>
          <w:szCs w:val="20"/>
          <w:lang w:val="fr-CA"/>
        </w:rPr>
        <w:t>e)</w:t>
      </w:r>
      <w:r w:rsidRPr="007B687E">
        <w:rPr>
          <w:rFonts w:eastAsia="Calibri"/>
          <w:b/>
          <w:kern w:val="22"/>
          <w:szCs w:val="20"/>
          <w:lang w:val="fr-CA"/>
        </w:rPr>
        <w:tab/>
        <w:t>Évaluation de l’application de l’article 16 à la lumière des développements observés dans d’autres organisations internationales concernées, y compris, entre autres, l’Organisation mondiale de la propriété intellectuelle</w:t>
      </w:r>
    </w:p>
    <w:p w14:paraId="3797F5B5"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24.</w:t>
      </w:r>
      <w:r w:rsidRPr="007B687E">
        <w:rPr>
          <w:kern w:val="22"/>
          <w:szCs w:val="22"/>
          <w:lang w:val="fr-CA"/>
        </w:rPr>
        <w:tab/>
      </w:r>
      <w:r w:rsidRPr="007B687E">
        <w:rPr>
          <w:kern w:val="22"/>
          <w:szCs w:val="20"/>
          <w:lang w:val="fr-CA"/>
        </w:rPr>
        <w:t>De nombreuses Parties mettent encore en place des mesures sur l’accès et le partage des avantages, ou des dispositifs institutionnels, en vue d’appliquer le Protocole. La mise en œuvre des dispositions relatives à la conformité et l’application des obligations concernant les peuples autochtones et les communautés locales sont particulièrement difficiles pour les Parties</w:t>
      </w:r>
      <w:r w:rsidRPr="007B687E">
        <w:rPr>
          <w:kern w:val="22"/>
          <w:szCs w:val="22"/>
          <w:lang w:val="fr-CA"/>
        </w:rPr>
        <w:t>.</w:t>
      </w:r>
    </w:p>
    <w:p w14:paraId="5BB9F067"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rPr>
          <w:kern w:val="22"/>
          <w:szCs w:val="22"/>
          <w:lang w:val="fr-CA"/>
        </w:rPr>
      </w:pPr>
      <w:r w:rsidRPr="007B687E">
        <w:rPr>
          <w:kern w:val="22"/>
          <w:szCs w:val="22"/>
          <w:lang w:val="fr-CA"/>
        </w:rPr>
        <w:t>25.</w:t>
      </w:r>
      <w:r w:rsidRPr="007B687E">
        <w:rPr>
          <w:kern w:val="22"/>
          <w:szCs w:val="22"/>
          <w:lang w:val="fr-CA"/>
        </w:rPr>
        <w:tab/>
      </w:r>
      <w:r w:rsidRPr="007B687E">
        <w:rPr>
          <w:lang w:val="fr-CA"/>
        </w:rPr>
        <w:t xml:space="preserve">Les travaux conduits </w:t>
      </w:r>
      <w:r>
        <w:rPr>
          <w:lang w:val="fr-CA"/>
        </w:rPr>
        <w:t>au titre de l’Organisation mondiale de la propriété intellectuelle (</w:t>
      </w:r>
      <w:r w:rsidRPr="007B687E">
        <w:rPr>
          <w:lang w:val="fr-CA"/>
        </w:rPr>
        <w:t>OMPI</w:t>
      </w:r>
      <w:r>
        <w:rPr>
          <w:lang w:val="fr-CA"/>
        </w:rPr>
        <w:t>)</w:t>
      </w:r>
      <w:r w:rsidRPr="007B687E">
        <w:rPr>
          <w:lang w:val="fr-CA"/>
        </w:rPr>
        <w:t xml:space="preserve"> sur un ou plusieurs instruments juridiques internationaux relatifs à la propriété intellectuelle, qui étaient destinés à assurer une protection équilibrée et efficace des ressources génétiques, des connaissances traditionnelles et des expressions culturelles traditionnelles, sont encore en cours. Il est ainsi prématuré d’évaluer la manière dont leurs résultats pourraient contribuer à la mise en œuvre du Protocole de Nagoya</w:t>
      </w:r>
      <w:r w:rsidRPr="007B687E">
        <w:rPr>
          <w:kern w:val="22"/>
          <w:szCs w:val="22"/>
          <w:lang w:val="fr-CA"/>
        </w:rPr>
        <w:t>.</w:t>
      </w:r>
    </w:p>
    <w:p w14:paraId="07487C7C"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26.</w:t>
      </w:r>
      <w:r w:rsidRPr="007B687E">
        <w:rPr>
          <w:kern w:val="22"/>
          <w:szCs w:val="22"/>
          <w:lang w:val="fr-CA"/>
        </w:rPr>
        <w:tab/>
      </w:r>
      <w:r w:rsidRPr="007B687E">
        <w:rPr>
          <w:kern w:val="22"/>
          <w:szCs w:val="20"/>
          <w:lang w:val="fr-CA"/>
        </w:rPr>
        <w:t xml:space="preserve">Cependant, il existe un certain nombre d’outils et de ressources qui pourraient être utilisés par les Parties pour faire progresser l’application de l’article 16 du Protocole de Nagoya, y compris ceux qui ont été élaborés par l’OMPI et les lignes directrices </w:t>
      </w:r>
      <w:r w:rsidRPr="007B687E">
        <w:rPr>
          <w:noProof/>
          <w:kern w:val="22"/>
          <w:szCs w:val="20"/>
          <w:lang w:val="fr-CA"/>
        </w:rPr>
        <w:t>facultatives Mo’otz Kuxtal de</w:t>
      </w:r>
      <w:r w:rsidRPr="007B687E">
        <w:rPr>
          <w:kern w:val="22"/>
          <w:szCs w:val="20"/>
          <w:lang w:val="fr-CA"/>
        </w:rPr>
        <w:t xml:space="preserve"> la CDB</w:t>
      </w:r>
      <w:r w:rsidRPr="007B687E">
        <w:rPr>
          <w:kern w:val="22"/>
          <w:szCs w:val="20"/>
          <w:vertAlign w:val="superscript"/>
          <w:lang w:val="fr-CA"/>
        </w:rPr>
        <w:footnoteReference w:id="6"/>
      </w:r>
      <w:r w:rsidRPr="007B687E">
        <w:rPr>
          <w:kern w:val="22"/>
          <w:szCs w:val="20"/>
          <w:lang w:val="fr-CA"/>
        </w:rPr>
        <w:t>.</w:t>
      </w:r>
    </w:p>
    <w:p w14:paraId="02DC4517"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1267" w:hanging="1267"/>
        <w:rPr>
          <w:rFonts w:eastAsia="Calibri"/>
          <w:b/>
          <w:color w:val="000000"/>
          <w:kern w:val="22"/>
          <w:szCs w:val="22"/>
          <w:u w:color="000000"/>
          <w:lang w:val="fr-CA"/>
        </w:rPr>
      </w:pPr>
      <w:r w:rsidRPr="007B687E">
        <w:rPr>
          <w:rFonts w:eastAsia="Calibri"/>
          <w:b/>
          <w:color w:val="000000"/>
          <w:kern w:val="22"/>
          <w:szCs w:val="20"/>
          <w:u w:color="000000"/>
          <w:lang w:val="fr-CA"/>
        </w:rPr>
        <w:t>Élément f) :</w:t>
      </w:r>
      <w:r w:rsidRPr="007B687E">
        <w:rPr>
          <w:rFonts w:eastAsia="Calibri"/>
          <w:b/>
          <w:color w:val="000000"/>
          <w:kern w:val="22"/>
          <w:szCs w:val="20"/>
          <w:u w:color="000000"/>
          <w:lang w:val="fr-CA"/>
        </w:rPr>
        <w:tab/>
        <w:t>Bilan de l’utilisation de clauses contractuelles types, codes de conduite, lignes directrices, bonnes pratiques et normes, ainsi que de lois coutumières et de protocoles et procédures communautaires des peuples autochtones et communautés locales</w:t>
      </w:r>
    </w:p>
    <w:p w14:paraId="575344FE"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27.</w:t>
      </w:r>
      <w:r w:rsidRPr="007B687E">
        <w:rPr>
          <w:kern w:val="22"/>
          <w:szCs w:val="22"/>
          <w:lang w:val="fr-CA"/>
        </w:rPr>
        <w:tab/>
      </w:r>
      <w:r w:rsidRPr="007B687E">
        <w:rPr>
          <w:kern w:val="22"/>
          <w:szCs w:val="20"/>
          <w:lang w:val="fr-CA"/>
        </w:rPr>
        <w:t>Un grand nombre de clauses contractuelles types, codes de conduite, lignes directrices, bonnes pratiques et normes ont été élaborés par des gouvernements et des organisations. Cependant, il y a moins d’informations sur le mode d’utilisation de ces outils. On ne sait pas précisément comment l’utilisation des outils a pu être mesurée</w:t>
      </w:r>
      <w:r w:rsidRPr="007B687E">
        <w:rPr>
          <w:kern w:val="22"/>
          <w:szCs w:val="22"/>
          <w:lang w:val="fr-CA"/>
        </w:rPr>
        <w:t>.</w:t>
      </w:r>
    </w:p>
    <w:p w14:paraId="308AA29D"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28.</w:t>
      </w:r>
      <w:r w:rsidRPr="007B687E">
        <w:rPr>
          <w:kern w:val="22"/>
          <w:szCs w:val="22"/>
          <w:lang w:val="fr-CA"/>
        </w:rPr>
        <w:tab/>
      </w:r>
      <w:r w:rsidRPr="007B687E">
        <w:rPr>
          <w:kern w:val="22"/>
          <w:szCs w:val="20"/>
          <w:lang w:val="fr-CA"/>
        </w:rPr>
        <w:t>Les organisations et réseaux d’utilisateurs jouent un rôle important dans le traitement des besoins de leurs membres en élaborant des outils permettant de préciser comment l’accès et le partage des avantages peuvent être incorporés dans leurs pratiques et en aidant leurs organisations membres à se conformer aux exigences relatives à l’accès et au partage des avantages</w:t>
      </w:r>
      <w:r w:rsidRPr="007B687E">
        <w:rPr>
          <w:kern w:val="22"/>
          <w:szCs w:val="22"/>
          <w:lang w:val="fr-CA"/>
        </w:rPr>
        <w:t>.</w:t>
      </w:r>
    </w:p>
    <w:p w14:paraId="518D1F73"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29.</w:t>
      </w:r>
      <w:r w:rsidRPr="007B687E">
        <w:rPr>
          <w:kern w:val="22"/>
          <w:szCs w:val="22"/>
          <w:lang w:val="fr-CA"/>
        </w:rPr>
        <w:tab/>
      </w:r>
      <w:r w:rsidRPr="007B687E">
        <w:rPr>
          <w:kern w:val="22"/>
          <w:szCs w:val="20"/>
          <w:lang w:val="fr-CA"/>
        </w:rPr>
        <w:t>L’application des dispositions relatives aux peuples autochtones et aux communautés locales est l’un des principaux défis identifiés par les Parties. Les protocoles communautaires sur l’accès et le partage des avantages peuvent contribuer à répondre à certaines des difficultés identifiées au paragraphe 10 ci-dessus. Ils peuvent soutenir les peuples autochtones et les communautés locales qui les élaborent à exprimer leurs valeurs, pratiques et aspirations. Ils peuvent aussi aider les gouvernements à mettre en œuvre les dispositions relatives aux peuples autochtones et communautés locales du Protocole, et ils fournissent aux utilisateurs des informations claires et sûres concernant les moyens d’accéder aux ressources génétiques et/ou aux connaissances traditionnelles associées détenues par les peuples autochtones et communautés locales</w:t>
      </w:r>
      <w:r w:rsidRPr="007B687E">
        <w:rPr>
          <w:kern w:val="22"/>
          <w:szCs w:val="22"/>
          <w:lang w:val="fr-CA"/>
        </w:rPr>
        <w:t>.</w:t>
      </w:r>
    </w:p>
    <w:p w14:paraId="2DFC6462" w14:textId="77777777" w:rsidR="0045416C" w:rsidRPr="009B0896"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30.</w:t>
      </w:r>
      <w:r w:rsidRPr="007B687E">
        <w:rPr>
          <w:kern w:val="22"/>
          <w:szCs w:val="22"/>
          <w:lang w:val="fr-CA"/>
        </w:rPr>
        <w:tab/>
      </w:r>
      <w:r w:rsidRPr="007B687E">
        <w:rPr>
          <w:kern w:val="22"/>
          <w:szCs w:val="20"/>
          <w:lang w:val="fr-CA"/>
        </w:rPr>
        <w:t xml:space="preserve">Des protocoles communautaires sont élaborés et utilisés dans différents contextes, y compris, mais sans s’y limiter, dans le cadre de l’accès et du partage des avantages. Certains traitent </w:t>
      </w:r>
      <w:r w:rsidRPr="007B687E">
        <w:rPr>
          <w:noProof/>
          <w:kern w:val="22"/>
          <w:szCs w:val="20"/>
          <w:lang w:val="fr-CA"/>
        </w:rPr>
        <w:t>du biocommerce ou</w:t>
      </w:r>
      <w:r w:rsidRPr="007B687E">
        <w:rPr>
          <w:kern w:val="22"/>
          <w:szCs w:val="20"/>
          <w:lang w:val="fr-CA"/>
        </w:rPr>
        <w:t xml:space="preserve"> des enjeux relatifs aux terres et incluent des éléments de l’accès et du partage des avantages dans un contexte plus vaste. L’incorporation d’éléments relatifs à l’accès et au partage des avantages dans les protocoles communautaires </w:t>
      </w:r>
      <w:r w:rsidRPr="007B687E">
        <w:rPr>
          <w:kern w:val="22"/>
          <w:szCs w:val="20"/>
          <w:lang w:val="fr-CA"/>
        </w:rPr>
        <w:lastRenderedPageBreak/>
        <w:t xml:space="preserve">existants qui traitent de la gestion des ressources et des terres ou du </w:t>
      </w:r>
      <w:r w:rsidRPr="007B687E">
        <w:rPr>
          <w:noProof/>
          <w:kern w:val="22"/>
          <w:szCs w:val="20"/>
          <w:lang w:val="fr-CA"/>
        </w:rPr>
        <w:t>biocommerce est susceptible</w:t>
      </w:r>
      <w:r w:rsidRPr="007B687E">
        <w:rPr>
          <w:kern w:val="22"/>
          <w:szCs w:val="20"/>
          <w:lang w:val="fr-CA"/>
        </w:rPr>
        <w:t xml:space="preserve"> de faciliter le processus. Il est essentiel de soutenir les peuples autochtones et communautés locales dans l’élaboration de protocoles communautaires et de veiller à ce que les résultats représentent les valeurs, pratiques et aspirations de la communauté</w:t>
      </w:r>
      <w:r w:rsidRPr="009B0896">
        <w:rPr>
          <w:kern w:val="22"/>
          <w:szCs w:val="22"/>
          <w:lang w:val="fr-CA"/>
        </w:rPr>
        <w:t>.</w:t>
      </w:r>
    </w:p>
    <w:p w14:paraId="46A3C2C4"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1267" w:hanging="1267"/>
        <w:rPr>
          <w:rFonts w:eastAsia="Calibri"/>
          <w:b/>
          <w:color w:val="000000"/>
          <w:kern w:val="22"/>
          <w:szCs w:val="22"/>
          <w:u w:color="000000"/>
          <w:lang w:val="fr-CA"/>
        </w:rPr>
      </w:pPr>
      <w:r w:rsidRPr="007B687E">
        <w:rPr>
          <w:rFonts w:eastAsia="Calibri"/>
          <w:b/>
          <w:color w:val="000000"/>
          <w:kern w:val="22"/>
          <w:szCs w:val="20"/>
          <w:u w:color="000000"/>
          <w:lang w:val="fr-CA"/>
        </w:rPr>
        <w:t>Élément g) :</w:t>
      </w:r>
      <w:r w:rsidRPr="007B687E">
        <w:rPr>
          <w:rFonts w:eastAsia="Calibri"/>
          <w:b/>
          <w:color w:val="000000"/>
          <w:kern w:val="22"/>
          <w:szCs w:val="20"/>
          <w:u w:color="000000"/>
          <w:lang w:val="fr-CA"/>
        </w:rPr>
        <w:tab/>
        <w:t>Examen de la mise en œuvre et du fonctionnement du Centre d’échange sur l’accès et le partage des avantages, y compris le nombre de mesures sur l’accès et le partage des avantages mises à disposition; le nombre de pays qui ont publié des informations sur leurs autorités nationales compétentes; le nombre de certificats de conformité internationalement reconnus qui ont été constitués, et le nombre de communiqués sur les points de contrôle publiés</w:t>
      </w:r>
    </w:p>
    <w:p w14:paraId="1373B7C4"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31.</w:t>
      </w:r>
      <w:r w:rsidRPr="007B687E">
        <w:rPr>
          <w:kern w:val="22"/>
          <w:szCs w:val="22"/>
          <w:lang w:val="fr-CA"/>
        </w:rPr>
        <w:tab/>
      </w:r>
      <w:r w:rsidRPr="007B687E">
        <w:rPr>
          <w:kern w:val="22"/>
          <w:szCs w:val="20"/>
          <w:lang w:val="fr-CA"/>
        </w:rPr>
        <w:t>Environ la moitié des utilisateurs du Centre d’échange sur l’accès et le partage des avantages sont des utilisateurs de ressources génétiques ou de connaissances traditionnelles associées et consultent le Centre d’échange sur l’accès et le partage des avantages pour trouver des informations nationales. Les commentaires reçus soulignent l’importante nécessité de fournir des informations améliorées et claires sur les exigences et procédures relatives à l’accès et au partage des avantages. Ces informations devraient fournir aux utilisateurs des orientations simples et faciles à comprendre sur les étapes nécessaires à appliquer pour accéder aux ressources génétiques et aux connaissances traditionnelles associées</w:t>
      </w:r>
      <w:r w:rsidRPr="007B687E">
        <w:rPr>
          <w:kern w:val="22"/>
          <w:szCs w:val="22"/>
          <w:lang w:val="fr-CA"/>
        </w:rPr>
        <w:t>.</w:t>
      </w:r>
    </w:p>
    <w:p w14:paraId="595D9685"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32.</w:t>
      </w:r>
      <w:r w:rsidRPr="007B687E">
        <w:rPr>
          <w:kern w:val="22"/>
          <w:szCs w:val="22"/>
          <w:lang w:val="fr-CA"/>
        </w:rPr>
        <w:tab/>
      </w:r>
      <w:r w:rsidRPr="007B687E">
        <w:rPr>
          <w:kern w:val="22"/>
          <w:szCs w:val="20"/>
          <w:lang w:val="fr-CA"/>
        </w:rPr>
        <w:t>Les parties prenantes, en particulier les milieux d’affaires et la communauté scientifique, pourraient profiter d’une vulgarisation et d’une sensibilisation accrues, à la fois en tant qu’utilisateurs de ressources génétiques et en tant que contributeurs potentiels à la communication d’informations pertinentes (par ex. clauses types, codes de conduite, matériels de sensibilisation). La mise en œuvre du Centre d’échange sur l’accès et le partage des avantages pourrait également bénéficier d’une meilleure compréhension de leurs besoins en termes de fonctionnalité et de conception du Centre d’échange sur l’accès et le partage des avantages</w:t>
      </w:r>
      <w:r w:rsidRPr="007B687E">
        <w:rPr>
          <w:kern w:val="22"/>
          <w:szCs w:val="22"/>
          <w:lang w:val="fr-CA"/>
        </w:rPr>
        <w:t>.</w:t>
      </w:r>
    </w:p>
    <w:p w14:paraId="76644E9F"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33.</w:t>
      </w:r>
      <w:r w:rsidRPr="007B687E">
        <w:rPr>
          <w:kern w:val="22"/>
          <w:szCs w:val="22"/>
          <w:lang w:val="fr-CA"/>
        </w:rPr>
        <w:tab/>
      </w:r>
      <w:r w:rsidRPr="007B687E">
        <w:rPr>
          <w:lang w:val="fr-CA"/>
        </w:rPr>
        <w:t xml:space="preserve">L’assistance technique concernant l’utilisation du Centre d’échange sur l’accès et le partage des avantages est toujours nécessaire. Le </w:t>
      </w:r>
      <w:r>
        <w:rPr>
          <w:lang w:val="fr-CA"/>
        </w:rPr>
        <w:t>clavardage</w:t>
      </w:r>
      <w:r w:rsidRPr="007B687E">
        <w:rPr>
          <w:lang w:val="fr-CA"/>
        </w:rPr>
        <w:t xml:space="preserve"> en direct est un outil très apprécié des utilisateurs du Centre d’échange sur l’accès et le partage des avantages. Le renforcement des capacités sur l’utilisation du Centre d’échange sur l’accès et le partage des avantages et sur l’application du Protocole est étroitement lié. De nombreuses questions reçues par le biais du </w:t>
      </w:r>
      <w:r>
        <w:rPr>
          <w:lang w:val="fr-CA"/>
        </w:rPr>
        <w:t>clavardage</w:t>
      </w:r>
      <w:r w:rsidRPr="007B687E">
        <w:rPr>
          <w:lang w:val="fr-CA"/>
        </w:rPr>
        <w:t xml:space="preserve"> en direct et pendant les activités de renforcement des capacités pour le Centre d’échange sur l’accès et le partage des avantages concernent plus l’application du Protocole que l’assistance technique liée à l’utilisation du Centre d’échange</w:t>
      </w:r>
      <w:r w:rsidRPr="007B687E">
        <w:rPr>
          <w:kern w:val="22"/>
          <w:szCs w:val="22"/>
          <w:lang w:val="fr-CA"/>
        </w:rPr>
        <w:t>.</w:t>
      </w:r>
    </w:p>
    <w:p w14:paraId="01290F98"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p>
    <w:p w14:paraId="1F47E80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outlineLvl w:val="2"/>
        <w:rPr>
          <w:i/>
          <w:kern w:val="22"/>
          <w:szCs w:val="22"/>
          <w:lang w:val="fr-CA"/>
        </w:rPr>
      </w:pPr>
      <w:r>
        <w:rPr>
          <w:i/>
          <w:kern w:val="22"/>
          <w:szCs w:val="22"/>
          <w:lang w:val="fr-CA"/>
        </w:rPr>
        <w:t>Annexe </w:t>
      </w:r>
      <w:r w:rsidRPr="007B687E">
        <w:rPr>
          <w:i/>
          <w:kern w:val="22"/>
          <w:szCs w:val="22"/>
          <w:lang w:val="fr-CA"/>
        </w:rPr>
        <w:t>II</w:t>
      </w:r>
    </w:p>
    <w:p w14:paraId="249C212B" w14:textId="77777777" w:rsidR="0045416C" w:rsidRPr="007B687E" w:rsidRDefault="0045416C" w:rsidP="0045416C">
      <w:pPr>
        <w:keepNext/>
        <w:suppressLineNumbers/>
        <w:suppressAutoHyphens/>
        <w:kinsoku w:val="0"/>
        <w:overflowPunct w:val="0"/>
        <w:autoSpaceDE w:val="0"/>
        <w:autoSpaceDN w:val="0"/>
        <w:adjustRightInd w:val="0"/>
        <w:snapToGrid w:val="0"/>
        <w:spacing w:before="120" w:line="240" w:lineRule="auto"/>
        <w:jc w:val="center"/>
        <w:rPr>
          <w:b/>
          <w:spacing w:val="-4"/>
          <w:kern w:val="22"/>
          <w:szCs w:val="22"/>
          <w:lang w:val="fr-CA"/>
        </w:rPr>
      </w:pPr>
      <w:r w:rsidRPr="007B687E">
        <w:rPr>
          <w:rFonts w:ascii="Times New Roman Bold" w:hAnsi="Times New Roman Bold" w:cs="Times New Roman Bold"/>
          <w:b/>
          <w:spacing w:val="-4"/>
          <w:kern w:val="22"/>
          <w:szCs w:val="20"/>
          <w:lang w:val="fr-CA"/>
        </w:rPr>
        <w:t>CADRE D’INDICATEURS ET POINTS DE RÉFÉRENCE POUR MESURER LES PROGRÈS ACCOMPLIS</w:t>
      </w:r>
    </w:p>
    <w:p w14:paraId="14B13372"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1.</w:t>
      </w:r>
      <w:r w:rsidRPr="007B687E">
        <w:rPr>
          <w:kern w:val="22"/>
          <w:szCs w:val="22"/>
          <w:lang w:val="fr-CA"/>
        </w:rPr>
        <w:tab/>
      </w:r>
      <w:r w:rsidRPr="007B687E">
        <w:rPr>
          <w:kern w:val="22"/>
          <w:szCs w:val="20"/>
          <w:lang w:val="fr-CA"/>
        </w:rPr>
        <w:t>Le tableau suivant propose des indicateurs pour chacun des éléments traités par le premier exercice d’évaluation et d’examen. Des points de référence sont inclus pour la plupart des indicateurs proposés. Ces points de référence déterminent une base de référence qui permettra de mesurer les progrès accomplis à l’avenir pour chacun des indicateurs. Les indicateurs proposés sont principalement basés sur des questions existantes du rapport national provisoire. Toutefois, dans certains cas, aucune information concluante n’a pu être extraite des réponses aux rapports nationaux provisoires, et par conséquent, un nouveau texte est suggéré pour ces indicateurs. Les nouveaux indicateurs ou indicateurs révisés sont recensés dans le tableau</w:t>
      </w:r>
      <w:r w:rsidRPr="007B687E">
        <w:rPr>
          <w:kern w:val="22"/>
          <w:szCs w:val="22"/>
          <w:lang w:val="fr-CA"/>
        </w:rPr>
        <w:t>.</w:t>
      </w:r>
    </w:p>
    <w:p w14:paraId="6D0F5CD0" w14:textId="77777777" w:rsidR="0045416C" w:rsidRPr="007B687E"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rPr>
      </w:pPr>
      <w:r w:rsidRPr="007B687E">
        <w:rPr>
          <w:kern w:val="22"/>
          <w:szCs w:val="22"/>
          <w:lang w:val="fr-CA"/>
        </w:rPr>
        <w:t>2.</w:t>
      </w:r>
      <w:r w:rsidRPr="007B687E">
        <w:rPr>
          <w:kern w:val="22"/>
          <w:szCs w:val="22"/>
          <w:lang w:val="fr-CA"/>
        </w:rPr>
        <w:tab/>
      </w:r>
      <w:r w:rsidRPr="007B687E">
        <w:rPr>
          <w:kern w:val="22"/>
          <w:szCs w:val="20"/>
          <w:lang w:val="fr-CA"/>
        </w:rPr>
        <w:t>Il indique également la source d’information utilisée pour établir les points de référence. Pour faciliter les références, il suit la structure et l’ordre du format du rapport national provisoire et inclut des références concernant le ou les éléments sous lesquels l’indicateur est pris en compte</w:t>
      </w:r>
      <w:r w:rsidRPr="007B687E">
        <w:rPr>
          <w:kern w:val="22"/>
          <w:szCs w:val="22"/>
          <w:lang w:val="fr-CA"/>
        </w:rPr>
        <w:t>.</w:t>
      </w:r>
    </w:p>
    <w:p w14:paraId="01688932" w14:textId="77777777" w:rsidR="0045416C" w:rsidRPr="009B0896" w:rsidRDefault="0045416C" w:rsidP="0045416C">
      <w:pPr>
        <w:suppressLineNumbers/>
        <w:suppressAutoHyphens/>
        <w:kinsoku w:val="0"/>
        <w:overflowPunct w:val="0"/>
        <w:autoSpaceDE w:val="0"/>
        <w:autoSpaceDN w:val="0"/>
        <w:adjustRightInd w:val="0"/>
        <w:snapToGrid w:val="0"/>
        <w:spacing w:before="120" w:line="240" w:lineRule="auto"/>
        <w:rPr>
          <w:kern w:val="22"/>
          <w:szCs w:val="22"/>
          <w:lang w:val="fr-CA" w:eastAsia="x-none"/>
        </w:rPr>
      </w:pPr>
      <w:r w:rsidRPr="007B687E">
        <w:rPr>
          <w:kern w:val="22"/>
          <w:szCs w:val="22"/>
          <w:lang w:val="fr-CA"/>
        </w:rPr>
        <w:t>3.</w:t>
      </w:r>
      <w:r w:rsidRPr="007B687E">
        <w:rPr>
          <w:kern w:val="22"/>
          <w:szCs w:val="22"/>
          <w:lang w:val="fr-CA"/>
        </w:rPr>
        <w:tab/>
      </w:r>
      <w:r w:rsidRPr="007B687E">
        <w:rPr>
          <w:kern w:val="22"/>
          <w:szCs w:val="20"/>
          <w:lang w:val="fr-CA"/>
        </w:rPr>
        <w:t>Le cadre est un outil flexible qui peut être adapté au fur et à mesure des progrès accomplis dans l’application</w:t>
      </w:r>
      <w:r w:rsidRPr="009B0896">
        <w:rPr>
          <w:kern w:val="22"/>
          <w:szCs w:val="22"/>
          <w:lang w:val="fr-CA" w:eastAsia="x-none"/>
        </w:rPr>
        <w:t>.</w:t>
      </w:r>
    </w:p>
    <w:p w14:paraId="2263F525" w14:textId="77777777" w:rsidR="0045416C" w:rsidRPr="009B0896" w:rsidRDefault="0045416C" w:rsidP="0045416C">
      <w:pPr>
        <w:suppressLineNumbers/>
        <w:suppressAutoHyphens/>
        <w:kinsoku w:val="0"/>
        <w:overflowPunct w:val="0"/>
        <w:autoSpaceDE w:val="0"/>
        <w:autoSpaceDN w:val="0"/>
        <w:adjustRightInd w:val="0"/>
        <w:snapToGrid w:val="0"/>
        <w:spacing w:line="240" w:lineRule="auto"/>
        <w:rPr>
          <w:kern w:val="22"/>
          <w:szCs w:val="22"/>
          <w:lang w:val="fr-CA"/>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2"/>
        <w:gridCol w:w="1104"/>
        <w:gridCol w:w="1506"/>
        <w:gridCol w:w="1321"/>
      </w:tblGrid>
      <w:tr w:rsidR="0045416C" w:rsidRPr="007B687E" w14:paraId="1C2E36AB" w14:textId="77777777" w:rsidTr="00AC0070">
        <w:trPr>
          <w:cantSplit/>
          <w:tblHeader/>
          <w:jc w:val="center"/>
        </w:trPr>
        <w:tc>
          <w:tcPr>
            <w:tcW w:w="5552" w:type="dxa"/>
            <w:shd w:val="pct5" w:color="auto" w:fill="auto"/>
            <w:tcMar>
              <w:top w:w="29" w:type="dxa"/>
              <w:left w:w="115" w:type="dxa"/>
              <w:bottom w:w="29" w:type="dxa"/>
              <w:right w:w="115" w:type="dxa"/>
            </w:tcMar>
            <w:vAlign w:val="center"/>
          </w:tcPr>
          <w:p w14:paraId="6FC045D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b/>
                <w:kern w:val="22"/>
                <w:szCs w:val="22"/>
                <w:lang w:val="fr-CA"/>
              </w:rPr>
            </w:pPr>
            <w:r w:rsidRPr="007B687E">
              <w:rPr>
                <w:b/>
                <w:kern w:val="22"/>
                <w:szCs w:val="20"/>
                <w:lang w:val="fr-CA"/>
              </w:rPr>
              <w:lastRenderedPageBreak/>
              <w:t>Cadre d’indicateurs</w:t>
            </w:r>
          </w:p>
        </w:tc>
        <w:tc>
          <w:tcPr>
            <w:tcW w:w="1104" w:type="dxa"/>
            <w:shd w:val="pct5" w:color="auto" w:fill="auto"/>
            <w:tcMar>
              <w:top w:w="29" w:type="dxa"/>
              <w:left w:w="115" w:type="dxa"/>
              <w:bottom w:w="29" w:type="dxa"/>
              <w:right w:w="115" w:type="dxa"/>
            </w:tcMar>
            <w:vAlign w:val="center"/>
          </w:tcPr>
          <w:p w14:paraId="3E440D54"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b/>
                <w:kern w:val="22"/>
                <w:szCs w:val="20"/>
                <w:lang w:val="fr-CA"/>
              </w:rPr>
            </w:pPr>
            <w:r w:rsidRPr="007B687E">
              <w:rPr>
                <w:b/>
                <w:kern w:val="22"/>
                <w:szCs w:val="20"/>
                <w:lang w:val="fr-CA"/>
              </w:rPr>
              <w:t>Élément</w:t>
            </w:r>
          </w:p>
        </w:tc>
        <w:tc>
          <w:tcPr>
            <w:tcW w:w="1506" w:type="dxa"/>
            <w:shd w:val="pct5" w:color="auto" w:fill="auto"/>
            <w:tcMar>
              <w:top w:w="29" w:type="dxa"/>
              <w:left w:w="115" w:type="dxa"/>
              <w:bottom w:w="29" w:type="dxa"/>
              <w:right w:w="115" w:type="dxa"/>
            </w:tcMar>
            <w:vAlign w:val="center"/>
          </w:tcPr>
          <w:p w14:paraId="53C0250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b/>
                <w:kern w:val="22"/>
                <w:szCs w:val="20"/>
                <w:lang w:val="fr-CA"/>
              </w:rPr>
            </w:pPr>
            <w:r w:rsidRPr="007B687E">
              <w:rPr>
                <w:b/>
                <w:kern w:val="22"/>
                <w:szCs w:val="20"/>
                <w:lang w:val="fr-CA"/>
              </w:rPr>
              <w:t>Points de référence (à partir du 22 février 2018)</w:t>
            </w:r>
          </w:p>
        </w:tc>
        <w:tc>
          <w:tcPr>
            <w:tcW w:w="1321" w:type="dxa"/>
            <w:shd w:val="pct5" w:color="auto" w:fill="auto"/>
            <w:tcMar>
              <w:top w:w="29" w:type="dxa"/>
              <w:left w:w="115" w:type="dxa"/>
              <w:bottom w:w="29" w:type="dxa"/>
              <w:right w:w="115" w:type="dxa"/>
            </w:tcMar>
            <w:vAlign w:val="center"/>
          </w:tcPr>
          <w:p w14:paraId="0D58A13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b/>
                <w:kern w:val="22"/>
                <w:szCs w:val="20"/>
                <w:lang w:val="fr-CA"/>
              </w:rPr>
            </w:pPr>
            <w:r w:rsidRPr="007B687E">
              <w:rPr>
                <w:b/>
                <w:kern w:val="22"/>
                <w:szCs w:val="20"/>
                <w:lang w:val="fr-CA"/>
              </w:rPr>
              <w:t>Source</w:t>
            </w:r>
          </w:p>
        </w:tc>
      </w:tr>
      <w:tr w:rsidR="0045416C" w:rsidRPr="00AB4311" w14:paraId="44697955"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33F3F69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kern w:val="22"/>
                <w:szCs w:val="20"/>
                <w:lang w:val="fr-CA"/>
              </w:rPr>
            </w:pPr>
            <w:r w:rsidRPr="007B687E">
              <w:rPr>
                <w:kern w:val="22"/>
                <w:szCs w:val="20"/>
                <w:lang w:val="fr-CA"/>
              </w:rPr>
              <w:t>1.</w:t>
            </w:r>
            <w:r w:rsidRPr="007B687E">
              <w:rPr>
                <w:kern w:val="22"/>
                <w:szCs w:val="20"/>
                <w:lang w:val="fr-CA"/>
              </w:rPr>
              <w:tab/>
              <w:t>Nombre de Parties à la CDB qui ont ratifié le Protocole de Nagoya</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3148E397"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p>
        </w:tc>
        <w:tc>
          <w:tcPr>
            <w:tcW w:w="1506" w:type="dxa"/>
            <w:tcBorders>
              <w:bottom w:val="single" w:sz="4" w:space="0" w:color="auto"/>
            </w:tcBorders>
            <w:shd w:val="clear" w:color="auto" w:fill="auto"/>
            <w:tcMar>
              <w:top w:w="29" w:type="dxa"/>
              <w:left w:w="115" w:type="dxa"/>
              <w:bottom w:w="29" w:type="dxa"/>
              <w:right w:w="115" w:type="dxa"/>
            </w:tcMar>
            <w:vAlign w:val="center"/>
          </w:tcPr>
          <w:p w14:paraId="544FE9AD"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105 (54 %)</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18C4792D"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Recueil des traités des Nations Unies</w:t>
            </w:r>
          </w:p>
        </w:tc>
      </w:tr>
      <w:tr w:rsidR="0045416C" w:rsidRPr="00AB4311" w14:paraId="19DD3A8A" w14:textId="77777777" w:rsidTr="00AC0070">
        <w:trPr>
          <w:cantSplit/>
          <w:jc w:val="center"/>
        </w:trPr>
        <w:tc>
          <w:tcPr>
            <w:tcW w:w="9483" w:type="dxa"/>
            <w:gridSpan w:val="4"/>
            <w:shd w:val="pct5" w:color="auto" w:fill="auto"/>
            <w:tcMar>
              <w:top w:w="29" w:type="dxa"/>
              <w:left w:w="115" w:type="dxa"/>
              <w:bottom w:w="29" w:type="dxa"/>
              <w:right w:w="115" w:type="dxa"/>
            </w:tcMar>
            <w:vAlign w:val="center"/>
          </w:tcPr>
          <w:p w14:paraId="1D607E62"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317"/>
              <w:jc w:val="left"/>
              <w:rPr>
                <w:b/>
                <w:kern w:val="22"/>
                <w:szCs w:val="22"/>
                <w:lang w:val="fr-CA"/>
              </w:rPr>
            </w:pPr>
            <w:r w:rsidRPr="007B687E">
              <w:rPr>
                <w:b/>
                <w:kern w:val="22"/>
                <w:szCs w:val="20"/>
                <w:lang w:val="fr-CA"/>
              </w:rPr>
              <w:t>Structures institutionnelles appuyant l’application du Protocole</w:t>
            </w:r>
          </w:p>
        </w:tc>
      </w:tr>
      <w:tr w:rsidR="0045416C" w:rsidRPr="007B687E" w14:paraId="31132F30" w14:textId="77777777" w:rsidTr="00AC0070">
        <w:trPr>
          <w:cantSplit/>
          <w:jc w:val="center"/>
        </w:trPr>
        <w:tc>
          <w:tcPr>
            <w:tcW w:w="5552" w:type="dxa"/>
            <w:shd w:val="clear" w:color="auto" w:fill="auto"/>
            <w:tcMar>
              <w:top w:w="29" w:type="dxa"/>
              <w:left w:w="115" w:type="dxa"/>
              <w:bottom w:w="29" w:type="dxa"/>
              <w:right w:w="115" w:type="dxa"/>
            </w:tcMar>
          </w:tcPr>
          <w:p w14:paraId="571B77C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kern w:val="22"/>
                <w:szCs w:val="20"/>
                <w:lang w:val="fr-CA"/>
              </w:rPr>
            </w:pPr>
            <w:r w:rsidRPr="007B687E">
              <w:rPr>
                <w:kern w:val="22"/>
                <w:szCs w:val="20"/>
                <w:lang w:val="fr-CA"/>
              </w:rPr>
              <w:t>2.</w:t>
            </w:r>
            <w:r w:rsidRPr="007B687E">
              <w:rPr>
                <w:kern w:val="22"/>
                <w:szCs w:val="20"/>
                <w:lang w:val="fr-CA"/>
              </w:rPr>
              <w:tab/>
              <w:t>Nombre et pourcentage de Parties disposant de mesures législatives, administratives et de politique générale sur l’accès et le partage des avantages</w:t>
            </w:r>
          </w:p>
        </w:tc>
        <w:tc>
          <w:tcPr>
            <w:tcW w:w="1104" w:type="dxa"/>
            <w:shd w:val="clear" w:color="auto" w:fill="auto"/>
            <w:tcMar>
              <w:top w:w="29" w:type="dxa"/>
              <w:left w:w="115" w:type="dxa"/>
              <w:bottom w:w="29" w:type="dxa"/>
              <w:right w:w="115" w:type="dxa"/>
            </w:tcMar>
            <w:vAlign w:val="center"/>
          </w:tcPr>
          <w:p w14:paraId="53CFF21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kern w:val="22"/>
                <w:szCs w:val="20"/>
                <w:lang w:val="fr-CA"/>
              </w:rPr>
              <w:t>a)</w:t>
            </w:r>
          </w:p>
        </w:tc>
        <w:tc>
          <w:tcPr>
            <w:tcW w:w="1506" w:type="dxa"/>
            <w:shd w:val="clear" w:color="auto" w:fill="auto"/>
            <w:tcMar>
              <w:top w:w="29" w:type="dxa"/>
              <w:left w:w="115" w:type="dxa"/>
              <w:bottom w:w="29" w:type="dxa"/>
              <w:right w:w="115" w:type="dxa"/>
            </w:tcMar>
            <w:vAlign w:val="center"/>
          </w:tcPr>
          <w:p w14:paraId="6B87A83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 xml:space="preserve">75 (71 %) </w:t>
            </w:r>
          </w:p>
        </w:tc>
        <w:tc>
          <w:tcPr>
            <w:tcW w:w="1321" w:type="dxa"/>
            <w:shd w:val="clear" w:color="auto" w:fill="auto"/>
            <w:tcMar>
              <w:top w:w="29" w:type="dxa"/>
              <w:left w:w="115" w:type="dxa"/>
              <w:bottom w:w="29" w:type="dxa"/>
              <w:right w:w="115" w:type="dxa"/>
            </w:tcMar>
            <w:vAlign w:val="center"/>
          </w:tcPr>
          <w:p w14:paraId="4E4DE90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Q.4 Rapport de la CDB sur le Centre d’échange sur l’accès et le partage des avantages</w:t>
            </w:r>
          </w:p>
          <w:p w14:paraId="1DF091B9"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SPANB</w:t>
            </w:r>
          </w:p>
        </w:tc>
      </w:tr>
      <w:tr w:rsidR="0045416C" w:rsidRPr="00AB4311" w14:paraId="43BD26AA" w14:textId="77777777" w:rsidTr="00AC0070">
        <w:trPr>
          <w:cantSplit/>
          <w:jc w:val="center"/>
        </w:trPr>
        <w:tc>
          <w:tcPr>
            <w:tcW w:w="5552" w:type="dxa"/>
            <w:shd w:val="clear" w:color="auto" w:fill="auto"/>
            <w:tcMar>
              <w:top w:w="29" w:type="dxa"/>
              <w:left w:w="115" w:type="dxa"/>
              <w:bottom w:w="29" w:type="dxa"/>
              <w:right w:w="115" w:type="dxa"/>
            </w:tcMar>
          </w:tcPr>
          <w:p w14:paraId="48061B2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kern w:val="22"/>
                <w:szCs w:val="20"/>
                <w:lang w:val="fr-CA"/>
              </w:rPr>
            </w:pPr>
            <w:r w:rsidRPr="007B687E">
              <w:rPr>
                <w:kern w:val="22"/>
                <w:szCs w:val="20"/>
                <w:lang w:val="fr-CA"/>
              </w:rPr>
              <w:t>3.</w:t>
            </w:r>
            <w:r w:rsidRPr="007B687E">
              <w:rPr>
                <w:kern w:val="22"/>
                <w:szCs w:val="20"/>
                <w:lang w:val="fr-CA"/>
              </w:rPr>
              <w:tab/>
              <w:t>Nombre de Parties ayant publié des informations sur des mesures législatives, administratives ou de politique générale sur l’accès et le partage des avantages dans le Centre d’échange sur l’accès et le partage des avantages</w:t>
            </w:r>
          </w:p>
        </w:tc>
        <w:tc>
          <w:tcPr>
            <w:tcW w:w="1104" w:type="dxa"/>
            <w:shd w:val="clear" w:color="auto" w:fill="auto"/>
            <w:tcMar>
              <w:top w:w="29" w:type="dxa"/>
              <w:left w:w="115" w:type="dxa"/>
              <w:bottom w:w="29" w:type="dxa"/>
              <w:right w:w="115" w:type="dxa"/>
            </w:tcMar>
            <w:vAlign w:val="center"/>
          </w:tcPr>
          <w:p w14:paraId="2D4BA0E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kern w:val="22"/>
                <w:szCs w:val="20"/>
                <w:lang w:val="fr-CA"/>
              </w:rPr>
            </w:pPr>
            <w:r w:rsidRPr="007B687E">
              <w:rPr>
                <w:kern w:val="22"/>
                <w:szCs w:val="20"/>
                <w:lang w:val="fr-CA"/>
              </w:rPr>
              <w:t>g)</w:t>
            </w:r>
          </w:p>
        </w:tc>
        <w:tc>
          <w:tcPr>
            <w:tcW w:w="1506" w:type="dxa"/>
            <w:shd w:val="clear" w:color="auto" w:fill="auto"/>
            <w:tcMar>
              <w:top w:w="29" w:type="dxa"/>
              <w:left w:w="115" w:type="dxa"/>
              <w:bottom w:w="29" w:type="dxa"/>
              <w:right w:w="115" w:type="dxa"/>
            </w:tcMar>
            <w:vAlign w:val="center"/>
          </w:tcPr>
          <w:p w14:paraId="49685E3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45 (43 %);</w:t>
            </w:r>
          </w:p>
          <w:p w14:paraId="43F32279"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p>
        </w:tc>
        <w:tc>
          <w:tcPr>
            <w:tcW w:w="1321" w:type="dxa"/>
            <w:shd w:val="clear" w:color="auto" w:fill="auto"/>
            <w:tcMar>
              <w:top w:w="29" w:type="dxa"/>
              <w:left w:w="115" w:type="dxa"/>
              <w:bottom w:w="29" w:type="dxa"/>
              <w:right w:w="115" w:type="dxa"/>
            </w:tcMar>
            <w:vAlign w:val="center"/>
          </w:tcPr>
          <w:p w14:paraId="617E422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Centre d’échange sur l’accès et le partage des avantages</w:t>
            </w:r>
          </w:p>
        </w:tc>
      </w:tr>
      <w:tr w:rsidR="0045416C" w:rsidRPr="00AB4311" w14:paraId="029E80B4" w14:textId="77777777" w:rsidTr="00AC0070">
        <w:trPr>
          <w:cantSplit/>
          <w:jc w:val="center"/>
        </w:trPr>
        <w:tc>
          <w:tcPr>
            <w:tcW w:w="5552" w:type="dxa"/>
            <w:shd w:val="clear" w:color="auto" w:fill="auto"/>
            <w:tcMar>
              <w:top w:w="29" w:type="dxa"/>
              <w:left w:w="115" w:type="dxa"/>
              <w:bottom w:w="29" w:type="dxa"/>
              <w:right w:w="115" w:type="dxa"/>
            </w:tcMar>
          </w:tcPr>
          <w:p w14:paraId="4A8126B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kern w:val="22"/>
                <w:szCs w:val="20"/>
                <w:lang w:val="fr-CA"/>
              </w:rPr>
            </w:pPr>
            <w:r w:rsidRPr="007B687E">
              <w:rPr>
                <w:kern w:val="22"/>
                <w:szCs w:val="20"/>
                <w:lang w:val="fr-CA"/>
              </w:rPr>
              <w:t>4.</w:t>
            </w:r>
            <w:r w:rsidRPr="007B687E">
              <w:rPr>
                <w:kern w:val="22"/>
                <w:szCs w:val="20"/>
                <w:lang w:val="fr-CA"/>
              </w:rPr>
              <w:tab/>
              <w:t>Nombre et pourcentage de Parties disposant de correspondants nationaux sur l’accès et le partage des avantages</w:t>
            </w:r>
          </w:p>
        </w:tc>
        <w:tc>
          <w:tcPr>
            <w:tcW w:w="1104" w:type="dxa"/>
            <w:shd w:val="clear" w:color="auto" w:fill="auto"/>
            <w:tcMar>
              <w:top w:w="29" w:type="dxa"/>
              <w:left w:w="115" w:type="dxa"/>
              <w:bottom w:w="29" w:type="dxa"/>
              <w:right w:w="115" w:type="dxa"/>
            </w:tcMar>
            <w:vAlign w:val="center"/>
          </w:tcPr>
          <w:p w14:paraId="57B63375"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kern w:val="22"/>
                <w:szCs w:val="20"/>
                <w:lang w:val="fr-CA"/>
              </w:rPr>
              <w:t>a)</w:t>
            </w:r>
          </w:p>
        </w:tc>
        <w:tc>
          <w:tcPr>
            <w:tcW w:w="1506" w:type="dxa"/>
            <w:shd w:val="clear" w:color="auto" w:fill="auto"/>
            <w:tcMar>
              <w:top w:w="29" w:type="dxa"/>
              <w:left w:w="115" w:type="dxa"/>
              <w:bottom w:w="29" w:type="dxa"/>
              <w:right w:w="115" w:type="dxa"/>
            </w:tcMar>
            <w:vAlign w:val="center"/>
          </w:tcPr>
          <w:p w14:paraId="03E1039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103 (98 %)</w:t>
            </w:r>
          </w:p>
        </w:tc>
        <w:tc>
          <w:tcPr>
            <w:tcW w:w="1321" w:type="dxa"/>
            <w:shd w:val="clear" w:color="auto" w:fill="auto"/>
            <w:tcMar>
              <w:top w:w="29" w:type="dxa"/>
              <w:left w:w="115" w:type="dxa"/>
              <w:bottom w:w="29" w:type="dxa"/>
              <w:right w:w="115" w:type="dxa"/>
            </w:tcMar>
            <w:vAlign w:val="center"/>
          </w:tcPr>
          <w:p w14:paraId="6A52B96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Q.5 Centre d’échange sur l’accès et le partage des avantages</w:t>
            </w:r>
          </w:p>
        </w:tc>
      </w:tr>
      <w:tr w:rsidR="0045416C" w:rsidRPr="007B687E" w14:paraId="1CC48A4D" w14:textId="77777777" w:rsidTr="00AC0070">
        <w:trPr>
          <w:cantSplit/>
          <w:jc w:val="center"/>
        </w:trPr>
        <w:tc>
          <w:tcPr>
            <w:tcW w:w="5552" w:type="dxa"/>
            <w:shd w:val="clear" w:color="auto" w:fill="auto"/>
            <w:tcMar>
              <w:top w:w="29" w:type="dxa"/>
              <w:left w:w="115" w:type="dxa"/>
              <w:bottom w:w="29" w:type="dxa"/>
              <w:right w:w="115" w:type="dxa"/>
            </w:tcMar>
          </w:tcPr>
          <w:p w14:paraId="15BC314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kern w:val="22"/>
                <w:szCs w:val="20"/>
                <w:lang w:val="fr-CA"/>
              </w:rPr>
            </w:pPr>
            <w:r w:rsidRPr="007B687E">
              <w:rPr>
                <w:kern w:val="22"/>
                <w:szCs w:val="20"/>
                <w:lang w:val="fr-CA"/>
              </w:rPr>
              <w:t>5.</w:t>
            </w:r>
            <w:r w:rsidRPr="007B687E">
              <w:rPr>
                <w:kern w:val="22"/>
                <w:szCs w:val="20"/>
                <w:lang w:val="fr-CA"/>
              </w:rPr>
              <w:tab/>
              <w:t>Nombre et pourcentage de Parties disposant d’une ou plusieurs autorités nationales compétentes</w:t>
            </w:r>
          </w:p>
        </w:tc>
        <w:tc>
          <w:tcPr>
            <w:tcW w:w="1104" w:type="dxa"/>
            <w:shd w:val="clear" w:color="auto" w:fill="auto"/>
            <w:tcMar>
              <w:top w:w="29" w:type="dxa"/>
              <w:left w:w="115" w:type="dxa"/>
              <w:bottom w:w="29" w:type="dxa"/>
              <w:right w:w="115" w:type="dxa"/>
            </w:tcMar>
            <w:vAlign w:val="center"/>
          </w:tcPr>
          <w:p w14:paraId="6FBBAAB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kern w:val="22"/>
                <w:szCs w:val="20"/>
                <w:lang w:val="fr-CA"/>
              </w:rPr>
              <w:t>a)</w:t>
            </w:r>
          </w:p>
        </w:tc>
        <w:tc>
          <w:tcPr>
            <w:tcW w:w="1506" w:type="dxa"/>
            <w:shd w:val="clear" w:color="auto" w:fill="auto"/>
            <w:tcMar>
              <w:top w:w="29" w:type="dxa"/>
              <w:left w:w="115" w:type="dxa"/>
              <w:bottom w:w="29" w:type="dxa"/>
              <w:right w:w="115" w:type="dxa"/>
            </w:tcMar>
            <w:vAlign w:val="center"/>
          </w:tcPr>
          <w:p w14:paraId="0D902BB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57 (54 %)</w:t>
            </w:r>
          </w:p>
        </w:tc>
        <w:tc>
          <w:tcPr>
            <w:tcW w:w="1321" w:type="dxa"/>
            <w:shd w:val="clear" w:color="auto" w:fill="auto"/>
            <w:tcMar>
              <w:top w:w="29" w:type="dxa"/>
              <w:left w:w="115" w:type="dxa"/>
              <w:bottom w:w="29" w:type="dxa"/>
              <w:right w:w="115" w:type="dxa"/>
            </w:tcMar>
            <w:vAlign w:val="center"/>
          </w:tcPr>
          <w:p w14:paraId="6EEA8045"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Q.6 Rapport de la CDB sur le Centre d’échange sur l’accès et le partage des avantages</w:t>
            </w:r>
          </w:p>
          <w:p w14:paraId="3547C104"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SPANB</w:t>
            </w:r>
          </w:p>
        </w:tc>
      </w:tr>
      <w:tr w:rsidR="0045416C" w:rsidRPr="00AB4311" w14:paraId="5751B5EC" w14:textId="77777777" w:rsidTr="00AC0070">
        <w:trPr>
          <w:cantSplit/>
          <w:jc w:val="center"/>
        </w:trPr>
        <w:tc>
          <w:tcPr>
            <w:tcW w:w="5552" w:type="dxa"/>
            <w:shd w:val="clear" w:color="auto" w:fill="auto"/>
            <w:tcMar>
              <w:top w:w="29" w:type="dxa"/>
              <w:left w:w="115" w:type="dxa"/>
              <w:bottom w:w="29" w:type="dxa"/>
              <w:right w:w="115" w:type="dxa"/>
            </w:tcMar>
          </w:tcPr>
          <w:p w14:paraId="3AFA6944"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kern w:val="22"/>
                <w:szCs w:val="20"/>
                <w:lang w:val="fr-CA"/>
              </w:rPr>
            </w:pPr>
            <w:r w:rsidRPr="007B687E">
              <w:rPr>
                <w:kern w:val="22"/>
                <w:szCs w:val="20"/>
                <w:lang w:val="fr-CA"/>
              </w:rPr>
              <w:lastRenderedPageBreak/>
              <w:t>6.</w:t>
            </w:r>
            <w:r w:rsidRPr="007B687E">
              <w:rPr>
                <w:kern w:val="22"/>
                <w:szCs w:val="20"/>
                <w:lang w:val="fr-CA"/>
              </w:rPr>
              <w:tab/>
              <w:t>Nombre et pourcentage de Parties ayant publié des informations sur les autorités nationales compétentes dans le Centre d’échange sur l’accès et le partage des avantages</w:t>
            </w:r>
          </w:p>
        </w:tc>
        <w:tc>
          <w:tcPr>
            <w:tcW w:w="1104" w:type="dxa"/>
            <w:shd w:val="clear" w:color="auto" w:fill="auto"/>
            <w:tcMar>
              <w:top w:w="29" w:type="dxa"/>
              <w:left w:w="115" w:type="dxa"/>
              <w:bottom w:w="29" w:type="dxa"/>
              <w:right w:w="115" w:type="dxa"/>
            </w:tcMar>
            <w:vAlign w:val="center"/>
          </w:tcPr>
          <w:p w14:paraId="33A51F8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kern w:val="22"/>
                <w:szCs w:val="20"/>
                <w:lang w:val="fr-CA"/>
              </w:rPr>
            </w:pPr>
            <w:r w:rsidRPr="007B687E">
              <w:rPr>
                <w:kern w:val="22"/>
                <w:szCs w:val="20"/>
                <w:lang w:val="fr-CA"/>
              </w:rPr>
              <w:t>g)</w:t>
            </w:r>
          </w:p>
        </w:tc>
        <w:tc>
          <w:tcPr>
            <w:tcW w:w="1506" w:type="dxa"/>
            <w:shd w:val="clear" w:color="auto" w:fill="auto"/>
            <w:tcMar>
              <w:top w:w="29" w:type="dxa"/>
              <w:left w:w="115" w:type="dxa"/>
              <w:bottom w:w="29" w:type="dxa"/>
              <w:right w:w="115" w:type="dxa"/>
            </w:tcMar>
            <w:vAlign w:val="center"/>
          </w:tcPr>
          <w:p w14:paraId="60B694D8"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45 (43 %)</w:t>
            </w:r>
          </w:p>
        </w:tc>
        <w:tc>
          <w:tcPr>
            <w:tcW w:w="1321" w:type="dxa"/>
            <w:shd w:val="clear" w:color="auto" w:fill="auto"/>
            <w:tcMar>
              <w:top w:w="29" w:type="dxa"/>
              <w:left w:w="115" w:type="dxa"/>
              <w:bottom w:w="29" w:type="dxa"/>
              <w:right w:w="115" w:type="dxa"/>
            </w:tcMar>
            <w:vAlign w:val="center"/>
          </w:tcPr>
          <w:p w14:paraId="5778FB68"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Centre d’échange sur l’accès et le partage des avantages</w:t>
            </w:r>
          </w:p>
        </w:tc>
      </w:tr>
      <w:tr w:rsidR="0045416C" w:rsidRPr="00AB4311" w14:paraId="47B5DA1C" w14:textId="77777777" w:rsidTr="00AC0070">
        <w:trPr>
          <w:cantSplit/>
          <w:jc w:val="center"/>
        </w:trPr>
        <w:tc>
          <w:tcPr>
            <w:tcW w:w="5552" w:type="dxa"/>
            <w:shd w:val="clear" w:color="auto" w:fill="auto"/>
            <w:tcMar>
              <w:top w:w="29" w:type="dxa"/>
              <w:left w:w="115" w:type="dxa"/>
              <w:bottom w:w="29" w:type="dxa"/>
              <w:right w:w="115" w:type="dxa"/>
            </w:tcMar>
          </w:tcPr>
          <w:p w14:paraId="74BD033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Calibri"/>
                <w:color w:val="000000"/>
                <w:kern w:val="22"/>
                <w:szCs w:val="20"/>
                <w:u w:color="000000"/>
                <w:lang w:val="fr-CA"/>
              </w:rPr>
            </w:pPr>
            <w:r w:rsidRPr="007B687E">
              <w:rPr>
                <w:rFonts w:eastAsia="Calibri"/>
                <w:color w:val="000000"/>
                <w:kern w:val="22"/>
                <w:szCs w:val="20"/>
                <w:u w:color="000000"/>
                <w:lang w:val="fr-CA"/>
              </w:rPr>
              <w:t>7.</w:t>
            </w:r>
            <w:r w:rsidRPr="007B687E">
              <w:rPr>
                <w:rFonts w:eastAsia="Calibri"/>
                <w:color w:val="000000"/>
                <w:kern w:val="22"/>
                <w:szCs w:val="20"/>
                <w:u w:color="000000"/>
                <w:lang w:val="fr-CA"/>
              </w:rPr>
              <w:tab/>
            </w:r>
            <w:r w:rsidRPr="007B687E">
              <w:rPr>
                <w:rFonts w:eastAsia="Calibri"/>
                <w:i/>
                <w:color w:val="000000"/>
                <w:kern w:val="22"/>
                <w:szCs w:val="20"/>
                <w:u w:color="000000"/>
                <w:lang w:val="fr-CA"/>
              </w:rPr>
              <w:t>Nouveau :</w:t>
            </w:r>
            <w:r>
              <w:rPr>
                <w:rFonts w:eastAsia="Calibri"/>
                <w:color w:val="000000"/>
                <w:kern w:val="22"/>
                <w:szCs w:val="20"/>
                <w:u w:color="000000"/>
                <w:lang w:val="fr-CA"/>
              </w:rPr>
              <w:t xml:space="preserve"> N</w:t>
            </w:r>
            <w:r w:rsidRPr="007B687E">
              <w:rPr>
                <w:rFonts w:eastAsia="Calibri"/>
                <w:color w:val="000000"/>
                <w:kern w:val="22"/>
                <w:szCs w:val="20"/>
                <w:u w:color="000000"/>
                <w:lang w:val="fr-CA"/>
              </w:rPr>
              <w:t>ombre et pourcentage de parties ayant délivré des permis ou des documents équivalents</w:t>
            </w:r>
          </w:p>
        </w:tc>
        <w:tc>
          <w:tcPr>
            <w:tcW w:w="1104" w:type="dxa"/>
            <w:shd w:val="clear" w:color="auto" w:fill="auto"/>
            <w:tcMar>
              <w:top w:w="29" w:type="dxa"/>
              <w:left w:w="115" w:type="dxa"/>
              <w:bottom w:w="29" w:type="dxa"/>
              <w:right w:w="115" w:type="dxa"/>
            </w:tcMar>
            <w:vAlign w:val="center"/>
          </w:tcPr>
          <w:p w14:paraId="12311EB7"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kern w:val="22"/>
                <w:szCs w:val="20"/>
                <w:lang w:val="fr-CA"/>
              </w:rPr>
              <w:t>a)</w:t>
            </w:r>
          </w:p>
        </w:tc>
        <w:tc>
          <w:tcPr>
            <w:tcW w:w="1506" w:type="dxa"/>
            <w:shd w:val="clear" w:color="auto" w:fill="auto"/>
            <w:tcMar>
              <w:top w:w="29" w:type="dxa"/>
              <w:left w:w="115" w:type="dxa"/>
              <w:bottom w:w="29" w:type="dxa"/>
              <w:right w:w="115" w:type="dxa"/>
            </w:tcMar>
            <w:vAlign w:val="center"/>
          </w:tcPr>
          <w:p w14:paraId="0173FBC5"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19 (18 %)</w:t>
            </w:r>
          </w:p>
        </w:tc>
        <w:tc>
          <w:tcPr>
            <w:tcW w:w="1321" w:type="dxa"/>
            <w:shd w:val="clear" w:color="auto" w:fill="auto"/>
            <w:tcMar>
              <w:top w:w="29" w:type="dxa"/>
              <w:left w:w="115" w:type="dxa"/>
              <w:bottom w:w="29" w:type="dxa"/>
              <w:right w:w="115" w:type="dxa"/>
            </w:tcMar>
            <w:vAlign w:val="center"/>
          </w:tcPr>
          <w:p w14:paraId="598E6B43"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Calibri"/>
                <w:color w:val="000000"/>
                <w:kern w:val="22"/>
                <w:szCs w:val="20"/>
                <w:u w:color="000000"/>
                <w:lang w:val="fr-CA"/>
              </w:rPr>
            </w:pPr>
            <w:r w:rsidRPr="007B687E">
              <w:rPr>
                <w:rFonts w:eastAsia="Calibri"/>
                <w:color w:val="000000"/>
                <w:kern w:val="22"/>
                <w:szCs w:val="20"/>
                <w:u w:color="000000"/>
                <w:lang w:val="fr-CA"/>
              </w:rPr>
              <w:t>Le format du rapport national a besoin d’être révisé</w:t>
            </w:r>
          </w:p>
        </w:tc>
      </w:tr>
      <w:tr w:rsidR="0045416C" w:rsidRPr="00AB4311" w14:paraId="4DFA23C3" w14:textId="77777777" w:rsidTr="00AC0070">
        <w:trPr>
          <w:cantSplit/>
          <w:jc w:val="center"/>
        </w:trPr>
        <w:tc>
          <w:tcPr>
            <w:tcW w:w="5552" w:type="dxa"/>
            <w:shd w:val="clear" w:color="auto" w:fill="auto"/>
            <w:tcMar>
              <w:top w:w="29" w:type="dxa"/>
              <w:left w:w="115" w:type="dxa"/>
              <w:bottom w:w="29" w:type="dxa"/>
              <w:right w:w="115" w:type="dxa"/>
            </w:tcMar>
          </w:tcPr>
          <w:p w14:paraId="267D314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Calibri"/>
                <w:color w:val="000000"/>
                <w:kern w:val="22"/>
                <w:szCs w:val="20"/>
                <w:u w:color="000000"/>
                <w:lang w:val="fr-CA"/>
              </w:rPr>
            </w:pPr>
            <w:r w:rsidRPr="007B687E">
              <w:rPr>
                <w:rFonts w:eastAsia="Calibri"/>
                <w:color w:val="000000"/>
                <w:kern w:val="22"/>
                <w:szCs w:val="20"/>
                <w:u w:color="000000"/>
                <w:lang w:val="fr-CA"/>
              </w:rPr>
              <w:t>8.</w:t>
            </w:r>
            <w:r w:rsidRPr="007B687E">
              <w:rPr>
                <w:rFonts w:eastAsia="Calibri"/>
                <w:color w:val="000000"/>
                <w:kern w:val="22"/>
                <w:szCs w:val="20"/>
                <w:u w:color="000000"/>
                <w:lang w:val="fr-CA"/>
              </w:rPr>
              <w:tab/>
              <w:t>Nombre et pourcentage de Parties ayant publié des certificats de conformité reconnus à l’échelle internationale dans le Centre d’échange sur l’accès et le partage des avantages</w:t>
            </w:r>
          </w:p>
        </w:tc>
        <w:tc>
          <w:tcPr>
            <w:tcW w:w="1104" w:type="dxa"/>
            <w:shd w:val="clear" w:color="auto" w:fill="auto"/>
            <w:tcMar>
              <w:top w:w="29" w:type="dxa"/>
              <w:left w:w="115" w:type="dxa"/>
              <w:bottom w:w="29" w:type="dxa"/>
              <w:right w:w="115" w:type="dxa"/>
            </w:tcMar>
            <w:vAlign w:val="center"/>
          </w:tcPr>
          <w:p w14:paraId="2BD820C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kern w:val="22"/>
                <w:szCs w:val="20"/>
                <w:lang w:val="fr-CA"/>
              </w:rPr>
              <w:t>b) g)</w:t>
            </w:r>
          </w:p>
        </w:tc>
        <w:tc>
          <w:tcPr>
            <w:tcW w:w="1506" w:type="dxa"/>
            <w:shd w:val="clear" w:color="auto" w:fill="auto"/>
            <w:tcMar>
              <w:top w:w="29" w:type="dxa"/>
              <w:left w:w="115" w:type="dxa"/>
              <w:bottom w:w="29" w:type="dxa"/>
              <w:right w:w="115" w:type="dxa"/>
            </w:tcMar>
            <w:vAlign w:val="center"/>
          </w:tcPr>
          <w:p w14:paraId="1D6D22D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12 (11 %)</w:t>
            </w:r>
          </w:p>
        </w:tc>
        <w:tc>
          <w:tcPr>
            <w:tcW w:w="1321" w:type="dxa"/>
            <w:shd w:val="clear" w:color="auto" w:fill="auto"/>
            <w:tcMar>
              <w:top w:w="29" w:type="dxa"/>
              <w:left w:w="115" w:type="dxa"/>
              <w:bottom w:w="29" w:type="dxa"/>
              <w:right w:w="115" w:type="dxa"/>
            </w:tcMar>
            <w:vAlign w:val="center"/>
          </w:tcPr>
          <w:p w14:paraId="7EDD872F"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Calibri"/>
                <w:color w:val="000000"/>
                <w:kern w:val="22"/>
                <w:szCs w:val="20"/>
                <w:u w:color="000000"/>
                <w:lang w:val="fr-CA"/>
              </w:rPr>
            </w:pPr>
            <w:r w:rsidRPr="007B687E">
              <w:rPr>
                <w:rFonts w:eastAsia="Calibri"/>
                <w:color w:val="000000"/>
                <w:kern w:val="22"/>
                <w:szCs w:val="20"/>
                <w:u w:color="000000"/>
                <w:lang w:val="fr-CA"/>
              </w:rPr>
              <w:t xml:space="preserve">Q.7, 8, 16 </w:t>
            </w:r>
          </w:p>
          <w:p w14:paraId="13981F6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Calibri"/>
                <w:color w:val="000000"/>
                <w:kern w:val="22"/>
                <w:szCs w:val="20"/>
                <w:u w:color="000000"/>
                <w:lang w:val="fr-CA"/>
              </w:rPr>
            </w:pPr>
            <w:r w:rsidRPr="007B687E">
              <w:rPr>
                <w:rFonts w:eastAsia="Calibri"/>
                <w:color w:val="000000"/>
                <w:kern w:val="22"/>
                <w:szCs w:val="20"/>
                <w:u w:color="000000"/>
                <w:lang w:val="fr-CA"/>
              </w:rPr>
              <w:t>Centre d’échange sur l’accès et le partage des avantages</w:t>
            </w:r>
          </w:p>
        </w:tc>
      </w:tr>
      <w:tr w:rsidR="0045416C" w:rsidRPr="00AB4311" w14:paraId="3EF3BAEE" w14:textId="77777777" w:rsidTr="00AC0070">
        <w:trPr>
          <w:cantSplit/>
          <w:jc w:val="center"/>
        </w:trPr>
        <w:tc>
          <w:tcPr>
            <w:tcW w:w="5552" w:type="dxa"/>
            <w:shd w:val="clear" w:color="auto" w:fill="auto"/>
            <w:tcMar>
              <w:top w:w="29" w:type="dxa"/>
              <w:left w:w="115" w:type="dxa"/>
              <w:bottom w:w="29" w:type="dxa"/>
              <w:right w:w="115" w:type="dxa"/>
            </w:tcMar>
          </w:tcPr>
          <w:p w14:paraId="103ACC28"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9.</w:t>
            </w:r>
            <w:r w:rsidRPr="007B687E">
              <w:rPr>
                <w:rFonts w:eastAsia="SimSun"/>
                <w:kern w:val="22"/>
                <w:szCs w:val="20"/>
                <w:lang w:val="fr-CA"/>
              </w:rPr>
              <w:tab/>
              <w:t>Nombre de certificats de conformité reconnus à l’échelle internationale dans le Centre d’échange sur l’accès et le partage des avantages</w:t>
            </w:r>
          </w:p>
        </w:tc>
        <w:tc>
          <w:tcPr>
            <w:tcW w:w="1104" w:type="dxa"/>
            <w:shd w:val="clear" w:color="auto" w:fill="auto"/>
            <w:tcMar>
              <w:top w:w="29" w:type="dxa"/>
              <w:left w:w="115" w:type="dxa"/>
              <w:bottom w:w="29" w:type="dxa"/>
              <w:right w:w="115" w:type="dxa"/>
            </w:tcMar>
            <w:vAlign w:val="center"/>
          </w:tcPr>
          <w:p w14:paraId="3AB6C59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kern w:val="22"/>
                <w:szCs w:val="20"/>
                <w:lang w:val="fr-CA"/>
              </w:rPr>
              <w:t>g)</w:t>
            </w:r>
          </w:p>
        </w:tc>
        <w:tc>
          <w:tcPr>
            <w:tcW w:w="1506" w:type="dxa"/>
            <w:shd w:val="clear" w:color="auto" w:fill="auto"/>
            <w:tcMar>
              <w:top w:w="29" w:type="dxa"/>
              <w:left w:w="115" w:type="dxa"/>
              <w:bottom w:w="29" w:type="dxa"/>
              <w:right w:w="115" w:type="dxa"/>
            </w:tcMar>
            <w:vAlign w:val="center"/>
          </w:tcPr>
          <w:p w14:paraId="10C802E3"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146</w:t>
            </w:r>
          </w:p>
        </w:tc>
        <w:tc>
          <w:tcPr>
            <w:tcW w:w="1321" w:type="dxa"/>
            <w:shd w:val="clear" w:color="auto" w:fill="auto"/>
            <w:tcMar>
              <w:top w:w="29" w:type="dxa"/>
              <w:left w:w="115" w:type="dxa"/>
              <w:bottom w:w="29" w:type="dxa"/>
              <w:right w:w="115" w:type="dxa"/>
            </w:tcMar>
            <w:vAlign w:val="center"/>
          </w:tcPr>
          <w:p w14:paraId="642372B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Centre d’échange sur l’accès et le partage des avantages</w:t>
            </w:r>
          </w:p>
        </w:tc>
      </w:tr>
      <w:tr w:rsidR="0045416C" w:rsidRPr="007B687E" w14:paraId="011EA669" w14:textId="77777777" w:rsidTr="00AC0070">
        <w:trPr>
          <w:cantSplit/>
          <w:jc w:val="center"/>
        </w:trPr>
        <w:tc>
          <w:tcPr>
            <w:tcW w:w="5552" w:type="dxa"/>
            <w:shd w:val="clear" w:color="auto" w:fill="auto"/>
            <w:tcMar>
              <w:top w:w="29" w:type="dxa"/>
              <w:left w:w="115" w:type="dxa"/>
              <w:bottom w:w="29" w:type="dxa"/>
              <w:right w:w="115" w:type="dxa"/>
            </w:tcMar>
          </w:tcPr>
          <w:p w14:paraId="2757130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kern w:val="22"/>
                <w:szCs w:val="20"/>
                <w:lang w:val="fr-CA"/>
              </w:rPr>
            </w:pPr>
            <w:r w:rsidRPr="007B687E">
              <w:rPr>
                <w:kern w:val="22"/>
                <w:szCs w:val="20"/>
                <w:lang w:val="fr-CA"/>
              </w:rPr>
              <w:t>10.</w:t>
            </w:r>
            <w:r w:rsidRPr="007B687E">
              <w:rPr>
                <w:kern w:val="22"/>
                <w:szCs w:val="20"/>
                <w:lang w:val="fr-CA"/>
              </w:rPr>
              <w:tab/>
              <w:t>Nombre et pourcentage de Parties disposant d’un ou plusieurs points de contrôle</w:t>
            </w:r>
          </w:p>
        </w:tc>
        <w:tc>
          <w:tcPr>
            <w:tcW w:w="1104" w:type="dxa"/>
            <w:shd w:val="clear" w:color="auto" w:fill="auto"/>
            <w:tcMar>
              <w:top w:w="29" w:type="dxa"/>
              <w:left w:w="115" w:type="dxa"/>
              <w:bottom w:w="29" w:type="dxa"/>
              <w:right w:w="115" w:type="dxa"/>
            </w:tcMar>
            <w:vAlign w:val="center"/>
          </w:tcPr>
          <w:p w14:paraId="5280DF5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kern w:val="22"/>
                <w:szCs w:val="20"/>
                <w:lang w:val="fr-CA"/>
              </w:rPr>
              <w:t>a)</w:t>
            </w:r>
          </w:p>
        </w:tc>
        <w:tc>
          <w:tcPr>
            <w:tcW w:w="1506" w:type="dxa"/>
            <w:shd w:val="clear" w:color="auto" w:fill="auto"/>
            <w:tcMar>
              <w:top w:w="29" w:type="dxa"/>
              <w:left w:w="115" w:type="dxa"/>
              <w:bottom w:w="29" w:type="dxa"/>
              <w:right w:w="115" w:type="dxa"/>
            </w:tcMar>
            <w:vAlign w:val="center"/>
          </w:tcPr>
          <w:p w14:paraId="3504B525"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29 (27 %)</w:t>
            </w:r>
          </w:p>
        </w:tc>
        <w:tc>
          <w:tcPr>
            <w:tcW w:w="1321" w:type="dxa"/>
            <w:shd w:val="clear" w:color="auto" w:fill="auto"/>
            <w:tcMar>
              <w:top w:w="29" w:type="dxa"/>
              <w:left w:w="115" w:type="dxa"/>
              <w:bottom w:w="29" w:type="dxa"/>
              <w:right w:w="115" w:type="dxa"/>
            </w:tcMar>
            <w:vAlign w:val="center"/>
          </w:tcPr>
          <w:p w14:paraId="10A60A2F"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Q.9 Rapport de la CDB sur le Centre d’échange sur l’accès et le partage des avantages</w:t>
            </w:r>
          </w:p>
          <w:p w14:paraId="4CE17A53"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SPANB</w:t>
            </w:r>
          </w:p>
        </w:tc>
      </w:tr>
      <w:tr w:rsidR="0045416C" w:rsidRPr="00AB4311" w14:paraId="54A3B95D" w14:textId="77777777" w:rsidTr="00AC0070">
        <w:trPr>
          <w:cantSplit/>
          <w:jc w:val="center"/>
        </w:trPr>
        <w:tc>
          <w:tcPr>
            <w:tcW w:w="5552" w:type="dxa"/>
            <w:shd w:val="clear" w:color="auto" w:fill="auto"/>
            <w:tcMar>
              <w:top w:w="29" w:type="dxa"/>
              <w:left w:w="115" w:type="dxa"/>
              <w:bottom w:w="29" w:type="dxa"/>
              <w:right w:w="115" w:type="dxa"/>
            </w:tcMar>
          </w:tcPr>
          <w:p w14:paraId="0FE2BEF9"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kern w:val="22"/>
                <w:szCs w:val="20"/>
                <w:lang w:val="fr-CA"/>
              </w:rPr>
            </w:pPr>
            <w:r w:rsidRPr="007B687E">
              <w:rPr>
                <w:kern w:val="22"/>
                <w:szCs w:val="20"/>
                <w:lang w:val="fr-CA"/>
              </w:rPr>
              <w:t>11.</w:t>
            </w:r>
            <w:r w:rsidRPr="007B687E">
              <w:rPr>
                <w:kern w:val="22"/>
                <w:szCs w:val="20"/>
                <w:lang w:val="fr-CA"/>
              </w:rPr>
              <w:tab/>
              <w:t>Nombre et pourcentage de Parties ayant publié des informations sur les points de contrôle</w:t>
            </w:r>
          </w:p>
        </w:tc>
        <w:tc>
          <w:tcPr>
            <w:tcW w:w="1104" w:type="dxa"/>
            <w:shd w:val="clear" w:color="auto" w:fill="auto"/>
            <w:tcMar>
              <w:top w:w="29" w:type="dxa"/>
              <w:left w:w="115" w:type="dxa"/>
              <w:bottom w:w="29" w:type="dxa"/>
              <w:right w:w="115" w:type="dxa"/>
            </w:tcMar>
            <w:vAlign w:val="center"/>
          </w:tcPr>
          <w:p w14:paraId="08C50C1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kern w:val="22"/>
                <w:szCs w:val="20"/>
                <w:lang w:val="fr-CA"/>
              </w:rPr>
            </w:pPr>
            <w:r w:rsidRPr="007B687E">
              <w:rPr>
                <w:kern w:val="22"/>
                <w:szCs w:val="20"/>
                <w:lang w:val="fr-CA"/>
              </w:rPr>
              <w:t>g)</w:t>
            </w:r>
          </w:p>
        </w:tc>
        <w:tc>
          <w:tcPr>
            <w:tcW w:w="1506" w:type="dxa"/>
            <w:shd w:val="clear" w:color="auto" w:fill="auto"/>
            <w:tcMar>
              <w:top w:w="29" w:type="dxa"/>
              <w:left w:w="115" w:type="dxa"/>
              <w:bottom w:w="29" w:type="dxa"/>
              <w:right w:w="115" w:type="dxa"/>
            </w:tcMar>
            <w:vAlign w:val="center"/>
          </w:tcPr>
          <w:p w14:paraId="0A6E4F4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20 (19 %)</w:t>
            </w:r>
          </w:p>
        </w:tc>
        <w:tc>
          <w:tcPr>
            <w:tcW w:w="1321" w:type="dxa"/>
            <w:shd w:val="clear" w:color="auto" w:fill="auto"/>
            <w:tcMar>
              <w:top w:w="29" w:type="dxa"/>
              <w:left w:w="115" w:type="dxa"/>
              <w:bottom w:w="29" w:type="dxa"/>
              <w:right w:w="115" w:type="dxa"/>
            </w:tcMar>
            <w:vAlign w:val="center"/>
          </w:tcPr>
          <w:p w14:paraId="44E3078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Centre d’échange sur l’accès et le partage des avantages</w:t>
            </w:r>
          </w:p>
        </w:tc>
      </w:tr>
      <w:tr w:rsidR="0045416C" w:rsidRPr="00AB4311" w14:paraId="1F2B4F41" w14:textId="77777777" w:rsidTr="00AC0070">
        <w:trPr>
          <w:cantSplit/>
          <w:jc w:val="center"/>
        </w:trPr>
        <w:tc>
          <w:tcPr>
            <w:tcW w:w="5552" w:type="dxa"/>
            <w:shd w:val="clear" w:color="auto" w:fill="auto"/>
            <w:tcMar>
              <w:top w:w="29" w:type="dxa"/>
              <w:left w:w="115" w:type="dxa"/>
              <w:bottom w:w="29" w:type="dxa"/>
              <w:right w:w="115" w:type="dxa"/>
            </w:tcMar>
          </w:tcPr>
          <w:p w14:paraId="280B10AF"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kern w:val="22"/>
                <w:szCs w:val="20"/>
                <w:lang w:val="fr-CA"/>
              </w:rPr>
            </w:pPr>
            <w:r w:rsidRPr="007B687E">
              <w:rPr>
                <w:kern w:val="22"/>
                <w:szCs w:val="20"/>
                <w:lang w:val="fr-CA"/>
              </w:rPr>
              <w:lastRenderedPageBreak/>
              <w:t>12.</w:t>
            </w:r>
            <w:r w:rsidRPr="007B687E">
              <w:rPr>
                <w:kern w:val="22"/>
                <w:szCs w:val="20"/>
                <w:lang w:val="fr-CA"/>
              </w:rPr>
              <w:tab/>
              <w:t>Nombre et pourcentage de Parties qui ont mis des informations à disposition du Centre d’échange sur l’accès et le partage des avantages (autorités nationales compétentes, point de contrôle, mesures relatives à l’accès et au partage des avantages, certificats de conformité reconnus à l’échelle internationale)</w:t>
            </w:r>
          </w:p>
        </w:tc>
        <w:tc>
          <w:tcPr>
            <w:tcW w:w="1104" w:type="dxa"/>
            <w:shd w:val="clear" w:color="auto" w:fill="auto"/>
            <w:tcMar>
              <w:top w:w="29" w:type="dxa"/>
              <w:left w:w="115" w:type="dxa"/>
              <w:bottom w:w="29" w:type="dxa"/>
              <w:right w:w="115" w:type="dxa"/>
            </w:tcMar>
            <w:vAlign w:val="center"/>
          </w:tcPr>
          <w:p w14:paraId="4B8BD2A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kern w:val="22"/>
                <w:szCs w:val="20"/>
                <w:lang w:val="fr-CA"/>
              </w:rPr>
              <w:t>a) g)</w:t>
            </w:r>
          </w:p>
        </w:tc>
        <w:tc>
          <w:tcPr>
            <w:tcW w:w="1506" w:type="dxa"/>
            <w:shd w:val="clear" w:color="auto" w:fill="auto"/>
            <w:tcMar>
              <w:top w:w="29" w:type="dxa"/>
              <w:left w:w="115" w:type="dxa"/>
              <w:bottom w:w="29" w:type="dxa"/>
              <w:right w:w="115" w:type="dxa"/>
            </w:tcMar>
            <w:vAlign w:val="center"/>
          </w:tcPr>
          <w:p w14:paraId="4E1C482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54 (51 %)</w:t>
            </w:r>
          </w:p>
        </w:tc>
        <w:tc>
          <w:tcPr>
            <w:tcW w:w="1321" w:type="dxa"/>
            <w:shd w:val="clear" w:color="auto" w:fill="auto"/>
            <w:tcMar>
              <w:top w:w="29" w:type="dxa"/>
              <w:left w:w="115" w:type="dxa"/>
              <w:bottom w:w="29" w:type="dxa"/>
              <w:right w:w="115" w:type="dxa"/>
            </w:tcMar>
            <w:vAlign w:val="center"/>
          </w:tcPr>
          <w:p w14:paraId="2E08B598"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Q.3 Centre d’échange sur l’accès et le partage des avantages</w:t>
            </w:r>
          </w:p>
        </w:tc>
      </w:tr>
      <w:tr w:rsidR="0045416C" w:rsidRPr="007B687E" w14:paraId="2F2E64F1"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5B8C2B95"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13.</w:t>
            </w:r>
            <w:r w:rsidRPr="007B687E">
              <w:rPr>
                <w:rFonts w:eastAsia="SimSun"/>
                <w:kern w:val="22"/>
                <w:szCs w:val="20"/>
                <w:lang w:val="fr-CA"/>
              </w:rPr>
              <w:tab/>
            </w:r>
            <w:r w:rsidRPr="007B687E">
              <w:rPr>
                <w:kern w:val="22"/>
                <w:szCs w:val="20"/>
                <w:lang w:val="fr-CA"/>
              </w:rPr>
              <w:t>Nombre et pourcentage de Parties ayant des informations (autorités nationales compétentes, point de contrôle, mesures relatives à l’accès et au partage des avantages, permis) qui n’ont pas encore été mises à la disposition du Centre d’échange sur l’accès et le partage des avantages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2B70CB19"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kern w:val="22"/>
                <w:szCs w:val="20"/>
                <w:lang w:val="fr-CA"/>
              </w:rPr>
              <w:t>a) 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212C3B0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46 (44 %)</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38E03C54"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Q.4, 6, 9 Rapport de la CDB sur le Centre d’échange sur l’accès et le partage des avantages</w:t>
            </w:r>
          </w:p>
          <w:p w14:paraId="0D77276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SPANB</w:t>
            </w:r>
          </w:p>
        </w:tc>
      </w:tr>
      <w:tr w:rsidR="0045416C" w:rsidRPr="00AB4311" w14:paraId="2831C89B" w14:textId="77777777" w:rsidTr="00AC0070">
        <w:trPr>
          <w:cantSplit/>
          <w:jc w:val="center"/>
        </w:trPr>
        <w:tc>
          <w:tcPr>
            <w:tcW w:w="9483" w:type="dxa"/>
            <w:gridSpan w:val="4"/>
            <w:shd w:val="pct5" w:color="auto" w:fill="auto"/>
            <w:tcMar>
              <w:top w:w="29" w:type="dxa"/>
              <w:left w:w="115" w:type="dxa"/>
              <w:bottom w:w="29" w:type="dxa"/>
              <w:right w:w="115" w:type="dxa"/>
            </w:tcMar>
            <w:vAlign w:val="center"/>
          </w:tcPr>
          <w:p w14:paraId="21E34DF1"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fr-CA"/>
              </w:rPr>
            </w:pPr>
            <w:r w:rsidRPr="007B687E">
              <w:rPr>
                <w:rFonts w:eastAsia="SimSun"/>
                <w:b/>
                <w:kern w:val="22"/>
                <w:szCs w:val="20"/>
                <w:lang w:val="fr-CA"/>
              </w:rPr>
              <w:t>Mesures législatives, administratives ou de politique générale sur l’accès et le partage des avantages : accès aux ressources génétiques (article 6)</w:t>
            </w:r>
          </w:p>
        </w:tc>
      </w:tr>
      <w:tr w:rsidR="0045416C" w:rsidRPr="007B687E" w14:paraId="5BFC2A43" w14:textId="77777777" w:rsidTr="00AC0070">
        <w:trPr>
          <w:cantSplit/>
          <w:jc w:val="center"/>
        </w:trPr>
        <w:tc>
          <w:tcPr>
            <w:tcW w:w="5552" w:type="dxa"/>
            <w:shd w:val="clear" w:color="auto" w:fill="auto"/>
            <w:tcMar>
              <w:top w:w="29" w:type="dxa"/>
              <w:left w:w="115" w:type="dxa"/>
              <w:bottom w:w="29" w:type="dxa"/>
              <w:right w:w="115" w:type="dxa"/>
            </w:tcMar>
          </w:tcPr>
          <w:p w14:paraId="18E9A2AD"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14.</w:t>
            </w:r>
            <w:r w:rsidRPr="007B687E">
              <w:rPr>
                <w:rFonts w:eastAsia="SimSun"/>
                <w:kern w:val="22"/>
                <w:szCs w:val="20"/>
                <w:lang w:val="fr-CA"/>
              </w:rPr>
              <w:tab/>
              <w:t>Nombre et pourcentage de Parties exigeant un consentement préalable en connaissance de cause pour l’accès aux ressources génétiques qui fournissent des informations sur la manière de solliciter un consentement préalable en connaissance de cause conformément à l’article 6.3 c)</w:t>
            </w:r>
          </w:p>
        </w:tc>
        <w:tc>
          <w:tcPr>
            <w:tcW w:w="1104" w:type="dxa"/>
            <w:shd w:val="clear" w:color="auto" w:fill="auto"/>
            <w:tcMar>
              <w:top w:w="29" w:type="dxa"/>
              <w:left w:w="115" w:type="dxa"/>
              <w:bottom w:w="29" w:type="dxa"/>
              <w:right w:w="115" w:type="dxa"/>
            </w:tcMar>
            <w:vAlign w:val="center"/>
          </w:tcPr>
          <w:p w14:paraId="56127B7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kern w:val="22"/>
                <w:szCs w:val="20"/>
                <w:lang w:val="fr-CA"/>
              </w:rPr>
            </w:pPr>
            <w:r w:rsidRPr="007B687E">
              <w:rPr>
                <w:kern w:val="22"/>
                <w:szCs w:val="20"/>
                <w:lang w:val="fr-CA"/>
              </w:rPr>
              <w:t>a) b)</w:t>
            </w:r>
          </w:p>
        </w:tc>
        <w:tc>
          <w:tcPr>
            <w:tcW w:w="1506" w:type="dxa"/>
            <w:shd w:val="clear" w:color="auto" w:fill="auto"/>
            <w:tcMar>
              <w:top w:w="29" w:type="dxa"/>
              <w:left w:w="115" w:type="dxa"/>
              <w:bottom w:w="29" w:type="dxa"/>
              <w:right w:w="115" w:type="dxa"/>
            </w:tcMar>
            <w:vAlign w:val="center"/>
          </w:tcPr>
          <w:p w14:paraId="1E16B1E3"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27 (73 %)</w:t>
            </w:r>
          </w:p>
        </w:tc>
        <w:tc>
          <w:tcPr>
            <w:tcW w:w="1321" w:type="dxa"/>
            <w:shd w:val="clear" w:color="auto" w:fill="auto"/>
            <w:tcMar>
              <w:top w:w="29" w:type="dxa"/>
              <w:left w:w="115" w:type="dxa"/>
              <w:bottom w:w="29" w:type="dxa"/>
              <w:right w:w="115" w:type="dxa"/>
            </w:tcMar>
            <w:vAlign w:val="center"/>
          </w:tcPr>
          <w:p w14:paraId="67B3136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 xml:space="preserve">Q.13 </w:t>
            </w:r>
          </w:p>
        </w:tc>
      </w:tr>
      <w:tr w:rsidR="0045416C" w:rsidRPr="007B687E" w14:paraId="16729B7C" w14:textId="77777777" w:rsidTr="00AC0070">
        <w:trPr>
          <w:cantSplit/>
          <w:jc w:val="center"/>
        </w:trPr>
        <w:tc>
          <w:tcPr>
            <w:tcW w:w="5552" w:type="dxa"/>
            <w:shd w:val="clear" w:color="auto" w:fill="auto"/>
            <w:tcMar>
              <w:top w:w="29" w:type="dxa"/>
              <w:left w:w="115" w:type="dxa"/>
              <w:bottom w:w="29" w:type="dxa"/>
              <w:right w:w="115" w:type="dxa"/>
            </w:tcMar>
          </w:tcPr>
          <w:p w14:paraId="73EE2FF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15.</w:t>
            </w:r>
            <w:r w:rsidRPr="007B687E">
              <w:rPr>
                <w:rFonts w:eastAsia="SimSun"/>
                <w:kern w:val="22"/>
                <w:szCs w:val="20"/>
                <w:lang w:val="fr-CA"/>
              </w:rPr>
              <w:tab/>
              <w:t>Nombre et pourcentage de Parties exigeant un consentement préalable en connaissance de cause qui prévoit la délivrance, au moment de l’accès aux ressources génétiques, d’un permis ou d’un document équivalent conformément à l’article 6.3 e)</w:t>
            </w:r>
          </w:p>
        </w:tc>
        <w:tc>
          <w:tcPr>
            <w:tcW w:w="1104" w:type="dxa"/>
            <w:shd w:val="clear" w:color="auto" w:fill="auto"/>
            <w:tcMar>
              <w:top w:w="29" w:type="dxa"/>
              <w:left w:w="115" w:type="dxa"/>
              <w:bottom w:w="29" w:type="dxa"/>
              <w:right w:w="115" w:type="dxa"/>
            </w:tcMar>
            <w:vAlign w:val="center"/>
          </w:tcPr>
          <w:p w14:paraId="13B4137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kern w:val="22"/>
                <w:szCs w:val="20"/>
                <w:lang w:val="fr-CA"/>
              </w:rPr>
            </w:pPr>
            <w:r w:rsidRPr="007B687E">
              <w:rPr>
                <w:kern w:val="22"/>
                <w:szCs w:val="20"/>
                <w:lang w:val="fr-CA"/>
              </w:rPr>
              <w:t>a) b)</w:t>
            </w:r>
          </w:p>
        </w:tc>
        <w:tc>
          <w:tcPr>
            <w:tcW w:w="1506" w:type="dxa"/>
            <w:shd w:val="clear" w:color="auto" w:fill="auto"/>
            <w:tcMar>
              <w:top w:w="29" w:type="dxa"/>
              <w:left w:w="115" w:type="dxa"/>
              <w:bottom w:w="29" w:type="dxa"/>
              <w:right w:w="115" w:type="dxa"/>
            </w:tcMar>
            <w:vAlign w:val="center"/>
          </w:tcPr>
          <w:p w14:paraId="7E5AACBD"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32 (86 %)</w:t>
            </w:r>
          </w:p>
        </w:tc>
        <w:tc>
          <w:tcPr>
            <w:tcW w:w="1321" w:type="dxa"/>
            <w:shd w:val="clear" w:color="auto" w:fill="auto"/>
            <w:tcMar>
              <w:top w:w="29" w:type="dxa"/>
              <w:left w:w="115" w:type="dxa"/>
              <w:bottom w:w="29" w:type="dxa"/>
              <w:right w:w="115" w:type="dxa"/>
            </w:tcMar>
            <w:vAlign w:val="center"/>
          </w:tcPr>
          <w:p w14:paraId="77A1D4E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Q.15</w:t>
            </w:r>
          </w:p>
        </w:tc>
      </w:tr>
      <w:tr w:rsidR="0045416C" w:rsidRPr="007B687E" w14:paraId="5FB94FA7" w14:textId="77777777" w:rsidTr="00AC0070">
        <w:trPr>
          <w:cantSplit/>
          <w:jc w:val="center"/>
        </w:trPr>
        <w:tc>
          <w:tcPr>
            <w:tcW w:w="5552" w:type="dxa"/>
            <w:shd w:val="clear" w:color="auto" w:fill="auto"/>
            <w:tcMar>
              <w:top w:w="29" w:type="dxa"/>
              <w:left w:w="115" w:type="dxa"/>
              <w:bottom w:w="29" w:type="dxa"/>
              <w:right w:w="115" w:type="dxa"/>
            </w:tcMar>
          </w:tcPr>
          <w:p w14:paraId="45C3A29D"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16.</w:t>
            </w:r>
            <w:r w:rsidRPr="007B687E">
              <w:rPr>
                <w:rFonts w:eastAsia="SimSun"/>
                <w:kern w:val="22"/>
                <w:szCs w:val="20"/>
                <w:lang w:val="fr-CA"/>
              </w:rPr>
              <w:tab/>
            </w:r>
            <w:r w:rsidRPr="007B687E">
              <w:rPr>
                <w:rFonts w:eastAsia="Calibri"/>
                <w:color w:val="000000"/>
                <w:kern w:val="22"/>
                <w:szCs w:val="20"/>
                <w:u w:color="000000"/>
                <w:lang w:val="fr-CA"/>
              </w:rPr>
              <w:t>Nombre et pourcentage de Parties exigeant un consentement préalable en connaissance de cause pour l’accès aux ressources génétiques qui ont établi des règles et des procédures relatives à la demande et à l’établissement de conditions convenues d’un commun accord conformément à l’article 6.3 g)</w:t>
            </w:r>
          </w:p>
        </w:tc>
        <w:tc>
          <w:tcPr>
            <w:tcW w:w="1104" w:type="dxa"/>
            <w:shd w:val="clear" w:color="auto" w:fill="auto"/>
            <w:tcMar>
              <w:top w:w="29" w:type="dxa"/>
              <w:left w:w="115" w:type="dxa"/>
              <w:bottom w:w="29" w:type="dxa"/>
              <w:right w:w="115" w:type="dxa"/>
            </w:tcMar>
            <w:vAlign w:val="center"/>
          </w:tcPr>
          <w:p w14:paraId="7D422E35"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a)</w:t>
            </w:r>
          </w:p>
        </w:tc>
        <w:tc>
          <w:tcPr>
            <w:tcW w:w="1506" w:type="dxa"/>
            <w:shd w:val="clear" w:color="auto" w:fill="auto"/>
            <w:tcMar>
              <w:top w:w="29" w:type="dxa"/>
              <w:left w:w="115" w:type="dxa"/>
              <w:bottom w:w="29" w:type="dxa"/>
              <w:right w:w="115" w:type="dxa"/>
            </w:tcMar>
            <w:vAlign w:val="center"/>
          </w:tcPr>
          <w:p w14:paraId="6EF3AAE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28 (76 %)</w:t>
            </w:r>
          </w:p>
        </w:tc>
        <w:tc>
          <w:tcPr>
            <w:tcW w:w="1321" w:type="dxa"/>
            <w:shd w:val="clear" w:color="auto" w:fill="auto"/>
            <w:tcMar>
              <w:top w:w="29" w:type="dxa"/>
              <w:left w:w="115" w:type="dxa"/>
              <w:bottom w:w="29" w:type="dxa"/>
              <w:right w:w="115" w:type="dxa"/>
            </w:tcMar>
            <w:vAlign w:val="center"/>
          </w:tcPr>
          <w:p w14:paraId="14F03F4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Calibri"/>
                <w:color w:val="000000"/>
                <w:kern w:val="22"/>
                <w:szCs w:val="20"/>
                <w:u w:color="000000"/>
                <w:lang w:val="fr-CA"/>
              </w:rPr>
            </w:pPr>
            <w:r w:rsidRPr="007B687E">
              <w:rPr>
                <w:rFonts w:eastAsia="Calibri"/>
                <w:color w:val="000000"/>
                <w:kern w:val="22"/>
                <w:szCs w:val="20"/>
                <w:u w:color="000000"/>
                <w:lang w:val="fr-CA"/>
              </w:rPr>
              <w:t xml:space="preserve">Q.17 </w:t>
            </w:r>
          </w:p>
        </w:tc>
      </w:tr>
      <w:tr w:rsidR="0045416C" w:rsidRPr="007B687E" w14:paraId="5C662607" w14:textId="77777777" w:rsidTr="00AC0070">
        <w:trPr>
          <w:cantSplit/>
          <w:jc w:val="center"/>
        </w:trPr>
        <w:tc>
          <w:tcPr>
            <w:tcW w:w="5552" w:type="dxa"/>
            <w:shd w:val="clear" w:color="auto" w:fill="auto"/>
            <w:tcMar>
              <w:top w:w="29" w:type="dxa"/>
              <w:left w:w="115" w:type="dxa"/>
              <w:bottom w:w="29" w:type="dxa"/>
              <w:right w:w="115" w:type="dxa"/>
            </w:tcMar>
          </w:tcPr>
          <w:p w14:paraId="63319BF9"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17.</w:t>
            </w:r>
            <w:r w:rsidRPr="007B687E">
              <w:rPr>
                <w:rFonts w:eastAsia="SimSun"/>
                <w:kern w:val="22"/>
                <w:szCs w:val="20"/>
                <w:lang w:val="fr-CA"/>
              </w:rPr>
              <w:tab/>
            </w:r>
            <w:r w:rsidRPr="007B687E">
              <w:rPr>
                <w:rFonts w:eastAsia="Calibri"/>
                <w:i/>
                <w:color w:val="000000"/>
                <w:kern w:val="22"/>
                <w:szCs w:val="20"/>
                <w:u w:color="000000"/>
                <w:lang w:val="fr-CA"/>
              </w:rPr>
              <w:t>Révision :</w:t>
            </w:r>
            <w:r>
              <w:rPr>
                <w:rFonts w:eastAsia="SimSun"/>
                <w:kern w:val="22"/>
                <w:szCs w:val="20"/>
                <w:lang w:val="fr-CA"/>
              </w:rPr>
              <w:t xml:space="preserve"> N</w:t>
            </w:r>
            <w:r w:rsidRPr="007B687E">
              <w:rPr>
                <w:rFonts w:eastAsia="SimSun"/>
                <w:kern w:val="22"/>
                <w:szCs w:val="20"/>
                <w:lang w:val="fr-CA"/>
              </w:rPr>
              <w:t>ombre et pourcentage de Parties exigeant un consentement préalable en connaissance de cause dans le cadre de l’accès aux ressources génétiques pour leur utilisation qui ont reçu des avantages pécuniaires dans le cadre de l’octroi de l’accès aux ressources génétiques depuis l’entrée en vigueur du Protocole</w:t>
            </w:r>
          </w:p>
        </w:tc>
        <w:tc>
          <w:tcPr>
            <w:tcW w:w="1104" w:type="dxa"/>
            <w:shd w:val="clear" w:color="auto" w:fill="auto"/>
            <w:tcMar>
              <w:top w:w="29" w:type="dxa"/>
              <w:left w:w="115" w:type="dxa"/>
              <w:bottom w:w="29" w:type="dxa"/>
              <w:right w:w="115" w:type="dxa"/>
            </w:tcMar>
            <w:vAlign w:val="center"/>
          </w:tcPr>
          <w:p w14:paraId="0139854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14:paraId="16BB1598"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Données non concluantes</w:t>
            </w:r>
          </w:p>
        </w:tc>
        <w:tc>
          <w:tcPr>
            <w:tcW w:w="1321" w:type="dxa"/>
            <w:shd w:val="clear" w:color="auto" w:fill="auto"/>
            <w:tcMar>
              <w:top w:w="29" w:type="dxa"/>
              <w:left w:w="115" w:type="dxa"/>
              <w:bottom w:w="29" w:type="dxa"/>
              <w:right w:w="115" w:type="dxa"/>
            </w:tcMar>
            <w:vAlign w:val="center"/>
          </w:tcPr>
          <w:p w14:paraId="2238140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Q.18 nécessite une révision</w:t>
            </w:r>
          </w:p>
        </w:tc>
      </w:tr>
      <w:tr w:rsidR="0045416C" w:rsidRPr="007B687E" w14:paraId="75FB131C" w14:textId="77777777" w:rsidTr="00AC0070">
        <w:trPr>
          <w:cantSplit/>
          <w:jc w:val="center"/>
        </w:trPr>
        <w:tc>
          <w:tcPr>
            <w:tcW w:w="5552" w:type="dxa"/>
            <w:shd w:val="clear" w:color="auto" w:fill="auto"/>
            <w:tcMar>
              <w:top w:w="29" w:type="dxa"/>
              <w:left w:w="115" w:type="dxa"/>
              <w:bottom w:w="29" w:type="dxa"/>
              <w:right w:w="115" w:type="dxa"/>
            </w:tcMar>
          </w:tcPr>
          <w:p w14:paraId="55CDC0E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lastRenderedPageBreak/>
              <w:t>18.</w:t>
            </w:r>
            <w:r w:rsidRPr="007B687E">
              <w:rPr>
                <w:rFonts w:eastAsia="SimSun"/>
                <w:kern w:val="22"/>
                <w:szCs w:val="20"/>
                <w:lang w:val="fr-CA"/>
              </w:rPr>
              <w:tab/>
            </w:r>
            <w:r w:rsidRPr="007B687E">
              <w:rPr>
                <w:rFonts w:eastAsia="Calibri"/>
                <w:i/>
                <w:color w:val="000000"/>
                <w:kern w:val="22"/>
                <w:szCs w:val="20"/>
                <w:u w:color="000000"/>
                <w:lang w:val="fr-CA"/>
              </w:rPr>
              <w:t>Nouveau :</w:t>
            </w:r>
            <w:r>
              <w:rPr>
                <w:rFonts w:eastAsia="SimSun"/>
                <w:kern w:val="22"/>
                <w:szCs w:val="20"/>
                <w:lang w:val="fr-CA"/>
              </w:rPr>
              <w:t xml:space="preserve"> M</w:t>
            </w:r>
            <w:r w:rsidRPr="007B687E">
              <w:rPr>
                <w:rFonts w:eastAsia="SimSun"/>
                <w:kern w:val="22"/>
                <w:szCs w:val="20"/>
                <w:lang w:val="fr-CA"/>
              </w:rPr>
              <w:t>ontant des avantages pécuniaires (en USD) reçus dans le cadre de l’octroi de l’accès aux ressources génétiques pour leur utilisation depuis l’entrée en vigueur du Protocole</w:t>
            </w:r>
          </w:p>
        </w:tc>
        <w:tc>
          <w:tcPr>
            <w:tcW w:w="1104" w:type="dxa"/>
            <w:shd w:val="clear" w:color="auto" w:fill="auto"/>
            <w:tcMar>
              <w:top w:w="29" w:type="dxa"/>
              <w:left w:w="115" w:type="dxa"/>
              <w:bottom w:w="29" w:type="dxa"/>
              <w:right w:w="115" w:type="dxa"/>
            </w:tcMar>
            <w:vAlign w:val="center"/>
          </w:tcPr>
          <w:p w14:paraId="516F5FA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14:paraId="38B5407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Données non concluantes</w:t>
            </w:r>
          </w:p>
        </w:tc>
        <w:tc>
          <w:tcPr>
            <w:tcW w:w="1321" w:type="dxa"/>
            <w:shd w:val="clear" w:color="auto" w:fill="auto"/>
            <w:tcMar>
              <w:top w:w="29" w:type="dxa"/>
              <w:left w:w="115" w:type="dxa"/>
              <w:bottom w:w="29" w:type="dxa"/>
              <w:right w:w="115" w:type="dxa"/>
            </w:tcMar>
            <w:vAlign w:val="center"/>
          </w:tcPr>
          <w:p w14:paraId="1C76006D"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Q.18 nécessite une révision</w:t>
            </w:r>
          </w:p>
        </w:tc>
      </w:tr>
      <w:tr w:rsidR="0045416C" w:rsidRPr="007B687E" w14:paraId="54DE550E" w14:textId="77777777" w:rsidTr="00AC0070">
        <w:trPr>
          <w:cantSplit/>
          <w:jc w:val="center"/>
        </w:trPr>
        <w:tc>
          <w:tcPr>
            <w:tcW w:w="5552" w:type="dxa"/>
            <w:shd w:val="clear" w:color="auto" w:fill="auto"/>
            <w:tcMar>
              <w:top w:w="29" w:type="dxa"/>
              <w:left w:w="115" w:type="dxa"/>
              <w:bottom w:w="29" w:type="dxa"/>
              <w:right w:w="115" w:type="dxa"/>
            </w:tcMar>
          </w:tcPr>
          <w:p w14:paraId="3C191E3F"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spacing w:val="-1"/>
                <w:kern w:val="22"/>
                <w:szCs w:val="20"/>
                <w:lang w:val="fr-CA"/>
              </w:rPr>
            </w:pPr>
            <w:r w:rsidRPr="007B687E">
              <w:rPr>
                <w:rFonts w:eastAsia="SimSun"/>
                <w:spacing w:val="-1"/>
                <w:kern w:val="22"/>
                <w:szCs w:val="20"/>
                <w:lang w:val="fr-CA"/>
              </w:rPr>
              <w:t>19.</w:t>
            </w:r>
            <w:r w:rsidRPr="007B687E">
              <w:rPr>
                <w:rFonts w:eastAsia="SimSun"/>
                <w:spacing w:val="-1"/>
                <w:kern w:val="22"/>
                <w:szCs w:val="20"/>
                <w:lang w:val="fr-CA"/>
              </w:rPr>
              <w:tab/>
            </w:r>
            <w:r w:rsidRPr="007B687E">
              <w:rPr>
                <w:rFonts w:eastAsia="Calibri"/>
                <w:i/>
                <w:color w:val="000000"/>
                <w:spacing w:val="-1"/>
                <w:kern w:val="22"/>
                <w:szCs w:val="20"/>
                <w:u w:color="000000"/>
                <w:lang w:val="fr-CA"/>
              </w:rPr>
              <w:t>Révision :</w:t>
            </w:r>
            <w:r>
              <w:rPr>
                <w:rFonts w:eastAsia="SimSun"/>
                <w:spacing w:val="-1"/>
                <w:kern w:val="22"/>
                <w:szCs w:val="20"/>
                <w:lang w:val="fr-CA"/>
              </w:rPr>
              <w:t xml:space="preserve"> N</w:t>
            </w:r>
            <w:r w:rsidRPr="007B687E">
              <w:rPr>
                <w:rFonts w:eastAsia="SimSun"/>
                <w:spacing w:val="-1"/>
                <w:kern w:val="22"/>
                <w:szCs w:val="20"/>
                <w:lang w:val="fr-CA"/>
              </w:rPr>
              <w:t>ombre et pourcentage de Parties exigeant un consentement préalable en connaissance de cause pour l’accès aux ressources génétiques qui ont reçu des avantages non pécuniaires dans le cadre de l’octroi de l’accès aux ressources génétiques depuis l’entrée en vigueur du Protocole</w:t>
            </w:r>
          </w:p>
        </w:tc>
        <w:tc>
          <w:tcPr>
            <w:tcW w:w="1104" w:type="dxa"/>
            <w:shd w:val="clear" w:color="auto" w:fill="auto"/>
            <w:tcMar>
              <w:top w:w="29" w:type="dxa"/>
              <w:left w:w="115" w:type="dxa"/>
              <w:bottom w:w="29" w:type="dxa"/>
              <w:right w:w="115" w:type="dxa"/>
            </w:tcMar>
            <w:vAlign w:val="center"/>
          </w:tcPr>
          <w:p w14:paraId="2AAA2124"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14:paraId="5BC63C24"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Données non concluantes</w:t>
            </w:r>
          </w:p>
        </w:tc>
        <w:tc>
          <w:tcPr>
            <w:tcW w:w="1321" w:type="dxa"/>
            <w:shd w:val="clear" w:color="auto" w:fill="auto"/>
            <w:tcMar>
              <w:top w:w="29" w:type="dxa"/>
              <w:left w:w="115" w:type="dxa"/>
              <w:bottom w:w="29" w:type="dxa"/>
              <w:right w:w="115" w:type="dxa"/>
            </w:tcMar>
            <w:vAlign w:val="center"/>
          </w:tcPr>
          <w:p w14:paraId="5EFE17A7"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Q.18 nécessite une révision</w:t>
            </w:r>
          </w:p>
        </w:tc>
      </w:tr>
      <w:tr w:rsidR="0045416C" w:rsidRPr="007B687E" w14:paraId="63EC773B" w14:textId="77777777" w:rsidTr="00AC0070">
        <w:trPr>
          <w:cantSplit/>
          <w:jc w:val="center"/>
        </w:trPr>
        <w:tc>
          <w:tcPr>
            <w:tcW w:w="5552" w:type="dxa"/>
            <w:shd w:val="clear" w:color="auto" w:fill="auto"/>
            <w:tcMar>
              <w:top w:w="29" w:type="dxa"/>
              <w:left w:w="115" w:type="dxa"/>
              <w:bottom w:w="29" w:type="dxa"/>
              <w:right w:w="115" w:type="dxa"/>
            </w:tcMar>
          </w:tcPr>
          <w:p w14:paraId="7071EFC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20.</w:t>
            </w:r>
            <w:r w:rsidRPr="007B687E">
              <w:rPr>
                <w:rFonts w:eastAsia="SimSun"/>
                <w:kern w:val="22"/>
                <w:szCs w:val="20"/>
                <w:lang w:val="fr-CA"/>
              </w:rPr>
              <w:tab/>
            </w:r>
            <w:r w:rsidRPr="007B687E">
              <w:rPr>
                <w:rFonts w:eastAsia="Calibri"/>
                <w:i/>
                <w:color w:val="000000"/>
                <w:kern w:val="22"/>
                <w:szCs w:val="20"/>
                <w:u w:color="000000"/>
                <w:lang w:val="fr-CA"/>
              </w:rPr>
              <w:t xml:space="preserve">Révision : </w:t>
            </w:r>
            <w:r>
              <w:rPr>
                <w:rFonts w:eastAsia="SimSun"/>
                <w:kern w:val="22"/>
                <w:szCs w:val="20"/>
                <w:lang w:val="fr-CA"/>
              </w:rPr>
              <w:t>N</w:t>
            </w:r>
            <w:r w:rsidRPr="007B687E">
              <w:rPr>
                <w:rFonts w:eastAsia="SimSun"/>
                <w:kern w:val="22"/>
                <w:szCs w:val="20"/>
                <w:lang w:val="fr-CA"/>
              </w:rPr>
              <w:t>ombre et pourcentage de Parties dont le pays comprend des peuples autochtones et communautés locales qui ont reçu des avantages pécuniaires dans le cadre de l’octroi de l’accès aux connaissances traditionnelles associées aux ressources génétiques depuis l’entrée en vigueur du Protocole</w:t>
            </w:r>
          </w:p>
        </w:tc>
        <w:tc>
          <w:tcPr>
            <w:tcW w:w="1104" w:type="dxa"/>
            <w:shd w:val="clear" w:color="auto" w:fill="auto"/>
            <w:tcMar>
              <w:top w:w="29" w:type="dxa"/>
              <w:left w:w="115" w:type="dxa"/>
              <w:bottom w:w="29" w:type="dxa"/>
              <w:right w:w="115" w:type="dxa"/>
            </w:tcMar>
            <w:vAlign w:val="center"/>
          </w:tcPr>
          <w:p w14:paraId="5E094CA9"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14:paraId="25CECA6F"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Données non concluantes</w:t>
            </w:r>
          </w:p>
        </w:tc>
        <w:tc>
          <w:tcPr>
            <w:tcW w:w="1321" w:type="dxa"/>
            <w:shd w:val="clear" w:color="auto" w:fill="auto"/>
            <w:tcMar>
              <w:top w:w="29" w:type="dxa"/>
              <w:left w:w="115" w:type="dxa"/>
              <w:bottom w:w="29" w:type="dxa"/>
              <w:right w:w="115" w:type="dxa"/>
            </w:tcMar>
            <w:vAlign w:val="center"/>
          </w:tcPr>
          <w:p w14:paraId="0938D267"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Q.18 nécessite une révision</w:t>
            </w:r>
          </w:p>
        </w:tc>
      </w:tr>
      <w:tr w:rsidR="0045416C" w:rsidRPr="007B687E" w14:paraId="30B42748" w14:textId="77777777" w:rsidTr="00AC0070">
        <w:trPr>
          <w:cantSplit/>
          <w:jc w:val="center"/>
        </w:trPr>
        <w:tc>
          <w:tcPr>
            <w:tcW w:w="5552" w:type="dxa"/>
            <w:shd w:val="clear" w:color="auto" w:fill="auto"/>
            <w:tcMar>
              <w:top w:w="29" w:type="dxa"/>
              <w:left w:w="115" w:type="dxa"/>
              <w:bottom w:w="29" w:type="dxa"/>
              <w:right w:w="115" w:type="dxa"/>
            </w:tcMar>
          </w:tcPr>
          <w:p w14:paraId="01A70D05"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21.</w:t>
            </w:r>
            <w:r w:rsidRPr="007B687E">
              <w:rPr>
                <w:rFonts w:eastAsia="SimSun"/>
                <w:kern w:val="22"/>
                <w:szCs w:val="20"/>
                <w:lang w:val="fr-CA"/>
              </w:rPr>
              <w:tab/>
            </w:r>
            <w:r w:rsidRPr="007B687E">
              <w:rPr>
                <w:rFonts w:eastAsia="Calibri"/>
                <w:i/>
                <w:color w:val="000000"/>
                <w:kern w:val="22"/>
                <w:szCs w:val="20"/>
                <w:u w:color="000000"/>
                <w:lang w:val="fr-CA"/>
              </w:rPr>
              <w:t>Nouveau :</w:t>
            </w:r>
            <w:r>
              <w:rPr>
                <w:rFonts w:eastAsia="SimSun"/>
                <w:kern w:val="22"/>
                <w:szCs w:val="20"/>
                <w:lang w:val="fr-CA"/>
              </w:rPr>
              <w:t xml:space="preserve"> M</w:t>
            </w:r>
            <w:r w:rsidRPr="007B687E">
              <w:rPr>
                <w:rFonts w:eastAsia="SimSun"/>
                <w:kern w:val="22"/>
                <w:szCs w:val="20"/>
                <w:lang w:val="fr-CA"/>
              </w:rPr>
              <w:t>ontant des avantages pécuniaires (en USD) reçus dans le cadre de l’octroi de l’accès aux connaissances traditionnelles associées aux ressources génétiques pour leur utilisation depuis l’entrée en vigueur du Protocole</w:t>
            </w:r>
          </w:p>
        </w:tc>
        <w:tc>
          <w:tcPr>
            <w:tcW w:w="1104" w:type="dxa"/>
            <w:shd w:val="clear" w:color="auto" w:fill="auto"/>
            <w:tcMar>
              <w:top w:w="29" w:type="dxa"/>
              <w:left w:w="115" w:type="dxa"/>
              <w:bottom w:w="29" w:type="dxa"/>
              <w:right w:w="115" w:type="dxa"/>
            </w:tcMar>
            <w:vAlign w:val="center"/>
          </w:tcPr>
          <w:p w14:paraId="00AB3297"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14:paraId="42C0800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Données non concluantes</w:t>
            </w:r>
          </w:p>
        </w:tc>
        <w:tc>
          <w:tcPr>
            <w:tcW w:w="1321" w:type="dxa"/>
            <w:shd w:val="clear" w:color="auto" w:fill="auto"/>
            <w:tcMar>
              <w:top w:w="29" w:type="dxa"/>
              <w:left w:w="115" w:type="dxa"/>
              <w:bottom w:w="29" w:type="dxa"/>
              <w:right w:w="115" w:type="dxa"/>
            </w:tcMar>
            <w:vAlign w:val="center"/>
          </w:tcPr>
          <w:p w14:paraId="6DFD7D13"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Q.18 nécessite une révision</w:t>
            </w:r>
          </w:p>
        </w:tc>
      </w:tr>
      <w:tr w:rsidR="0045416C" w:rsidRPr="007B687E" w14:paraId="65C242DD"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0A53C5D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22.</w:t>
            </w:r>
            <w:r w:rsidRPr="007B687E">
              <w:rPr>
                <w:rFonts w:eastAsia="SimSun"/>
                <w:kern w:val="22"/>
                <w:szCs w:val="20"/>
                <w:lang w:val="fr-CA"/>
              </w:rPr>
              <w:tab/>
            </w:r>
            <w:r w:rsidRPr="007B687E">
              <w:rPr>
                <w:rFonts w:eastAsia="Calibri"/>
                <w:i/>
                <w:color w:val="000000"/>
                <w:kern w:val="22"/>
                <w:szCs w:val="20"/>
                <w:u w:color="000000"/>
                <w:lang w:val="fr-CA"/>
              </w:rPr>
              <w:t xml:space="preserve">Révision : </w:t>
            </w:r>
            <w:r>
              <w:rPr>
                <w:rFonts w:eastAsia="SimSun"/>
                <w:kern w:val="22"/>
                <w:szCs w:val="20"/>
                <w:lang w:val="fr-CA"/>
              </w:rPr>
              <w:t>N</w:t>
            </w:r>
            <w:r w:rsidRPr="007B687E">
              <w:rPr>
                <w:rFonts w:eastAsia="SimSun"/>
                <w:kern w:val="22"/>
                <w:szCs w:val="20"/>
                <w:lang w:val="fr-CA"/>
              </w:rPr>
              <w:t>ombre et pourcentage de Parties dont le pays comprend des peuples autochtones et communautés locales qui ont reçu des avantages non pécuniaires dans le cadre de l’octroi de l’accès aux connaissances traditionnelles associées aux ressources génétiques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4ADA2E1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2F26DF6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Données non concluantes</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015645D9"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Q.18 nécessite une révision</w:t>
            </w:r>
          </w:p>
        </w:tc>
      </w:tr>
      <w:tr w:rsidR="0045416C" w:rsidRPr="00AB4311" w14:paraId="5CC8E7C4" w14:textId="77777777" w:rsidTr="00AC0070">
        <w:trPr>
          <w:cantSplit/>
          <w:jc w:val="center"/>
        </w:trPr>
        <w:tc>
          <w:tcPr>
            <w:tcW w:w="9483" w:type="dxa"/>
            <w:gridSpan w:val="4"/>
            <w:tcBorders>
              <w:bottom w:val="single" w:sz="4" w:space="0" w:color="auto"/>
            </w:tcBorders>
            <w:shd w:val="pct5" w:color="auto" w:fill="auto"/>
            <w:tcMar>
              <w:top w:w="29" w:type="dxa"/>
              <w:left w:w="115" w:type="dxa"/>
              <w:bottom w:w="29" w:type="dxa"/>
              <w:right w:w="115" w:type="dxa"/>
            </w:tcMar>
            <w:vAlign w:val="center"/>
          </w:tcPr>
          <w:p w14:paraId="688BF87E"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fr-CA"/>
              </w:rPr>
            </w:pPr>
            <w:r w:rsidRPr="007B687E">
              <w:rPr>
                <w:rFonts w:eastAsia="SimSun"/>
                <w:b/>
                <w:kern w:val="22"/>
                <w:szCs w:val="20"/>
                <w:lang w:val="fr-CA"/>
              </w:rPr>
              <w:t>Mesures législatives, administratives ou de politique générale sur l’accès et le partage des avantages : partage juste et équitable (article 5)</w:t>
            </w:r>
          </w:p>
        </w:tc>
      </w:tr>
      <w:tr w:rsidR="0045416C" w:rsidRPr="007B687E" w14:paraId="03D97730" w14:textId="77777777" w:rsidTr="00AC0070">
        <w:trPr>
          <w:cantSplit/>
          <w:jc w:val="center"/>
        </w:trPr>
        <w:tc>
          <w:tcPr>
            <w:tcW w:w="5552" w:type="dxa"/>
            <w:shd w:val="clear" w:color="auto" w:fill="auto"/>
            <w:tcMar>
              <w:top w:w="29" w:type="dxa"/>
              <w:left w:w="115" w:type="dxa"/>
              <w:bottom w:w="29" w:type="dxa"/>
              <w:right w:w="115" w:type="dxa"/>
            </w:tcMar>
          </w:tcPr>
          <w:p w14:paraId="22703CE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23.</w:t>
            </w:r>
            <w:r w:rsidRPr="007B687E">
              <w:rPr>
                <w:rFonts w:eastAsia="SimSun"/>
                <w:kern w:val="22"/>
                <w:szCs w:val="20"/>
                <w:lang w:val="fr-CA"/>
              </w:rPr>
              <w:tab/>
              <w:t>Nombre et pourcentage de Parties disposant de mesures législatives, administratives ou de politique générale pour l’application de l’article 5.1 (ressources génétiques)</w:t>
            </w:r>
          </w:p>
        </w:tc>
        <w:tc>
          <w:tcPr>
            <w:tcW w:w="1104" w:type="dxa"/>
            <w:shd w:val="clear" w:color="auto" w:fill="auto"/>
            <w:tcMar>
              <w:top w:w="29" w:type="dxa"/>
              <w:left w:w="115" w:type="dxa"/>
              <w:bottom w:w="29" w:type="dxa"/>
              <w:right w:w="115" w:type="dxa"/>
            </w:tcMar>
            <w:vAlign w:val="center"/>
          </w:tcPr>
          <w:p w14:paraId="46DDE0BB"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kern w:val="22"/>
                <w:szCs w:val="20"/>
                <w:lang w:val="fr-CA"/>
              </w:rPr>
              <w:t>a)</w:t>
            </w:r>
          </w:p>
        </w:tc>
        <w:tc>
          <w:tcPr>
            <w:tcW w:w="1506" w:type="dxa"/>
            <w:shd w:val="clear" w:color="auto" w:fill="auto"/>
            <w:tcMar>
              <w:top w:w="29" w:type="dxa"/>
              <w:left w:w="115" w:type="dxa"/>
              <w:bottom w:w="29" w:type="dxa"/>
              <w:right w:w="115" w:type="dxa"/>
            </w:tcMar>
            <w:vAlign w:val="center"/>
          </w:tcPr>
          <w:p w14:paraId="49034C3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46 (44 %)</w:t>
            </w:r>
          </w:p>
        </w:tc>
        <w:tc>
          <w:tcPr>
            <w:tcW w:w="1321" w:type="dxa"/>
            <w:shd w:val="clear" w:color="auto" w:fill="auto"/>
            <w:tcMar>
              <w:top w:w="29" w:type="dxa"/>
              <w:left w:w="115" w:type="dxa"/>
              <w:bottom w:w="29" w:type="dxa"/>
              <w:right w:w="115" w:type="dxa"/>
            </w:tcMar>
            <w:vAlign w:val="center"/>
          </w:tcPr>
          <w:p w14:paraId="1E8F8B23"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Q.20</w:t>
            </w:r>
          </w:p>
        </w:tc>
      </w:tr>
      <w:tr w:rsidR="0045416C" w:rsidRPr="007B687E" w14:paraId="1D0CA3E3" w14:textId="77777777" w:rsidTr="00AC0070">
        <w:trPr>
          <w:cantSplit/>
          <w:jc w:val="center"/>
        </w:trPr>
        <w:tc>
          <w:tcPr>
            <w:tcW w:w="5552" w:type="dxa"/>
            <w:shd w:val="clear" w:color="auto" w:fill="auto"/>
            <w:tcMar>
              <w:top w:w="29" w:type="dxa"/>
              <w:left w:w="115" w:type="dxa"/>
              <w:bottom w:w="29" w:type="dxa"/>
              <w:right w:w="115" w:type="dxa"/>
            </w:tcMar>
          </w:tcPr>
          <w:p w14:paraId="48BE2C2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24.</w:t>
            </w:r>
            <w:r w:rsidRPr="007B687E">
              <w:rPr>
                <w:rFonts w:eastAsia="SimSun"/>
                <w:kern w:val="22"/>
                <w:szCs w:val="20"/>
                <w:lang w:val="fr-CA"/>
              </w:rPr>
              <w:tab/>
              <w:t>Nombre et pourcentage de Parties disposant de mesures législatives, administratives ou de politique générale pour l’application de l’article 5.2 (ressources génétiques détenues par les peuples autochtones et les communautés locales)</w:t>
            </w:r>
          </w:p>
        </w:tc>
        <w:tc>
          <w:tcPr>
            <w:tcW w:w="1104" w:type="dxa"/>
            <w:shd w:val="clear" w:color="auto" w:fill="auto"/>
            <w:tcMar>
              <w:top w:w="29" w:type="dxa"/>
              <w:left w:w="115" w:type="dxa"/>
              <w:bottom w:w="29" w:type="dxa"/>
              <w:right w:w="115" w:type="dxa"/>
            </w:tcMar>
            <w:vAlign w:val="center"/>
          </w:tcPr>
          <w:p w14:paraId="42AFB09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kern w:val="22"/>
                <w:szCs w:val="20"/>
                <w:lang w:val="fr-CA"/>
              </w:rPr>
              <w:t>a)</w:t>
            </w:r>
          </w:p>
        </w:tc>
        <w:tc>
          <w:tcPr>
            <w:tcW w:w="1506" w:type="dxa"/>
            <w:shd w:val="clear" w:color="auto" w:fill="auto"/>
            <w:tcMar>
              <w:top w:w="29" w:type="dxa"/>
              <w:left w:w="115" w:type="dxa"/>
              <w:bottom w:w="29" w:type="dxa"/>
              <w:right w:w="115" w:type="dxa"/>
            </w:tcMar>
            <w:vAlign w:val="center"/>
          </w:tcPr>
          <w:p w14:paraId="6916C9C7"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42 (40 %)</w:t>
            </w:r>
          </w:p>
        </w:tc>
        <w:tc>
          <w:tcPr>
            <w:tcW w:w="1321" w:type="dxa"/>
            <w:shd w:val="clear" w:color="auto" w:fill="auto"/>
            <w:tcMar>
              <w:top w:w="29" w:type="dxa"/>
              <w:left w:w="115" w:type="dxa"/>
              <w:bottom w:w="29" w:type="dxa"/>
              <w:right w:w="115" w:type="dxa"/>
            </w:tcMar>
            <w:vAlign w:val="center"/>
          </w:tcPr>
          <w:p w14:paraId="2A47BC39"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Q.21</w:t>
            </w:r>
          </w:p>
        </w:tc>
      </w:tr>
      <w:tr w:rsidR="0045416C" w:rsidRPr="007B687E" w14:paraId="53680B6D"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08F7F264"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spacing w:val="-3"/>
                <w:kern w:val="22"/>
                <w:szCs w:val="20"/>
                <w:lang w:val="fr-CA"/>
              </w:rPr>
            </w:pPr>
            <w:r w:rsidRPr="007B687E">
              <w:rPr>
                <w:rFonts w:eastAsia="SimSun"/>
                <w:spacing w:val="-3"/>
                <w:kern w:val="22"/>
                <w:szCs w:val="20"/>
                <w:lang w:val="fr-CA"/>
              </w:rPr>
              <w:t>25.</w:t>
            </w:r>
            <w:r w:rsidRPr="007B687E">
              <w:rPr>
                <w:rFonts w:eastAsia="SimSun"/>
                <w:spacing w:val="-3"/>
                <w:kern w:val="22"/>
                <w:szCs w:val="20"/>
                <w:lang w:val="fr-CA"/>
              </w:rPr>
              <w:tab/>
              <w:t>Nombre et pourcentage de Parties disposant de mesures législatives, administratives ou de politique générale pour l’application de l’article 5.5 (connaissances traditionnelles associées aux ressources génétiques)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2B1A9F4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kern w:val="22"/>
                <w:szCs w:val="20"/>
                <w:lang w:val="fr-CA"/>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375D1C1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41 (39 %)</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0A0A97A3"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Q.22</w:t>
            </w:r>
          </w:p>
        </w:tc>
      </w:tr>
      <w:tr w:rsidR="0045416C" w:rsidRPr="00AB4311" w14:paraId="4B1CB4E3" w14:textId="77777777" w:rsidTr="00AC0070">
        <w:trPr>
          <w:cantSplit/>
          <w:jc w:val="center"/>
        </w:trPr>
        <w:tc>
          <w:tcPr>
            <w:tcW w:w="9483" w:type="dxa"/>
            <w:gridSpan w:val="4"/>
            <w:shd w:val="pct5" w:color="auto" w:fill="auto"/>
            <w:tcMar>
              <w:top w:w="29" w:type="dxa"/>
              <w:left w:w="115" w:type="dxa"/>
              <w:bottom w:w="29" w:type="dxa"/>
              <w:right w:w="115" w:type="dxa"/>
            </w:tcMar>
            <w:vAlign w:val="center"/>
          </w:tcPr>
          <w:p w14:paraId="598B2BD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jc w:val="left"/>
              <w:rPr>
                <w:rFonts w:eastAsia="SimSun"/>
                <w:b/>
                <w:kern w:val="22"/>
                <w:szCs w:val="22"/>
                <w:lang w:val="fr-CA"/>
              </w:rPr>
            </w:pPr>
            <w:r w:rsidRPr="007B687E">
              <w:rPr>
                <w:rFonts w:eastAsia="SimSun"/>
                <w:b/>
                <w:kern w:val="22"/>
                <w:szCs w:val="20"/>
                <w:lang w:val="fr-CA"/>
              </w:rPr>
              <w:lastRenderedPageBreak/>
              <w:t>Mesures législatives, administratives ou de politique générale sur l’accès et le partage des avantages : respect des dispositions législatives ou réglementaires internes sur l’accès et le partage des avantages (articles 15 et 16) et surveillance de l’utilisation des ressources génétiques (article 17)</w:t>
            </w:r>
          </w:p>
        </w:tc>
      </w:tr>
      <w:tr w:rsidR="0045416C" w:rsidRPr="007B687E" w14:paraId="0C7F4BC8" w14:textId="77777777" w:rsidTr="00AC0070">
        <w:trPr>
          <w:cantSplit/>
          <w:jc w:val="center"/>
        </w:trPr>
        <w:tc>
          <w:tcPr>
            <w:tcW w:w="5552" w:type="dxa"/>
            <w:shd w:val="clear" w:color="auto" w:fill="auto"/>
            <w:tcMar>
              <w:top w:w="29" w:type="dxa"/>
              <w:left w:w="115" w:type="dxa"/>
              <w:bottom w:w="29" w:type="dxa"/>
              <w:right w:w="115" w:type="dxa"/>
            </w:tcMar>
          </w:tcPr>
          <w:p w14:paraId="275438A4"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kern w:val="22"/>
                <w:szCs w:val="20"/>
                <w:lang w:val="fr-CA"/>
              </w:rPr>
            </w:pPr>
            <w:r w:rsidRPr="007B687E">
              <w:rPr>
                <w:kern w:val="22"/>
                <w:szCs w:val="20"/>
                <w:lang w:val="fr-CA"/>
              </w:rPr>
              <w:t>26.</w:t>
            </w:r>
            <w:r w:rsidRPr="007B687E">
              <w:rPr>
                <w:kern w:val="22"/>
                <w:szCs w:val="20"/>
                <w:lang w:val="fr-CA"/>
              </w:rPr>
              <w:tab/>
              <w:t>Nombre et pourcentage de Parties ayant pris des mesures législatives, administratives ou de politique générale appropriées, efficaces et proportionnées pour l’application de l’article 15.1 (ressources génétiques)</w:t>
            </w:r>
          </w:p>
        </w:tc>
        <w:tc>
          <w:tcPr>
            <w:tcW w:w="1104" w:type="dxa"/>
            <w:shd w:val="clear" w:color="auto" w:fill="auto"/>
            <w:tcMar>
              <w:top w:w="29" w:type="dxa"/>
              <w:left w:w="115" w:type="dxa"/>
              <w:bottom w:w="29" w:type="dxa"/>
              <w:right w:w="115" w:type="dxa"/>
            </w:tcMar>
            <w:vAlign w:val="center"/>
          </w:tcPr>
          <w:p w14:paraId="650DACB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14:paraId="58A6D638"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36 (34 %)</w:t>
            </w:r>
          </w:p>
        </w:tc>
        <w:tc>
          <w:tcPr>
            <w:tcW w:w="1321" w:type="dxa"/>
            <w:shd w:val="clear" w:color="auto" w:fill="auto"/>
            <w:tcMar>
              <w:top w:w="29" w:type="dxa"/>
              <w:left w:w="115" w:type="dxa"/>
              <w:bottom w:w="29" w:type="dxa"/>
              <w:right w:w="115" w:type="dxa"/>
            </w:tcMar>
            <w:vAlign w:val="center"/>
          </w:tcPr>
          <w:p w14:paraId="13750CF8"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Q.24</w:t>
            </w:r>
          </w:p>
        </w:tc>
      </w:tr>
      <w:tr w:rsidR="0045416C" w:rsidRPr="007B687E" w14:paraId="49B8FB6F" w14:textId="77777777" w:rsidTr="00AC0070">
        <w:trPr>
          <w:cantSplit/>
          <w:jc w:val="center"/>
        </w:trPr>
        <w:tc>
          <w:tcPr>
            <w:tcW w:w="5552" w:type="dxa"/>
            <w:shd w:val="clear" w:color="auto" w:fill="auto"/>
            <w:tcMar>
              <w:top w:w="29" w:type="dxa"/>
              <w:left w:w="115" w:type="dxa"/>
              <w:bottom w:w="29" w:type="dxa"/>
              <w:right w:w="115" w:type="dxa"/>
            </w:tcMar>
          </w:tcPr>
          <w:p w14:paraId="0A8AE84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spacing w:val="-5"/>
                <w:kern w:val="22"/>
                <w:szCs w:val="20"/>
                <w:lang w:val="fr-CA"/>
              </w:rPr>
            </w:pPr>
            <w:r w:rsidRPr="007B687E">
              <w:rPr>
                <w:spacing w:val="-5"/>
                <w:kern w:val="22"/>
                <w:szCs w:val="20"/>
                <w:lang w:val="fr-CA"/>
              </w:rPr>
              <w:t>27.</w:t>
            </w:r>
            <w:r w:rsidRPr="007B687E">
              <w:rPr>
                <w:spacing w:val="-5"/>
                <w:kern w:val="22"/>
                <w:szCs w:val="20"/>
                <w:lang w:val="fr-CA"/>
              </w:rPr>
              <w:tab/>
              <w:t>Nombre et pourcentage de Parties ayant pris des mesures législatives, administratives ou de politique générale appropriées, efficaces et proportionnées pour l’application de l’article 16.1 (connaissances traditionnelles associées aux ressources génétiques)</w:t>
            </w:r>
          </w:p>
        </w:tc>
        <w:tc>
          <w:tcPr>
            <w:tcW w:w="1104" w:type="dxa"/>
            <w:shd w:val="clear" w:color="auto" w:fill="auto"/>
            <w:tcMar>
              <w:top w:w="29" w:type="dxa"/>
              <w:left w:w="115" w:type="dxa"/>
              <w:bottom w:w="29" w:type="dxa"/>
              <w:right w:w="115" w:type="dxa"/>
            </w:tcMar>
            <w:vAlign w:val="center"/>
          </w:tcPr>
          <w:p w14:paraId="0DFE0DF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e)</w:t>
            </w:r>
          </w:p>
        </w:tc>
        <w:tc>
          <w:tcPr>
            <w:tcW w:w="1506" w:type="dxa"/>
            <w:shd w:val="clear" w:color="auto" w:fill="auto"/>
            <w:tcMar>
              <w:top w:w="29" w:type="dxa"/>
              <w:left w:w="115" w:type="dxa"/>
              <w:bottom w:w="29" w:type="dxa"/>
              <w:right w:w="115" w:type="dxa"/>
            </w:tcMar>
            <w:vAlign w:val="center"/>
          </w:tcPr>
          <w:p w14:paraId="66698CB9"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33 (31 %)</w:t>
            </w:r>
          </w:p>
        </w:tc>
        <w:tc>
          <w:tcPr>
            <w:tcW w:w="1321" w:type="dxa"/>
            <w:shd w:val="clear" w:color="auto" w:fill="auto"/>
            <w:tcMar>
              <w:top w:w="29" w:type="dxa"/>
              <w:left w:w="115" w:type="dxa"/>
              <w:bottom w:w="29" w:type="dxa"/>
              <w:right w:w="115" w:type="dxa"/>
            </w:tcMar>
            <w:vAlign w:val="center"/>
          </w:tcPr>
          <w:p w14:paraId="7A487B8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Q.25</w:t>
            </w:r>
          </w:p>
        </w:tc>
      </w:tr>
      <w:tr w:rsidR="0045416C" w:rsidRPr="007B687E" w14:paraId="0985D196" w14:textId="77777777" w:rsidTr="00AC0070">
        <w:trPr>
          <w:cantSplit/>
          <w:jc w:val="center"/>
        </w:trPr>
        <w:tc>
          <w:tcPr>
            <w:tcW w:w="5552" w:type="dxa"/>
            <w:shd w:val="clear" w:color="auto" w:fill="auto"/>
            <w:tcMar>
              <w:top w:w="29" w:type="dxa"/>
              <w:left w:w="115" w:type="dxa"/>
              <w:bottom w:w="29" w:type="dxa"/>
              <w:right w:w="115" w:type="dxa"/>
            </w:tcMar>
          </w:tcPr>
          <w:p w14:paraId="5892AD1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spacing w:val="-6"/>
                <w:kern w:val="22"/>
                <w:szCs w:val="20"/>
                <w:lang w:val="fr-CA"/>
              </w:rPr>
            </w:pPr>
            <w:r w:rsidRPr="007B687E">
              <w:rPr>
                <w:spacing w:val="-6"/>
                <w:kern w:val="22"/>
                <w:szCs w:val="20"/>
                <w:lang w:val="fr-CA"/>
              </w:rPr>
              <w:t>28.</w:t>
            </w:r>
            <w:r w:rsidRPr="007B687E">
              <w:rPr>
                <w:spacing w:val="-6"/>
                <w:kern w:val="22"/>
                <w:szCs w:val="20"/>
                <w:lang w:val="fr-CA"/>
              </w:rPr>
              <w:tab/>
              <w:t>Nombre et pourcentage de Parties qui exigent que les utilisateurs de ressources génétiques fournissent les informations recensées à l’article 17.1 a i), selon qu’il convient, à un point de contrôle désigné</w:t>
            </w:r>
          </w:p>
        </w:tc>
        <w:tc>
          <w:tcPr>
            <w:tcW w:w="1104" w:type="dxa"/>
            <w:shd w:val="clear" w:color="auto" w:fill="auto"/>
            <w:tcMar>
              <w:top w:w="29" w:type="dxa"/>
              <w:left w:w="115" w:type="dxa"/>
              <w:bottom w:w="29" w:type="dxa"/>
              <w:right w:w="115" w:type="dxa"/>
            </w:tcMar>
            <w:vAlign w:val="center"/>
          </w:tcPr>
          <w:p w14:paraId="0E07F89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a)</w:t>
            </w:r>
          </w:p>
        </w:tc>
        <w:tc>
          <w:tcPr>
            <w:tcW w:w="1506" w:type="dxa"/>
            <w:shd w:val="clear" w:color="auto" w:fill="auto"/>
            <w:tcMar>
              <w:top w:w="29" w:type="dxa"/>
              <w:left w:w="115" w:type="dxa"/>
              <w:bottom w:w="29" w:type="dxa"/>
              <w:right w:w="115" w:type="dxa"/>
            </w:tcMar>
            <w:vAlign w:val="center"/>
          </w:tcPr>
          <w:p w14:paraId="62D7B40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41 (39 %)</w:t>
            </w:r>
          </w:p>
        </w:tc>
        <w:tc>
          <w:tcPr>
            <w:tcW w:w="1321" w:type="dxa"/>
            <w:shd w:val="clear" w:color="auto" w:fill="auto"/>
            <w:tcMar>
              <w:top w:w="29" w:type="dxa"/>
              <w:left w:w="115" w:type="dxa"/>
              <w:bottom w:w="29" w:type="dxa"/>
              <w:right w:w="115" w:type="dxa"/>
            </w:tcMar>
            <w:vAlign w:val="center"/>
          </w:tcPr>
          <w:p w14:paraId="082188B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Q.26</w:t>
            </w:r>
          </w:p>
        </w:tc>
      </w:tr>
      <w:tr w:rsidR="0045416C" w:rsidRPr="007B687E" w14:paraId="2A440670" w14:textId="77777777" w:rsidTr="00AC0070">
        <w:trPr>
          <w:cantSplit/>
          <w:jc w:val="center"/>
        </w:trPr>
        <w:tc>
          <w:tcPr>
            <w:tcW w:w="5552" w:type="dxa"/>
            <w:shd w:val="clear" w:color="auto" w:fill="auto"/>
            <w:tcMar>
              <w:top w:w="29" w:type="dxa"/>
              <w:left w:w="115" w:type="dxa"/>
              <w:bottom w:w="29" w:type="dxa"/>
              <w:right w:w="115" w:type="dxa"/>
            </w:tcMar>
          </w:tcPr>
          <w:p w14:paraId="6DC60E74"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kern w:val="22"/>
                <w:szCs w:val="20"/>
                <w:lang w:val="fr-CA"/>
              </w:rPr>
            </w:pPr>
            <w:r w:rsidRPr="007B687E">
              <w:rPr>
                <w:kern w:val="22"/>
                <w:szCs w:val="20"/>
                <w:lang w:val="fr-CA"/>
              </w:rPr>
              <w:t>29.</w:t>
            </w:r>
            <w:r w:rsidRPr="007B687E">
              <w:rPr>
                <w:kern w:val="22"/>
                <w:szCs w:val="20"/>
                <w:lang w:val="fr-CA"/>
              </w:rPr>
              <w:tab/>
              <w:t>Nombre et pourcentage de Parties qui fournissent des informations recueillies ou reçues par un point de contrôle désigné aux autorités nationales compétentes, à la Partie fournissant un consentement préalable en connaissance de cause et au Centre d’échange sur l’accès et le partage des avantages</w:t>
            </w:r>
          </w:p>
        </w:tc>
        <w:tc>
          <w:tcPr>
            <w:tcW w:w="1104" w:type="dxa"/>
            <w:shd w:val="clear" w:color="auto" w:fill="auto"/>
            <w:tcMar>
              <w:top w:w="29" w:type="dxa"/>
              <w:left w:w="115" w:type="dxa"/>
              <w:bottom w:w="29" w:type="dxa"/>
              <w:right w:w="115" w:type="dxa"/>
            </w:tcMar>
            <w:vAlign w:val="center"/>
          </w:tcPr>
          <w:p w14:paraId="6225635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a)</w:t>
            </w:r>
          </w:p>
        </w:tc>
        <w:tc>
          <w:tcPr>
            <w:tcW w:w="1506" w:type="dxa"/>
            <w:shd w:val="clear" w:color="auto" w:fill="auto"/>
            <w:tcMar>
              <w:top w:w="29" w:type="dxa"/>
              <w:left w:w="115" w:type="dxa"/>
              <w:bottom w:w="29" w:type="dxa"/>
              <w:right w:w="115" w:type="dxa"/>
            </w:tcMar>
            <w:vAlign w:val="center"/>
          </w:tcPr>
          <w:p w14:paraId="4F61BDED"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9 (9 %)</w:t>
            </w:r>
          </w:p>
        </w:tc>
        <w:tc>
          <w:tcPr>
            <w:tcW w:w="1321" w:type="dxa"/>
            <w:shd w:val="clear" w:color="auto" w:fill="auto"/>
            <w:tcMar>
              <w:top w:w="29" w:type="dxa"/>
              <w:left w:w="115" w:type="dxa"/>
              <w:bottom w:w="29" w:type="dxa"/>
              <w:right w:w="115" w:type="dxa"/>
            </w:tcMar>
            <w:vAlign w:val="center"/>
          </w:tcPr>
          <w:p w14:paraId="73C01073"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Q.27</w:t>
            </w:r>
          </w:p>
        </w:tc>
      </w:tr>
      <w:tr w:rsidR="0045416C" w:rsidRPr="00AB4311" w14:paraId="6FD2E0D1"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0EB7B78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kern w:val="22"/>
                <w:szCs w:val="20"/>
                <w:lang w:val="fr-CA"/>
              </w:rPr>
            </w:pPr>
            <w:r w:rsidRPr="007B687E">
              <w:rPr>
                <w:kern w:val="22"/>
                <w:szCs w:val="20"/>
                <w:lang w:val="fr-CA"/>
              </w:rPr>
              <w:t>30.</w:t>
            </w:r>
            <w:r w:rsidRPr="007B687E">
              <w:rPr>
                <w:kern w:val="22"/>
                <w:szCs w:val="20"/>
                <w:lang w:val="fr-CA"/>
              </w:rPr>
              <w:tab/>
              <w:t>Nombre de communiqués au point de contrôle publiés dans le Centre d’échange sur l’accès et le partage des avantages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390787E9"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70F5CA63"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0</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20622284"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kern w:val="22"/>
                <w:szCs w:val="20"/>
                <w:lang w:val="fr-CA"/>
              </w:rPr>
              <w:t>Centre d’échange sur l’accès et le partage des avantages</w:t>
            </w:r>
          </w:p>
        </w:tc>
      </w:tr>
      <w:tr w:rsidR="0045416C" w:rsidRPr="00AB4311" w14:paraId="26D135C6" w14:textId="77777777" w:rsidTr="00AC0070">
        <w:trPr>
          <w:cantSplit/>
          <w:jc w:val="center"/>
        </w:trPr>
        <w:tc>
          <w:tcPr>
            <w:tcW w:w="9483" w:type="dxa"/>
            <w:gridSpan w:val="4"/>
            <w:shd w:val="pct5" w:color="auto" w:fill="auto"/>
            <w:tcMar>
              <w:top w:w="29" w:type="dxa"/>
              <w:left w:w="115" w:type="dxa"/>
              <w:bottom w:w="29" w:type="dxa"/>
              <w:right w:w="115" w:type="dxa"/>
            </w:tcMar>
            <w:vAlign w:val="center"/>
          </w:tcPr>
          <w:p w14:paraId="08079AFB"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317"/>
              <w:jc w:val="left"/>
              <w:rPr>
                <w:b/>
                <w:kern w:val="22"/>
                <w:szCs w:val="22"/>
                <w:lang w:val="fr-CA"/>
              </w:rPr>
            </w:pPr>
            <w:r w:rsidRPr="007B687E">
              <w:rPr>
                <w:b/>
                <w:kern w:val="22"/>
                <w:szCs w:val="20"/>
                <w:lang w:val="fr-CA"/>
              </w:rPr>
              <w:t>Mesures législatives, administratives ou de politique générale sur l’accès et le partage des avantages : respect des conditions convenues d’un commun accord (article 18)</w:t>
            </w:r>
          </w:p>
        </w:tc>
      </w:tr>
      <w:tr w:rsidR="0045416C" w:rsidRPr="007B687E" w14:paraId="0D33D38F" w14:textId="77777777" w:rsidTr="00AC0070">
        <w:trPr>
          <w:cantSplit/>
          <w:jc w:val="center"/>
        </w:trPr>
        <w:tc>
          <w:tcPr>
            <w:tcW w:w="5552" w:type="dxa"/>
            <w:shd w:val="clear" w:color="auto" w:fill="auto"/>
            <w:tcMar>
              <w:top w:w="29" w:type="dxa"/>
              <w:left w:w="115" w:type="dxa"/>
              <w:bottom w:w="29" w:type="dxa"/>
              <w:right w:w="115" w:type="dxa"/>
            </w:tcMar>
          </w:tcPr>
          <w:p w14:paraId="4308B55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31.</w:t>
            </w:r>
            <w:r w:rsidRPr="007B687E">
              <w:rPr>
                <w:rFonts w:eastAsia="SimSun"/>
                <w:kern w:val="22"/>
                <w:szCs w:val="20"/>
                <w:lang w:val="fr-CA"/>
              </w:rPr>
              <w:tab/>
              <w:t>Nombre et pourcentage de Parties qui encouragent l’inclusion dans les conditions convenues d’un commun accord de dispositions couvrant le règlement de différends conformément à l’article 18.1.</w:t>
            </w:r>
          </w:p>
        </w:tc>
        <w:tc>
          <w:tcPr>
            <w:tcW w:w="1104" w:type="dxa"/>
            <w:shd w:val="clear" w:color="auto" w:fill="auto"/>
            <w:tcMar>
              <w:top w:w="29" w:type="dxa"/>
              <w:left w:w="115" w:type="dxa"/>
              <w:bottom w:w="29" w:type="dxa"/>
              <w:right w:w="115" w:type="dxa"/>
            </w:tcMar>
            <w:vAlign w:val="center"/>
          </w:tcPr>
          <w:p w14:paraId="4020835F"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d)</w:t>
            </w:r>
          </w:p>
        </w:tc>
        <w:tc>
          <w:tcPr>
            <w:tcW w:w="1506" w:type="dxa"/>
            <w:shd w:val="clear" w:color="auto" w:fill="auto"/>
            <w:tcMar>
              <w:top w:w="29" w:type="dxa"/>
              <w:left w:w="115" w:type="dxa"/>
              <w:bottom w:w="29" w:type="dxa"/>
              <w:right w:w="115" w:type="dxa"/>
            </w:tcMar>
            <w:vAlign w:val="center"/>
          </w:tcPr>
          <w:p w14:paraId="3A5CAE07"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36 (34 %)</w:t>
            </w:r>
          </w:p>
        </w:tc>
        <w:tc>
          <w:tcPr>
            <w:tcW w:w="1321" w:type="dxa"/>
            <w:shd w:val="clear" w:color="auto" w:fill="auto"/>
            <w:tcMar>
              <w:top w:w="29" w:type="dxa"/>
              <w:left w:w="115" w:type="dxa"/>
              <w:bottom w:w="29" w:type="dxa"/>
              <w:right w:w="115" w:type="dxa"/>
            </w:tcMar>
            <w:vAlign w:val="center"/>
          </w:tcPr>
          <w:p w14:paraId="108D0635"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Q.31</w:t>
            </w:r>
          </w:p>
        </w:tc>
      </w:tr>
      <w:tr w:rsidR="0045416C" w:rsidRPr="007B687E" w14:paraId="77964018" w14:textId="77777777" w:rsidTr="00AC0070">
        <w:trPr>
          <w:cantSplit/>
          <w:jc w:val="center"/>
        </w:trPr>
        <w:tc>
          <w:tcPr>
            <w:tcW w:w="5552" w:type="dxa"/>
            <w:shd w:val="clear" w:color="auto" w:fill="auto"/>
            <w:tcMar>
              <w:top w:w="29" w:type="dxa"/>
              <w:left w:w="115" w:type="dxa"/>
              <w:bottom w:w="29" w:type="dxa"/>
              <w:right w:w="115" w:type="dxa"/>
            </w:tcMar>
          </w:tcPr>
          <w:p w14:paraId="1847C03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32.</w:t>
            </w:r>
            <w:r w:rsidRPr="007B687E">
              <w:rPr>
                <w:rFonts w:eastAsia="SimSun"/>
                <w:kern w:val="22"/>
                <w:szCs w:val="20"/>
                <w:lang w:val="fr-CA"/>
              </w:rPr>
              <w:tab/>
              <w:t>Nombre et pourcentage de Parties garantissant la possibilité de recours dans leur système juridique en cas de différends découlant des conditions convenues d’un commun accord conformément à l’article 18.2</w:t>
            </w:r>
          </w:p>
        </w:tc>
        <w:tc>
          <w:tcPr>
            <w:tcW w:w="1104" w:type="dxa"/>
            <w:shd w:val="clear" w:color="auto" w:fill="auto"/>
            <w:tcMar>
              <w:top w:w="29" w:type="dxa"/>
              <w:left w:w="115" w:type="dxa"/>
              <w:bottom w:w="29" w:type="dxa"/>
              <w:right w:w="115" w:type="dxa"/>
            </w:tcMar>
            <w:vAlign w:val="center"/>
          </w:tcPr>
          <w:p w14:paraId="13A49D8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d)</w:t>
            </w:r>
          </w:p>
        </w:tc>
        <w:tc>
          <w:tcPr>
            <w:tcW w:w="1506" w:type="dxa"/>
            <w:shd w:val="clear" w:color="auto" w:fill="auto"/>
            <w:tcMar>
              <w:top w:w="29" w:type="dxa"/>
              <w:left w:w="115" w:type="dxa"/>
              <w:bottom w:w="29" w:type="dxa"/>
              <w:right w:w="115" w:type="dxa"/>
            </w:tcMar>
            <w:vAlign w:val="center"/>
          </w:tcPr>
          <w:p w14:paraId="2D3AE37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51 (49 %)</w:t>
            </w:r>
          </w:p>
        </w:tc>
        <w:tc>
          <w:tcPr>
            <w:tcW w:w="1321" w:type="dxa"/>
            <w:shd w:val="clear" w:color="auto" w:fill="auto"/>
            <w:tcMar>
              <w:top w:w="29" w:type="dxa"/>
              <w:left w:w="115" w:type="dxa"/>
              <w:bottom w:w="29" w:type="dxa"/>
              <w:right w:w="115" w:type="dxa"/>
            </w:tcMar>
            <w:vAlign w:val="center"/>
          </w:tcPr>
          <w:p w14:paraId="4735D76D"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Q.32</w:t>
            </w:r>
          </w:p>
        </w:tc>
      </w:tr>
      <w:tr w:rsidR="0045416C" w:rsidRPr="007B687E" w14:paraId="732ECD58" w14:textId="77777777" w:rsidTr="00AC0070">
        <w:trPr>
          <w:cantSplit/>
          <w:jc w:val="center"/>
        </w:trPr>
        <w:tc>
          <w:tcPr>
            <w:tcW w:w="5552" w:type="dxa"/>
            <w:shd w:val="clear" w:color="auto" w:fill="auto"/>
            <w:tcMar>
              <w:top w:w="29" w:type="dxa"/>
              <w:left w:w="115" w:type="dxa"/>
              <w:bottom w:w="29" w:type="dxa"/>
              <w:right w:w="115" w:type="dxa"/>
            </w:tcMar>
          </w:tcPr>
          <w:p w14:paraId="5A25CE34"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lastRenderedPageBreak/>
              <w:t>33.</w:t>
            </w:r>
            <w:r w:rsidRPr="007B687E">
              <w:rPr>
                <w:rFonts w:eastAsia="SimSun"/>
                <w:kern w:val="22"/>
                <w:szCs w:val="20"/>
                <w:lang w:val="fr-CA"/>
              </w:rPr>
              <w:tab/>
              <w:t>Nombre et pourcentage de Parties disposant de mesures relatives à l’accès à la justice</w:t>
            </w:r>
          </w:p>
        </w:tc>
        <w:tc>
          <w:tcPr>
            <w:tcW w:w="1104" w:type="dxa"/>
            <w:shd w:val="clear" w:color="auto" w:fill="auto"/>
            <w:tcMar>
              <w:top w:w="29" w:type="dxa"/>
              <w:left w:w="115" w:type="dxa"/>
              <w:bottom w:w="29" w:type="dxa"/>
              <w:right w:w="115" w:type="dxa"/>
            </w:tcMar>
            <w:vAlign w:val="center"/>
          </w:tcPr>
          <w:p w14:paraId="776499E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d)</w:t>
            </w:r>
          </w:p>
        </w:tc>
        <w:tc>
          <w:tcPr>
            <w:tcW w:w="1506" w:type="dxa"/>
            <w:shd w:val="clear" w:color="auto" w:fill="auto"/>
            <w:tcMar>
              <w:top w:w="29" w:type="dxa"/>
              <w:left w:w="115" w:type="dxa"/>
              <w:bottom w:w="29" w:type="dxa"/>
              <w:right w:w="115" w:type="dxa"/>
            </w:tcMar>
            <w:vAlign w:val="center"/>
          </w:tcPr>
          <w:p w14:paraId="6970F3C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47 (45 %)</w:t>
            </w:r>
          </w:p>
        </w:tc>
        <w:tc>
          <w:tcPr>
            <w:tcW w:w="1321" w:type="dxa"/>
            <w:shd w:val="clear" w:color="auto" w:fill="auto"/>
            <w:tcMar>
              <w:top w:w="29" w:type="dxa"/>
              <w:left w:w="115" w:type="dxa"/>
              <w:bottom w:w="29" w:type="dxa"/>
              <w:right w:w="115" w:type="dxa"/>
            </w:tcMar>
            <w:vAlign w:val="center"/>
          </w:tcPr>
          <w:p w14:paraId="2D460B5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Q.33</w:t>
            </w:r>
          </w:p>
        </w:tc>
      </w:tr>
      <w:tr w:rsidR="0045416C" w:rsidRPr="007B687E" w14:paraId="2C37F871"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65888BA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34.</w:t>
            </w:r>
            <w:r w:rsidRPr="007B687E">
              <w:rPr>
                <w:rFonts w:eastAsia="SimSun"/>
                <w:kern w:val="22"/>
                <w:szCs w:val="20"/>
                <w:lang w:val="fr-CA"/>
              </w:rPr>
              <w:tab/>
              <w:t>Nombre et pourcentage de Parties disposant de mesures relatives à l’utilisation de mécanismes de reconnaissance mutuelle et d’application de jugements étrangers et de décisions arbitrales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426241B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d)</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4E7EC35F"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38 (36 %)</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7019E375"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Q.33</w:t>
            </w:r>
          </w:p>
        </w:tc>
      </w:tr>
      <w:tr w:rsidR="0045416C" w:rsidRPr="007B687E" w14:paraId="6DF79355" w14:textId="77777777" w:rsidTr="00AC0070">
        <w:trPr>
          <w:cantSplit/>
          <w:jc w:val="center"/>
        </w:trPr>
        <w:tc>
          <w:tcPr>
            <w:tcW w:w="9483" w:type="dxa"/>
            <w:gridSpan w:val="4"/>
            <w:shd w:val="pct5" w:color="auto" w:fill="auto"/>
            <w:tcMar>
              <w:top w:w="29" w:type="dxa"/>
              <w:left w:w="115" w:type="dxa"/>
              <w:bottom w:w="29" w:type="dxa"/>
              <w:right w:w="115" w:type="dxa"/>
            </w:tcMar>
            <w:vAlign w:val="center"/>
          </w:tcPr>
          <w:p w14:paraId="7A42C11E"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fr-CA"/>
              </w:rPr>
            </w:pPr>
            <w:r w:rsidRPr="007B687E">
              <w:rPr>
                <w:rFonts w:eastAsia="SimSun"/>
                <w:b/>
                <w:kern w:val="22"/>
                <w:szCs w:val="20"/>
                <w:lang w:val="fr-CA"/>
              </w:rPr>
              <w:t>Considérations spéciales (article 8)</w:t>
            </w:r>
          </w:p>
        </w:tc>
      </w:tr>
      <w:tr w:rsidR="0045416C" w:rsidRPr="007B687E" w14:paraId="2FB7FBF7" w14:textId="77777777" w:rsidTr="00AC0070">
        <w:trPr>
          <w:cantSplit/>
          <w:jc w:val="center"/>
        </w:trPr>
        <w:tc>
          <w:tcPr>
            <w:tcW w:w="5552" w:type="dxa"/>
            <w:shd w:val="clear" w:color="auto" w:fill="auto"/>
            <w:tcMar>
              <w:top w:w="29" w:type="dxa"/>
              <w:left w:w="115" w:type="dxa"/>
              <w:bottom w:w="29" w:type="dxa"/>
              <w:right w:w="115" w:type="dxa"/>
            </w:tcMar>
          </w:tcPr>
          <w:p w14:paraId="4DDC126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35.</w:t>
            </w:r>
            <w:r w:rsidRPr="007B687E">
              <w:rPr>
                <w:rFonts w:eastAsia="SimSun"/>
                <w:kern w:val="22"/>
                <w:szCs w:val="20"/>
                <w:lang w:val="fr-CA"/>
              </w:rPr>
              <w:tab/>
              <w:t>Nombre et pourcentage de Parties qui ont créé des conditions propres à promouvoir et encourager la recherche qui contribue à la conservation et à l’utilisation durable de la diversité biologique conformément à l’article 8 a)</w:t>
            </w:r>
          </w:p>
        </w:tc>
        <w:tc>
          <w:tcPr>
            <w:tcW w:w="1104" w:type="dxa"/>
            <w:shd w:val="clear" w:color="auto" w:fill="auto"/>
            <w:tcMar>
              <w:top w:w="29" w:type="dxa"/>
              <w:left w:w="115" w:type="dxa"/>
              <w:bottom w:w="29" w:type="dxa"/>
              <w:right w:w="115" w:type="dxa"/>
            </w:tcMar>
            <w:vAlign w:val="center"/>
          </w:tcPr>
          <w:p w14:paraId="0EBAA9E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14:paraId="2A14A40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48 (46 %)</w:t>
            </w:r>
          </w:p>
        </w:tc>
        <w:tc>
          <w:tcPr>
            <w:tcW w:w="1321" w:type="dxa"/>
            <w:shd w:val="clear" w:color="auto" w:fill="auto"/>
            <w:tcMar>
              <w:top w:w="29" w:type="dxa"/>
              <w:left w:w="115" w:type="dxa"/>
              <w:bottom w:w="29" w:type="dxa"/>
              <w:right w:w="115" w:type="dxa"/>
            </w:tcMar>
            <w:vAlign w:val="center"/>
          </w:tcPr>
          <w:p w14:paraId="74E5D20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Q.35</w:t>
            </w:r>
          </w:p>
        </w:tc>
      </w:tr>
      <w:tr w:rsidR="0045416C" w:rsidRPr="007B687E" w14:paraId="3B6EB067" w14:textId="77777777" w:rsidTr="00AC0070">
        <w:trPr>
          <w:cantSplit/>
          <w:jc w:val="center"/>
        </w:trPr>
        <w:tc>
          <w:tcPr>
            <w:tcW w:w="5552" w:type="dxa"/>
            <w:shd w:val="clear" w:color="auto" w:fill="auto"/>
            <w:tcMar>
              <w:top w:w="29" w:type="dxa"/>
              <w:left w:w="115" w:type="dxa"/>
              <w:bottom w:w="29" w:type="dxa"/>
              <w:right w:w="115" w:type="dxa"/>
            </w:tcMar>
          </w:tcPr>
          <w:p w14:paraId="4049F1E5"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kern w:val="22"/>
                <w:szCs w:val="20"/>
                <w:lang w:val="fr-CA"/>
              </w:rPr>
            </w:pPr>
            <w:r w:rsidRPr="007B687E">
              <w:rPr>
                <w:kern w:val="22"/>
                <w:szCs w:val="20"/>
                <w:lang w:val="fr-CA"/>
              </w:rPr>
              <w:t>36.</w:t>
            </w:r>
            <w:r w:rsidRPr="007B687E">
              <w:rPr>
                <w:kern w:val="22"/>
                <w:szCs w:val="20"/>
                <w:lang w:val="fr-CA"/>
              </w:rPr>
              <w:tab/>
              <w:t>Nombre et pourcentage de Parties qui ont pris dûment en considération les situations d’urgence actuelles ou imminentes qui menacent ou nuisent à la santé humaine, animale ou végétale conformément à l’article 8 b)</w:t>
            </w:r>
          </w:p>
        </w:tc>
        <w:tc>
          <w:tcPr>
            <w:tcW w:w="1104" w:type="dxa"/>
            <w:shd w:val="clear" w:color="auto" w:fill="auto"/>
            <w:tcMar>
              <w:top w:w="29" w:type="dxa"/>
              <w:left w:w="115" w:type="dxa"/>
              <w:bottom w:w="29" w:type="dxa"/>
              <w:right w:w="115" w:type="dxa"/>
            </w:tcMar>
            <w:vAlign w:val="center"/>
          </w:tcPr>
          <w:p w14:paraId="6FD1BCC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14:paraId="5C42F46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39 (37 %)</w:t>
            </w:r>
          </w:p>
        </w:tc>
        <w:tc>
          <w:tcPr>
            <w:tcW w:w="1321" w:type="dxa"/>
            <w:shd w:val="clear" w:color="auto" w:fill="auto"/>
            <w:tcMar>
              <w:top w:w="29" w:type="dxa"/>
              <w:left w:w="115" w:type="dxa"/>
              <w:bottom w:w="29" w:type="dxa"/>
              <w:right w:w="115" w:type="dxa"/>
            </w:tcMar>
            <w:vAlign w:val="center"/>
          </w:tcPr>
          <w:p w14:paraId="0FA80258"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rFonts w:eastAsia="SimSun"/>
                <w:kern w:val="22"/>
                <w:szCs w:val="20"/>
                <w:lang w:val="fr-CA"/>
              </w:rPr>
              <w:t>Q.35</w:t>
            </w:r>
          </w:p>
        </w:tc>
      </w:tr>
      <w:tr w:rsidR="0045416C" w:rsidRPr="007B687E" w14:paraId="20EF8EE0" w14:textId="77777777" w:rsidTr="00AC0070">
        <w:trPr>
          <w:cantSplit/>
          <w:jc w:val="center"/>
        </w:trPr>
        <w:tc>
          <w:tcPr>
            <w:tcW w:w="5552" w:type="dxa"/>
            <w:shd w:val="clear" w:color="auto" w:fill="auto"/>
            <w:tcMar>
              <w:top w:w="29" w:type="dxa"/>
              <w:left w:w="115" w:type="dxa"/>
              <w:bottom w:w="29" w:type="dxa"/>
              <w:right w:w="115" w:type="dxa"/>
            </w:tcMar>
          </w:tcPr>
          <w:p w14:paraId="20722F5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kern w:val="22"/>
                <w:szCs w:val="20"/>
                <w:lang w:val="fr-CA"/>
              </w:rPr>
            </w:pPr>
            <w:r w:rsidRPr="007B687E">
              <w:rPr>
                <w:kern w:val="22"/>
                <w:szCs w:val="20"/>
                <w:lang w:val="fr-CA"/>
              </w:rPr>
              <w:t>37.</w:t>
            </w:r>
            <w:r w:rsidRPr="007B687E">
              <w:rPr>
                <w:kern w:val="22"/>
                <w:szCs w:val="20"/>
                <w:lang w:val="fr-CA"/>
              </w:rPr>
              <w:tab/>
              <w:t>Nombre et pourcentage de Parties qui ont pris en considération la nécessité d’accélérer l’accès aux ressources génétiques et le partage juste et équitable des avantages découlant de leur utilisation, conformément à l’article 8 b)</w:t>
            </w:r>
          </w:p>
        </w:tc>
        <w:tc>
          <w:tcPr>
            <w:tcW w:w="1104" w:type="dxa"/>
            <w:shd w:val="clear" w:color="auto" w:fill="auto"/>
            <w:tcMar>
              <w:top w:w="29" w:type="dxa"/>
              <w:left w:w="115" w:type="dxa"/>
              <w:bottom w:w="29" w:type="dxa"/>
              <w:right w:w="115" w:type="dxa"/>
            </w:tcMar>
            <w:vAlign w:val="center"/>
          </w:tcPr>
          <w:p w14:paraId="578FFBB8"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b)</w:t>
            </w:r>
          </w:p>
        </w:tc>
        <w:tc>
          <w:tcPr>
            <w:tcW w:w="1506" w:type="dxa"/>
            <w:shd w:val="clear" w:color="auto" w:fill="auto"/>
            <w:tcMar>
              <w:top w:w="29" w:type="dxa"/>
              <w:left w:w="115" w:type="dxa"/>
              <w:bottom w:w="29" w:type="dxa"/>
              <w:right w:w="115" w:type="dxa"/>
            </w:tcMar>
            <w:vAlign w:val="center"/>
          </w:tcPr>
          <w:p w14:paraId="49B8A22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26 (25 %)</w:t>
            </w:r>
          </w:p>
        </w:tc>
        <w:tc>
          <w:tcPr>
            <w:tcW w:w="1321" w:type="dxa"/>
            <w:shd w:val="clear" w:color="auto" w:fill="auto"/>
            <w:tcMar>
              <w:top w:w="29" w:type="dxa"/>
              <w:left w:w="115" w:type="dxa"/>
              <w:bottom w:w="29" w:type="dxa"/>
              <w:right w:w="115" w:type="dxa"/>
            </w:tcMar>
            <w:vAlign w:val="center"/>
          </w:tcPr>
          <w:p w14:paraId="4B308F2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kern w:val="22"/>
                <w:szCs w:val="20"/>
                <w:lang w:val="fr-CA"/>
              </w:rPr>
            </w:pPr>
            <w:r w:rsidRPr="007B687E">
              <w:rPr>
                <w:rFonts w:eastAsia="SimSun"/>
                <w:kern w:val="22"/>
                <w:szCs w:val="20"/>
                <w:lang w:val="fr-CA"/>
              </w:rPr>
              <w:t>Q.35</w:t>
            </w:r>
          </w:p>
        </w:tc>
      </w:tr>
      <w:tr w:rsidR="0045416C" w:rsidRPr="007B687E" w14:paraId="73E40B25"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2148EF75"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38.</w:t>
            </w:r>
            <w:r w:rsidRPr="007B687E">
              <w:rPr>
                <w:rFonts w:eastAsia="SimSun"/>
                <w:kern w:val="22"/>
                <w:szCs w:val="20"/>
                <w:lang w:val="fr-CA"/>
              </w:rPr>
              <w:tab/>
              <w:t>Nombre et pourcentage de Parties qui ont tenu compte de l’importance des ressources génétiques pour l’alimentation et l’agriculture et du rôle spécial qu’elles jouent pour la sécurité alimentaire conformément à l’article 8 c)</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06172B4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41E513F8"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48 (46 %)</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0C3BF99F"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Q.35</w:t>
            </w:r>
          </w:p>
        </w:tc>
      </w:tr>
      <w:tr w:rsidR="0045416C" w:rsidRPr="00AB4311" w14:paraId="404DF216" w14:textId="77777777" w:rsidTr="00AC0070">
        <w:trPr>
          <w:cantSplit/>
          <w:jc w:val="center"/>
        </w:trPr>
        <w:tc>
          <w:tcPr>
            <w:tcW w:w="9483" w:type="dxa"/>
            <w:gridSpan w:val="4"/>
            <w:shd w:val="pct5" w:color="auto" w:fill="auto"/>
            <w:tcMar>
              <w:top w:w="29" w:type="dxa"/>
              <w:left w:w="115" w:type="dxa"/>
              <w:bottom w:w="29" w:type="dxa"/>
              <w:right w:w="115" w:type="dxa"/>
            </w:tcMar>
            <w:vAlign w:val="center"/>
          </w:tcPr>
          <w:p w14:paraId="0E8C8819"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fr-CA"/>
              </w:rPr>
            </w:pPr>
            <w:r w:rsidRPr="007B687E">
              <w:rPr>
                <w:rFonts w:eastAsia="SimSun"/>
                <w:b/>
                <w:kern w:val="22"/>
                <w:szCs w:val="20"/>
                <w:lang w:val="fr-CA"/>
              </w:rPr>
              <w:t>Dispositions relatives aux peuples autochtones et aux communautés locales (articles 6, 7 et 12)</w:t>
            </w:r>
          </w:p>
        </w:tc>
      </w:tr>
      <w:tr w:rsidR="0045416C" w:rsidRPr="007B687E" w14:paraId="3B961FC1" w14:textId="77777777" w:rsidTr="00AC0070">
        <w:trPr>
          <w:cantSplit/>
          <w:jc w:val="center"/>
        </w:trPr>
        <w:tc>
          <w:tcPr>
            <w:tcW w:w="5552" w:type="dxa"/>
            <w:shd w:val="clear" w:color="auto" w:fill="auto"/>
            <w:tcMar>
              <w:top w:w="29" w:type="dxa"/>
              <w:left w:w="115" w:type="dxa"/>
              <w:bottom w:w="29" w:type="dxa"/>
              <w:right w:w="115" w:type="dxa"/>
            </w:tcMar>
          </w:tcPr>
          <w:p w14:paraId="094D0904"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spacing w:val="-1"/>
                <w:kern w:val="22"/>
                <w:szCs w:val="20"/>
                <w:lang w:val="fr-CA"/>
              </w:rPr>
            </w:pPr>
            <w:r w:rsidRPr="007B687E">
              <w:rPr>
                <w:rFonts w:eastAsia="SimSun"/>
                <w:spacing w:val="-1"/>
                <w:kern w:val="22"/>
                <w:szCs w:val="20"/>
                <w:lang w:val="fr-CA"/>
              </w:rPr>
              <w:t>39.</w:t>
            </w:r>
            <w:r w:rsidRPr="007B687E">
              <w:rPr>
                <w:rFonts w:eastAsia="SimSun"/>
                <w:spacing w:val="-1"/>
                <w:kern w:val="22"/>
                <w:szCs w:val="20"/>
                <w:lang w:val="fr-CA"/>
              </w:rPr>
              <w:tab/>
              <w:t>Nombre et pourcentage de Parties ayant pris des mesures pour s’assurer que le consentement préalable donné en connaissance de cause ou l’accord et la participation des peuples autochtones et des communautés locales sont obtenus pour l’accès aux ressources génétiques, dès lors que leur droit d’accorder l’accès à ces ressources est établi, conformément à l’article 6.2.</w:t>
            </w:r>
          </w:p>
        </w:tc>
        <w:tc>
          <w:tcPr>
            <w:tcW w:w="1104" w:type="dxa"/>
            <w:shd w:val="clear" w:color="auto" w:fill="auto"/>
            <w:tcMar>
              <w:top w:w="29" w:type="dxa"/>
              <w:left w:w="115" w:type="dxa"/>
              <w:bottom w:w="29" w:type="dxa"/>
              <w:right w:w="115" w:type="dxa"/>
            </w:tcMar>
            <w:vAlign w:val="center"/>
          </w:tcPr>
          <w:p w14:paraId="6B5F9BD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a)</w:t>
            </w:r>
          </w:p>
        </w:tc>
        <w:tc>
          <w:tcPr>
            <w:tcW w:w="1506" w:type="dxa"/>
            <w:shd w:val="clear" w:color="auto" w:fill="auto"/>
            <w:tcMar>
              <w:top w:w="29" w:type="dxa"/>
              <w:left w:w="115" w:type="dxa"/>
              <w:bottom w:w="29" w:type="dxa"/>
              <w:right w:w="115" w:type="dxa"/>
            </w:tcMar>
            <w:vAlign w:val="center"/>
          </w:tcPr>
          <w:p w14:paraId="4DE9981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23 (47 %)</w:t>
            </w:r>
          </w:p>
        </w:tc>
        <w:tc>
          <w:tcPr>
            <w:tcW w:w="1321" w:type="dxa"/>
            <w:shd w:val="clear" w:color="auto" w:fill="auto"/>
            <w:tcMar>
              <w:top w:w="29" w:type="dxa"/>
              <w:left w:w="115" w:type="dxa"/>
              <w:bottom w:w="29" w:type="dxa"/>
              <w:right w:w="115" w:type="dxa"/>
            </w:tcMar>
            <w:vAlign w:val="center"/>
          </w:tcPr>
          <w:p w14:paraId="157B707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Q.38</w:t>
            </w:r>
          </w:p>
        </w:tc>
      </w:tr>
      <w:tr w:rsidR="0045416C" w:rsidRPr="007B687E" w14:paraId="2C173899"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094D147F"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lastRenderedPageBreak/>
              <w:t>40.</w:t>
            </w:r>
            <w:r w:rsidRPr="007B687E">
              <w:rPr>
                <w:rFonts w:eastAsia="SimSun"/>
                <w:kern w:val="22"/>
                <w:szCs w:val="20"/>
                <w:lang w:val="fr-CA"/>
              </w:rPr>
              <w:tab/>
              <w:t>Nombre et pourcentage de Parties dont le pays comprend des peuples autochtones et communautés locales qui ont pris des mesures pour veiller à ce que l’accès aux connaissances traditionnelles associées aux ressources génétiques détenues par les peuples autochtones et les communautés locales soit soumis au consentement préalable donné en connaissance de cause ou à l’accord et à la participation de ces peuples autochtones et communautés locales, et que des conditions convenues d’un commun accord soient établies, conformément à l’article 7</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6D17F665"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4B546B9D"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21 (43 %)</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00B147A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Q.39</w:t>
            </w:r>
          </w:p>
        </w:tc>
      </w:tr>
      <w:tr w:rsidR="0045416C" w:rsidRPr="00AB4311" w14:paraId="1A2322F3"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11E3186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41.</w:t>
            </w:r>
            <w:r w:rsidRPr="007B687E">
              <w:rPr>
                <w:rFonts w:eastAsia="SimSun"/>
                <w:kern w:val="22"/>
                <w:szCs w:val="20"/>
                <w:lang w:val="fr-CA"/>
              </w:rPr>
              <w:tab/>
            </w:r>
            <w:r w:rsidRPr="007B687E">
              <w:rPr>
                <w:i/>
                <w:kern w:val="22"/>
                <w:szCs w:val="20"/>
                <w:lang w:val="fr-CA"/>
              </w:rPr>
              <w:t>Nouveau :</w:t>
            </w:r>
            <w:r>
              <w:rPr>
                <w:rFonts w:eastAsia="SimSun"/>
                <w:kern w:val="22"/>
                <w:szCs w:val="20"/>
                <w:lang w:val="fr-CA"/>
              </w:rPr>
              <w:t xml:space="preserve"> N</w:t>
            </w:r>
            <w:r w:rsidRPr="007B687E">
              <w:rPr>
                <w:rFonts w:eastAsia="SimSun"/>
                <w:kern w:val="22"/>
                <w:szCs w:val="20"/>
                <w:lang w:val="fr-CA"/>
              </w:rPr>
              <w:t>ombre de protocoles et procédures communautaires des peuples autochtones et communautés locales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502B1B9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20CD4F19"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Données non concluantes</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7F6043E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Q.42 nécessite une révision</w:t>
            </w:r>
          </w:p>
          <w:p w14:paraId="2B19DC3F"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Étude ciblée</w:t>
            </w:r>
          </w:p>
        </w:tc>
      </w:tr>
      <w:tr w:rsidR="0045416C" w:rsidRPr="00AB4311" w14:paraId="2F1D37E7"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5100716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42.</w:t>
            </w:r>
            <w:r w:rsidRPr="007B687E">
              <w:rPr>
                <w:rFonts w:eastAsia="SimSun"/>
                <w:kern w:val="22"/>
                <w:szCs w:val="20"/>
                <w:lang w:val="fr-CA"/>
              </w:rPr>
              <w:tab/>
              <w:t>Nombre de lois coutumières, de protocoles et procédures communautaires des peuples autochtones et communautés locales mis à disposition dans le Centre d’échange sur l’accès et le partage des avantages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190AA3C8"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f) 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4839E7B4"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3</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707AB92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Centre d’échange sur l’accès et le partage des avantages</w:t>
            </w:r>
          </w:p>
        </w:tc>
      </w:tr>
      <w:tr w:rsidR="0045416C" w:rsidRPr="00AB4311" w14:paraId="1B927CB5" w14:textId="77777777" w:rsidTr="00AC0070">
        <w:trPr>
          <w:cantSplit/>
          <w:jc w:val="center"/>
        </w:trPr>
        <w:tc>
          <w:tcPr>
            <w:tcW w:w="9483" w:type="dxa"/>
            <w:gridSpan w:val="4"/>
            <w:shd w:val="pct5" w:color="auto" w:fill="auto"/>
            <w:tcMar>
              <w:top w:w="29" w:type="dxa"/>
              <w:left w:w="115" w:type="dxa"/>
              <w:bottom w:w="29" w:type="dxa"/>
              <w:right w:w="115" w:type="dxa"/>
            </w:tcMar>
            <w:vAlign w:val="center"/>
          </w:tcPr>
          <w:p w14:paraId="0EF657C9"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fr-CA"/>
              </w:rPr>
            </w:pPr>
            <w:r w:rsidRPr="007B687E">
              <w:rPr>
                <w:rFonts w:eastAsia="SimSun"/>
                <w:b/>
                <w:kern w:val="22"/>
                <w:szCs w:val="20"/>
                <w:lang w:val="fr-CA"/>
              </w:rPr>
              <w:t>Contribution à la conservation et à l’utilisation durable (article 9)</w:t>
            </w:r>
          </w:p>
        </w:tc>
      </w:tr>
      <w:tr w:rsidR="0045416C" w:rsidRPr="007B687E" w14:paraId="00BDA597"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5DC6F88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kern w:val="22"/>
                <w:szCs w:val="20"/>
                <w:u w:color="000000"/>
                <w:lang w:val="fr-CA"/>
              </w:rPr>
            </w:pPr>
            <w:r w:rsidRPr="007B687E">
              <w:rPr>
                <w:kern w:val="22"/>
                <w:szCs w:val="20"/>
                <w:u w:color="000000"/>
                <w:lang w:val="fr-CA"/>
              </w:rPr>
              <w:t>43.</w:t>
            </w:r>
            <w:r w:rsidRPr="007B687E">
              <w:rPr>
                <w:kern w:val="22"/>
                <w:szCs w:val="20"/>
                <w:u w:color="000000"/>
                <w:lang w:val="fr-CA"/>
              </w:rPr>
              <w:tab/>
            </w:r>
            <w:r w:rsidRPr="007B687E">
              <w:rPr>
                <w:rFonts w:eastAsia="Calibri"/>
                <w:i/>
                <w:color w:val="000000"/>
                <w:kern w:val="22"/>
                <w:szCs w:val="20"/>
                <w:u w:color="000000"/>
                <w:lang w:val="fr-CA"/>
              </w:rPr>
              <w:t>Révision :</w:t>
            </w:r>
            <w:r>
              <w:rPr>
                <w:kern w:val="22"/>
                <w:szCs w:val="20"/>
                <w:u w:color="000000"/>
                <w:lang w:val="fr-CA"/>
              </w:rPr>
              <w:t xml:space="preserve"> N</w:t>
            </w:r>
            <w:r w:rsidRPr="007B687E">
              <w:rPr>
                <w:kern w:val="22"/>
                <w:szCs w:val="20"/>
                <w:u w:color="000000"/>
                <w:lang w:val="fr-CA"/>
              </w:rPr>
              <w:t>ombre et pourcentage de Parties ayant indiqué que l’application du Protocole de Nagoya a contribué à la conservation et à l’utilisation durable de la diversité biologique dans leur pays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353A4065"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b)</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16C5303F"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Données non concluantes</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25D8944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Q.46 nécessite une révision</w:t>
            </w:r>
          </w:p>
        </w:tc>
      </w:tr>
      <w:tr w:rsidR="0045416C" w:rsidRPr="00AB4311" w14:paraId="68AB7936" w14:textId="77777777" w:rsidTr="00AC0070">
        <w:trPr>
          <w:cantSplit/>
          <w:jc w:val="center"/>
        </w:trPr>
        <w:tc>
          <w:tcPr>
            <w:tcW w:w="9483" w:type="dxa"/>
            <w:gridSpan w:val="4"/>
            <w:shd w:val="pct5" w:color="auto" w:fill="auto"/>
            <w:tcMar>
              <w:top w:w="29" w:type="dxa"/>
              <w:left w:w="115" w:type="dxa"/>
              <w:bottom w:w="29" w:type="dxa"/>
              <w:right w:w="115" w:type="dxa"/>
            </w:tcMar>
            <w:vAlign w:val="center"/>
          </w:tcPr>
          <w:p w14:paraId="06864902"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314"/>
              <w:jc w:val="left"/>
              <w:rPr>
                <w:rFonts w:eastAsia="SimSun"/>
                <w:b/>
                <w:kern w:val="22"/>
                <w:szCs w:val="22"/>
                <w:lang w:val="fr-CA"/>
              </w:rPr>
            </w:pPr>
            <w:r w:rsidRPr="007B687E">
              <w:rPr>
                <w:rFonts w:eastAsia="SimSun"/>
                <w:b/>
                <w:kern w:val="22"/>
                <w:szCs w:val="20"/>
                <w:lang w:val="fr-CA"/>
              </w:rPr>
              <w:t>Clauses contractuelles types, codes de conduite, lignes directrices, bonnes pratiques et normes (articles 19 et 20)</w:t>
            </w:r>
          </w:p>
        </w:tc>
      </w:tr>
      <w:tr w:rsidR="0045416C" w:rsidRPr="007B687E" w14:paraId="097593DD"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15560DC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44.</w:t>
            </w:r>
            <w:r w:rsidRPr="007B687E">
              <w:rPr>
                <w:rFonts w:eastAsia="SimSun"/>
                <w:kern w:val="22"/>
                <w:szCs w:val="20"/>
                <w:lang w:val="fr-CA"/>
              </w:rPr>
              <w:tab/>
              <w:t>Nombre de clauses contractuelles types élaborées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215A666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241652B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29</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0770B25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Q.51, étude ciblée</w:t>
            </w:r>
          </w:p>
        </w:tc>
      </w:tr>
      <w:tr w:rsidR="0045416C" w:rsidRPr="007B687E" w14:paraId="176CE1F9"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7EB62ED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45.</w:t>
            </w:r>
            <w:r w:rsidRPr="007B687E">
              <w:rPr>
                <w:rFonts w:eastAsia="SimSun"/>
                <w:kern w:val="22"/>
                <w:szCs w:val="20"/>
                <w:lang w:val="fr-CA"/>
              </w:rPr>
              <w:tab/>
              <w:t>Nombre de codes de conduite, lignes directrices, bonnes pratiques et normes élaborés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2E30F39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f)</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26FD7B9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33</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657A146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Q.52, étude ciblée</w:t>
            </w:r>
          </w:p>
        </w:tc>
      </w:tr>
      <w:tr w:rsidR="0045416C" w:rsidRPr="00AB4311" w14:paraId="4536BF0F"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4725D64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46.</w:t>
            </w:r>
            <w:r w:rsidRPr="007B687E">
              <w:rPr>
                <w:rFonts w:eastAsia="SimSun"/>
                <w:kern w:val="22"/>
                <w:szCs w:val="20"/>
                <w:lang w:val="fr-CA"/>
              </w:rPr>
              <w:tab/>
              <w:t>Nombre et pourcentage de clauses contractuelles types mises à disposition dans le Centre d’échange sur l’accès et le partage des avantages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119A9DA4"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f) 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739E5E5D"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17 (59 %)</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1D97020F"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Centre d’échange sur l’accès et le partage des avantages</w:t>
            </w:r>
          </w:p>
        </w:tc>
      </w:tr>
      <w:tr w:rsidR="0045416C" w:rsidRPr="00AB4311" w14:paraId="3EBF1784"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604C7279"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lastRenderedPageBreak/>
              <w:t>47.</w:t>
            </w:r>
            <w:r w:rsidRPr="007B687E">
              <w:rPr>
                <w:rFonts w:eastAsia="SimSun"/>
                <w:kern w:val="22"/>
                <w:szCs w:val="20"/>
                <w:lang w:val="fr-CA"/>
              </w:rPr>
              <w:tab/>
              <w:t>Nombre et pourcentage de codes de conduite, lignes directrices, bonnes pratiques et normes mis à disposition dans le Centre d’échange sur l’accès et le partage des avantages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6FD0657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f) 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28D2954D"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25 (75 %)</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31B66EA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Centre d’échange sur l’accès et le partage des avantages</w:t>
            </w:r>
          </w:p>
        </w:tc>
      </w:tr>
      <w:tr w:rsidR="0045416C" w:rsidRPr="00AB4311" w14:paraId="4DB397A5" w14:textId="77777777" w:rsidTr="00AC0070">
        <w:trPr>
          <w:cantSplit/>
          <w:jc w:val="center"/>
        </w:trPr>
        <w:tc>
          <w:tcPr>
            <w:tcW w:w="9483" w:type="dxa"/>
            <w:gridSpan w:val="4"/>
            <w:shd w:val="pct5" w:color="auto" w:fill="auto"/>
            <w:tcMar>
              <w:top w:w="29" w:type="dxa"/>
              <w:left w:w="115" w:type="dxa"/>
              <w:bottom w:w="29" w:type="dxa"/>
              <w:right w:w="115" w:type="dxa"/>
            </w:tcMar>
            <w:vAlign w:val="center"/>
          </w:tcPr>
          <w:p w14:paraId="43F5F48D"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314"/>
              <w:jc w:val="left"/>
              <w:rPr>
                <w:rFonts w:eastAsia="SimSun"/>
                <w:b/>
                <w:kern w:val="22"/>
                <w:szCs w:val="22"/>
                <w:lang w:val="fr-CA"/>
              </w:rPr>
            </w:pPr>
            <w:r w:rsidRPr="007B687E">
              <w:rPr>
                <w:rFonts w:eastAsia="SimSun"/>
                <w:b/>
                <w:kern w:val="22"/>
                <w:szCs w:val="20"/>
                <w:lang w:val="fr-CA"/>
              </w:rPr>
              <w:t>Sensibilisation et capacités (articles 21 et 22)</w:t>
            </w:r>
          </w:p>
        </w:tc>
      </w:tr>
      <w:tr w:rsidR="0045416C" w:rsidRPr="007B687E" w14:paraId="3F56EADC" w14:textId="77777777" w:rsidTr="00AC0070">
        <w:trPr>
          <w:cantSplit/>
          <w:jc w:val="center"/>
        </w:trPr>
        <w:tc>
          <w:tcPr>
            <w:tcW w:w="5552" w:type="dxa"/>
            <w:shd w:val="clear" w:color="auto" w:fill="auto"/>
            <w:tcMar>
              <w:top w:w="29" w:type="dxa"/>
              <w:left w:w="115" w:type="dxa"/>
              <w:bottom w:w="29" w:type="dxa"/>
              <w:right w:w="115" w:type="dxa"/>
            </w:tcMar>
          </w:tcPr>
          <w:p w14:paraId="7DCD6749"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48.</w:t>
            </w:r>
            <w:r w:rsidRPr="007B687E">
              <w:rPr>
                <w:rFonts w:eastAsia="SimSun"/>
                <w:kern w:val="22"/>
                <w:szCs w:val="20"/>
                <w:lang w:val="fr-CA"/>
              </w:rPr>
              <w:tab/>
              <w:t>Nombre et pourcentage de Parties qui ont reçu une aide extérieure pour la création et le renforcement des capacités aux fins d’application du Protocole de Nagoya depuis l’entrée en vigueur du Protocole</w:t>
            </w:r>
          </w:p>
        </w:tc>
        <w:tc>
          <w:tcPr>
            <w:tcW w:w="1104" w:type="dxa"/>
            <w:shd w:val="clear" w:color="auto" w:fill="auto"/>
            <w:tcMar>
              <w:top w:w="29" w:type="dxa"/>
              <w:left w:w="115" w:type="dxa"/>
              <w:bottom w:w="29" w:type="dxa"/>
              <w:right w:w="115" w:type="dxa"/>
            </w:tcMar>
            <w:vAlign w:val="center"/>
          </w:tcPr>
          <w:p w14:paraId="4C004D43"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c)</w:t>
            </w:r>
          </w:p>
        </w:tc>
        <w:tc>
          <w:tcPr>
            <w:tcW w:w="1506" w:type="dxa"/>
            <w:shd w:val="clear" w:color="auto" w:fill="auto"/>
            <w:tcMar>
              <w:top w:w="29" w:type="dxa"/>
              <w:left w:w="115" w:type="dxa"/>
              <w:bottom w:w="29" w:type="dxa"/>
              <w:right w:w="115" w:type="dxa"/>
            </w:tcMar>
            <w:vAlign w:val="center"/>
          </w:tcPr>
          <w:p w14:paraId="42A0D2FD"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45 (43 %)</w:t>
            </w:r>
          </w:p>
        </w:tc>
        <w:tc>
          <w:tcPr>
            <w:tcW w:w="1321" w:type="dxa"/>
            <w:shd w:val="clear" w:color="auto" w:fill="auto"/>
            <w:tcMar>
              <w:top w:w="29" w:type="dxa"/>
              <w:left w:w="115" w:type="dxa"/>
              <w:bottom w:w="29" w:type="dxa"/>
              <w:right w:w="115" w:type="dxa"/>
            </w:tcMar>
            <w:vAlign w:val="center"/>
          </w:tcPr>
          <w:p w14:paraId="2ECB10F9"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Q.56</w:t>
            </w:r>
          </w:p>
        </w:tc>
      </w:tr>
      <w:tr w:rsidR="0045416C" w:rsidRPr="007B687E" w14:paraId="0A0FA6A4" w14:textId="77777777" w:rsidTr="00AC0070">
        <w:trPr>
          <w:cantSplit/>
          <w:jc w:val="center"/>
        </w:trPr>
        <w:tc>
          <w:tcPr>
            <w:tcW w:w="5552" w:type="dxa"/>
            <w:shd w:val="clear" w:color="auto" w:fill="auto"/>
            <w:tcMar>
              <w:top w:w="29" w:type="dxa"/>
              <w:left w:w="115" w:type="dxa"/>
              <w:bottom w:w="29" w:type="dxa"/>
              <w:right w:w="115" w:type="dxa"/>
            </w:tcMar>
          </w:tcPr>
          <w:p w14:paraId="047CE1ED"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49.</w:t>
            </w:r>
            <w:r w:rsidRPr="007B687E">
              <w:rPr>
                <w:rFonts w:eastAsia="SimSun"/>
                <w:kern w:val="22"/>
                <w:szCs w:val="20"/>
                <w:lang w:val="fr-CA"/>
              </w:rPr>
              <w:tab/>
              <w:t>Nombre et pourcentage de Parties qui ont fourni une aide extérieure pour la création et le renforcement des capacités aux fins d’application du Protocole de Nagoya depuis l’entrée en vigueur du Protocole</w:t>
            </w:r>
          </w:p>
        </w:tc>
        <w:tc>
          <w:tcPr>
            <w:tcW w:w="1104" w:type="dxa"/>
            <w:shd w:val="clear" w:color="auto" w:fill="auto"/>
            <w:tcMar>
              <w:top w:w="29" w:type="dxa"/>
              <w:left w:w="115" w:type="dxa"/>
              <w:bottom w:w="29" w:type="dxa"/>
              <w:right w:w="115" w:type="dxa"/>
            </w:tcMar>
            <w:vAlign w:val="center"/>
          </w:tcPr>
          <w:p w14:paraId="45F3F91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c)</w:t>
            </w:r>
          </w:p>
        </w:tc>
        <w:tc>
          <w:tcPr>
            <w:tcW w:w="1506" w:type="dxa"/>
            <w:shd w:val="clear" w:color="auto" w:fill="auto"/>
            <w:tcMar>
              <w:top w:w="29" w:type="dxa"/>
              <w:left w:w="115" w:type="dxa"/>
              <w:bottom w:w="29" w:type="dxa"/>
              <w:right w:w="115" w:type="dxa"/>
            </w:tcMar>
            <w:vAlign w:val="center"/>
          </w:tcPr>
          <w:p w14:paraId="3BA6F55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27 (26 %)</w:t>
            </w:r>
          </w:p>
        </w:tc>
        <w:tc>
          <w:tcPr>
            <w:tcW w:w="1321" w:type="dxa"/>
            <w:shd w:val="clear" w:color="auto" w:fill="auto"/>
            <w:tcMar>
              <w:top w:w="29" w:type="dxa"/>
              <w:left w:w="115" w:type="dxa"/>
              <w:bottom w:w="29" w:type="dxa"/>
              <w:right w:w="115" w:type="dxa"/>
            </w:tcMar>
            <w:vAlign w:val="center"/>
          </w:tcPr>
          <w:p w14:paraId="0F1DECB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Q.57</w:t>
            </w:r>
          </w:p>
        </w:tc>
      </w:tr>
      <w:tr w:rsidR="0045416C" w:rsidRPr="00AB4311" w14:paraId="4CB478BE" w14:textId="77777777" w:rsidTr="00AC0070">
        <w:trPr>
          <w:cantSplit/>
          <w:jc w:val="center"/>
        </w:trPr>
        <w:tc>
          <w:tcPr>
            <w:tcW w:w="5552" w:type="dxa"/>
            <w:shd w:val="clear" w:color="auto" w:fill="auto"/>
            <w:tcMar>
              <w:top w:w="29" w:type="dxa"/>
              <w:left w:w="115" w:type="dxa"/>
              <w:bottom w:w="29" w:type="dxa"/>
              <w:right w:w="115" w:type="dxa"/>
            </w:tcMar>
          </w:tcPr>
          <w:p w14:paraId="157899D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50.</w:t>
            </w:r>
            <w:r w:rsidRPr="007B687E">
              <w:rPr>
                <w:rFonts w:eastAsia="SimSun"/>
                <w:kern w:val="22"/>
                <w:szCs w:val="20"/>
                <w:lang w:val="fr-CA"/>
              </w:rPr>
              <w:tab/>
              <w:t>Nombre d’initiatives de création et de renforcement des capacités mises à disposition, menées à bien ou mises en place après l’adoption du Protocole de Nagoya en 2010 et qui apportent ou ont apporté, une aide directe dans le cadre d’activités mises en place à l’échelle du pays aux fins de ratification et d’application du Protocole de Nagoya</w:t>
            </w:r>
          </w:p>
        </w:tc>
        <w:tc>
          <w:tcPr>
            <w:tcW w:w="1104" w:type="dxa"/>
            <w:shd w:val="clear" w:color="auto" w:fill="auto"/>
            <w:tcMar>
              <w:top w:w="29" w:type="dxa"/>
              <w:left w:w="115" w:type="dxa"/>
              <w:bottom w:w="29" w:type="dxa"/>
              <w:right w:w="115" w:type="dxa"/>
            </w:tcMar>
            <w:vAlign w:val="center"/>
          </w:tcPr>
          <w:p w14:paraId="4EB3037B"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c)</w:t>
            </w:r>
          </w:p>
        </w:tc>
        <w:tc>
          <w:tcPr>
            <w:tcW w:w="1506" w:type="dxa"/>
            <w:shd w:val="clear" w:color="auto" w:fill="auto"/>
            <w:tcMar>
              <w:top w:w="29" w:type="dxa"/>
              <w:left w:w="115" w:type="dxa"/>
              <w:bottom w:w="29" w:type="dxa"/>
              <w:right w:w="115" w:type="dxa"/>
            </w:tcMar>
            <w:vAlign w:val="center"/>
          </w:tcPr>
          <w:p w14:paraId="449963D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90</w:t>
            </w:r>
          </w:p>
        </w:tc>
        <w:tc>
          <w:tcPr>
            <w:tcW w:w="1321" w:type="dxa"/>
            <w:shd w:val="clear" w:color="auto" w:fill="auto"/>
            <w:tcMar>
              <w:top w:w="29" w:type="dxa"/>
              <w:left w:w="115" w:type="dxa"/>
              <w:bottom w:w="29" w:type="dxa"/>
              <w:right w:w="115" w:type="dxa"/>
            </w:tcMar>
            <w:vAlign w:val="center"/>
          </w:tcPr>
          <w:p w14:paraId="4B9921D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Documents du SCDB sur le renforcement des capacités</w:t>
            </w:r>
          </w:p>
        </w:tc>
      </w:tr>
      <w:tr w:rsidR="0045416C" w:rsidRPr="00AB4311" w14:paraId="098C8AF1" w14:textId="77777777" w:rsidTr="00AC0070">
        <w:trPr>
          <w:cantSplit/>
          <w:jc w:val="center"/>
        </w:trPr>
        <w:tc>
          <w:tcPr>
            <w:tcW w:w="5552" w:type="dxa"/>
            <w:shd w:val="clear" w:color="auto" w:fill="auto"/>
            <w:tcMar>
              <w:top w:w="29" w:type="dxa"/>
              <w:left w:w="115" w:type="dxa"/>
              <w:bottom w:w="29" w:type="dxa"/>
              <w:right w:w="115" w:type="dxa"/>
            </w:tcMar>
          </w:tcPr>
          <w:p w14:paraId="4288F4F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51.</w:t>
            </w:r>
            <w:r w:rsidRPr="007B687E">
              <w:rPr>
                <w:rFonts w:eastAsia="SimSun"/>
                <w:kern w:val="22"/>
                <w:szCs w:val="20"/>
                <w:lang w:val="fr-CA"/>
              </w:rPr>
              <w:tab/>
              <w:t>Nombre d’initiatives de création et de renforcement des capacités mises à la disposition du Centre d’échange sur l’accès et le partage des avantages</w:t>
            </w:r>
          </w:p>
        </w:tc>
        <w:tc>
          <w:tcPr>
            <w:tcW w:w="1104" w:type="dxa"/>
            <w:shd w:val="clear" w:color="auto" w:fill="auto"/>
            <w:tcMar>
              <w:top w:w="29" w:type="dxa"/>
              <w:left w:w="115" w:type="dxa"/>
              <w:bottom w:w="29" w:type="dxa"/>
              <w:right w:w="115" w:type="dxa"/>
            </w:tcMar>
            <w:vAlign w:val="center"/>
          </w:tcPr>
          <w:p w14:paraId="1B2B008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c) g)</w:t>
            </w:r>
          </w:p>
        </w:tc>
        <w:tc>
          <w:tcPr>
            <w:tcW w:w="1506" w:type="dxa"/>
            <w:shd w:val="clear" w:color="auto" w:fill="auto"/>
            <w:tcMar>
              <w:top w:w="29" w:type="dxa"/>
              <w:left w:w="115" w:type="dxa"/>
              <w:bottom w:w="29" w:type="dxa"/>
              <w:right w:w="115" w:type="dxa"/>
            </w:tcMar>
            <w:vAlign w:val="center"/>
          </w:tcPr>
          <w:p w14:paraId="5BBEF4A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57</w:t>
            </w:r>
          </w:p>
        </w:tc>
        <w:tc>
          <w:tcPr>
            <w:tcW w:w="1321" w:type="dxa"/>
            <w:shd w:val="clear" w:color="auto" w:fill="auto"/>
            <w:tcMar>
              <w:top w:w="29" w:type="dxa"/>
              <w:left w:w="115" w:type="dxa"/>
              <w:bottom w:w="29" w:type="dxa"/>
              <w:right w:w="115" w:type="dxa"/>
            </w:tcMar>
            <w:vAlign w:val="center"/>
          </w:tcPr>
          <w:p w14:paraId="47BBC54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Centre d’échange sur l’accès et le partage des avantages</w:t>
            </w:r>
          </w:p>
        </w:tc>
      </w:tr>
      <w:tr w:rsidR="0045416C" w:rsidRPr="00AB4311" w14:paraId="5196EEB6" w14:textId="77777777" w:rsidTr="00AC0070">
        <w:trPr>
          <w:cantSplit/>
          <w:jc w:val="center"/>
        </w:trPr>
        <w:tc>
          <w:tcPr>
            <w:tcW w:w="5552" w:type="dxa"/>
            <w:shd w:val="clear" w:color="auto" w:fill="auto"/>
            <w:tcMar>
              <w:top w:w="29" w:type="dxa"/>
              <w:left w:w="115" w:type="dxa"/>
              <w:bottom w:w="29" w:type="dxa"/>
              <w:right w:w="115" w:type="dxa"/>
            </w:tcMar>
          </w:tcPr>
          <w:p w14:paraId="6FBAF7F8"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52.</w:t>
            </w:r>
            <w:r w:rsidRPr="007B687E">
              <w:rPr>
                <w:rFonts w:eastAsia="SimSun"/>
                <w:kern w:val="22"/>
                <w:szCs w:val="20"/>
                <w:lang w:val="fr-CA"/>
              </w:rPr>
              <w:tab/>
              <w:t>Nombre d’outils de renforcement des capacités et de sensibilisation sur l’accès et le partage des avantages</w:t>
            </w:r>
          </w:p>
        </w:tc>
        <w:tc>
          <w:tcPr>
            <w:tcW w:w="1104" w:type="dxa"/>
            <w:shd w:val="clear" w:color="auto" w:fill="auto"/>
            <w:tcMar>
              <w:top w:w="29" w:type="dxa"/>
              <w:left w:w="115" w:type="dxa"/>
              <w:bottom w:w="29" w:type="dxa"/>
              <w:right w:w="115" w:type="dxa"/>
            </w:tcMar>
            <w:vAlign w:val="center"/>
          </w:tcPr>
          <w:p w14:paraId="72C7DCAD"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c)</w:t>
            </w:r>
          </w:p>
        </w:tc>
        <w:tc>
          <w:tcPr>
            <w:tcW w:w="1506" w:type="dxa"/>
            <w:shd w:val="clear" w:color="auto" w:fill="auto"/>
            <w:tcMar>
              <w:top w:w="29" w:type="dxa"/>
              <w:left w:w="115" w:type="dxa"/>
              <w:bottom w:w="29" w:type="dxa"/>
              <w:right w:w="115" w:type="dxa"/>
            </w:tcMar>
            <w:vAlign w:val="center"/>
          </w:tcPr>
          <w:p w14:paraId="7869D527"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84</w:t>
            </w:r>
          </w:p>
        </w:tc>
        <w:tc>
          <w:tcPr>
            <w:tcW w:w="1321" w:type="dxa"/>
            <w:shd w:val="clear" w:color="auto" w:fill="auto"/>
            <w:tcMar>
              <w:top w:w="29" w:type="dxa"/>
              <w:left w:w="115" w:type="dxa"/>
              <w:bottom w:w="29" w:type="dxa"/>
              <w:right w:w="115" w:type="dxa"/>
            </w:tcMar>
            <w:vAlign w:val="center"/>
          </w:tcPr>
          <w:p w14:paraId="0F232033"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Documents du SCDB sur le renforce</w:t>
            </w:r>
            <w:r>
              <w:rPr>
                <w:rFonts w:eastAsia="SimSun"/>
                <w:kern w:val="22"/>
                <w:szCs w:val="20"/>
                <w:lang w:val="fr-CA"/>
              </w:rPr>
              <w:t>-</w:t>
            </w:r>
            <w:r w:rsidRPr="007B687E">
              <w:rPr>
                <w:rFonts w:eastAsia="SimSun"/>
                <w:kern w:val="22"/>
                <w:szCs w:val="20"/>
                <w:lang w:val="fr-CA"/>
              </w:rPr>
              <w:t>ment des capacités</w:t>
            </w:r>
          </w:p>
        </w:tc>
      </w:tr>
      <w:tr w:rsidR="0045416C" w:rsidRPr="00AB4311" w14:paraId="0465E189"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2650A013"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spacing w:val="-1"/>
                <w:kern w:val="22"/>
                <w:szCs w:val="20"/>
                <w:lang w:val="fr-CA"/>
              </w:rPr>
            </w:pPr>
            <w:r w:rsidRPr="007B687E">
              <w:rPr>
                <w:rFonts w:eastAsia="SimSun"/>
                <w:spacing w:val="-1"/>
                <w:kern w:val="22"/>
                <w:szCs w:val="20"/>
                <w:lang w:val="fr-CA"/>
              </w:rPr>
              <w:t>53.</w:t>
            </w:r>
            <w:r w:rsidRPr="007B687E">
              <w:rPr>
                <w:rFonts w:eastAsia="SimSun"/>
                <w:spacing w:val="-1"/>
                <w:kern w:val="22"/>
                <w:szCs w:val="20"/>
                <w:lang w:val="fr-CA"/>
              </w:rPr>
              <w:tab/>
              <w:t>Nombre d’outils et de ressources en matière de renforcement des capacités et de sensibilisation mis à disposition dans le Centre d’échange sur l’accès et le partage des avantages</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7E19B837"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c) g)</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3BBD027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34</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5D14DCC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Centre d’échange sur l’accès et le partage des avantages</w:t>
            </w:r>
          </w:p>
        </w:tc>
      </w:tr>
      <w:tr w:rsidR="0045416C" w:rsidRPr="00AB4311" w14:paraId="6FC31205" w14:textId="77777777" w:rsidTr="00AC0070">
        <w:trPr>
          <w:cantSplit/>
          <w:jc w:val="center"/>
        </w:trPr>
        <w:tc>
          <w:tcPr>
            <w:tcW w:w="9483" w:type="dxa"/>
            <w:gridSpan w:val="4"/>
            <w:tcBorders>
              <w:bottom w:val="single" w:sz="4" w:space="0" w:color="auto"/>
            </w:tcBorders>
            <w:shd w:val="pct10" w:color="auto" w:fill="auto"/>
            <w:tcMar>
              <w:top w:w="29" w:type="dxa"/>
              <w:left w:w="115" w:type="dxa"/>
              <w:bottom w:w="29" w:type="dxa"/>
              <w:right w:w="115" w:type="dxa"/>
            </w:tcMar>
            <w:vAlign w:val="center"/>
          </w:tcPr>
          <w:p w14:paraId="5389FD31"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fr-CA"/>
              </w:rPr>
            </w:pPr>
            <w:r w:rsidRPr="007B687E">
              <w:rPr>
                <w:rFonts w:eastAsia="SimSun"/>
                <w:b/>
                <w:kern w:val="22"/>
                <w:szCs w:val="20"/>
                <w:lang w:val="fr-CA"/>
              </w:rPr>
              <w:lastRenderedPageBreak/>
              <w:t>Transfert de technologies, collaboration et coopération</w:t>
            </w:r>
          </w:p>
        </w:tc>
      </w:tr>
      <w:tr w:rsidR="0045416C" w:rsidRPr="007B687E" w14:paraId="596050CB"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29974620"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54.</w:t>
            </w:r>
            <w:r w:rsidRPr="007B687E">
              <w:rPr>
                <w:rFonts w:eastAsia="SimSun"/>
                <w:kern w:val="22"/>
                <w:szCs w:val="20"/>
                <w:lang w:val="fr-CA"/>
              </w:rPr>
              <w:tab/>
              <w:t>Nombre et pourcentage de Parties qui ont collaboré et coopéré à des programmes de recherche-développement techniques et scientifiques pour atteindre l’objectif du Protocole visé dans l’article 23</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2B69FA4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a)</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1BB3B95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46 (44 %)</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58DAB50B"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Q.59</w:t>
            </w:r>
          </w:p>
        </w:tc>
      </w:tr>
      <w:tr w:rsidR="0045416C" w:rsidRPr="007B687E" w14:paraId="60858D9B" w14:textId="77777777" w:rsidTr="00AC0070">
        <w:trPr>
          <w:cantSplit/>
          <w:jc w:val="center"/>
        </w:trPr>
        <w:tc>
          <w:tcPr>
            <w:tcW w:w="9483" w:type="dxa"/>
            <w:gridSpan w:val="4"/>
            <w:shd w:val="pct5" w:color="auto" w:fill="auto"/>
            <w:tcMar>
              <w:top w:w="29" w:type="dxa"/>
              <w:left w:w="115" w:type="dxa"/>
              <w:bottom w:w="29" w:type="dxa"/>
              <w:right w:w="115" w:type="dxa"/>
            </w:tcMar>
            <w:vAlign w:val="center"/>
          </w:tcPr>
          <w:p w14:paraId="5F0867DE"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fr-CA"/>
              </w:rPr>
            </w:pPr>
            <w:r w:rsidRPr="007B687E">
              <w:rPr>
                <w:rFonts w:eastAsia="SimSun"/>
                <w:b/>
                <w:kern w:val="22"/>
                <w:szCs w:val="20"/>
                <w:lang w:val="fr-CA"/>
              </w:rPr>
              <w:t>Renseignements supplémentaires facultatifs</w:t>
            </w:r>
          </w:p>
        </w:tc>
      </w:tr>
      <w:tr w:rsidR="0045416C" w:rsidRPr="007B687E" w14:paraId="07E54988" w14:textId="77777777" w:rsidTr="00AC0070">
        <w:trPr>
          <w:cantSplit/>
          <w:jc w:val="center"/>
        </w:trPr>
        <w:tc>
          <w:tcPr>
            <w:tcW w:w="5552" w:type="dxa"/>
            <w:shd w:val="clear" w:color="auto" w:fill="auto"/>
            <w:tcMar>
              <w:top w:w="29" w:type="dxa"/>
              <w:left w:w="115" w:type="dxa"/>
              <w:bottom w:w="29" w:type="dxa"/>
              <w:right w:w="115" w:type="dxa"/>
            </w:tcMar>
          </w:tcPr>
          <w:p w14:paraId="7E966AF7"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55.</w:t>
            </w:r>
            <w:r w:rsidRPr="007B687E">
              <w:rPr>
                <w:rFonts w:eastAsia="SimSun"/>
                <w:kern w:val="22"/>
                <w:szCs w:val="20"/>
                <w:lang w:val="fr-CA"/>
              </w:rPr>
              <w:tab/>
              <w:t>Nombre et pourcentage de Parties ayant instauré un mécanisme d’allocations budgétaires aux fins d’application du Protocole de Nagoya</w:t>
            </w:r>
          </w:p>
        </w:tc>
        <w:tc>
          <w:tcPr>
            <w:tcW w:w="1104" w:type="dxa"/>
            <w:shd w:val="clear" w:color="auto" w:fill="auto"/>
            <w:tcMar>
              <w:top w:w="29" w:type="dxa"/>
              <w:left w:w="115" w:type="dxa"/>
              <w:bottom w:w="29" w:type="dxa"/>
              <w:right w:w="115" w:type="dxa"/>
            </w:tcMar>
            <w:vAlign w:val="center"/>
          </w:tcPr>
          <w:p w14:paraId="6B92890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c)</w:t>
            </w:r>
          </w:p>
        </w:tc>
        <w:tc>
          <w:tcPr>
            <w:tcW w:w="1506" w:type="dxa"/>
            <w:shd w:val="clear" w:color="auto" w:fill="auto"/>
            <w:tcMar>
              <w:top w:w="29" w:type="dxa"/>
              <w:left w:w="115" w:type="dxa"/>
              <w:bottom w:w="29" w:type="dxa"/>
              <w:right w:w="115" w:type="dxa"/>
            </w:tcMar>
            <w:vAlign w:val="center"/>
          </w:tcPr>
          <w:p w14:paraId="6F9ECE31"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24 (23 %)</w:t>
            </w:r>
          </w:p>
        </w:tc>
        <w:tc>
          <w:tcPr>
            <w:tcW w:w="1321" w:type="dxa"/>
            <w:shd w:val="clear" w:color="auto" w:fill="auto"/>
            <w:tcMar>
              <w:top w:w="29" w:type="dxa"/>
              <w:left w:w="115" w:type="dxa"/>
              <w:bottom w:w="29" w:type="dxa"/>
              <w:right w:w="115" w:type="dxa"/>
            </w:tcMar>
            <w:vAlign w:val="center"/>
          </w:tcPr>
          <w:p w14:paraId="3A591E1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Q.61</w:t>
            </w:r>
          </w:p>
        </w:tc>
      </w:tr>
      <w:tr w:rsidR="0045416C" w:rsidRPr="007B687E" w14:paraId="6517F0CD" w14:textId="77777777" w:rsidTr="00AC0070">
        <w:trPr>
          <w:cantSplit/>
          <w:jc w:val="center"/>
        </w:trPr>
        <w:tc>
          <w:tcPr>
            <w:tcW w:w="5552" w:type="dxa"/>
            <w:shd w:val="clear" w:color="auto" w:fill="auto"/>
            <w:tcMar>
              <w:top w:w="29" w:type="dxa"/>
              <w:left w:w="115" w:type="dxa"/>
              <w:bottom w:w="29" w:type="dxa"/>
              <w:right w:w="115" w:type="dxa"/>
            </w:tcMar>
          </w:tcPr>
          <w:p w14:paraId="024297B7"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56.</w:t>
            </w:r>
            <w:r w:rsidRPr="007B687E">
              <w:rPr>
                <w:rFonts w:eastAsia="SimSun"/>
                <w:kern w:val="22"/>
                <w:szCs w:val="20"/>
                <w:lang w:val="fr-CA"/>
              </w:rPr>
              <w:tab/>
              <w:t>Nombre de Parties ayant mis des ressources financières à la disposition d’autres Parties</w:t>
            </w:r>
          </w:p>
        </w:tc>
        <w:tc>
          <w:tcPr>
            <w:tcW w:w="1104" w:type="dxa"/>
            <w:shd w:val="clear" w:color="auto" w:fill="auto"/>
            <w:tcMar>
              <w:top w:w="29" w:type="dxa"/>
              <w:left w:w="115" w:type="dxa"/>
              <w:bottom w:w="29" w:type="dxa"/>
              <w:right w:w="115" w:type="dxa"/>
            </w:tcMar>
            <w:vAlign w:val="center"/>
          </w:tcPr>
          <w:p w14:paraId="4FC2E88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c)</w:t>
            </w:r>
          </w:p>
        </w:tc>
        <w:tc>
          <w:tcPr>
            <w:tcW w:w="1506" w:type="dxa"/>
            <w:shd w:val="clear" w:color="auto" w:fill="auto"/>
            <w:tcMar>
              <w:top w:w="29" w:type="dxa"/>
              <w:left w:w="115" w:type="dxa"/>
              <w:bottom w:w="29" w:type="dxa"/>
              <w:right w:w="115" w:type="dxa"/>
            </w:tcMar>
            <w:vAlign w:val="center"/>
          </w:tcPr>
          <w:p w14:paraId="035F3A7F"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13 (12 %)</w:t>
            </w:r>
          </w:p>
        </w:tc>
        <w:tc>
          <w:tcPr>
            <w:tcW w:w="1321" w:type="dxa"/>
            <w:shd w:val="clear" w:color="auto" w:fill="auto"/>
            <w:tcMar>
              <w:top w:w="29" w:type="dxa"/>
              <w:left w:w="115" w:type="dxa"/>
              <w:bottom w:w="29" w:type="dxa"/>
              <w:right w:w="115" w:type="dxa"/>
            </w:tcMar>
            <w:vAlign w:val="center"/>
          </w:tcPr>
          <w:p w14:paraId="7753CE2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Q.62</w:t>
            </w:r>
          </w:p>
        </w:tc>
      </w:tr>
      <w:tr w:rsidR="0045416C" w:rsidRPr="007B687E" w14:paraId="3CD4C507" w14:textId="77777777" w:rsidTr="00AC0070">
        <w:trPr>
          <w:cantSplit/>
          <w:jc w:val="center"/>
        </w:trPr>
        <w:tc>
          <w:tcPr>
            <w:tcW w:w="5552" w:type="dxa"/>
            <w:shd w:val="clear" w:color="auto" w:fill="auto"/>
            <w:tcMar>
              <w:top w:w="29" w:type="dxa"/>
              <w:left w:w="115" w:type="dxa"/>
              <w:bottom w:w="29" w:type="dxa"/>
              <w:right w:w="115" w:type="dxa"/>
            </w:tcMar>
          </w:tcPr>
          <w:p w14:paraId="627DCB73"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57.</w:t>
            </w:r>
            <w:r w:rsidRPr="007B687E">
              <w:rPr>
                <w:rFonts w:eastAsia="SimSun"/>
                <w:kern w:val="22"/>
                <w:szCs w:val="20"/>
                <w:lang w:val="fr-CA"/>
              </w:rPr>
              <w:tab/>
              <w:t>Nombre et pourcentage de Parties qui ont reçu des ressources financières d’autres Parties ou d’institutions financières aux fins d’application du Protocole, conformément à l’article 25</w:t>
            </w:r>
          </w:p>
        </w:tc>
        <w:tc>
          <w:tcPr>
            <w:tcW w:w="1104" w:type="dxa"/>
            <w:shd w:val="clear" w:color="auto" w:fill="auto"/>
            <w:tcMar>
              <w:top w:w="29" w:type="dxa"/>
              <w:left w:w="115" w:type="dxa"/>
              <w:bottom w:w="29" w:type="dxa"/>
              <w:right w:w="115" w:type="dxa"/>
            </w:tcMar>
            <w:vAlign w:val="center"/>
          </w:tcPr>
          <w:p w14:paraId="0EF2F8F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c)</w:t>
            </w:r>
          </w:p>
        </w:tc>
        <w:tc>
          <w:tcPr>
            <w:tcW w:w="1506" w:type="dxa"/>
            <w:shd w:val="clear" w:color="auto" w:fill="auto"/>
            <w:tcMar>
              <w:top w:w="29" w:type="dxa"/>
              <w:left w:w="115" w:type="dxa"/>
              <w:bottom w:w="29" w:type="dxa"/>
              <w:right w:w="115" w:type="dxa"/>
            </w:tcMar>
            <w:vAlign w:val="center"/>
          </w:tcPr>
          <w:p w14:paraId="1A45A45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SimSun"/>
                <w:kern w:val="22"/>
                <w:szCs w:val="20"/>
                <w:lang w:val="fr-CA"/>
              </w:rPr>
            </w:pPr>
            <w:r w:rsidRPr="007B687E">
              <w:rPr>
                <w:rFonts w:eastAsia="SimSun"/>
                <w:kern w:val="22"/>
                <w:szCs w:val="20"/>
                <w:lang w:val="fr-CA"/>
              </w:rPr>
              <w:t>35 (33 %)</w:t>
            </w:r>
          </w:p>
        </w:tc>
        <w:tc>
          <w:tcPr>
            <w:tcW w:w="1321" w:type="dxa"/>
            <w:shd w:val="clear" w:color="auto" w:fill="auto"/>
            <w:tcMar>
              <w:top w:w="29" w:type="dxa"/>
              <w:left w:w="115" w:type="dxa"/>
              <w:bottom w:w="29" w:type="dxa"/>
              <w:right w:w="115" w:type="dxa"/>
            </w:tcMar>
            <w:vAlign w:val="center"/>
          </w:tcPr>
          <w:p w14:paraId="7CBEBFE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Q.62</w:t>
            </w:r>
          </w:p>
        </w:tc>
      </w:tr>
      <w:tr w:rsidR="0045416C" w:rsidRPr="007B687E" w14:paraId="73B5FF1B" w14:textId="77777777" w:rsidTr="00AC0070">
        <w:trPr>
          <w:cantSplit/>
          <w:jc w:val="center"/>
        </w:trPr>
        <w:tc>
          <w:tcPr>
            <w:tcW w:w="5552" w:type="dxa"/>
            <w:tcBorders>
              <w:bottom w:val="single" w:sz="4" w:space="0" w:color="auto"/>
            </w:tcBorders>
            <w:shd w:val="clear" w:color="auto" w:fill="auto"/>
            <w:tcMar>
              <w:top w:w="29" w:type="dxa"/>
              <w:left w:w="115" w:type="dxa"/>
              <w:bottom w:w="29" w:type="dxa"/>
              <w:right w:w="115" w:type="dxa"/>
            </w:tcMar>
          </w:tcPr>
          <w:p w14:paraId="49977BB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58.</w:t>
            </w:r>
            <w:r w:rsidRPr="007B687E">
              <w:rPr>
                <w:rFonts w:eastAsia="SimSun"/>
                <w:kern w:val="22"/>
                <w:szCs w:val="20"/>
                <w:lang w:val="fr-CA"/>
              </w:rPr>
              <w:tab/>
              <w:t>Nombre moyen de membres du personnel à temps plein chargés d’administrer des fonctions directement liées à l’application du Protocole de Nagoya dans chaque Partie</w:t>
            </w:r>
          </w:p>
        </w:tc>
        <w:tc>
          <w:tcPr>
            <w:tcW w:w="1104" w:type="dxa"/>
            <w:tcBorders>
              <w:bottom w:val="single" w:sz="4" w:space="0" w:color="auto"/>
            </w:tcBorders>
            <w:shd w:val="clear" w:color="auto" w:fill="auto"/>
            <w:tcMar>
              <w:top w:w="29" w:type="dxa"/>
              <w:left w:w="115" w:type="dxa"/>
              <w:bottom w:w="29" w:type="dxa"/>
              <w:right w:w="115" w:type="dxa"/>
            </w:tcMar>
            <w:vAlign w:val="center"/>
          </w:tcPr>
          <w:p w14:paraId="537274C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Calibri"/>
                <w:kern w:val="22"/>
                <w:szCs w:val="20"/>
                <w:lang w:val="fr-CA"/>
              </w:rPr>
              <w:t>c)</w:t>
            </w:r>
          </w:p>
        </w:tc>
        <w:tc>
          <w:tcPr>
            <w:tcW w:w="1506" w:type="dxa"/>
            <w:tcBorders>
              <w:bottom w:val="single" w:sz="4" w:space="0" w:color="auto"/>
            </w:tcBorders>
            <w:shd w:val="clear" w:color="auto" w:fill="auto"/>
            <w:tcMar>
              <w:top w:w="29" w:type="dxa"/>
              <w:left w:w="115" w:type="dxa"/>
              <w:bottom w:w="29" w:type="dxa"/>
              <w:right w:w="115" w:type="dxa"/>
            </w:tcMar>
            <w:vAlign w:val="center"/>
          </w:tcPr>
          <w:p w14:paraId="68F6A07A"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rFonts w:eastAsia="Calibri"/>
                <w:kern w:val="22"/>
                <w:szCs w:val="20"/>
                <w:lang w:val="fr-CA"/>
              </w:rPr>
            </w:pPr>
            <w:r w:rsidRPr="007B687E">
              <w:rPr>
                <w:rFonts w:eastAsia="SimSun"/>
                <w:kern w:val="22"/>
                <w:szCs w:val="20"/>
                <w:lang w:val="fr-CA"/>
              </w:rPr>
              <w:t>Données non concluantes</w:t>
            </w:r>
          </w:p>
        </w:tc>
        <w:tc>
          <w:tcPr>
            <w:tcW w:w="1321" w:type="dxa"/>
            <w:tcBorders>
              <w:bottom w:val="single" w:sz="4" w:space="0" w:color="auto"/>
            </w:tcBorders>
            <w:shd w:val="clear" w:color="auto" w:fill="auto"/>
            <w:tcMar>
              <w:top w:w="29" w:type="dxa"/>
              <w:left w:w="115" w:type="dxa"/>
              <w:bottom w:w="29" w:type="dxa"/>
              <w:right w:w="115" w:type="dxa"/>
            </w:tcMar>
            <w:vAlign w:val="center"/>
          </w:tcPr>
          <w:p w14:paraId="58774C4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Q.63 nécessite une révision</w:t>
            </w:r>
          </w:p>
        </w:tc>
      </w:tr>
      <w:tr w:rsidR="0045416C" w:rsidRPr="00AB4311" w14:paraId="6D3AD9C6" w14:textId="77777777" w:rsidTr="00AC0070">
        <w:trPr>
          <w:cantSplit/>
          <w:jc w:val="center"/>
        </w:trPr>
        <w:tc>
          <w:tcPr>
            <w:tcW w:w="9483" w:type="dxa"/>
            <w:gridSpan w:val="4"/>
            <w:shd w:val="pct5" w:color="auto" w:fill="auto"/>
            <w:tcMar>
              <w:top w:w="29" w:type="dxa"/>
              <w:left w:w="115" w:type="dxa"/>
              <w:bottom w:w="29" w:type="dxa"/>
              <w:right w:w="115" w:type="dxa"/>
            </w:tcMar>
            <w:vAlign w:val="center"/>
          </w:tcPr>
          <w:p w14:paraId="28089B4E" w14:textId="77777777" w:rsidR="0045416C" w:rsidRPr="007B687E" w:rsidRDefault="0045416C" w:rsidP="0045416C">
            <w:pPr>
              <w:keepNext/>
              <w:suppressLineNumbers/>
              <w:suppressAutoHyphens/>
              <w:kinsoku w:val="0"/>
              <w:overflowPunct w:val="0"/>
              <w:autoSpaceDE w:val="0"/>
              <w:autoSpaceDN w:val="0"/>
              <w:adjustRightInd w:val="0"/>
              <w:snapToGrid w:val="0"/>
              <w:spacing w:line="240" w:lineRule="auto"/>
              <w:ind w:left="317"/>
              <w:jc w:val="left"/>
              <w:rPr>
                <w:rFonts w:eastAsia="SimSun"/>
                <w:b/>
                <w:kern w:val="22"/>
                <w:szCs w:val="22"/>
                <w:lang w:val="fr-CA"/>
              </w:rPr>
            </w:pPr>
            <w:r w:rsidRPr="007B687E">
              <w:rPr>
                <w:rFonts w:eastAsia="SimSun"/>
                <w:b/>
                <w:kern w:val="22"/>
                <w:szCs w:val="20"/>
                <w:lang w:val="fr-CA"/>
              </w:rPr>
              <w:t>Mise en œuvre et fonctionnement du Centre d’échange sur l’accès et le partage des avantages</w:t>
            </w:r>
          </w:p>
        </w:tc>
      </w:tr>
      <w:tr w:rsidR="0045416C" w:rsidRPr="00AB4311" w14:paraId="07B4C753" w14:textId="77777777" w:rsidTr="00AC0070">
        <w:trPr>
          <w:cantSplit/>
          <w:jc w:val="center"/>
        </w:trPr>
        <w:tc>
          <w:tcPr>
            <w:tcW w:w="5552" w:type="dxa"/>
            <w:shd w:val="clear" w:color="auto" w:fill="auto"/>
            <w:tcMar>
              <w:top w:w="29" w:type="dxa"/>
              <w:left w:w="115" w:type="dxa"/>
              <w:bottom w:w="29" w:type="dxa"/>
              <w:right w:w="115" w:type="dxa"/>
            </w:tcMar>
          </w:tcPr>
          <w:p w14:paraId="05C163FD"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59.</w:t>
            </w:r>
            <w:r w:rsidRPr="007B687E">
              <w:rPr>
                <w:rFonts w:eastAsia="SimSun"/>
                <w:kern w:val="22"/>
                <w:szCs w:val="20"/>
                <w:lang w:val="fr-CA"/>
              </w:rPr>
              <w:tab/>
              <w:t>Nombre d’États non-Parties qui ont publié des informations nationales (mesures relatives à l’accès et au partage des avantages, autorités nationales compétentes ou points de contrôle) dans le Centre d’échange sur l’accès et le partage des avantages</w:t>
            </w:r>
          </w:p>
        </w:tc>
        <w:tc>
          <w:tcPr>
            <w:tcW w:w="1104" w:type="dxa"/>
            <w:shd w:val="clear" w:color="auto" w:fill="auto"/>
            <w:tcMar>
              <w:top w:w="29" w:type="dxa"/>
              <w:left w:w="115" w:type="dxa"/>
              <w:bottom w:w="29" w:type="dxa"/>
              <w:right w:w="115" w:type="dxa"/>
            </w:tcMar>
            <w:vAlign w:val="center"/>
          </w:tcPr>
          <w:p w14:paraId="6725997B"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kern w:val="22"/>
                <w:szCs w:val="20"/>
                <w:lang w:val="fr-CA"/>
              </w:rPr>
            </w:pPr>
            <w:r w:rsidRPr="007B687E">
              <w:rPr>
                <w:kern w:val="22"/>
                <w:szCs w:val="20"/>
                <w:lang w:val="fr-CA"/>
              </w:rPr>
              <w:t>g)</w:t>
            </w:r>
          </w:p>
        </w:tc>
        <w:tc>
          <w:tcPr>
            <w:tcW w:w="1506" w:type="dxa"/>
            <w:shd w:val="clear" w:color="auto" w:fill="auto"/>
            <w:tcMar>
              <w:top w:w="29" w:type="dxa"/>
              <w:left w:w="115" w:type="dxa"/>
              <w:bottom w:w="29" w:type="dxa"/>
              <w:right w:w="115" w:type="dxa"/>
            </w:tcMar>
            <w:vAlign w:val="center"/>
          </w:tcPr>
          <w:p w14:paraId="287DE2D8"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kern w:val="22"/>
                <w:szCs w:val="20"/>
                <w:lang w:val="fr-CA"/>
              </w:rPr>
            </w:pPr>
            <w:r w:rsidRPr="007B687E">
              <w:rPr>
                <w:kern w:val="22"/>
                <w:szCs w:val="20"/>
                <w:lang w:val="fr-CA"/>
              </w:rPr>
              <w:t>8</w:t>
            </w:r>
          </w:p>
        </w:tc>
        <w:tc>
          <w:tcPr>
            <w:tcW w:w="1321" w:type="dxa"/>
            <w:shd w:val="clear" w:color="auto" w:fill="auto"/>
            <w:tcMar>
              <w:top w:w="29" w:type="dxa"/>
              <w:left w:w="115" w:type="dxa"/>
              <w:bottom w:w="29" w:type="dxa"/>
              <w:right w:w="115" w:type="dxa"/>
            </w:tcMar>
            <w:vAlign w:val="center"/>
          </w:tcPr>
          <w:p w14:paraId="0074462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kern w:val="22"/>
                <w:szCs w:val="20"/>
                <w:lang w:val="fr-CA"/>
              </w:rPr>
            </w:pPr>
            <w:r w:rsidRPr="007B687E">
              <w:rPr>
                <w:rFonts w:eastAsia="SimSun"/>
                <w:kern w:val="22"/>
                <w:szCs w:val="20"/>
                <w:lang w:val="fr-CA"/>
              </w:rPr>
              <w:t>Centre d’échange sur l’accès et le partage des avantages</w:t>
            </w:r>
          </w:p>
        </w:tc>
      </w:tr>
      <w:tr w:rsidR="0045416C" w:rsidRPr="007B687E" w14:paraId="4F43BC41" w14:textId="77777777" w:rsidTr="00AC0070">
        <w:trPr>
          <w:cantSplit/>
          <w:jc w:val="center"/>
        </w:trPr>
        <w:tc>
          <w:tcPr>
            <w:tcW w:w="5552"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tcPr>
          <w:p w14:paraId="3D4F7D9E"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w:rFonts w:eastAsia="SimSun"/>
                <w:kern w:val="22"/>
                <w:szCs w:val="20"/>
                <w:lang w:val="fr-CA"/>
              </w:rPr>
              <w:t>60.</w:t>
            </w:r>
            <w:r w:rsidRPr="007B687E">
              <w:rPr>
                <w:rFonts w:eastAsia="SimSun"/>
                <w:kern w:val="22"/>
                <w:szCs w:val="20"/>
                <w:lang w:val="fr-CA"/>
              </w:rPr>
              <w:tab/>
              <w:t>Nombre de visiteurs du Centre d’échange sur l’accès et le partage des avantages par an</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2D92D9CC"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kern w:val="22"/>
                <w:szCs w:val="20"/>
                <w:lang w:val="fr-CA"/>
              </w:rPr>
            </w:pPr>
            <w:r w:rsidRPr="007B687E">
              <w:rPr>
                <w:kern w:val="22"/>
                <w:szCs w:val="20"/>
                <w:lang w:val="fr-CA"/>
              </w:rPr>
              <w:t>g)</w:t>
            </w:r>
          </w:p>
        </w:tc>
        <w:tc>
          <w:tcPr>
            <w:tcW w:w="1506"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75BA3C86"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kern w:val="22"/>
                <w:szCs w:val="20"/>
                <w:lang w:val="fr-CA"/>
              </w:rPr>
            </w:pPr>
            <w:r w:rsidRPr="007B687E">
              <w:rPr>
                <w:kern w:val="22"/>
                <w:szCs w:val="20"/>
                <w:lang w:val="fr-CA"/>
              </w:rPr>
              <w:t>18 709 visiteurs</w:t>
            </w:r>
          </w:p>
          <w:p w14:paraId="04B0E395"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center"/>
              <w:rPr>
                <w:kern w:val="22"/>
                <w:szCs w:val="20"/>
                <w:lang w:val="fr-CA"/>
              </w:rPr>
            </w:pPr>
            <w:r w:rsidRPr="007B687E">
              <w:rPr>
                <w:kern w:val="22"/>
                <w:szCs w:val="20"/>
                <w:lang w:val="fr-CA"/>
              </w:rPr>
              <w:t>(à partir du 22 mars 2018)</w:t>
            </w:r>
          </w:p>
        </w:tc>
        <w:tc>
          <w:tcPr>
            <w:tcW w:w="1321" w:type="dxa"/>
            <w:tcBorders>
              <w:top w:val="single" w:sz="4" w:space="0" w:color="auto"/>
              <w:left w:val="single" w:sz="4" w:space="0" w:color="auto"/>
              <w:bottom w:val="single" w:sz="4" w:space="0" w:color="auto"/>
              <w:right w:val="single" w:sz="4" w:space="0" w:color="auto"/>
            </w:tcBorders>
            <w:shd w:val="clear" w:color="auto" w:fill="auto"/>
            <w:tcMar>
              <w:top w:w="29" w:type="dxa"/>
              <w:left w:w="115" w:type="dxa"/>
              <w:bottom w:w="29" w:type="dxa"/>
              <w:right w:w="115" w:type="dxa"/>
            </w:tcMar>
            <w:vAlign w:val="center"/>
          </w:tcPr>
          <w:p w14:paraId="11178B32" w14:textId="77777777" w:rsidR="0045416C" w:rsidRPr="007B687E" w:rsidRDefault="0045416C" w:rsidP="0045416C">
            <w:pPr>
              <w:suppressLineNumbers/>
              <w:suppressAutoHyphens/>
              <w:kinsoku w:val="0"/>
              <w:overflowPunct w:val="0"/>
              <w:autoSpaceDE w:val="0"/>
              <w:autoSpaceDN w:val="0"/>
              <w:adjustRightInd w:val="0"/>
              <w:snapToGrid w:val="0"/>
              <w:spacing w:line="240" w:lineRule="auto"/>
              <w:jc w:val="left"/>
              <w:rPr>
                <w:rFonts w:eastAsia="SimSun"/>
                <w:noProof/>
                <w:kern w:val="22"/>
                <w:szCs w:val="20"/>
                <w:lang w:val="fr-CA"/>
              </w:rPr>
            </w:pPr>
            <w:r w:rsidRPr="007B687E">
              <w:rPr>
                <w:rFonts w:eastAsia="SimSun"/>
                <w:noProof/>
                <w:kern w:val="22"/>
                <w:szCs w:val="20"/>
                <w:lang w:val="fr-CA"/>
              </w:rPr>
              <w:t>Google analytics</w:t>
            </w:r>
          </w:p>
        </w:tc>
      </w:tr>
    </w:tbl>
    <w:p w14:paraId="54D0CA76" w14:textId="77777777" w:rsidR="009F5D7B" w:rsidRPr="00EE0850" w:rsidRDefault="009F5D7B">
      <w:pPr>
        <w:jc w:val="center"/>
        <w:rPr>
          <w:kern w:val="22"/>
          <w:szCs w:val="22"/>
        </w:rPr>
      </w:pPr>
    </w:p>
    <w:p w14:paraId="6225D955" w14:textId="77777777" w:rsidR="00A14B71" w:rsidRPr="00EE0850" w:rsidRDefault="00A14B71">
      <w:pPr>
        <w:jc w:val="left"/>
        <w:rPr>
          <w:rFonts w:ascii="Times New Roman Bold" w:hAnsi="Times New Roman Bold" w:cs="Times New Roman Bold" w:hint="eastAsia"/>
          <w:b/>
          <w:bCs/>
          <w:caps/>
          <w:snapToGrid w:val="0"/>
          <w:kern w:val="22"/>
          <w:szCs w:val="22"/>
        </w:rPr>
      </w:pPr>
      <w:r w:rsidRPr="00EE0850">
        <w:br w:type="page"/>
      </w:r>
    </w:p>
    <w:p w14:paraId="3E74935A" w14:textId="5DC1087A" w:rsidR="009F5D7B" w:rsidRPr="00AC0070" w:rsidRDefault="009F5D7B" w:rsidP="000C6220">
      <w:pPr>
        <w:pStyle w:val="recommendationheader"/>
        <w:spacing w:line="240" w:lineRule="auto"/>
        <w:rPr>
          <w:lang w:val="fr-CA"/>
        </w:rPr>
      </w:pPr>
      <w:bookmarkStart w:id="2" w:name="_Toc256202"/>
      <w:r w:rsidRPr="00EE0850">
        <w:lastRenderedPageBreak/>
        <w:t>3/2.</w:t>
      </w:r>
      <w:r w:rsidRPr="00EE0850">
        <w:tab/>
      </w:r>
      <w:bookmarkEnd w:id="2"/>
      <w:r w:rsidR="00AC0070">
        <w:rPr>
          <w:lang w:val="fr-CA"/>
        </w:rPr>
        <w:t>Conformité aux dispositions du Protocole</w:t>
      </w:r>
    </w:p>
    <w:p w14:paraId="725B9045" w14:textId="77777777" w:rsidR="00AC0070" w:rsidRPr="00E96028" w:rsidRDefault="00AC0070" w:rsidP="00AC0070">
      <w:pPr>
        <w:shd w:val="clear" w:color="auto" w:fill="FFFFFF"/>
        <w:spacing w:before="120"/>
        <w:ind w:firstLine="720"/>
        <w:rPr>
          <w:i/>
          <w:kern w:val="22"/>
          <w:lang w:val="fr-FR"/>
        </w:rPr>
      </w:pPr>
      <w:r w:rsidRPr="00E96028">
        <w:rPr>
          <w:i/>
          <w:iCs/>
          <w:kern w:val="22"/>
          <w:lang w:val="fr-FR" w:eastAsia="ko-KR"/>
        </w:rPr>
        <w:t>La Conférence des Parties siégeant en tant que réunion des Parties au Protocole</w:t>
      </w:r>
      <w:r>
        <w:rPr>
          <w:i/>
          <w:iCs/>
          <w:kern w:val="22"/>
          <w:lang w:val="fr-FR" w:eastAsia="ko-KR"/>
        </w:rPr>
        <w:t xml:space="preserve"> de Nagoya sur l’accès et le partage des avantages</w:t>
      </w:r>
      <w:r w:rsidRPr="00E96028">
        <w:rPr>
          <w:i/>
          <w:kern w:val="22"/>
          <w:lang w:val="fr-FR"/>
        </w:rPr>
        <w:t>,</w:t>
      </w:r>
    </w:p>
    <w:p w14:paraId="3DBA94B0" w14:textId="773F153F" w:rsidR="00AC0070" w:rsidRPr="00E96028" w:rsidRDefault="00AC0070" w:rsidP="00AC0070">
      <w:pPr>
        <w:pStyle w:val="Para1"/>
        <w:numPr>
          <w:ilvl w:val="0"/>
          <w:numId w:val="0"/>
        </w:numPr>
        <w:adjustRightInd w:val="0"/>
        <w:snapToGrid w:val="0"/>
        <w:ind w:firstLine="720"/>
        <w:rPr>
          <w:kern w:val="20"/>
          <w:szCs w:val="22"/>
          <w:lang w:val="fr-FR"/>
        </w:rPr>
      </w:pPr>
      <w:r w:rsidRPr="00E96028">
        <w:rPr>
          <w:kern w:val="20"/>
          <w:szCs w:val="22"/>
          <w:lang w:val="fr-FR"/>
        </w:rPr>
        <w:t>Prenant acte du rapport de la deuxième réunion du Comité de conformi</w:t>
      </w:r>
      <w:r>
        <w:rPr>
          <w:kern w:val="20"/>
          <w:szCs w:val="22"/>
          <w:lang w:val="fr-FR"/>
        </w:rPr>
        <w:t>té</w:t>
      </w:r>
      <w:r w:rsidRPr="00AC0070">
        <w:rPr>
          <w:rStyle w:val="Appelnotedebasdep"/>
          <w:rFonts w:eastAsiaTheme="majorEastAsia"/>
          <w:kern w:val="20"/>
          <w:szCs w:val="22"/>
          <w:u w:val="none"/>
          <w:vertAlign w:val="superscript"/>
          <w:lang w:val="fr-FR"/>
        </w:rPr>
        <w:footnoteReference w:id="7"/>
      </w:r>
      <w:r>
        <w:rPr>
          <w:kern w:val="20"/>
          <w:szCs w:val="22"/>
          <w:lang w:val="fr-FR"/>
        </w:rPr>
        <w:t xml:space="preserve"> </w:t>
      </w:r>
      <w:r w:rsidRPr="00E96028">
        <w:rPr>
          <w:kern w:val="20"/>
          <w:szCs w:val="22"/>
          <w:lang w:val="fr-FR"/>
        </w:rPr>
        <w:t>et de ses recommandations,</w:t>
      </w:r>
    </w:p>
    <w:p w14:paraId="39E6F3E3" w14:textId="77777777" w:rsidR="00AC0070" w:rsidRPr="00E96028" w:rsidRDefault="00AC0070" w:rsidP="00AC0070">
      <w:pPr>
        <w:suppressLineNumbers/>
        <w:shd w:val="clear" w:color="auto" w:fill="FFFFFF" w:themeFill="background1"/>
        <w:suppressAutoHyphens/>
        <w:kinsoku w:val="0"/>
        <w:overflowPunct w:val="0"/>
        <w:autoSpaceDE w:val="0"/>
        <w:autoSpaceDN w:val="0"/>
        <w:adjustRightInd w:val="0"/>
        <w:snapToGrid w:val="0"/>
        <w:spacing w:before="120" w:line="228" w:lineRule="auto"/>
        <w:ind w:firstLine="709"/>
        <w:rPr>
          <w:snapToGrid w:val="0"/>
          <w:kern w:val="22"/>
          <w:szCs w:val="22"/>
          <w:lang w:val="fr-FR"/>
        </w:rPr>
      </w:pPr>
      <w:r w:rsidRPr="00E96028">
        <w:rPr>
          <w:snapToGrid w:val="0"/>
          <w:kern w:val="22"/>
          <w:szCs w:val="22"/>
          <w:lang w:val="fr-FR"/>
        </w:rPr>
        <w:t>1.</w:t>
      </w:r>
      <w:r w:rsidRPr="00E96028">
        <w:rPr>
          <w:i/>
          <w:snapToGrid w:val="0"/>
          <w:kern w:val="22"/>
          <w:szCs w:val="22"/>
          <w:lang w:val="fr-FR"/>
        </w:rPr>
        <w:t xml:space="preserve"> </w:t>
      </w:r>
      <w:r w:rsidRPr="00E96028">
        <w:rPr>
          <w:i/>
          <w:snapToGrid w:val="0"/>
          <w:kern w:val="22"/>
          <w:szCs w:val="22"/>
          <w:lang w:val="fr-FR"/>
        </w:rPr>
        <w:tab/>
        <w:t>Accueille avec satisfaction</w:t>
      </w:r>
      <w:r w:rsidRPr="00E96028">
        <w:rPr>
          <w:snapToGrid w:val="0"/>
          <w:kern w:val="22"/>
          <w:szCs w:val="22"/>
          <w:lang w:val="fr-FR"/>
        </w:rPr>
        <w:t xml:space="preserve"> les progrès accomplis par les Parties dans l'application du Protocole et </w:t>
      </w:r>
      <w:r w:rsidRPr="00E96028">
        <w:rPr>
          <w:i/>
          <w:snapToGrid w:val="0"/>
          <w:kern w:val="22"/>
          <w:szCs w:val="22"/>
          <w:lang w:val="fr-FR"/>
        </w:rPr>
        <w:t xml:space="preserve">exhorte les </w:t>
      </w:r>
      <w:r w:rsidRPr="00E96028">
        <w:rPr>
          <w:snapToGrid w:val="0"/>
          <w:kern w:val="22"/>
          <w:szCs w:val="22"/>
          <w:lang w:val="fr-FR"/>
        </w:rPr>
        <w:t>Parties qui ne l'ont pas encore fait à mettre en place des mesures législatives, administratives et de politique générale, ainsi que des dispositifs institutionnels sur l'accès et le partage des avantages ;</w:t>
      </w:r>
    </w:p>
    <w:p w14:paraId="5601B03C" w14:textId="6C271E09" w:rsidR="009F5D7B" w:rsidRPr="00AC0070" w:rsidRDefault="00AC0070" w:rsidP="00AC0070">
      <w:pPr>
        <w:suppressLineNumbers/>
        <w:shd w:val="clear" w:color="auto" w:fill="FFFFFF"/>
        <w:suppressAutoHyphens/>
        <w:kinsoku w:val="0"/>
        <w:overflowPunct w:val="0"/>
        <w:autoSpaceDE w:val="0"/>
        <w:autoSpaceDN w:val="0"/>
        <w:adjustRightInd w:val="0"/>
        <w:snapToGrid w:val="0"/>
        <w:spacing w:before="120" w:line="240" w:lineRule="auto"/>
        <w:ind w:firstLine="709"/>
        <w:rPr>
          <w:snapToGrid w:val="0"/>
          <w:kern w:val="22"/>
          <w:szCs w:val="22"/>
          <w:lang w:val="fr-CA"/>
        </w:rPr>
      </w:pPr>
      <w:r w:rsidRPr="00E96028">
        <w:rPr>
          <w:snapToGrid w:val="0"/>
          <w:kern w:val="22"/>
          <w:szCs w:val="22"/>
          <w:lang w:val="fr-FR"/>
        </w:rPr>
        <w:t>2.</w:t>
      </w:r>
      <w:r w:rsidRPr="00E96028">
        <w:rPr>
          <w:i/>
          <w:snapToGrid w:val="0"/>
          <w:kern w:val="22"/>
          <w:szCs w:val="22"/>
          <w:lang w:val="fr-FR"/>
        </w:rPr>
        <w:tab/>
        <w:t xml:space="preserve">Accueille </w:t>
      </w:r>
      <w:r>
        <w:rPr>
          <w:i/>
          <w:snapToGrid w:val="0"/>
          <w:kern w:val="22"/>
          <w:szCs w:val="22"/>
          <w:lang w:val="fr-FR"/>
        </w:rPr>
        <w:t xml:space="preserve">également </w:t>
      </w:r>
      <w:r w:rsidRPr="00E96028">
        <w:rPr>
          <w:i/>
          <w:snapToGrid w:val="0"/>
          <w:kern w:val="22"/>
          <w:szCs w:val="22"/>
          <w:lang w:val="fr-FR"/>
        </w:rPr>
        <w:t xml:space="preserve">avec satisfaction </w:t>
      </w:r>
      <w:r w:rsidRPr="00E96028">
        <w:rPr>
          <w:snapToGrid w:val="0"/>
          <w:kern w:val="22"/>
          <w:szCs w:val="22"/>
          <w:lang w:val="fr-FR"/>
        </w:rPr>
        <w:t>la contribution du Comité de conformité au premier exercice d’évaluation et d’examen du Protocole, sous forme d’informations et de conclusions portant sur des questions de nature générale relatives au respect des dispositions et des recommandations pour aider à surmonter les obstacles à l’application du Protocole</w:t>
      </w:r>
      <w:r w:rsidR="009F5D7B" w:rsidRPr="00AC0070">
        <w:rPr>
          <w:snapToGrid w:val="0"/>
          <w:kern w:val="22"/>
          <w:szCs w:val="22"/>
          <w:lang w:val="fr-CA"/>
        </w:rPr>
        <w:t>.</w:t>
      </w:r>
    </w:p>
    <w:p w14:paraId="1286665B" w14:textId="77777777" w:rsidR="009F5D7B" w:rsidRPr="00AC0070" w:rsidRDefault="009F5D7B" w:rsidP="000C6220">
      <w:pPr>
        <w:spacing w:before="120" w:line="240" w:lineRule="auto"/>
        <w:rPr>
          <w:kern w:val="22"/>
          <w:szCs w:val="22"/>
          <w:lang w:val="fr-CA"/>
        </w:rPr>
      </w:pPr>
    </w:p>
    <w:p w14:paraId="5A0A88F1" w14:textId="77777777" w:rsidR="009F5D7B" w:rsidRPr="00AC0070" w:rsidRDefault="009F5D7B">
      <w:pPr>
        <w:jc w:val="left"/>
        <w:rPr>
          <w:rFonts w:ascii="Times New Roman Bold" w:hAnsi="Times New Roman Bold" w:cs="Times New Roman Bold" w:hint="eastAsia"/>
          <w:b/>
          <w:bCs/>
          <w:caps/>
          <w:snapToGrid w:val="0"/>
          <w:kern w:val="22"/>
          <w:szCs w:val="22"/>
          <w:lang w:val="fr-CA"/>
        </w:rPr>
      </w:pPr>
      <w:r w:rsidRPr="00AC0070">
        <w:rPr>
          <w:lang w:val="fr-CA"/>
        </w:rPr>
        <w:br w:type="page"/>
      </w:r>
    </w:p>
    <w:p w14:paraId="3158305C" w14:textId="76D49D8F" w:rsidR="009F5D7B" w:rsidRPr="00CB424B" w:rsidRDefault="00CB424B" w:rsidP="000C6220">
      <w:pPr>
        <w:pStyle w:val="recommendationheader"/>
        <w:spacing w:line="240" w:lineRule="auto"/>
        <w:rPr>
          <w:rFonts w:eastAsia="Arial Unicode MS"/>
          <w:snapToGrid w:val="0"/>
          <w:u w:color="000000"/>
          <w:bdr w:val="nil"/>
          <w:lang w:val="fr-CA"/>
        </w:rPr>
      </w:pPr>
      <w:bookmarkStart w:id="3" w:name="_Toc256203"/>
      <w:r w:rsidRPr="009E77BE">
        <w:rPr>
          <w:caps/>
          <w:snapToGrid w:val="0"/>
          <w:kern w:val="22"/>
          <w:lang w:val="fr-CA"/>
        </w:rPr>
        <w:lastRenderedPageBreak/>
        <w:t>3/3.</w:t>
      </w:r>
      <w:r w:rsidRPr="009E77BE">
        <w:rPr>
          <w:caps/>
          <w:snapToGrid w:val="0"/>
          <w:kern w:val="22"/>
          <w:lang w:val="fr-CA"/>
        </w:rPr>
        <w:tab/>
      </w:r>
      <w:r>
        <w:rPr>
          <w:snapToGrid w:val="0"/>
          <w:kern w:val="22"/>
          <w:lang w:val="fr-CA"/>
        </w:rPr>
        <w:t>Le Centre d’échange sur l’accès et le partage des avantages et l’échange d’information (article</w:t>
      </w:r>
      <w:r w:rsidRPr="009E77BE">
        <w:rPr>
          <w:snapToGrid w:val="0"/>
          <w:kern w:val="22"/>
          <w:lang w:val="fr-CA"/>
        </w:rPr>
        <w:t> 14</w:t>
      </w:r>
      <w:r w:rsidR="009F5D7B" w:rsidRPr="00CB424B">
        <w:rPr>
          <w:rFonts w:eastAsia="Arial Unicode MS"/>
          <w:snapToGrid w:val="0"/>
          <w:u w:color="000000"/>
          <w:bdr w:val="nil"/>
          <w:lang w:val="fr-CA"/>
        </w:rPr>
        <w:t>)</w:t>
      </w:r>
      <w:bookmarkEnd w:id="3"/>
    </w:p>
    <w:p w14:paraId="7AB881A9" w14:textId="77777777" w:rsidR="00CB424B" w:rsidRPr="004359B6" w:rsidRDefault="00CB424B" w:rsidP="00CB424B">
      <w:pPr>
        <w:keepNext/>
        <w:pBdr>
          <w:top w:val="nil"/>
          <w:left w:val="nil"/>
          <w:bottom w:val="nil"/>
          <w:right w:val="nil"/>
          <w:between w:val="nil"/>
          <w:bar w:val="nil"/>
        </w:pBdr>
        <w:spacing w:before="120" w:line="240" w:lineRule="auto"/>
        <w:ind w:firstLine="720"/>
        <w:rPr>
          <w:rFonts w:eastAsia="Arial Unicode MS"/>
          <w:i/>
          <w:snapToGrid w:val="0"/>
          <w:kern w:val="22"/>
          <w:u w:color="000000"/>
          <w:bdr w:val="nil"/>
          <w:lang w:val="fr-FR"/>
        </w:rPr>
      </w:pPr>
      <w:r w:rsidRPr="004359B6">
        <w:rPr>
          <w:rFonts w:eastAsia="Arial Unicode MS"/>
          <w:i/>
          <w:snapToGrid w:val="0"/>
          <w:kern w:val="22"/>
          <w:u w:color="000000"/>
          <w:bdr w:val="nil"/>
          <w:lang w:val="fr-FR"/>
        </w:rPr>
        <w:t>La Conférence des Parties siégeant en tant que réunion des Parties au Protocole de Nagoya</w:t>
      </w:r>
      <w:r>
        <w:rPr>
          <w:rFonts w:eastAsia="Arial Unicode MS"/>
          <w:i/>
          <w:snapToGrid w:val="0"/>
          <w:kern w:val="22"/>
          <w:u w:color="000000"/>
          <w:bdr w:val="nil"/>
          <w:lang w:val="fr-FR"/>
        </w:rPr>
        <w:t xml:space="preserve"> sur l’accès et le partage des avantages</w:t>
      </w:r>
    </w:p>
    <w:p w14:paraId="13533B17" w14:textId="77777777" w:rsidR="00CB424B" w:rsidRPr="004359B6" w:rsidRDefault="00CB424B" w:rsidP="00CB424B">
      <w:pPr>
        <w:pBdr>
          <w:top w:val="nil"/>
          <w:left w:val="nil"/>
          <w:bottom w:val="nil"/>
          <w:right w:val="nil"/>
          <w:between w:val="nil"/>
          <w:bar w:val="nil"/>
        </w:pBdr>
        <w:spacing w:before="120" w:line="240" w:lineRule="auto"/>
        <w:ind w:firstLine="720"/>
        <w:rPr>
          <w:snapToGrid w:val="0"/>
          <w:kern w:val="22"/>
          <w:lang w:val="fr-FR"/>
        </w:rPr>
      </w:pPr>
      <w:r w:rsidRPr="004359B6">
        <w:rPr>
          <w:snapToGrid w:val="0"/>
          <w:kern w:val="22"/>
          <w:lang w:val="fr-FR"/>
        </w:rPr>
        <w:t>1.</w:t>
      </w:r>
      <w:r w:rsidRPr="004359B6">
        <w:rPr>
          <w:snapToGrid w:val="0"/>
          <w:kern w:val="22"/>
          <w:lang w:val="fr-FR"/>
        </w:rPr>
        <w:tab/>
      </w:r>
      <w:r w:rsidRPr="004359B6">
        <w:rPr>
          <w:i/>
          <w:snapToGrid w:val="0"/>
          <w:kern w:val="22"/>
          <w:lang w:val="fr-FR"/>
        </w:rPr>
        <w:t>Se félicite</w:t>
      </w:r>
      <w:r w:rsidRPr="004359B6">
        <w:rPr>
          <w:snapToGrid w:val="0"/>
          <w:kern w:val="22"/>
          <w:lang w:val="fr-FR"/>
        </w:rPr>
        <w:t xml:space="preserve"> des progrès accomplis par le Secrétariat dans la mise en œuvre et le fonctionnement du Centre d'échange sur l'accès et le partage des avantages</w:t>
      </w:r>
      <w:r w:rsidRPr="004359B6">
        <w:rPr>
          <w:snapToGrid w:val="0"/>
          <w:kern w:val="22"/>
          <w:vertAlign w:val="superscript"/>
          <w:lang w:val="fr-FR"/>
        </w:rPr>
        <w:footnoteReference w:id="8"/>
      </w:r>
      <w:r w:rsidRPr="004359B6">
        <w:rPr>
          <w:snapToGrid w:val="0"/>
          <w:kern w:val="22"/>
          <w:lang w:val="fr-FR"/>
        </w:rPr>
        <w:t xml:space="preserve"> ; </w:t>
      </w:r>
    </w:p>
    <w:p w14:paraId="7B0E9D38" w14:textId="77777777" w:rsidR="00CB424B" w:rsidRPr="004359B6" w:rsidRDefault="00CB424B" w:rsidP="00CB424B">
      <w:pPr>
        <w:pBdr>
          <w:top w:val="nil"/>
          <w:left w:val="nil"/>
          <w:bottom w:val="nil"/>
          <w:right w:val="nil"/>
          <w:between w:val="nil"/>
          <w:bar w:val="nil"/>
        </w:pBdr>
        <w:spacing w:before="120" w:line="240" w:lineRule="auto"/>
        <w:ind w:firstLine="720"/>
        <w:rPr>
          <w:snapToGrid w:val="0"/>
          <w:kern w:val="22"/>
          <w:lang w:val="fr-FR"/>
        </w:rPr>
      </w:pPr>
      <w:r w:rsidRPr="004359B6">
        <w:rPr>
          <w:snapToGrid w:val="0"/>
          <w:kern w:val="22"/>
          <w:lang w:val="fr-FR"/>
        </w:rPr>
        <w:t>2.</w:t>
      </w:r>
      <w:r w:rsidRPr="004359B6">
        <w:rPr>
          <w:snapToGrid w:val="0"/>
          <w:kern w:val="22"/>
          <w:lang w:val="fr-FR"/>
        </w:rPr>
        <w:tab/>
      </w:r>
      <w:r w:rsidRPr="004359B6">
        <w:rPr>
          <w:i/>
          <w:snapToGrid w:val="0"/>
          <w:kern w:val="22"/>
          <w:lang w:val="fr-FR"/>
        </w:rPr>
        <w:t>Se félicite</w:t>
      </w:r>
      <w:r w:rsidRPr="004359B6">
        <w:rPr>
          <w:snapToGrid w:val="0"/>
          <w:kern w:val="22"/>
          <w:lang w:val="fr-FR"/>
        </w:rPr>
        <w:t xml:space="preserve"> des efforts déployés par les Parties, les États non Parties et les peuples autochtones et communautés locales, ainsi que les parties prenantes concernées pour mettre les informations à disposition dans le Centre d’échange sur l’accès et le partage des avantages ;</w:t>
      </w:r>
    </w:p>
    <w:p w14:paraId="7AB27290" w14:textId="77777777" w:rsidR="00CB424B" w:rsidRPr="004359B6" w:rsidRDefault="00CB424B" w:rsidP="00CB424B">
      <w:pPr>
        <w:suppressLineNumbers/>
        <w:suppressAutoHyphens/>
        <w:kinsoku w:val="0"/>
        <w:overflowPunct w:val="0"/>
        <w:autoSpaceDE w:val="0"/>
        <w:autoSpaceDN w:val="0"/>
        <w:adjustRightInd w:val="0"/>
        <w:snapToGrid w:val="0"/>
        <w:spacing w:before="120" w:line="240" w:lineRule="auto"/>
        <w:ind w:firstLine="709"/>
        <w:rPr>
          <w:rFonts w:eastAsiaTheme="minorHAnsi"/>
          <w:snapToGrid w:val="0"/>
          <w:kern w:val="22"/>
          <w:szCs w:val="22"/>
          <w:lang w:val="fr-FR"/>
        </w:rPr>
      </w:pPr>
      <w:r w:rsidRPr="004359B6">
        <w:rPr>
          <w:rFonts w:eastAsiaTheme="minorHAnsi"/>
          <w:snapToGrid w:val="0"/>
          <w:kern w:val="22"/>
          <w:szCs w:val="22"/>
          <w:lang w:val="fr-FR"/>
        </w:rPr>
        <w:t>3.</w:t>
      </w:r>
      <w:r w:rsidRPr="004359B6">
        <w:rPr>
          <w:rFonts w:eastAsiaTheme="minorHAnsi"/>
          <w:i/>
          <w:snapToGrid w:val="0"/>
          <w:kern w:val="22"/>
          <w:szCs w:val="22"/>
          <w:lang w:val="fr-FR"/>
        </w:rPr>
        <w:tab/>
        <w:t>Exhorte</w:t>
      </w:r>
      <w:r w:rsidRPr="004359B6">
        <w:rPr>
          <w:rFonts w:eastAsiaTheme="minorHAnsi"/>
          <w:snapToGrid w:val="0"/>
          <w:kern w:val="22"/>
          <w:szCs w:val="22"/>
          <w:lang w:val="fr-FR"/>
        </w:rPr>
        <w:t xml:space="preserve"> les Parties qui ne l’ont pas encore fait à publier toute l’information obligatoire disponi</w:t>
      </w:r>
      <w:r>
        <w:rPr>
          <w:rFonts w:eastAsiaTheme="minorHAnsi"/>
          <w:snapToGrid w:val="0"/>
          <w:kern w:val="22"/>
          <w:szCs w:val="22"/>
          <w:lang w:val="fr-FR"/>
        </w:rPr>
        <w:t>ble au niveau national dans le C</w:t>
      </w:r>
      <w:r w:rsidRPr="004359B6">
        <w:rPr>
          <w:rFonts w:eastAsiaTheme="minorHAnsi"/>
          <w:snapToGrid w:val="0"/>
          <w:kern w:val="22"/>
          <w:szCs w:val="22"/>
          <w:lang w:val="fr-FR"/>
        </w:rPr>
        <w:t>entre d’échange sur l’accès et le partage des avantages, conformément aux obligations énoncées au paragraphe 2 de l’article 14 du Protocole et ce, dans les meilleurs délais, compte tenu que la publication de l’i</w:t>
      </w:r>
      <w:r>
        <w:rPr>
          <w:rFonts w:eastAsiaTheme="minorHAnsi"/>
          <w:snapToGrid w:val="0"/>
          <w:kern w:val="22"/>
          <w:szCs w:val="22"/>
          <w:lang w:val="fr-FR"/>
        </w:rPr>
        <w:t>nformation obligatoire dans le C</w:t>
      </w:r>
      <w:r w:rsidRPr="004359B6">
        <w:rPr>
          <w:rFonts w:eastAsiaTheme="minorHAnsi"/>
          <w:snapToGrid w:val="0"/>
          <w:kern w:val="22"/>
          <w:szCs w:val="22"/>
          <w:lang w:val="fr-FR"/>
        </w:rPr>
        <w:t>entre d’échange sur l’accès et le partage des avantages est essentielle à l’application du Protocole de Nagoya ;</w:t>
      </w:r>
    </w:p>
    <w:p w14:paraId="2AE1FD05" w14:textId="77777777" w:rsidR="00CB424B" w:rsidRPr="004359B6" w:rsidRDefault="00CB424B" w:rsidP="00CB424B">
      <w:pPr>
        <w:suppressLineNumbers/>
        <w:suppressAutoHyphens/>
        <w:kinsoku w:val="0"/>
        <w:overflowPunct w:val="0"/>
        <w:autoSpaceDE w:val="0"/>
        <w:autoSpaceDN w:val="0"/>
        <w:adjustRightInd w:val="0"/>
        <w:snapToGrid w:val="0"/>
        <w:spacing w:before="120" w:line="240" w:lineRule="auto"/>
        <w:ind w:firstLine="709"/>
        <w:rPr>
          <w:snapToGrid w:val="0"/>
          <w:kern w:val="22"/>
          <w:lang w:val="fr-FR"/>
        </w:rPr>
      </w:pPr>
      <w:r w:rsidRPr="004359B6">
        <w:rPr>
          <w:snapToGrid w:val="0"/>
          <w:spacing w:val="-2"/>
          <w:kern w:val="22"/>
          <w:szCs w:val="22"/>
          <w:lang w:val="fr-FR"/>
        </w:rPr>
        <w:t>4.</w:t>
      </w:r>
      <w:r w:rsidRPr="004359B6">
        <w:rPr>
          <w:i/>
          <w:snapToGrid w:val="0"/>
          <w:spacing w:val="-2"/>
          <w:kern w:val="22"/>
          <w:szCs w:val="22"/>
          <w:lang w:val="fr-FR"/>
        </w:rPr>
        <w:tab/>
        <w:t xml:space="preserve">Prie instamment </w:t>
      </w:r>
      <w:r w:rsidRPr="004359B6">
        <w:rPr>
          <w:snapToGrid w:val="0"/>
          <w:spacing w:val="-2"/>
          <w:kern w:val="22"/>
          <w:szCs w:val="22"/>
          <w:lang w:val="fr-FR"/>
        </w:rPr>
        <w:t>les Parties de fournir des informations sur leurs procédures nationales en matière d’accès et de partage des avantages au moyen du modèle national commun facultatif disponible dans le Centre d’échange sur l’accès et le partage des avantages ;</w:t>
      </w:r>
    </w:p>
    <w:p w14:paraId="3AB46249" w14:textId="77777777" w:rsidR="00CB424B" w:rsidRPr="004359B6" w:rsidRDefault="00CB424B" w:rsidP="00CB424B">
      <w:pPr>
        <w:pBdr>
          <w:top w:val="nil"/>
          <w:left w:val="nil"/>
          <w:bottom w:val="nil"/>
          <w:right w:val="nil"/>
          <w:between w:val="nil"/>
          <w:bar w:val="nil"/>
        </w:pBdr>
        <w:spacing w:before="120" w:line="240" w:lineRule="auto"/>
        <w:ind w:firstLine="720"/>
        <w:rPr>
          <w:snapToGrid w:val="0"/>
          <w:kern w:val="22"/>
          <w:lang w:val="fr-FR"/>
        </w:rPr>
      </w:pPr>
      <w:r w:rsidRPr="004359B6">
        <w:rPr>
          <w:snapToGrid w:val="0"/>
          <w:kern w:val="22"/>
          <w:lang w:val="fr-FR"/>
        </w:rPr>
        <w:t>5.</w:t>
      </w:r>
      <w:r w:rsidRPr="004359B6">
        <w:rPr>
          <w:snapToGrid w:val="0"/>
          <w:kern w:val="22"/>
          <w:lang w:val="fr-FR"/>
        </w:rPr>
        <w:tab/>
      </w:r>
      <w:r w:rsidRPr="004359B6">
        <w:rPr>
          <w:i/>
          <w:snapToGrid w:val="0"/>
          <w:kern w:val="22"/>
          <w:lang w:val="fr-FR"/>
        </w:rPr>
        <w:t>Prend note</w:t>
      </w:r>
      <w:r w:rsidRPr="004359B6">
        <w:rPr>
          <w:snapToGrid w:val="0"/>
          <w:kern w:val="22"/>
          <w:lang w:val="fr-FR"/>
        </w:rPr>
        <w:t xml:space="preserve"> de la liste des objectifs et priorités pour la poursuite de la mise en œuvre et de l'administration du Centre d'échange sur l'accès et le partage des avantages pour l'exercice biennal 2019-2020 figurant à l'annexe de la présente décision ;</w:t>
      </w:r>
    </w:p>
    <w:p w14:paraId="352B7093" w14:textId="77777777" w:rsidR="00CB424B" w:rsidRPr="004359B6" w:rsidRDefault="00CB424B" w:rsidP="00CB424B">
      <w:pPr>
        <w:pBdr>
          <w:top w:val="nil"/>
          <w:left w:val="nil"/>
          <w:bottom w:val="nil"/>
          <w:right w:val="nil"/>
          <w:between w:val="nil"/>
          <w:bar w:val="nil"/>
        </w:pBdr>
        <w:spacing w:before="120" w:line="240" w:lineRule="auto"/>
        <w:ind w:firstLine="720"/>
        <w:rPr>
          <w:snapToGrid w:val="0"/>
          <w:kern w:val="22"/>
          <w:lang w:val="fr-FR"/>
        </w:rPr>
      </w:pPr>
      <w:r w:rsidRPr="004359B6">
        <w:rPr>
          <w:snapToGrid w:val="0"/>
          <w:kern w:val="22"/>
          <w:lang w:val="fr-FR"/>
        </w:rPr>
        <w:t>6.</w:t>
      </w:r>
      <w:r w:rsidRPr="004359B6">
        <w:rPr>
          <w:snapToGrid w:val="0"/>
          <w:kern w:val="22"/>
          <w:lang w:val="fr-FR"/>
        </w:rPr>
        <w:tab/>
      </w:r>
      <w:r w:rsidRPr="004359B6">
        <w:rPr>
          <w:i/>
          <w:snapToGrid w:val="0"/>
          <w:kern w:val="22"/>
          <w:lang w:val="fr-FR"/>
        </w:rPr>
        <w:t>Approuve</w:t>
      </w:r>
      <w:r w:rsidRPr="004359B6">
        <w:rPr>
          <w:snapToGrid w:val="0"/>
          <w:kern w:val="22"/>
          <w:lang w:val="fr-FR"/>
        </w:rPr>
        <w:t xml:space="preserve"> les modalités de fonctionnement conjointes du mécanisme d'échange d'informations de la Convention, du Centre d'échange pour la prévention des risques biotechnologiques et du Centre d'échange pour l'accès et le partage des avantages, qui figurent à l'annexe de la décision</w:t>
      </w:r>
      <w:r>
        <w:rPr>
          <w:snapToGrid w:val="0"/>
          <w:kern w:val="22"/>
          <w:lang w:val="fr-FR"/>
        </w:rPr>
        <w:t xml:space="preserve"> 14/25</w:t>
      </w:r>
      <w:r w:rsidRPr="004359B6">
        <w:rPr>
          <w:snapToGrid w:val="0"/>
          <w:kern w:val="22"/>
          <w:lang w:val="fr-FR"/>
        </w:rPr>
        <w:t>, qui sont complémentaires des modalités de fonctionnement du Centre d'échange sur l'accès et le partage des avantages adoptées par la Conférence des Parties siégeant en tant que réunion des Parties au Protocole de Nagoya, dans la décision </w:t>
      </w:r>
      <w:hyperlink r:id="rId12" w:history="1">
        <w:r w:rsidRPr="004359B6">
          <w:rPr>
            <w:snapToGrid w:val="0"/>
            <w:color w:val="0000FF"/>
            <w:kern w:val="22"/>
            <w:u w:val="single"/>
            <w:lang w:val="fr-FR"/>
          </w:rPr>
          <w:t>NP-1/2</w:t>
        </w:r>
      </w:hyperlink>
      <w:r w:rsidRPr="004359B6">
        <w:rPr>
          <w:snapToGrid w:val="0"/>
          <w:kern w:val="22"/>
          <w:lang w:val="fr-FR"/>
        </w:rPr>
        <w:t>;</w:t>
      </w:r>
    </w:p>
    <w:p w14:paraId="5E8A7A03" w14:textId="77777777" w:rsidR="00CB424B" w:rsidRPr="004359B6" w:rsidRDefault="00CB424B" w:rsidP="00CB424B">
      <w:pPr>
        <w:pBdr>
          <w:top w:val="nil"/>
          <w:left w:val="nil"/>
          <w:bottom w:val="nil"/>
          <w:right w:val="nil"/>
          <w:between w:val="nil"/>
          <w:bar w:val="nil"/>
        </w:pBdr>
        <w:spacing w:before="120" w:line="240" w:lineRule="auto"/>
        <w:ind w:firstLine="720"/>
        <w:rPr>
          <w:snapToGrid w:val="0"/>
          <w:kern w:val="22"/>
          <w:lang w:val="fr-FR"/>
        </w:rPr>
      </w:pPr>
      <w:r w:rsidRPr="004359B6">
        <w:rPr>
          <w:snapToGrid w:val="0"/>
          <w:kern w:val="22"/>
          <w:lang w:val="fr-FR"/>
        </w:rPr>
        <w:t>7.</w:t>
      </w:r>
      <w:r w:rsidRPr="004359B6">
        <w:rPr>
          <w:snapToGrid w:val="0"/>
          <w:kern w:val="22"/>
          <w:lang w:val="fr-FR"/>
        </w:rPr>
        <w:tab/>
      </w:r>
      <w:r w:rsidRPr="004359B6">
        <w:rPr>
          <w:i/>
          <w:snapToGrid w:val="0"/>
          <w:kern w:val="22"/>
          <w:lang w:val="fr-FR"/>
        </w:rPr>
        <w:t>Exprime</w:t>
      </w:r>
      <w:r w:rsidRPr="004359B6">
        <w:rPr>
          <w:snapToGrid w:val="0"/>
          <w:kern w:val="22"/>
          <w:lang w:val="fr-FR"/>
        </w:rPr>
        <w:t xml:space="preserve"> sa gratitude au Comité consultatif informel pour les directives techniques qu'il a fournies ;</w:t>
      </w:r>
    </w:p>
    <w:p w14:paraId="0177B14A" w14:textId="77777777" w:rsidR="00CB424B" w:rsidRPr="004359B6" w:rsidRDefault="00CB424B" w:rsidP="00CB424B">
      <w:pPr>
        <w:pBdr>
          <w:top w:val="nil"/>
          <w:left w:val="nil"/>
          <w:bottom w:val="nil"/>
          <w:right w:val="nil"/>
          <w:between w:val="nil"/>
          <w:bar w:val="nil"/>
        </w:pBdr>
        <w:spacing w:before="120" w:line="240" w:lineRule="auto"/>
        <w:ind w:firstLine="720"/>
        <w:rPr>
          <w:snapToGrid w:val="0"/>
          <w:kern w:val="22"/>
          <w:lang w:val="fr-FR"/>
        </w:rPr>
      </w:pPr>
      <w:r w:rsidRPr="004359B6">
        <w:rPr>
          <w:snapToGrid w:val="0"/>
          <w:kern w:val="22"/>
          <w:lang w:val="fr-FR"/>
        </w:rPr>
        <w:t>8.</w:t>
      </w:r>
      <w:r w:rsidRPr="004359B6">
        <w:rPr>
          <w:snapToGrid w:val="0"/>
          <w:kern w:val="22"/>
          <w:lang w:val="fr-FR"/>
        </w:rPr>
        <w:tab/>
      </w:r>
      <w:r w:rsidRPr="004359B6">
        <w:rPr>
          <w:i/>
          <w:snapToGrid w:val="0"/>
          <w:kern w:val="22"/>
          <w:lang w:val="fr-FR"/>
        </w:rPr>
        <w:t>Décide</w:t>
      </w:r>
      <w:r w:rsidRPr="004359B6">
        <w:rPr>
          <w:snapToGrid w:val="0"/>
          <w:kern w:val="22"/>
          <w:lang w:val="fr-FR"/>
        </w:rPr>
        <w:t xml:space="preserve"> que le Comité consultatif informel se réunira au moins une fois et discutera de manière informelle en ligne au besoin, et fera rapport sur ses conclusions à la Conférence des Parties siégeant en tant que réunion des Parties au Protocole de Nagoya, à sa quatrième réunion ;</w:t>
      </w:r>
    </w:p>
    <w:p w14:paraId="67D92272" w14:textId="77777777" w:rsidR="00CB424B" w:rsidRPr="004359B6" w:rsidRDefault="00CB424B" w:rsidP="00CB424B">
      <w:pPr>
        <w:pBdr>
          <w:top w:val="nil"/>
          <w:left w:val="nil"/>
          <w:bottom w:val="nil"/>
          <w:right w:val="nil"/>
          <w:between w:val="nil"/>
          <w:bar w:val="nil"/>
        </w:pBdr>
        <w:spacing w:before="120" w:line="240" w:lineRule="auto"/>
        <w:ind w:firstLine="720"/>
        <w:rPr>
          <w:snapToGrid w:val="0"/>
          <w:kern w:val="22"/>
          <w:lang w:val="fr-FR"/>
        </w:rPr>
      </w:pPr>
      <w:r w:rsidRPr="004359B6">
        <w:rPr>
          <w:snapToGrid w:val="0"/>
          <w:kern w:val="22"/>
          <w:lang w:val="fr-FR"/>
        </w:rPr>
        <w:t>9.</w:t>
      </w:r>
      <w:r w:rsidRPr="004359B6">
        <w:rPr>
          <w:snapToGrid w:val="0"/>
          <w:kern w:val="22"/>
          <w:lang w:val="fr-FR"/>
        </w:rPr>
        <w:tab/>
      </w:r>
      <w:r w:rsidRPr="004359B6">
        <w:rPr>
          <w:i/>
          <w:snapToGrid w:val="0"/>
          <w:kern w:val="22"/>
          <w:lang w:val="fr-FR"/>
        </w:rPr>
        <w:t>Invite</w:t>
      </w:r>
      <w:r w:rsidRPr="004359B6">
        <w:rPr>
          <w:snapToGrid w:val="0"/>
          <w:kern w:val="22"/>
          <w:lang w:val="fr-FR"/>
        </w:rPr>
        <w:t xml:space="preserve"> les Parties, les États non-Parties et les organisations compétentes à utiliser les mécanismes d'interopérabilité du Centre d'échange sur l'accès et le partage des avantages afin de faciliter l'échange d'informations avec leurs bases de données, sites Web et systèmes informatiques pertinents ;</w:t>
      </w:r>
    </w:p>
    <w:p w14:paraId="100B62F5" w14:textId="77777777" w:rsidR="00CB424B" w:rsidRPr="004359B6" w:rsidRDefault="00CB424B" w:rsidP="00CB424B">
      <w:pPr>
        <w:pBdr>
          <w:top w:val="nil"/>
          <w:left w:val="nil"/>
          <w:bottom w:val="nil"/>
          <w:right w:val="nil"/>
          <w:between w:val="nil"/>
          <w:bar w:val="nil"/>
        </w:pBdr>
        <w:spacing w:before="120" w:line="240" w:lineRule="auto"/>
        <w:ind w:firstLine="720"/>
        <w:rPr>
          <w:snapToGrid w:val="0"/>
          <w:kern w:val="22"/>
          <w:lang w:val="fr-FR"/>
        </w:rPr>
      </w:pPr>
      <w:r w:rsidRPr="004359B6">
        <w:rPr>
          <w:snapToGrid w:val="0"/>
          <w:kern w:val="22"/>
          <w:lang w:val="fr-FR"/>
        </w:rPr>
        <w:t>10.</w:t>
      </w:r>
      <w:r w:rsidRPr="004359B6">
        <w:rPr>
          <w:snapToGrid w:val="0"/>
          <w:kern w:val="22"/>
          <w:lang w:val="fr-FR"/>
        </w:rPr>
        <w:tab/>
      </w:r>
      <w:r w:rsidRPr="004359B6">
        <w:rPr>
          <w:i/>
          <w:snapToGrid w:val="0"/>
          <w:kern w:val="22"/>
          <w:lang w:val="fr-FR"/>
        </w:rPr>
        <w:t>Invite</w:t>
      </w:r>
      <w:r w:rsidRPr="004359B6">
        <w:rPr>
          <w:snapToGrid w:val="0"/>
          <w:kern w:val="22"/>
          <w:lang w:val="fr-FR"/>
        </w:rPr>
        <w:t xml:space="preserve"> les Parties, les États non-Parties et les organisations compétentes, le cas échéant, à inclure des activités de renforcement des capacités liées au Centre d'échange sur l'accès et le partage des avantages dans leurs activités, plans et projets de renforcement des capacités pertinents en coordination avec la Secrétaire exécutive ;</w:t>
      </w:r>
    </w:p>
    <w:p w14:paraId="1FE01365" w14:textId="77777777" w:rsidR="00CB424B" w:rsidRPr="004359B6" w:rsidRDefault="00CB424B" w:rsidP="00CB424B">
      <w:pPr>
        <w:pBdr>
          <w:top w:val="nil"/>
          <w:left w:val="nil"/>
          <w:bottom w:val="nil"/>
          <w:right w:val="nil"/>
          <w:between w:val="nil"/>
          <w:bar w:val="nil"/>
        </w:pBdr>
        <w:spacing w:before="120" w:line="240" w:lineRule="auto"/>
        <w:ind w:firstLine="720"/>
        <w:rPr>
          <w:snapToGrid w:val="0"/>
          <w:kern w:val="22"/>
          <w:lang w:val="fr-FR"/>
        </w:rPr>
      </w:pPr>
      <w:r w:rsidRPr="004359B6">
        <w:rPr>
          <w:snapToGrid w:val="0"/>
          <w:kern w:val="22"/>
          <w:lang w:val="fr-FR"/>
        </w:rPr>
        <w:t>11.</w:t>
      </w:r>
      <w:r w:rsidRPr="004359B6">
        <w:rPr>
          <w:snapToGrid w:val="0"/>
          <w:kern w:val="22"/>
          <w:lang w:val="fr-FR"/>
        </w:rPr>
        <w:tab/>
      </w:r>
      <w:r w:rsidRPr="004359B6">
        <w:rPr>
          <w:i/>
          <w:snapToGrid w:val="0"/>
          <w:kern w:val="22"/>
          <w:lang w:val="fr-FR"/>
        </w:rPr>
        <w:t>Invite</w:t>
      </w:r>
      <w:r w:rsidRPr="004359B6">
        <w:rPr>
          <w:snapToGrid w:val="0"/>
          <w:kern w:val="22"/>
          <w:lang w:val="fr-FR"/>
        </w:rPr>
        <w:t xml:space="preserve"> les Parties, les États non-Parties, les organisations internationales compétentes, les banques régionales de développement et les autres institutions financières, le cas échéant, à appuyer les activités de renforcement des capacités liées au Centre d'échange sur l'accès et le partage des avantages, y compris le système du Protocole pour le suivi de l'utilisation des ressources génétiques ;</w:t>
      </w:r>
    </w:p>
    <w:p w14:paraId="7254BA9E" w14:textId="77777777" w:rsidR="00CB424B" w:rsidRPr="004359B6" w:rsidRDefault="00CB424B" w:rsidP="00CB424B">
      <w:pPr>
        <w:pBdr>
          <w:top w:val="nil"/>
          <w:left w:val="nil"/>
          <w:bottom w:val="nil"/>
          <w:right w:val="nil"/>
          <w:between w:val="nil"/>
          <w:bar w:val="nil"/>
        </w:pBdr>
        <w:spacing w:before="120" w:line="240" w:lineRule="auto"/>
        <w:ind w:firstLine="720"/>
        <w:rPr>
          <w:snapToGrid w:val="0"/>
          <w:kern w:val="22"/>
          <w:lang w:val="fr-FR"/>
        </w:rPr>
      </w:pPr>
      <w:r w:rsidRPr="004359B6">
        <w:rPr>
          <w:snapToGrid w:val="0"/>
          <w:kern w:val="22"/>
          <w:lang w:val="fr-FR"/>
        </w:rPr>
        <w:t>12.</w:t>
      </w:r>
      <w:r w:rsidRPr="004359B6">
        <w:rPr>
          <w:snapToGrid w:val="0"/>
          <w:kern w:val="22"/>
          <w:lang w:val="fr-FR"/>
        </w:rPr>
        <w:tab/>
      </w:r>
      <w:r w:rsidRPr="004359B6">
        <w:rPr>
          <w:i/>
          <w:snapToGrid w:val="0"/>
          <w:kern w:val="22"/>
          <w:lang w:val="fr-FR"/>
        </w:rPr>
        <w:t xml:space="preserve">Prie </w:t>
      </w:r>
      <w:r w:rsidRPr="004359B6">
        <w:rPr>
          <w:snapToGrid w:val="0"/>
          <w:kern w:val="22"/>
          <w:lang w:val="fr-FR"/>
        </w:rPr>
        <w:t xml:space="preserve">la Secrétaire exécutive de continuer à mettre en œuvre et à administrer le Centre d'échange sur l'accès et le partage des avantages en suivant les objectifs et les priorités pour la poursuite de la mise en œuvre et de l'administration du Centre d'échange sur l'accès et le partage des avantages qui figurent à l'annexe I </w:t>
      </w:r>
      <w:r>
        <w:rPr>
          <w:snapToGrid w:val="0"/>
          <w:kern w:val="22"/>
          <w:lang w:val="fr-FR"/>
        </w:rPr>
        <w:t>à</w:t>
      </w:r>
      <w:r w:rsidRPr="004359B6">
        <w:rPr>
          <w:snapToGrid w:val="0"/>
          <w:kern w:val="22"/>
          <w:lang w:val="fr-FR"/>
        </w:rPr>
        <w:t xml:space="preserve"> la </w:t>
      </w:r>
      <w:r w:rsidRPr="004359B6">
        <w:rPr>
          <w:snapToGrid w:val="0"/>
          <w:kern w:val="22"/>
          <w:lang w:val="fr-FR"/>
        </w:rPr>
        <w:lastRenderedPageBreak/>
        <w:t>présente décision, conformément aux modalités de fonctionnement et aux observations reçues, en particulier celles des Parties et du Comité consultatif informel auprès du Centre d'échange pour l'accès et le partage des avantages</w:t>
      </w:r>
      <w:r w:rsidRPr="004359B6">
        <w:rPr>
          <w:i/>
          <w:snapToGrid w:val="0"/>
          <w:kern w:val="22"/>
          <w:lang w:val="fr-FR"/>
        </w:rPr>
        <w:t>.</w:t>
      </w:r>
    </w:p>
    <w:p w14:paraId="378830B1" w14:textId="77777777" w:rsidR="00CB424B" w:rsidRPr="004359B6" w:rsidRDefault="00CB424B" w:rsidP="00CB424B">
      <w:pPr>
        <w:keepNext/>
        <w:spacing w:line="240" w:lineRule="auto"/>
        <w:rPr>
          <w:kern w:val="22"/>
          <w:lang w:val="fr-FR"/>
        </w:rPr>
      </w:pPr>
    </w:p>
    <w:p w14:paraId="7EC0C259" w14:textId="77777777" w:rsidR="00CB424B" w:rsidRPr="004359B6" w:rsidRDefault="00CB424B" w:rsidP="0043391E">
      <w:pPr>
        <w:keepNext/>
        <w:spacing w:before="120" w:line="240" w:lineRule="auto"/>
        <w:jc w:val="center"/>
        <w:rPr>
          <w:i/>
          <w:kern w:val="22"/>
          <w:szCs w:val="22"/>
          <w:lang w:val="fr-FR"/>
        </w:rPr>
      </w:pPr>
      <w:r w:rsidRPr="004359B6">
        <w:rPr>
          <w:i/>
          <w:kern w:val="22"/>
          <w:szCs w:val="22"/>
          <w:lang w:val="fr-FR"/>
        </w:rPr>
        <w:t>Annexe</w:t>
      </w:r>
    </w:p>
    <w:p w14:paraId="43ECDE8C" w14:textId="77777777" w:rsidR="00CB424B" w:rsidRPr="004359B6" w:rsidRDefault="00CB424B" w:rsidP="0043391E">
      <w:pPr>
        <w:spacing w:line="240" w:lineRule="auto"/>
        <w:jc w:val="center"/>
        <w:rPr>
          <w:b/>
          <w:bCs/>
          <w:caps/>
          <w:kern w:val="22"/>
          <w:szCs w:val="22"/>
          <w:lang w:val="fr-FR"/>
        </w:rPr>
      </w:pPr>
      <w:r w:rsidRPr="004359B6">
        <w:rPr>
          <w:b/>
          <w:bCs/>
          <w:caps/>
          <w:kern w:val="22"/>
          <w:szCs w:val="22"/>
          <w:lang w:val="fr-FR"/>
        </w:rPr>
        <w:t>Objectifs et priorités pour le développement et l'administration futurs par le Secrétariat du Centre d'échange sur l'accès et le partage des avantages</w:t>
      </w:r>
    </w:p>
    <w:p w14:paraId="71227168" w14:textId="77777777" w:rsidR="00CB424B" w:rsidRPr="004359B6" w:rsidRDefault="00CB424B" w:rsidP="0043391E">
      <w:pPr>
        <w:spacing w:line="240" w:lineRule="auto"/>
        <w:jc w:val="center"/>
        <w:rPr>
          <w:rFonts w:eastAsia="MS Mincho"/>
          <w:bCs/>
          <w:kern w:val="22"/>
          <w:szCs w:val="22"/>
          <w:lang w:val="fr-FR"/>
        </w:rPr>
      </w:pPr>
    </w:p>
    <w:p w14:paraId="516586BC" w14:textId="77777777" w:rsidR="00CB424B" w:rsidRPr="004359B6" w:rsidRDefault="00CB424B" w:rsidP="0043391E">
      <w:pPr>
        <w:keepNext/>
        <w:pBdr>
          <w:top w:val="nil"/>
          <w:left w:val="nil"/>
          <w:bottom w:val="nil"/>
          <w:right w:val="nil"/>
          <w:between w:val="nil"/>
          <w:bar w:val="nil"/>
        </w:pBdr>
        <w:spacing w:before="120" w:line="240" w:lineRule="auto"/>
        <w:ind w:left="864" w:hanging="864"/>
        <w:rPr>
          <w:b/>
          <w:snapToGrid w:val="0"/>
          <w:kern w:val="22"/>
          <w:szCs w:val="22"/>
          <w:lang w:val="fr-FR"/>
        </w:rPr>
      </w:pPr>
      <w:r w:rsidRPr="004359B6">
        <w:rPr>
          <w:b/>
          <w:snapToGrid w:val="0"/>
          <w:kern w:val="22"/>
          <w:szCs w:val="22"/>
          <w:lang w:val="fr-FR"/>
        </w:rPr>
        <w:t>Objectif n° 1.</w:t>
      </w:r>
      <w:r w:rsidRPr="004359B6">
        <w:rPr>
          <w:b/>
          <w:snapToGrid w:val="0"/>
          <w:kern w:val="22"/>
          <w:szCs w:val="22"/>
          <w:lang w:val="fr-FR"/>
        </w:rPr>
        <w:tab/>
      </w:r>
      <w:r>
        <w:rPr>
          <w:b/>
          <w:snapToGrid w:val="0"/>
          <w:kern w:val="22"/>
          <w:szCs w:val="22"/>
          <w:lang w:val="fr-FR"/>
        </w:rPr>
        <w:t>Chargement</w:t>
      </w:r>
      <w:r w:rsidRPr="004359B6">
        <w:rPr>
          <w:b/>
          <w:snapToGrid w:val="0"/>
          <w:kern w:val="22"/>
          <w:szCs w:val="22"/>
          <w:lang w:val="fr-FR"/>
        </w:rPr>
        <w:t xml:space="preserve"> et utilisation accrue du Centre d'échange sur l'accès et le partage des avantages</w:t>
      </w:r>
    </w:p>
    <w:p w14:paraId="3EEEC020" w14:textId="77777777" w:rsidR="00CB424B" w:rsidRPr="004359B6" w:rsidRDefault="00CB424B" w:rsidP="0043391E">
      <w:pPr>
        <w:keepNext/>
        <w:pBdr>
          <w:top w:val="nil"/>
          <w:left w:val="nil"/>
          <w:bottom w:val="nil"/>
          <w:right w:val="nil"/>
          <w:between w:val="nil"/>
          <w:bar w:val="nil"/>
        </w:pBdr>
        <w:spacing w:before="120" w:line="240" w:lineRule="auto"/>
        <w:rPr>
          <w:i/>
          <w:snapToGrid w:val="0"/>
          <w:kern w:val="22"/>
          <w:szCs w:val="22"/>
          <w:lang w:val="fr-FR"/>
        </w:rPr>
      </w:pPr>
      <w:r w:rsidRPr="004359B6">
        <w:rPr>
          <w:i/>
          <w:snapToGrid w:val="0"/>
          <w:kern w:val="22"/>
          <w:szCs w:val="22"/>
          <w:lang w:val="fr-FR"/>
        </w:rPr>
        <w:t>Diffusion et engagement</w:t>
      </w:r>
    </w:p>
    <w:p w14:paraId="684D5FB1" w14:textId="77777777" w:rsidR="00CB424B" w:rsidRPr="004359B6" w:rsidRDefault="00CB424B" w:rsidP="0043391E">
      <w:pPr>
        <w:pBdr>
          <w:top w:val="nil"/>
          <w:left w:val="nil"/>
          <w:bottom w:val="nil"/>
          <w:right w:val="nil"/>
          <w:between w:val="nil"/>
          <w:bar w:val="nil"/>
        </w:pBdr>
        <w:spacing w:before="120" w:line="240" w:lineRule="auto"/>
        <w:ind w:firstLine="709"/>
        <w:rPr>
          <w:snapToGrid w:val="0"/>
          <w:kern w:val="22"/>
          <w:szCs w:val="22"/>
          <w:lang w:val="fr-FR"/>
        </w:rPr>
      </w:pPr>
      <w:r w:rsidRPr="004359B6">
        <w:rPr>
          <w:snapToGrid w:val="0"/>
          <w:color w:val="000000"/>
          <w:kern w:val="22"/>
          <w:szCs w:val="22"/>
          <w:lang w:val="fr-FR"/>
        </w:rPr>
        <w:t>a)</w:t>
      </w:r>
      <w:r w:rsidRPr="004359B6">
        <w:rPr>
          <w:snapToGrid w:val="0"/>
          <w:color w:val="000000"/>
          <w:kern w:val="22"/>
          <w:szCs w:val="22"/>
          <w:lang w:val="fr-FR"/>
        </w:rPr>
        <w:tab/>
      </w:r>
      <w:r w:rsidRPr="004359B6">
        <w:rPr>
          <w:snapToGrid w:val="0"/>
          <w:kern w:val="22"/>
          <w:szCs w:val="22"/>
          <w:lang w:val="fr-FR"/>
        </w:rPr>
        <w:t>Veiller à ce que chaque Partie ait désigné son autorité de publication ;</w:t>
      </w:r>
    </w:p>
    <w:p w14:paraId="7B5D01DB" w14:textId="77777777" w:rsidR="00CB424B" w:rsidRPr="004359B6" w:rsidRDefault="00CB424B" w:rsidP="0043391E">
      <w:pPr>
        <w:pBdr>
          <w:top w:val="nil"/>
          <w:left w:val="nil"/>
          <w:bottom w:val="nil"/>
          <w:right w:val="nil"/>
          <w:between w:val="nil"/>
          <w:bar w:val="nil"/>
        </w:pBdr>
        <w:spacing w:before="120" w:line="240" w:lineRule="auto"/>
        <w:ind w:firstLine="709"/>
        <w:rPr>
          <w:snapToGrid w:val="0"/>
          <w:kern w:val="22"/>
          <w:szCs w:val="22"/>
          <w:lang w:val="fr-FR"/>
        </w:rPr>
      </w:pPr>
      <w:r w:rsidRPr="004359B6">
        <w:rPr>
          <w:snapToGrid w:val="0"/>
          <w:color w:val="000000"/>
          <w:kern w:val="22"/>
          <w:szCs w:val="22"/>
          <w:lang w:val="fr-FR"/>
        </w:rPr>
        <w:t>b)</w:t>
      </w:r>
      <w:r w:rsidRPr="004359B6">
        <w:rPr>
          <w:snapToGrid w:val="0"/>
          <w:color w:val="000000"/>
          <w:kern w:val="22"/>
          <w:szCs w:val="22"/>
          <w:lang w:val="fr-FR"/>
        </w:rPr>
        <w:tab/>
      </w:r>
      <w:r w:rsidRPr="004359B6">
        <w:rPr>
          <w:snapToGrid w:val="0"/>
          <w:kern w:val="22"/>
          <w:szCs w:val="22"/>
          <w:lang w:val="fr-FR"/>
        </w:rPr>
        <w:t>Encourager et faciliter la publication de toutes les informations nationales disponibles, en particulier celles des autorités nationales compétentes, sur les mesures et les procédures d'accès et de partage des avantages et sur les certificats de conformité internationalement reconnus, selon le cas ;</w:t>
      </w:r>
    </w:p>
    <w:p w14:paraId="3A1D38BA" w14:textId="77777777" w:rsidR="00CB424B" w:rsidRPr="004359B6" w:rsidRDefault="00CB424B" w:rsidP="0043391E">
      <w:pPr>
        <w:pBdr>
          <w:top w:val="nil"/>
          <w:left w:val="nil"/>
          <w:bottom w:val="nil"/>
          <w:right w:val="nil"/>
          <w:between w:val="nil"/>
          <w:bar w:val="nil"/>
        </w:pBdr>
        <w:spacing w:before="120" w:line="240" w:lineRule="auto"/>
        <w:ind w:firstLine="709"/>
        <w:rPr>
          <w:kern w:val="22"/>
          <w:szCs w:val="22"/>
          <w:lang w:val="fr-FR"/>
        </w:rPr>
      </w:pPr>
      <w:r w:rsidRPr="004359B6">
        <w:rPr>
          <w:color w:val="000000"/>
          <w:kern w:val="22"/>
          <w:szCs w:val="22"/>
          <w:lang w:val="fr-FR"/>
        </w:rPr>
        <w:t>c)</w:t>
      </w:r>
      <w:r w:rsidRPr="004359B6">
        <w:rPr>
          <w:color w:val="000000"/>
          <w:kern w:val="22"/>
          <w:szCs w:val="22"/>
          <w:lang w:val="fr-FR"/>
        </w:rPr>
        <w:tab/>
      </w:r>
      <w:r w:rsidRPr="004359B6">
        <w:rPr>
          <w:snapToGrid w:val="0"/>
          <w:kern w:val="22"/>
          <w:szCs w:val="22"/>
          <w:lang w:val="fr-FR"/>
        </w:rPr>
        <w:t xml:space="preserve">Engager le dialogue avec les </w:t>
      </w:r>
      <w:r>
        <w:rPr>
          <w:snapToGrid w:val="0"/>
          <w:kern w:val="22"/>
          <w:szCs w:val="22"/>
          <w:lang w:val="fr-FR"/>
        </w:rPr>
        <w:t>peuples</w:t>
      </w:r>
      <w:r w:rsidRPr="004359B6">
        <w:rPr>
          <w:snapToGrid w:val="0"/>
          <w:kern w:val="22"/>
          <w:szCs w:val="22"/>
          <w:lang w:val="fr-FR"/>
        </w:rPr>
        <w:t xml:space="preserve"> autochtones et</w:t>
      </w:r>
      <w:r>
        <w:rPr>
          <w:snapToGrid w:val="0"/>
          <w:kern w:val="22"/>
          <w:szCs w:val="22"/>
          <w:lang w:val="fr-FR"/>
        </w:rPr>
        <w:t xml:space="preserve"> les communautés</w:t>
      </w:r>
      <w:r w:rsidRPr="004359B6">
        <w:rPr>
          <w:snapToGrid w:val="0"/>
          <w:kern w:val="22"/>
          <w:szCs w:val="22"/>
          <w:lang w:val="fr-FR"/>
        </w:rPr>
        <w:t xml:space="preserve"> locales, ainsi qu'avec les autres parties prenantes et les organisations concernées pour encourager la soumission de documents de référence ;</w:t>
      </w:r>
    </w:p>
    <w:p w14:paraId="0E160F51" w14:textId="77777777" w:rsidR="00CB424B" w:rsidRPr="004359B6" w:rsidRDefault="00CB424B" w:rsidP="0043391E">
      <w:pPr>
        <w:pBdr>
          <w:top w:val="nil"/>
          <w:left w:val="nil"/>
          <w:bottom w:val="nil"/>
          <w:right w:val="nil"/>
          <w:between w:val="nil"/>
          <w:bar w:val="nil"/>
        </w:pBdr>
        <w:spacing w:before="120" w:line="240" w:lineRule="auto"/>
        <w:ind w:firstLine="709"/>
        <w:rPr>
          <w:kern w:val="22"/>
          <w:szCs w:val="22"/>
          <w:lang w:val="fr-FR"/>
        </w:rPr>
      </w:pPr>
      <w:r w:rsidRPr="004359B6">
        <w:rPr>
          <w:color w:val="000000"/>
          <w:kern w:val="22"/>
          <w:szCs w:val="22"/>
          <w:lang w:val="fr-FR"/>
        </w:rPr>
        <w:t>d)</w:t>
      </w:r>
      <w:r w:rsidRPr="004359B6">
        <w:rPr>
          <w:color w:val="000000"/>
          <w:kern w:val="22"/>
          <w:szCs w:val="22"/>
          <w:lang w:val="fr-FR"/>
        </w:rPr>
        <w:tab/>
      </w:r>
      <w:r w:rsidRPr="004359B6">
        <w:rPr>
          <w:snapToGrid w:val="0"/>
          <w:kern w:val="22"/>
          <w:szCs w:val="22"/>
          <w:lang w:val="fr-FR"/>
        </w:rPr>
        <w:t>Fournir régulièrement aux utilisateurs du Centre d'échange sur l'accès et le partage des avantages, en particulier les correspondants nationaux, les autorités chargées de la publication et les utilisateurs nationaux autorisés, des annonces sur les mises à jour et les changements, ainsi que des informations connexes ;</w:t>
      </w:r>
    </w:p>
    <w:p w14:paraId="7F563E6F" w14:textId="77777777" w:rsidR="00CB424B" w:rsidRPr="004359B6" w:rsidRDefault="00CB424B" w:rsidP="0043391E">
      <w:pPr>
        <w:keepNext/>
        <w:pBdr>
          <w:top w:val="nil"/>
          <w:left w:val="nil"/>
          <w:bottom w:val="nil"/>
          <w:right w:val="nil"/>
          <w:between w:val="nil"/>
          <w:bar w:val="nil"/>
        </w:pBdr>
        <w:spacing w:before="120" w:line="240" w:lineRule="auto"/>
        <w:rPr>
          <w:i/>
          <w:snapToGrid w:val="0"/>
          <w:kern w:val="22"/>
          <w:szCs w:val="22"/>
          <w:lang w:val="fr-FR"/>
        </w:rPr>
      </w:pPr>
      <w:r w:rsidRPr="004359B6">
        <w:rPr>
          <w:i/>
          <w:snapToGrid w:val="0"/>
          <w:kern w:val="22"/>
          <w:szCs w:val="22"/>
          <w:lang w:val="fr-FR"/>
        </w:rPr>
        <w:t>Renforcement des capacités</w:t>
      </w:r>
    </w:p>
    <w:p w14:paraId="2AA62861" w14:textId="77777777" w:rsidR="00CB424B" w:rsidRPr="004359B6" w:rsidRDefault="00CB424B" w:rsidP="0043391E">
      <w:pPr>
        <w:pBdr>
          <w:top w:val="nil"/>
          <w:left w:val="nil"/>
          <w:bottom w:val="nil"/>
          <w:right w:val="nil"/>
          <w:between w:val="nil"/>
          <w:bar w:val="nil"/>
        </w:pBdr>
        <w:spacing w:before="120" w:line="240" w:lineRule="auto"/>
        <w:ind w:firstLine="720"/>
        <w:rPr>
          <w:snapToGrid w:val="0"/>
          <w:kern w:val="22"/>
          <w:szCs w:val="22"/>
          <w:lang w:val="fr-FR"/>
        </w:rPr>
      </w:pPr>
      <w:r w:rsidRPr="004359B6">
        <w:rPr>
          <w:snapToGrid w:val="0"/>
          <w:color w:val="000000"/>
          <w:kern w:val="22"/>
          <w:szCs w:val="22"/>
          <w:lang w:val="fr-FR"/>
        </w:rPr>
        <w:t>a)</w:t>
      </w:r>
      <w:r w:rsidRPr="004359B6">
        <w:rPr>
          <w:snapToGrid w:val="0"/>
          <w:color w:val="000000"/>
          <w:kern w:val="22"/>
          <w:szCs w:val="22"/>
          <w:lang w:val="fr-FR"/>
        </w:rPr>
        <w:tab/>
      </w:r>
      <w:r w:rsidRPr="004359B6">
        <w:rPr>
          <w:snapToGrid w:val="0"/>
          <w:kern w:val="22"/>
          <w:szCs w:val="22"/>
          <w:lang w:val="fr-FR"/>
        </w:rPr>
        <w:t>Diffuser et promouvoir l'utilisation des ressources du Centre d'échange sur l'accès et le partage des avantages pour le renforcement des capacités, y compris le module d'apprentissage en ligne et les guides étape par étape ;</w:t>
      </w:r>
    </w:p>
    <w:p w14:paraId="4367D50C" w14:textId="77777777" w:rsidR="00CB424B" w:rsidRPr="004359B6" w:rsidRDefault="00CB424B" w:rsidP="0043391E">
      <w:pPr>
        <w:pBdr>
          <w:top w:val="nil"/>
          <w:left w:val="nil"/>
          <w:bottom w:val="nil"/>
          <w:right w:val="nil"/>
          <w:between w:val="nil"/>
          <w:bar w:val="nil"/>
        </w:pBdr>
        <w:spacing w:before="120" w:line="240" w:lineRule="auto"/>
        <w:ind w:firstLine="720"/>
        <w:rPr>
          <w:snapToGrid w:val="0"/>
          <w:kern w:val="22"/>
          <w:szCs w:val="22"/>
          <w:lang w:val="fr-FR"/>
        </w:rPr>
      </w:pPr>
      <w:r w:rsidRPr="004359B6">
        <w:rPr>
          <w:snapToGrid w:val="0"/>
          <w:color w:val="000000"/>
          <w:kern w:val="22"/>
          <w:szCs w:val="22"/>
          <w:lang w:val="fr-FR"/>
        </w:rPr>
        <w:t>b)</w:t>
      </w:r>
      <w:r w:rsidRPr="004359B6">
        <w:rPr>
          <w:snapToGrid w:val="0"/>
          <w:color w:val="000000"/>
          <w:kern w:val="22"/>
          <w:szCs w:val="22"/>
          <w:lang w:val="fr-FR"/>
        </w:rPr>
        <w:tab/>
      </w:r>
      <w:r w:rsidRPr="004359B6">
        <w:rPr>
          <w:snapToGrid w:val="0"/>
          <w:kern w:val="22"/>
          <w:szCs w:val="22"/>
          <w:lang w:val="fr-FR"/>
        </w:rPr>
        <w:t>Traduire les ressources sur le renforcement des capacités élaborées par la Secrétaire exécutive pour le Centre d’échange sur l’accès et le partage des avantages, et les mettre à disposition dans toutes les langues officielles des Nations Unies ;</w:t>
      </w:r>
    </w:p>
    <w:p w14:paraId="016515F7" w14:textId="77777777" w:rsidR="00CB424B" w:rsidRPr="004359B6" w:rsidRDefault="00CB424B" w:rsidP="0043391E">
      <w:pPr>
        <w:pBdr>
          <w:top w:val="nil"/>
          <w:left w:val="nil"/>
          <w:bottom w:val="nil"/>
          <w:right w:val="nil"/>
          <w:between w:val="nil"/>
          <w:bar w:val="nil"/>
        </w:pBdr>
        <w:spacing w:before="120" w:line="240" w:lineRule="auto"/>
        <w:ind w:firstLine="720"/>
        <w:rPr>
          <w:snapToGrid w:val="0"/>
          <w:kern w:val="22"/>
          <w:szCs w:val="22"/>
          <w:lang w:val="fr-FR"/>
        </w:rPr>
      </w:pPr>
      <w:r w:rsidRPr="004359B6">
        <w:rPr>
          <w:snapToGrid w:val="0"/>
          <w:color w:val="000000"/>
          <w:kern w:val="22"/>
          <w:szCs w:val="22"/>
          <w:lang w:val="fr-FR"/>
        </w:rPr>
        <w:t>c)</w:t>
      </w:r>
      <w:r w:rsidRPr="004359B6">
        <w:rPr>
          <w:snapToGrid w:val="0"/>
          <w:color w:val="000000"/>
          <w:kern w:val="22"/>
          <w:szCs w:val="22"/>
          <w:lang w:val="fr-FR"/>
        </w:rPr>
        <w:tab/>
      </w:r>
      <w:r w:rsidRPr="004359B6">
        <w:rPr>
          <w:snapToGrid w:val="0"/>
          <w:kern w:val="22"/>
          <w:szCs w:val="22"/>
          <w:lang w:val="fr-FR"/>
        </w:rPr>
        <w:t>Continuer de dispenser une formation en face à face (sous réserve des financements disponibles), ainsi qu'une formation à distance sur demande, selon les besoins ;</w:t>
      </w:r>
    </w:p>
    <w:p w14:paraId="1E0847B9" w14:textId="77777777" w:rsidR="00CB424B" w:rsidRPr="004359B6" w:rsidRDefault="00CB424B" w:rsidP="0043391E">
      <w:pPr>
        <w:pBdr>
          <w:top w:val="nil"/>
          <w:left w:val="nil"/>
          <w:bottom w:val="nil"/>
          <w:right w:val="nil"/>
          <w:between w:val="nil"/>
          <w:bar w:val="nil"/>
        </w:pBdr>
        <w:spacing w:before="120" w:line="240" w:lineRule="auto"/>
        <w:ind w:firstLine="720"/>
        <w:rPr>
          <w:snapToGrid w:val="0"/>
          <w:kern w:val="22"/>
          <w:szCs w:val="22"/>
          <w:lang w:val="fr-FR"/>
        </w:rPr>
      </w:pPr>
      <w:r w:rsidRPr="004359B6">
        <w:rPr>
          <w:snapToGrid w:val="0"/>
          <w:color w:val="000000"/>
          <w:kern w:val="22"/>
          <w:szCs w:val="22"/>
          <w:lang w:val="fr-FR"/>
        </w:rPr>
        <w:t>d)</w:t>
      </w:r>
      <w:r w:rsidRPr="004359B6">
        <w:rPr>
          <w:snapToGrid w:val="0"/>
          <w:color w:val="000000"/>
          <w:kern w:val="22"/>
          <w:szCs w:val="22"/>
          <w:lang w:val="fr-FR"/>
        </w:rPr>
        <w:tab/>
      </w:r>
      <w:r w:rsidRPr="004359B6">
        <w:rPr>
          <w:snapToGrid w:val="0"/>
          <w:kern w:val="22"/>
          <w:szCs w:val="22"/>
          <w:lang w:val="fr-FR"/>
        </w:rPr>
        <w:t>Collaborer avec les partenaires qui élaborent des projets de renforcement des capacités afin de s'assurer qu'y soient comprises des activités pertinentes pour appuyer et promouvoir l'utilisation du Centre d'échange sur l'accès et le partage des avantages ;</w:t>
      </w:r>
    </w:p>
    <w:p w14:paraId="3EB45761" w14:textId="77777777" w:rsidR="00CB424B" w:rsidRPr="004359B6" w:rsidRDefault="00CB424B" w:rsidP="0043391E">
      <w:pPr>
        <w:pBdr>
          <w:top w:val="nil"/>
          <w:left w:val="nil"/>
          <w:bottom w:val="nil"/>
          <w:right w:val="nil"/>
          <w:between w:val="nil"/>
          <w:bar w:val="nil"/>
        </w:pBdr>
        <w:spacing w:before="120" w:line="240" w:lineRule="auto"/>
        <w:ind w:firstLine="720"/>
        <w:rPr>
          <w:snapToGrid w:val="0"/>
          <w:kern w:val="22"/>
          <w:szCs w:val="22"/>
          <w:lang w:val="fr-FR"/>
        </w:rPr>
      </w:pPr>
      <w:r w:rsidRPr="004359B6">
        <w:rPr>
          <w:snapToGrid w:val="0"/>
          <w:color w:val="000000"/>
          <w:kern w:val="22"/>
          <w:szCs w:val="22"/>
          <w:lang w:val="fr-FR"/>
        </w:rPr>
        <w:t>e)</w:t>
      </w:r>
      <w:r w:rsidRPr="004359B6">
        <w:rPr>
          <w:snapToGrid w:val="0"/>
          <w:color w:val="000000"/>
          <w:kern w:val="22"/>
          <w:szCs w:val="22"/>
          <w:lang w:val="fr-FR"/>
        </w:rPr>
        <w:tab/>
      </w:r>
      <w:r w:rsidRPr="004359B6">
        <w:rPr>
          <w:snapToGrid w:val="0"/>
          <w:kern w:val="22"/>
          <w:szCs w:val="22"/>
          <w:lang w:val="fr-FR"/>
        </w:rPr>
        <w:t xml:space="preserve">Faire mieux connaître le Centre d'échange sur l'accès et le partage des avantages aux </w:t>
      </w:r>
      <w:r>
        <w:rPr>
          <w:snapToGrid w:val="0"/>
          <w:kern w:val="22"/>
          <w:szCs w:val="22"/>
          <w:lang w:val="fr-FR"/>
        </w:rPr>
        <w:t xml:space="preserve">peuples </w:t>
      </w:r>
      <w:r w:rsidRPr="004359B6">
        <w:rPr>
          <w:snapToGrid w:val="0"/>
          <w:kern w:val="22"/>
          <w:szCs w:val="22"/>
          <w:lang w:val="fr-FR"/>
        </w:rPr>
        <w:t xml:space="preserve">autochtones et </w:t>
      </w:r>
      <w:r>
        <w:rPr>
          <w:snapToGrid w:val="0"/>
          <w:kern w:val="22"/>
          <w:szCs w:val="22"/>
          <w:lang w:val="fr-FR"/>
        </w:rPr>
        <w:t xml:space="preserve">communautés </w:t>
      </w:r>
      <w:r w:rsidRPr="004359B6">
        <w:rPr>
          <w:snapToGrid w:val="0"/>
          <w:kern w:val="22"/>
          <w:szCs w:val="22"/>
          <w:lang w:val="fr-FR"/>
        </w:rPr>
        <w:t>locales ainsi qu'aux autres parties prenantes concernées, telles que les milieux d'affaires et scientifiques ;</w:t>
      </w:r>
    </w:p>
    <w:p w14:paraId="2788FB0B" w14:textId="77777777" w:rsidR="00CB424B" w:rsidRPr="004359B6" w:rsidRDefault="00CB424B" w:rsidP="0043391E">
      <w:pPr>
        <w:pBdr>
          <w:top w:val="nil"/>
          <w:left w:val="nil"/>
          <w:bottom w:val="nil"/>
          <w:right w:val="nil"/>
          <w:between w:val="nil"/>
          <w:bar w:val="nil"/>
        </w:pBdr>
        <w:spacing w:before="120" w:line="240" w:lineRule="auto"/>
        <w:ind w:firstLine="720"/>
        <w:rPr>
          <w:snapToGrid w:val="0"/>
          <w:kern w:val="22"/>
          <w:szCs w:val="22"/>
          <w:lang w:val="fr-FR"/>
        </w:rPr>
      </w:pPr>
      <w:r w:rsidRPr="004359B6">
        <w:rPr>
          <w:snapToGrid w:val="0"/>
          <w:color w:val="000000"/>
          <w:kern w:val="22"/>
          <w:szCs w:val="22"/>
          <w:lang w:val="fr-FR"/>
        </w:rPr>
        <w:t>f)</w:t>
      </w:r>
      <w:r w:rsidRPr="004359B6">
        <w:rPr>
          <w:snapToGrid w:val="0"/>
          <w:color w:val="000000"/>
          <w:kern w:val="22"/>
          <w:szCs w:val="22"/>
          <w:lang w:val="fr-FR"/>
        </w:rPr>
        <w:tab/>
      </w:r>
      <w:r w:rsidRPr="004359B6">
        <w:rPr>
          <w:snapToGrid w:val="0"/>
          <w:kern w:val="22"/>
          <w:szCs w:val="22"/>
          <w:lang w:val="fr-FR"/>
        </w:rPr>
        <w:t>Faire mieux connaître le Centre d'échange sur l'accès et le partage des avantages dans les instances internationales compétentes traitant de questions liées à l'accès et au partage des avantages ;</w:t>
      </w:r>
    </w:p>
    <w:p w14:paraId="4D13AC36" w14:textId="77777777" w:rsidR="00CB424B" w:rsidRPr="004359B6" w:rsidRDefault="00CB424B" w:rsidP="0043391E">
      <w:pPr>
        <w:keepNext/>
        <w:pBdr>
          <w:top w:val="nil"/>
          <w:left w:val="nil"/>
          <w:bottom w:val="nil"/>
          <w:right w:val="nil"/>
          <w:between w:val="nil"/>
          <w:bar w:val="nil"/>
        </w:pBdr>
        <w:spacing w:before="120" w:line="240" w:lineRule="auto"/>
        <w:rPr>
          <w:i/>
          <w:snapToGrid w:val="0"/>
          <w:kern w:val="22"/>
          <w:szCs w:val="22"/>
          <w:lang w:val="fr-FR"/>
        </w:rPr>
      </w:pPr>
      <w:r w:rsidRPr="004359B6">
        <w:rPr>
          <w:i/>
          <w:snapToGrid w:val="0"/>
          <w:kern w:val="22"/>
          <w:szCs w:val="22"/>
          <w:lang w:val="fr-FR"/>
        </w:rPr>
        <w:t>Interopérabilité et collaboration</w:t>
      </w:r>
    </w:p>
    <w:p w14:paraId="06C27DF2" w14:textId="77777777" w:rsidR="00CB424B" w:rsidRPr="004359B6" w:rsidRDefault="00CB424B" w:rsidP="0043391E">
      <w:pPr>
        <w:pBdr>
          <w:top w:val="nil"/>
          <w:left w:val="nil"/>
          <w:bottom w:val="nil"/>
          <w:right w:val="nil"/>
          <w:between w:val="nil"/>
          <w:bar w:val="nil"/>
        </w:pBdr>
        <w:tabs>
          <w:tab w:val="left" w:pos="1260"/>
        </w:tabs>
        <w:spacing w:before="120" w:line="240" w:lineRule="auto"/>
        <w:ind w:firstLine="720"/>
        <w:rPr>
          <w:snapToGrid w:val="0"/>
          <w:kern w:val="22"/>
          <w:szCs w:val="22"/>
          <w:lang w:val="fr-FR"/>
        </w:rPr>
      </w:pPr>
      <w:r w:rsidRPr="004359B6">
        <w:rPr>
          <w:snapToGrid w:val="0"/>
          <w:color w:val="000000"/>
          <w:kern w:val="22"/>
          <w:szCs w:val="22"/>
          <w:lang w:val="fr-FR"/>
        </w:rPr>
        <w:t>a)</w:t>
      </w:r>
      <w:r w:rsidRPr="004359B6">
        <w:rPr>
          <w:snapToGrid w:val="0"/>
          <w:color w:val="000000"/>
          <w:kern w:val="22"/>
          <w:szCs w:val="22"/>
          <w:lang w:val="fr-FR"/>
        </w:rPr>
        <w:tab/>
      </w:r>
      <w:r w:rsidRPr="004359B6">
        <w:rPr>
          <w:snapToGrid w:val="0"/>
          <w:kern w:val="22"/>
          <w:szCs w:val="22"/>
          <w:lang w:val="fr-FR"/>
        </w:rPr>
        <w:t>Continuer de sensibiliser et soutenir le renforcement des capacités en ce qui concerne l'utilisation des mécanismes d'interopérabilité tels que l'interface de programmation d'applications (API), notamment en fournissant des documents pertinents, tels que les enseignements tirés et les exemples ;</w:t>
      </w:r>
    </w:p>
    <w:p w14:paraId="6E6656B9" w14:textId="77777777" w:rsidR="00CB424B" w:rsidRPr="004359B6" w:rsidRDefault="00CB424B" w:rsidP="0043391E">
      <w:pPr>
        <w:pBdr>
          <w:top w:val="nil"/>
          <w:left w:val="nil"/>
          <w:bottom w:val="nil"/>
          <w:right w:val="nil"/>
          <w:between w:val="nil"/>
          <w:bar w:val="nil"/>
        </w:pBdr>
        <w:tabs>
          <w:tab w:val="left" w:pos="1260"/>
        </w:tabs>
        <w:spacing w:before="120" w:line="240" w:lineRule="auto"/>
        <w:ind w:firstLine="720"/>
        <w:rPr>
          <w:snapToGrid w:val="0"/>
          <w:kern w:val="22"/>
          <w:szCs w:val="22"/>
          <w:lang w:val="fr-FR"/>
        </w:rPr>
      </w:pPr>
      <w:r w:rsidRPr="004359B6">
        <w:rPr>
          <w:snapToGrid w:val="0"/>
          <w:color w:val="000000"/>
          <w:kern w:val="22"/>
          <w:szCs w:val="22"/>
          <w:lang w:val="fr-FR"/>
        </w:rPr>
        <w:t>b)</w:t>
      </w:r>
      <w:r w:rsidRPr="004359B6">
        <w:rPr>
          <w:snapToGrid w:val="0"/>
          <w:color w:val="000000"/>
          <w:kern w:val="22"/>
          <w:szCs w:val="22"/>
          <w:lang w:val="fr-FR"/>
        </w:rPr>
        <w:tab/>
      </w:r>
      <w:r w:rsidRPr="004359B6">
        <w:rPr>
          <w:snapToGrid w:val="0"/>
          <w:kern w:val="22"/>
          <w:szCs w:val="22"/>
          <w:lang w:val="fr-FR"/>
        </w:rPr>
        <w:t>Faciliter l'échange d'informations avec les bases de données et systèmes nationaux pertinents ;</w:t>
      </w:r>
    </w:p>
    <w:p w14:paraId="6719DEAE" w14:textId="77777777" w:rsidR="00CB424B" w:rsidRPr="004359B6" w:rsidRDefault="00CB424B" w:rsidP="0043391E">
      <w:pPr>
        <w:pBdr>
          <w:top w:val="nil"/>
          <w:left w:val="nil"/>
          <w:bottom w:val="nil"/>
          <w:right w:val="nil"/>
          <w:between w:val="nil"/>
          <w:bar w:val="nil"/>
        </w:pBdr>
        <w:tabs>
          <w:tab w:val="left" w:pos="1260"/>
        </w:tabs>
        <w:spacing w:before="120" w:line="240" w:lineRule="auto"/>
        <w:ind w:firstLine="720"/>
        <w:rPr>
          <w:noProof/>
          <w:snapToGrid w:val="0"/>
          <w:kern w:val="22"/>
          <w:szCs w:val="22"/>
          <w:lang w:val="fr-FR"/>
        </w:rPr>
      </w:pPr>
      <w:r w:rsidRPr="004359B6">
        <w:rPr>
          <w:snapToGrid w:val="0"/>
          <w:kern w:val="22"/>
          <w:szCs w:val="22"/>
          <w:lang w:val="fr-FR"/>
        </w:rPr>
        <w:t>c)</w:t>
      </w:r>
      <w:r w:rsidRPr="004359B6">
        <w:rPr>
          <w:snapToGrid w:val="0"/>
          <w:kern w:val="22"/>
          <w:szCs w:val="22"/>
          <w:lang w:val="fr-FR"/>
        </w:rPr>
        <w:tab/>
      </w:r>
      <w:r w:rsidRPr="004359B6">
        <w:rPr>
          <w:noProof/>
          <w:snapToGrid w:val="0"/>
          <w:kern w:val="22"/>
          <w:szCs w:val="22"/>
          <w:lang w:val="fr-FR"/>
        </w:rPr>
        <w:t>Examiner comment utiliser l'outil Bioland pour faciliter l'échange d'informations relatives à l'accès et au partage des avantages dans le cadre des mécanismes nationaux d'échange d'informations ;</w:t>
      </w:r>
    </w:p>
    <w:p w14:paraId="6680B391" w14:textId="77777777" w:rsidR="00CB424B" w:rsidRPr="004359B6" w:rsidRDefault="00CB424B" w:rsidP="0043391E">
      <w:pPr>
        <w:pBdr>
          <w:top w:val="nil"/>
          <w:left w:val="nil"/>
          <w:bottom w:val="nil"/>
          <w:right w:val="nil"/>
          <w:between w:val="nil"/>
          <w:bar w:val="nil"/>
        </w:pBdr>
        <w:tabs>
          <w:tab w:val="left" w:pos="1260"/>
        </w:tabs>
        <w:spacing w:before="120" w:line="240" w:lineRule="auto"/>
        <w:ind w:firstLine="720"/>
        <w:rPr>
          <w:noProof/>
          <w:snapToGrid w:val="0"/>
          <w:kern w:val="22"/>
          <w:szCs w:val="22"/>
          <w:lang w:val="fr-FR"/>
        </w:rPr>
      </w:pPr>
      <w:r w:rsidRPr="004359B6">
        <w:rPr>
          <w:noProof/>
          <w:snapToGrid w:val="0"/>
          <w:color w:val="000000"/>
          <w:kern w:val="22"/>
          <w:szCs w:val="22"/>
          <w:lang w:val="fr-FR"/>
        </w:rPr>
        <w:lastRenderedPageBreak/>
        <w:t>d)</w:t>
      </w:r>
      <w:r w:rsidRPr="004359B6">
        <w:rPr>
          <w:noProof/>
          <w:snapToGrid w:val="0"/>
          <w:color w:val="000000"/>
          <w:kern w:val="22"/>
          <w:szCs w:val="22"/>
          <w:lang w:val="fr-FR"/>
        </w:rPr>
        <w:tab/>
      </w:r>
      <w:r w:rsidRPr="004359B6">
        <w:rPr>
          <w:noProof/>
          <w:snapToGrid w:val="0"/>
          <w:kern w:val="22"/>
          <w:szCs w:val="22"/>
          <w:lang w:val="fr-FR"/>
        </w:rPr>
        <w:t>Continuer de collaborer avec les instruments et initiatives pertinents (tels que le Traité international sur les ressources phytogénétiques pour l'alimentation et l'agriculture–Système mondial d'information, InforMEA, la World Federation for Culture Collections) ;</w:t>
      </w:r>
    </w:p>
    <w:p w14:paraId="7275B344" w14:textId="77777777" w:rsidR="00CB424B" w:rsidRPr="004359B6" w:rsidRDefault="00CB424B" w:rsidP="0043391E">
      <w:pPr>
        <w:keepNext/>
        <w:pBdr>
          <w:top w:val="nil"/>
          <w:left w:val="nil"/>
          <w:bottom w:val="nil"/>
          <w:right w:val="nil"/>
          <w:between w:val="nil"/>
          <w:bar w:val="nil"/>
        </w:pBdr>
        <w:spacing w:before="120" w:line="240" w:lineRule="auto"/>
        <w:ind w:left="864" w:hanging="864"/>
        <w:rPr>
          <w:b/>
          <w:snapToGrid w:val="0"/>
          <w:kern w:val="22"/>
          <w:szCs w:val="22"/>
          <w:lang w:val="fr-FR"/>
        </w:rPr>
      </w:pPr>
      <w:r w:rsidRPr="004359B6">
        <w:rPr>
          <w:b/>
          <w:snapToGrid w:val="0"/>
          <w:kern w:val="22"/>
          <w:szCs w:val="22"/>
          <w:lang w:val="fr-FR"/>
        </w:rPr>
        <w:t>Objectif n° 2.</w:t>
      </w:r>
      <w:r w:rsidRPr="004359B6">
        <w:rPr>
          <w:b/>
          <w:snapToGrid w:val="0"/>
          <w:kern w:val="22"/>
          <w:szCs w:val="22"/>
          <w:lang w:val="fr-FR"/>
        </w:rPr>
        <w:tab/>
        <w:t>Traduction et fonctionnalité pour rendre opérationnel le Centre d'échange sur l'accès et le partage des avantages dans les six langues officielles des Nations Unies</w:t>
      </w:r>
    </w:p>
    <w:p w14:paraId="286B1FA1" w14:textId="77777777" w:rsidR="00CB424B" w:rsidRPr="004359B6" w:rsidRDefault="00CB424B" w:rsidP="0043391E">
      <w:pPr>
        <w:pBdr>
          <w:top w:val="nil"/>
          <w:left w:val="nil"/>
          <w:bottom w:val="nil"/>
          <w:right w:val="nil"/>
          <w:between w:val="nil"/>
          <w:bar w:val="nil"/>
        </w:pBdr>
        <w:tabs>
          <w:tab w:val="left" w:pos="1260"/>
        </w:tabs>
        <w:spacing w:before="120" w:line="240" w:lineRule="auto"/>
        <w:ind w:firstLine="720"/>
        <w:rPr>
          <w:snapToGrid w:val="0"/>
          <w:kern w:val="22"/>
          <w:szCs w:val="22"/>
          <w:lang w:val="fr-FR"/>
        </w:rPr>
      </w:pPr>
      <w:r w:rsidRPr="004359B6">
        <w:rPr>
          <w:snapToGrid w:val="0"/>
          <w:color w:val="000000"/>
          <w:kern w:val="22"/>
          <w:szCs w:val="22"/>
          <w:lang w:val="fr-FR"/>
        </w:rPr>
        <w:t>a)</w:t>
      </w:r>
      <w:r w:rsidRPr="004359B6">
        <w:rPr>
          <w:snapToGrid w:val="0"/>
          <w:color w:val="000000"/>
          <w:kern w:val="22"/>
          <w:szCs w:val="22"/>
          <w:lang w:val="fr-FR"/>
        </w:rPr>
        <w:tab/>
      </w:r>
      <w:r w:rsidRPr="004359B6">
        <w:rPr>
          <w:snapToGrid w:val="0"/>
          <w:kern w:val="22"/>
          <w:szCs w:val="22"/>
          <w:lang w:val="fr-FR"/>
        </w:rPr>
        <w:t>Poursuivre en priorité la traduction du Centre d'échange sur l'accès et le partage des avantages ;</w:t>
      </w:r>
    </w:p>
    <w:p w14:paraId="30A93AEE" w14:textId="77777777" w:rsidR="00CB424B" w:rsidRPr="004359B6" w:rsidRDefault="00CB424B" w:rsidP="0043391E">
      <w:pPr>
        <w:pBdr>
          <w:top w:val="nil"/>
          <w:left w:val="nil"/>
          <w:bottom w:val="nil"/>
          <w:right w:val="nil"/>
          <w:between w:val="nil"/>
          <w:bar w:val="nil"/>
        </w:pBdr>
        <w:tabs>
          <w:tab w:val="left" w:pos="1260"/>
        </w:tabs>
        <w:spacing w:before="120" w:line="240" w:lineRule="auto"/>
        <w:ind w:firstLine="720"/>
        <w:rPr>
          <w:snapToGrid w:val="0"/>
          <w:kern w:val="22"/>
          <w:szCs w:val="22"/>
          <w:lang w:val="fr-FR"/>
        </w:rPr>
      </w:pPr>
      <w:r w:rsidRPr="004359B6">
        <w:rPr>
          <w:snapToGrid w:val="0"/>
          <w:color w:val="000000"/>
          <w:kern w:val="22"/>
          <w:szCs w:val="22"/>
          <w:lang w:val="fr-FR"/>
        </w:rPr>
        <w:t>b)</w:t>
      </w:r>
      <w:r w:rsidRPr="004359B6">
        <w:rPr>
          <w:snapToGrid w:val="0"/>
          <w:color w:val="000000"/>
          <w:kern w:val="22"/>
          <w:szCs w:val="22"/>
          <w:lang w:val="fr-FR"/>
        </w:rPr>
        <w:tab/>
      </w:r>
      <w:r w:rsidRPr="004359B6">
        <w:rPr>
          <w:snapToGrid w:val="0"/>
          <w:kern w:val="22"/>
          <w:szCs w:val="22"/>
          <w:lang w:val="fr-FR"/>
        </w:rPr>
        <w:t>Veiller à ce que des mécanismes et des procédures normalisées demeurent en place pour que la traduction du site Web puisse se poursuivre en temps voulu.</w:t>
      </w:r>
    </w:p>
    <w:p w14:paraId="67469553" w14:textId="77777777" w:rsidR="00CB424B" w:rsidRPr="004359B6" w:rsidRDefault="00CB424B" w:rsidP="0043391E">
      <w:pPr>
        <w:keepNext/>
        <w:pBdr>
          <w:top w:val="nil"/>
          <w:left w:val="nil"/>
          <w:bottom w:val="nil"/>
          <w:right w:val="nil"/>
          <w:between w:val="nil"/>
          <w:bar w:val="nil"/>
        </w:pBdr>
        <w:spacing w:before="120" w:line="240" w:lineRule="auto"/>
        <w:ind w:left="864" w:hanging="864"/>
        <w:rPr>
          <w:b/>
          <w:snapToGrid w:val="0"/>
          <w:kern w:val="22"/>
          <w:szCs w:val="22"/>
          <w:lang w:val="fr-FR"/>
        </w:rPr>
      </w:pPr>
      <w:r w:rsidRPr="004359B6">
        <w:rPr>
          <w:b/>
          <w:snapToGrid w:val="0"/>
          <w:kern w:val="22"/>
          <w:szCs w:val="22"/>
          <w:lang w:val="fr-FR"/>
        </w:rPr>
        <w:t>Objectif n°3.</w:t>
      </w:r>
      <w:r w:rsidRPr="004359B6">
        <w:rPr>
          <w:b/>
          <w:snapToGrid w:val="0"/>
          <w:kern w:val="22"/>
          <w:szCs w:val="22"/>
          <w:lang w:val="fr-FR"/>
        </w:rPr>
        <w:tab/>
        <w:t>Maintenance et amélioration de la fonctionnalité</w:t>
      </w:r>
    </w:p>
    <w:p w14:paraId="19DB7B54" w14:textId="77777777" w:rsidR="00CB424B" w:rsidRPr="004359B6" w:rsidRDefault="00CB424B" w:rsidP="0043391E">
      <w:pPr>
        <w:pBdr>
          <w:top w:val="nil"/>
          <w:left w:val="nil"/>
          <w:bottom w:val="nil"/>
          <w:right w:val="nil"/>
          <w:between w:val="nil"/>
          <w:bar w:val="nil"/>
        </w:pBdr>
        <w:tabs>
          <w:tab w:val="left" w:pos="1260"/>
        </w:tabs>
        <w:spacing w:before="120" w:line="240" w:lineRule="auto"/>
        <w:ind w:firstLine="720"/>
        <w:rPr>
          <w:snapToGrid w:val="0"/>
          <w:kern w:val="22"/>
          <w:szCs w:val="22"/>
          <w:lang w:val="fr-FR"/>
        </w:rPr>
      </w:pPr>
      <w:r w:rsidRPr="004359B6">
        <w:rPr>
          <w:snapToGrid w:val="0"/>
          <w:color w:val="000000"/>
          <w:kern w:val="22"/>
          <w:szCs w:val="22"/>
          <w:lang w:val="fr-FR"/>
        </w:rPr>
        <w:t>a)</w:t>
      </w:r>
      <w:r w:rsidRPr="004359B6">
        <w:rPr>
          <w:snapToGrid w:val="0"/>
          <w:color w:val="000000"/>
          <w:kern w:val="22"/>
          <w:szCs w:val="22"/>
          <w:lang w:val="fr-FR"/>
        </w:rPr>
        <w:tab/>
      </w:r>
      <w:r w:rsidRPr="004359B6">
        <w:rPr>
          <w:snapToGrid w:val="0"/>
          <w:kern w:val="22"/>
          <w:szCs w:val="22"/>
          <w:lang w:val="fr-FR"/>
        </w:rPr>
        <w:t>Maintenir et améliorer les fonctionnalités et régler les questions en suspens ;</w:t>
      </w:r>
    </w:p>
    <w:p w14:paraId="141707C1" w14:textId="77777777" w:rsidR="00CB424B" w:rsidRPr="004359B6" w:rsidRDefault="00CB424B" w:rsidP="0043391E">
      <w:pPr>
        <w:pBdr>
          <w:top w:val="nil"/>
          <w:left w:val="nil"/>
          <w:bottom w:val="nil"/>
          <w:right w:val="nil"/>
          <w:between w:val="nil"/>
          <w:bar w:val="nil"/>
        </w:pBdr>
        <w:tabs>
          <w:tab w:val="left" w:pos="1260"/>
        </w:tabs>
        <w:spacing w:before="120" w:line="240" w:lineRule="auto"/>
        <w:ind w:firstLine="720"/>
        <w:rPr>
          <w:snapToGrid w:val="0"/>
          <w:kern w:val="22"/>
          <w:szCs w:val="22"/>
          <w:lang w:val="fr-FR"/>
        </w:rPr>
      </w:pPr>
      <w:r w:rsidRPr="004359B6">
        <w:rPr>
          <w:snapToGrid w:val="0"/>
          <w:color w:val="000000"/>
          <w:kern w:val="22"/>
          <w:szCs w:val="22"/>
          <w:lang w:val="fr-FR"/>
        </w:rPr>
        <w:t>b)</w:t>
      </w:r>
      <w:r w:rsidRPr="004359B6">
        <w:rPr>
          <w:snapToGrid w:val="0"/>
          <w:color w:val="000000"/>
          <w:kern w:val="22"/>
          <w:szCs w:val="22"/>
          <w:lang w:val="fr-FR"/>
        </w:rPr>
        <w:tab/>
      </w:r>
      <w:r w:rsidRPr="004359B6">
        <w:rPr>
          <w:snapToGrid w:val="0"/>
          <w:kern w:val="22"/>
          <w:szCs w:val="22"/>
          <w:lang w:val="fr-FR"/>
        </w:rPr>
        <w:t>Finaliser la documentation de l'interface de programmation d'applications, principal mécanisme d'interopérabilité ;</w:t>
      </w:r>
    </w:p>
    <w:p w14:paraId="52914078" w14:textId="77777777" w:rsidR="00CB424B" w:rsidRPr="004359B6" w:rsidRDefault="00CB424B" w:rsidP="0043391E">
      <w:pPr>
        <w:pBdr>
          <w:top w:val="nil"/>
          <w:left w:val="nil"/>
          <w:bottom w:val="nil"/>
          <w:right w:val="nil"/>
          <w:between w:val="nil"/>
          <w:bar w:val="nil"/>
        </w:pBdr>
        <w:tabs>
          <w:tab w:val="left" w:pos="1260"/>
        </w:tabs>
        <w:spacing w:before="120" w:line="240" w:lineRule="auto"/>
        <w:ind w:firstLine="720"/>
        <w:rPr>
          <w:snapToGrid w:val="0"/>
          <w:kern w:val="22"/>
          <w:szCs w:val="22"/>
          <w:lang w:val="fr-FR"/>
        </w:rPr>
      </w:pPr>
      <w:r w:rsidRPr="004359B6">
        <w:rPr>
          <w:snapToGrid w:val="0"/>
          <w:color w:val="000000"/>
          <w:kern w:val="22"/>
          <w:szCs w:val="22"/>
          <w:lang w:val="fr-FR"/>
        </w:rPr>
        <w:t>c)</w:t>
      </w:r>
      <w:r w:rsidRPr="004359B6">
        <w:rPr>
          <w:snapToGrid w:val="0"/>
          <w:color w:val="000000"/>
          <w:kern w:val="22"/>
          <w:szCs w:val="22"/>
          <w:lang w:val="fr-FR"/>
        </w:rPr>
        <w:tab/>
      </w:r>
      <w:r w:rsidRPr="004359B6">
        <w:rPr>
          <w:snapToGrid w:val="0"/>
          <w:kern w:val="22"/>
          <w:szCs w:val="22"/>
          <w:lang w:val="fr-FR"/>
        </w:rPr>
        <w:t xml:space="preserve">Améliorer la fonction de recherche afin de trier et de regrouper les dossiers, ainsi que d'explorer, d'analyser et de présenter l'information publiée de manière utile, y compris l'information relative au renforcement des capacités, </w:t>
      </w:r>
      <w:r>
        <w:rPr>
          <w:snapToGrid w:val="0"/>
          <w:kern w:val="22"/>
          <w:szCs w:val="22"/>
          <w:lang w:val="fr-FR"/>
        </w:rPr>
        <w:t>et l’utilisation</w:t>
      </w:r>
      <w:r w:rsidRPr="004359B6">
        <w:rPr>
          <w:snapToGrid w:val="0"/>
          <w:kern w:val="22"/>
          <w:szCs w:val="22"/>
          <w:lang w:val="fr-FR"/>
        </w:rPr>
        <w:t xml:space="preserve"> de cartes, de tableaux et de graphiques, selon le cas ;</w:t>
      </w:r>
    </w:p>
    <w:p w14:paraId="29630EC4" w14:textId="77777777" w:rsidR="00CB424B" w:rsidRPr="004359B6" w:rsidRDefault="00CB424B" w:rsidP="0043391E">
      <w:pPr>
        <w:pBdr>
          <w:top w:val="nil"/>
          <w:left w:val="nil"/>
          <w:bottom w:val="nil"/>
          <w:right w:val="nil"/>
          <w:between w:val="nil"/>
          <w:bar w:val="nil"/>
        </w:pBdr>
        <w:tabs>
          <w:tab w:val="left" w:pos="1260"/>
        </w:tabs>
        <w:spacing w:before="120" w:line="240" w:lineRule="auto"/>
        <w:ind w:firstLine="720"/>
        <w:rPr>
          <w:snapToGrid w:val="0"/>
          <w:kern w:val="22"/>
          <w:szCs w:val="22"/>
          <w:lang w:val="fr-FR"/>
        </w:rPr>
      </w:pPr>
      <w:r w:rsidRPr="004359B6">
        <w:rPr>
          <w:snapToGrid w:val="0"/>
          <w:color w:val="000000"/>
          <w:kern w:val="22"/>
          <w:szCs w:val="22"/>
          <w:lang w:val="fr-FR"/>
        </w:rPr>
        <w:t>d)</w:t>
      </w:r>
      <w:r w:rsidRPr="004359B6">
        <w:rPr>
          <w:snapToGrid w:val="0"/>
          <w:color w:val="000000"/>
          <w:kern w:val="22"/>
          <w:szCs w:val="22"/>
          <w:lang w:val="fr-FR"/>
        </w:rPr>
        <w:tab/>
      </w:r>
      <w:r w:rsidRPr="004359B6">
        <w:rPr>
          <w:snapToGrid w:val="0"/>
          <w:kern w:val="22"/>
          <w:szCs w:val="22"/>
          <w:lang w:val="fr-FR"/>
        </w:rPr>
        <w:t>Améliorer la gestion des vocabulaires communs (thésaurus), y compris la façon dont les informations sont balisées avec des mots-clés pour améliorer la recherche d'informations ;</w:t>
      </w:r>
    </w:p>
    <w:p w14:paraId="583A4081" w14:textId="77777777" w:rsidR="00CB424B" w:rsidRPr="004359B6" w:rsidRDefault="00CB424B" w:rsidP="0043391E">
      <w:pPr>
        <w:pBdr>
          <w:top w:val="nil"/>
          <w:left w:val="nil"/>
          <w:bottom w:val="nil"/>
          <w:right w:val="nil"/>
          <w:between w:val="nil"/>
          <w:bar w:val="nil"/>
        </w:pBdr>
        <w:tabs>
          <w:tab w:val="left" w:pos="1260"/>
        </w:tabs>
        <w:spacing w:before="120" w:line="240" w:lineRule="auto"/>
        <w:ind w:firstLine="709"/>
        <w:rPr>
          <w:snapToGrid w:val="0"/>
          <w:kern w:val="22"/>
          <w:szCs w:val="22"/>
          <w:lang w:val="fr-FR"/>
        </w:rPr>
      </w:pPr>
      <w:r w:rsidRPr="004359B6">
        <w:rPr>
          <w:snapToGrid w:val="0"/>
          <w:color w:val="000000"/>
          <w:kern w:val="22"/>
          <w:szCs w:val="22"/>
          <w:lang w:val="fr-FR"/>
        </w:rPr>
        <w:t>e)</w:t>
      </w:r>
      <w:r w:rsidRPr="004359B6">
        <w:rPr>
          <w:snapToGrid w:val="0"/>
          <w:color w:val="000000"/>
          <w:kern w:val="22"/>
          <w:szCs w:val="22"/>
          <w:lang w:val="fr-FR"/>
        </w:rPr>
        <w:tab/>
      </w:r>
      <w:r w:rsidRPr="004359B6">
        <w:rPr>
          <w:snapToGrid w:val="0"/>
          <w:kern w:val="22"/>
          <w:szCs w:val="22"/>
          <w:lang w:val="fr-FR"/>
        </w:rPr>
        <w:t>Améliorer l'analyse des sites Web pour y inclure le suivi des téléchargements et des visualisations des différents dossiers et des fichiers qui y sont joints, et fournir aux utilisateurs nationaux des analyses et des informations pertinentes ;</w:t>
      </w:r>
    </w:p>
    <w:p w14:paraId="4DC983C2" w14:textId="77777777" w:rsidR="00CB424B" w:rsidRPr="004359B6" w:rsidRDefault="00CB424B" w:rsidP="0043391E">
      <w:pPr>
        <w:pBdr>
          <w:top w:val="nil"/>
          <w:left w:val="nil"/>
          <w:bottom w:val="nil"/>
          <w:right w:val="nil"/>
          <w:between w:val="nil"/>
          <w:bar w:val="nil"/>
        </w:pBdr>
        <w:tabs>
          <w:tab w:val="left" w:pos="1260"/>
        </w:tabs>
        <w:spacing w:before="120" w:line="240" w:lineRule="auto"/>
        <w:ind w:firstLine="709"/>
        <w:rPr>
          <w:snapToGrid w:val="0"/>
          <w:kern w:val="22"/>
          <w:szCs w:val="22"/>
          <w:lang w:val="fr-FR"/>
        </w:rPr>
      </w:pPr>
      <w:r w:rsidRPr="004359B6">
        <w:rPr>
          <w:snapToGrid w:val="0"/>
          <w:color w:val="000000"/>
          <w:kern w:val="22"/>
          <w:szCs w:val="22"/>
          <w:lang w:val="fr-FR"/>
        </w:rPr>
        <w:t>f)</w:t>
      </w:r>
      <w:r w:rsidRPr="004359B6">
        <w:rPr>
          <w:snapToGrid w:val="0"/>
          <w:color w:val="000000"/>
          <w:kern w:val="22"/>
          <w:szCs w:val="22"/>
          <w:lang w:val="fr-FR"/>
        </w:rPr>
        <w:tab/>
      </w:r>
      <w:r w:rsidRPr="004359B6">
        <w:rPr>
          <w:snapToGrid w:val="0"/>
          <w:kern w:val="22"/>
          <w:szCs w:val="22"/>
          <w:lang w:val="fr-FR"/>
        </w:rPr>
        <w:t>Améliorer la fonctionnalité pour faciliter la mise à jour des dossiers qui contiennent des références à d'anciennes versions des dossiers ;</w:t>
      </w:r>
    </w:p>
    <w:p w14:paraId="46D07CB9" w14:textId="77777777" w:rsidR="00CB424B" w:rsidRPr="004359B6" w:rsidRDefault="00CB424B" w:rsidP="0043391E">
      <w:pPr>
        <w:keepNext/>
        <w:pBdr>
          <w:top w:val="nil"/>
          <w:left w:val="nil"/>
          <w:bottom w:val="nil"/>
          <w:right w:val="nil"/>
          <w:between w:val="nil"/>
          <w:bar w:val="nil"/>
        </w:pBdr>
        <w:spacing w:before="120" w:line="240" w:lineRule="auto"/>
        <w:ind w:left="864" w:hanging="864"/>
        <w:rPr>
          <w:b/>
          <w:snapToGrid w:val="0"/>
          <w:kern w:val="22"/>
          <w:szCs w:val="22"/>
          <w:lang w:val="fr-FR"/>
        </w:rPr>
      </w:pPr>
      <w:r w:rsidRPr="004359B6">
        <w:rPr>
          <w:b/>
          <w:snapToGrid w:val="0"/>
          <w:kern w:val="22"/>
          <w:szCs w:val="22"/>
          <w:lang w:val="fr-FR"/>
        </w:rPr>
        <w:t>Objectif n°4.</w:t>
      </w:r>
      <w:r w:rsidRPr="004359B6">
        <w:rPr>
          <w:b/>
          <w:snapToGrid w:val="0"/>
          <w:kern w:val="22"/>
          <w:szCs w:val="22"/>
          <w:lang w:val="fr-FR"/>
        </w:rPr>
        <w:tab/>
        <w:t xml:space="preserve">Intégration au </w:t>
      </w:r>
      <w:r w:rsidRPr="00E073BD">
        <w:rPr>
          <w:b/>
          <w:snapToGrid w:val="0"/>
          <w:kern w:val="22"/>
          <w:szCs w:val="22"/>
          <w:lang w:val="fr-FR"/>
        </w:rPr>
        <w:t>Centre</w:t>
      </w:r>
      <w:r w:rsidRPr="004359B6">
        <w:rPr>
          <w:b/>
          <w:snapToGrid w:val="0"/>
          <w:kern w:val="22"/>
          <w:szCs w:val="22"/>
          <w:lang w:val="fr-FR"/>
        </w:rPr>
        <w:t xml:space="preserve"> d'échange</w:t>
      </w:r>
    </w:p>
    <w:p w14:paraId="474D977A" w14:textId="77777777" w:rsidR="00CB424B" w:rsidRPr="004359B6" w:rsidRDefault="00CB424B" w:rsidP="0043391E">
      <w:pPr>
        <w:pBdr>
          <w:top w:val="nil"/>
          <w:left w:val="nil"/>
          <w:bottom w:val="nil"/>
          <w:right w:val="nil"/>
          <w:between w:val="nil"/>
          <w:bar w:val="nil"/>
        </w:pBdr>
        <w:tabs>
          <w:tab w:val="left" w:pos="1260"/>
        </w:tabs>
        <w:spacing w:before="120" w:line="240" w:lineRule="auto"/>
        <w:ind w:firstLine="720"/>
        <w:rPr>
          <w:snapToGrid w:val="0"/>
          <w:kern w:val="22"/>
          <w:szCs w:val="22"/>
          <w:lang w:val="fr-FR"/>
        </w:rPr>
      </w:pPr>
      <w:r w:rsidRPr="004359B6">
        <w:rPr>
          <w:snapToGrid w:val="0"/>
          <w:color w:val="000000"/>
          <w:kern w:val="22"/>
          <w:szCs w:val="22"/>
          <w:lang w:val="fr-FR"/>
        </w:rPr>
        <w:t>a)</w:t>
      </w:r>
      <w:r w:rsidRPr="004359B6">
        <w:rPr>
          <w:snapToGrid w:val="0"/>
          <w:color w:val="000000"/>
          <w:kern w:val="22"/>
          <w:szCs w:val="22"/>
          <w:lang w:val="fr-FR"/>
        </w:rPr>
        <w:tab/>
      </w:r>
      <w:r w:rsidRPr="004359B6">
        <w:rPr>
          <w:snapToGrid w:val="0"/>
          <w:kern w:val="22"/>
          <w:szCs w:val="22"/>
          <w:lang w:val="fr-FR"/>
        </w:rPr>
        <w:t>Continuer à soutenir la mise en œuvre de la stratégie Web de la CDB ;</w:t>
      </w:r>
    </w:p>
    <w:p w14:paraId="507A0FA6" w14:textId="06B90E19" w:rsidR="009F5D7B" w:rsidRPr="00CB424B" w:rsidRDefault="00CB424B" w:rsidP="0043391E">
      <w:pPr>
        <w:pBdr>
          <w:top w:val="nil"/>
          <w:left w:val="nil"/>
          <w:bottom w:val="nil"/>
          <w:right w:val="nil"/>
          <w:between w:val="nil"/>
          <w:bar w:val="nil"/>
        </w:pBdr>
        <w:tabs>
          <w:tab w:val="left" w:pos="1260"/>
        </w:tabs>
        <w:spacing w:before="120" w:line="240" w:lineRule="auto"/>
        <w:ind w:firstLine="720"/>
        <w:rPr>
          <w:snapToGrid w:val="0"/>
          <w:kern w:val="22"/>
          <w:szCs w:val="22"/>
          <w:lang w:val="fr-CA"/>
        </w:rPr>
      </w:pPr>
      <w:r>
        <w:rPr>
          <w:snapToGrid w:val="0"/>
          <w:color w:val="000000"/>
          <w:kern w:val="22"/>
          <w:szCs w:val="22"/>
          <w:lang w:val="fr-FR"/>
        </w:rPr>
        <w:t>b)</w:t>
      </w:r>
      <w:r>
        <w:rPr>
          <w:snapToGrid w:val="0"/>
          <w:color w:val="000000"/>
          <w:kern w:val="22"/>
          <w:szCs w:val="22"/>
          <w:lang w:val="fr-FR"/>
        </w:rPr>
        <w:tab/>
      </w:r>
      <w:r w:rsidRPr="004359B6">
        <w:rPr>
          <w:snapToGrid w:val="0"/>
          <w:kern w:val="22"/>
          <w:szCs w:val="22"/>
          <w:lang w:val="fr-FR"/>
        </w:rPr>
        <w:t xml:space="preserve">Appuyer l'intégration du </w:t>
      </w:r>
      <w:r w:rsidRPr="00E073BD">
        <w:rPr>
          <w:snapToGrid w:val="0"/>
          <w:kern w:val="22"/>
          <w:szCs w:val="22"/>
          <w:lang w:val="fr-FR"/>
        </w:rPr>
        <w:t>Centre</w:t>
      </w:r>
      <w:r w:rsidRPr="004359B6">
        <w:rPr>
          <w:snapToGrid w:val="0"/>
          <w:kern w:val="22"/>
          <w:szCs w:val="22"/>
          <w:lang w:val="fr-FR"/>
        </w:rPr>
        <w:t xml:space="preserve"> d'échange principal de la Convention et du Centre d'échange pour la prévention des risques biotechnologiques avec le Centre d'échange sur l'accès et le partage des avantages sous une plateforme unique afin d'assurer une approche coordonnée du développement du Web et des infrastructures informatiques connexes</w:t>
      </w:r>
      <w:r w:rsidR="009F5D7B" w:rsidRPr="00CB424B">
        <w:rPr>
          <w:snapToGrid w:val="0"/>
          <w:kern w:val="22"/>
          <w:szCs w:val="22"/>
          <w:lang w:val="fr-CA"/>
        </w:rPr>
        <w:t>.</w:t>
      </w:r>
    </w:p>
    <w:p w14:paraId="75B736A8" w14:textId="77777777" w:rsidR="009F5D7B" w:rsidRPr="00CB424B" w:rsidRDefault="009F5D7B" w:rsidP="000C6220">
      <w:pPr>
        <w:spacing w:before="120" w:line="240" w:lineRule="auto"/>
        <w:rPr>
          <w:kern w:val="22"/>
          <w:szCs w:val="22"/>
          <w:lang w:val="fr-CA"/>
        </w:rPr>
      </w:pPr>
    </w:p>
    <w:p w14:paraId="10B8C5B1" w14:textId="61719B66" w:rsidR="007A0D55" w:rsidRPr="00CB424B" w:rsidRDefault="007A0D55" w:rsidP="000C6220">
      <w:pPr>
        <w:spacing w:before="120" w:line="240" w:lineRule="auto"/>
        <w:jc w:val="left"/>
        <w:rPr>
          <w:kern w:val="22"/>
          <w:lang w:val="fr-CA"/>
        </w:rPr>
      </w:pPr>
      <w:r w:rsidRPr="00CB424B">
        <w:rPr>
          <w:kern w:val="22"/>
          <w:lang w:val="fr-CA"/>
        </w:rPr>
        <w:br w:type="page"/>
      </w:r>
    </w:p>
    <w:p w14:paraId="63F0C3E3" w14:textId="67CF5375" w:rsidR="009F5D7B" w:rsidRPr="0094661C" w:rsidRDefault="009F5D7B" w:rsidP="000C6220">
      <w:pPr>
        <w:pStyle w:val="recommendationheader"/>
        <w:tabs>
          <w:tab w:val="clear" w:pos="720"/>
        </w:tabs>
        <w:spacing w:line="240" w:lineRule="auto"/>
        <w:rPr>
          <w:lang w:val="fr-CA"/>
        </w:rPr>
      </w:pPr>
      <w:bookmarkStart w:id="4" w:name="_Toc256204"/>
      <w:r w:rsidRPr="00852E3F">
        <w:rPr>
          <w:lang w:val="fr-CA"/>
        </w:rPr>
        <w:lastRenderedPageBreak/>
        <w:t>3/4.</w:t>
      </w:r>
      <w:r w:rsidRPr="00852E3F">
        <w:rPr>
          <w:lang w:val="fr-CA"/>
        </w:rPr>
        <w:tab/>
      </w:r>
      <w:r w:rsidR="0094661C" w:rsidRPr="0094661C">
        <w:rPr>
          <w:lang w:val="fr-CA"/>
        </w:rPr>
        <w:t>Suivi et établissement des rapports (a</w:t>
      </w:r>
      <w:r w:rsidRPr="0094661C">
        <w:rPr>
          <w:lang w:val="fr-CA"/>
        </w:rPr>
        <w:t>rticle 29)</w:t>
      </w:r>
      <w:bookmarkEnd w:id="4"/>
    </w:p>
    <w:p w14:paraId="0CE1D442" w14:textId="77777777" w:rsidR="0094661C" w:rsidRPr="00DE7EF7" w:rsidRDefault="0094661C" w:rsidP="0094661C">
      <w:pPr>
        <w:pStyle w:val="Para1"/>
        <w:numPr>
          <w:ilvl w:val="0"/>
          <w:numId w:val="0"/>
        </w:numPr>
        <w:suppressLineNumbers/>
        <w:suppressAutoHyphens/>
        <w:kinsoku w:val="0"/>
        <w:overflowPunct w:val="0"/>
        <w:autoSpaceDE w:val="0"/>
        <w:autoSpaceDN w:val="0"/>
        <w:adjustRightInd w:val="0"/>
        <w:snapToGrid w:val="0"/>
        <w:spacing w:line="240" w:lineRule="auto"/>
        <w:ind w:firstLine="709"/>
        <w:rPr>
          <w:i/>
          <w:kern w:val="22"/>
          <w:szCs w:val="22"/>
          <w:lang w:val="fr-CA"/>
        </w:rPr>
      </w:pPr>
      <w:r w:rsidRPr="00DE7EF7">
        <w:rPr>
          <w:i/>
          <w:kern w:val="22"/>
          <w:szCs w:val="22"/>
          <w:lang w:val="fr-CA"/>
        </w:rPr>
        <w:t>La Conférence des Parties siégeant en tant que réunion des Parties au Protocole de Nagoya sur l'accès et le partage des avantages,</w:t>
      </w:r>
    </w:p>
    <w:p w14:paraId="4E98AC29" w14:textId="77777777" w:rsidR="0094661C" w:rsidRPr="00DE7EF7" w:rsidRDefault="0094661C" w:rsidP="0094661C">
      <w:pPr>
        <w:pStyle w:val="Para1"/>
        <w:numPr>
          <w:ilvl w:val="0"/>
          <w:numId w:val="0"/>
        </w:numPr>
        <w:suppressLineNumbers/>
        <w:suppressAutoHyphens/>
        <w:kinsoku w:val="0"/>
        <w:overflowPunct w:val="0"/>
        <w:autoSpaceDE w:val="0"/>
        <w:autoSpaceDN w:val="0"/>
        <w:adjustRightInd w:val="0"/>
        <w:snapToGrid w:val="0"/>
        <w:spacing w:line="240" w:lineRule="auto"/>
        <w:ind w:firstLine="709"/>
        <w:rPr>
          <w:kern w:val="22"/>
          <w:szCs w:val="22"/>
          <w:lang w:val="fr-CA"/>
        </w:rPr>
      </w:pPr>
      <w:r w:rsidRPr="00DE7EF7">
        <w:rPr>
          <w:i/>
          <w:kern w:val="22"/>
          <w:szCs w:val="22"/>
          <w:lang w:val="fr-CA"/>
        </w:rPr>
        <w:t>Reconnaissant</w:t>
      </w:r>
      <w:r w:rsidRPr="00DE7EF7">
        <w:rPr>
          <w:kern w:val="22"/>
          <w:szCs w:val="22"/>
          <w:lang w:val="fr-CA"/>
        </w:rPr>
        <w:t xml:space="preserve"> l’importance de mieux harmoniser l’établissement des rapports nationaux relatifs à la Convention et à ses Protocoles, et d’accroître les synergies qui existent parmi les conventions relatives à la diversité biologique, les conventions de Rio, le Programme de développement durable à l’horizon 2030</w:t>
      </w:r>
      <w:r w:rsidRPr="000264CA">
        <w:rPr>
          <w:vertAlign w:val="superscript"/>
        </w:rPr>
        <w:footnoteReference w:id="9"/>
      </w:r>
      <w:r w:rsidRPr="00DE7EF7">
        <w:rPr>
          <w:kern w:val="22"/>
          <w:szCs w:val="22"/>
          <w:lang w:val="fr-CA"/>
        </w:rPr>
        <w:t xml:space="preserve"> et les outils mis en place pour l’établissement des rapports relatifs aux Objectifs de développement durable, et </w:t>
      </w:r>
      <w:r w:rsidRPr="00DE7EF7">
        <w:rPr>
          <w:i/>
          <w:kern w:val="22"/>
          <w:szCs w:val="22"/>
          <w:lang w:val="fr-CA"/>
        </w:rPr>
        <w:t>prenant acte</w:t>
      </w:r>
      <w:r w:rsidRPr="00DE7EF7">
        <w:rPr>
          <w:kern w:val="22"/>
          <w:szCs w:val="22"/>
          <w:lang w:val="fr-CA"/>
        </w:rPr>
        <w:t xml:space="preserve"> des progrès accomplis à ce jour à cet égard,</w:t>
      </w:r>
    </w:p>
    <w:p w14:paraId="521185F9" w14:textId="77777777" w:rsidR="0094661C" w:rsidRPr="00DE7EF7" w:rsidRDefault="0094661C" w:rsidP="00EB6D06">
      <w:pPr>
        <w:pStyle w:val="Para1"/>
        <w:numPr>
          <w:ilvl w:val="0"/>
          <w:numId w:val="0"/>
        </w:numPr>
        <w:suppressLineNumbers/>
        <w:tabs>
          <w:tab w:val="clear" w:pos="2912"/>
          <w:tab w:val="left" w:pos="284"/>
        </w:tabs>
        <w:suppressAutoHyphens/>
        <w:kinsoku w:val="0"/>
        <w:overflowPunct w:val="0"/>
        <w:autoSpaceDE w:val="0"/>
        <w:autoSpaceDN w:val="0"/>
        <w:adjustRightInd w:val="0"/>
        <w:snapToGrid w:val="0"/>
        <w:spacing w:line="240" w:lineRule="auto"/>
        <w:ind w:firstLine="709"/>
        <w:rPr>
          <w:kern w:val="22"/>
          <w:szCs w:val="22"/>
          <w:lang w:val="fr-CA"/>
        </w:rPr>
      </w:pPr>
      <w:r w:rsidRPr="00DE7EF7">
        <w:rPr>
          <w:kern w:val="22"/>
          <w:szCs w:val="22"/>
          <w:lang w:val="fr-CA"/>
        </w:rPr>
        <w:t>1.</w:t>
      </w:r>
      <w:r w:rsidRPr="00DE7EF7">
        <w:rPr>
          <w:i/>
          <w:kern w:val="22"/>
          <w:szCs w:val="22"/>
          <w:lang w:val="fr-CA"/>
        </w:rPr>
        <w:tab/>
        <w:t>Accepte</w:t>
      </w:r>
      <w:r w:rsidRPr="00DE7EF7">
        <w:rPr>
          <w:kern w:val="22"/>
          <w:szCs w:val="22"/>
          <w:lang w:val="fr-CA"/>
        </w:rPr>
        <w:t xml:space="preserve"> l’invitation qui lui a été faite par la Conférence des Parties à la C</w:t>
      </w:r>
      <w:r>
        <w:rPr>
          <w:kern w:val="22"/>
          <w:szCs w:val="22"/>
          <w:lang w:val="fr-CA"/>
        </w:rPr>
        <w:t>onvention au paragraphe 1 de la décision 14/27</w:t>
      </w:r>
      <w:r w:rsidRPr="00DE7EF7">
        <w:rPr>
          <w:kern w:val="22"/>
          <w:szCs w:val="22"/>
          <w:lang w:val="fr-CA"/>
        </w:rPr>
        <w:t xml:space="preserve">, et </w:t>
      </w:r>
      <w:r w:rsidRPr="00DE7EF7">
        <w:rPr>
          <w:i/>
          <w:kern w:val="22"/>
          <w:szCs w:val="22"/>
          <w:lang w:val="fr-CA"/>
        </w:rPr>
        <w:t>convient</w:t>
      </w:r>
      <w:r w:rsidRPr="00DE7EF7">
        <w:rPr>
          <w:kern w:val="22"/>
          <w:szCs w:val="22"/>
          <w:lang w:val="fr-CA"/>
        </w:rPr>
        <w:t xml:space="preserve"> d’instaurer un cycle synchronisé pour l’établissement des rapports nationaux à partir de 2023.</w:t>
      </w:r>
    </w:p>
    <w:p w14:paraId="054D7C93" w14:textId="77777777" w:rsidR="0094661C" w:rsidRPr="00DE7EF7" w:rsidRDefault="0094661C" w:rsidP="0094661C">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fr-CA"/>
        </w:rPr>
      </w:pPr>
      <w:r w:rsidRPr="00DE7EF7">
        <w:rPr>
          <w:snapToGrid w:val="0"/>
          <w:kern w:val="22"/>
          <w:szCs w:val="22"/>
          <w:lang w:val="fr-CA"/>
        </w:rPr>
        <w:t>2.</w:t>
      </w:r>
      <w:r w:rsidRPr="00DE7EF7">
        <w:rPr>
          <w:snapToGrid w:val="0"/>
          <w:kern w:val="22"/>
          <w:szCs w:val="22"/>
          <w:lang w:val="fr-CA"/>
        </w:rPr>
        <w:tab/>
      </w:r>
      <w:r w:rsidRPr="00DE7EF7">
        <w:rPr>
          <w:i/>
          <w:snapToGrid w:val="0"/>
          <w:kern w:val="22"/>
          <w:szCs w:val="22"/>
          <w:lang w:val="fr-CA"/>
        </w:rPr>
        <w:t>Se réjouit</w:t>
      </w:r>
      <w:r>
        <w:rPr>
          <w:snapToGrid w:val="0"/>
          <w:kern w:val="22"/>
          <w:szCs w:val="22"/>
          <w:lang w:val="fr-CA"/>
        </w:rPr>
        <w:t xml:space="preserve"> que 82</w:t>
      </w:r>
      <w:r w:rsidRPr="00DE7EF7">
        <w:rPr>
          <w:snapToGrid w:val="0"/>
          <w:kern w:val="22"/>
          <w:szCs w:val="22"/>
          <w:lang w:val="fr-CA"/>
        </w:rPr>
        <w:t xml:space="preserve"> des 100 Parties ayant l'obligation de produire un rapport aient remis un rapport </w:t>
      </w:r>
      <w:r>
        <w:rPr>
          <w:snapToGrid w:val="0"/>
          <w:kern w:val="22"/>
          <w:szCs w:val="22"/>
          <w:lang w:val="fr-CA"/>
        </w:rPr>
        <w:t xml:space="preserve">national </w:t>
      </w:r>
      <w:r w:rsidRPr="00DE7EF7">
        <w:rPr>
          <w:snapToGrid w:val="0"/>
          <w:kern w:val="22"/>
          <w:szCs w:val="22"/>
          <w:lang w:val="fr-CA"/>
        </w:rPr>
        <w:t>provisoire ;</w:t>
      </w:r>
    </w:p>
    <w:p w14:paraId="08B0C216" w14:textId="77777777" w:rsidR="0094661C" w:rsidRPr="00DE7EF7" w:rsidRDefault="0094661C" w:rsidP="0094661C">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fr-CA"/>
        </w:rPr>
      </w:pPr>
      <w:r w:rsidRPr="00DE7EF7">
        <w:rPr>
          <w:snapToGrid w:val="0"/>
          <w:kern w:val="22"/>
          <w:szCs w:val="22"/>
          <w:lang w:val="fr-CA"/>
        </w:rPr>
        <w:t>3.</w:t>
      </w:r>
      <w:r w:rsidRPr="00DE7EF7">
        <w:rPr>
          <w:snapToGrid w:val="0"/>
          <w:kern w:val="22"/>
          <w:szCs w:val="22"/>
          <w:lang w:val="fr-CA"/>
        </w:rPr>
        <w:tab/>
      </w:r>
      <w:r w:rsidRPr="00DE7EF7">
        <w:rPr>
          <w:i/>
          <w:snapToGrid w:val="0"/>
          <w:kern w:val="22"/>
          <w:szCs w:val="22"/>
          <w:lang w:val="fr-CA"/>
        </w:rPr>
        <w:t>Accueille avec satisfaction</w:t>
      </w:r>
      <w:r w:rsidRPr="00DE7EF7">
        <w:rPr>
          <w:snapToGrid w:val="0"/>
          <w:kern w:val="22"/>
          <w:szCs w:val="22"/>
          <w:lang w:val="fr-CA"/>
        </w:rPr>
        <w:t xml:space="preserve"> les rapports nationaux provisoires remis par les </w:t>
      </w:r>
      <w:r>
        <w:rPr>
          <w:snapToGrid w:val="0"/>
          <w:kern w:val="22"/>
          <w:szCs w:val="22"/>
          <w:lang w:val="fr-CA"/>
        </w:rPr>
        <w:t>États</w:t>
      </w:r>
      <w:r w:rsidRPr="00DE7EF7">
        <w:rPr>
          <w:snapToGrid w:val="0"/>
          <w:kern w:val="22"/>
          <w:szCs w:val="22"/>
          <w:lang w:val="fr-CA"/>
        </w:rPr>
        <w:t xml:space="preserve"> non Parties ;</w:t>
      </w:r>
    </w:p>
    <w:p w14:paraId="00127FB1" w14:textId="77777777" w:rsidR="0094661C" w:rsidRPr="00DE7EF7" w:rsidRDefault="0094661C" w:rsidP="0094661C">
      <w:pPr>
        <w:suppressLineNumbers/>
        <w:suppressAutoHyphens/>
        <w:kinsoku w:val="0"/>
        <w:overflowPunct w:val="0"/>
        <w:autoSpaceDE w:val="0"/>
        <w:autoSpaceDN w:val="0"/>
        <w:adjustRightInd w:val="0"/>
        <w:snapToGrid w:val="0"/>
        <w:spacing w:before="120" w:line="240" w:lineRule="auto"/>
        <w:ind w:firstLine="720"/>
        <w:rPr>
          <w:snapToGrid w:val="0"/>
          <w:spacing w:val="-8"/>
          <w:kern w:val="22"/>
          <w:szCs w:val="22"/>
          <w:lang w:val="fr-CA"/>
        </w:rPr>
      </w:pPr>
      <w:r w:rsidRPr="00DE7EF7">
        <w:rPr>
          <w:snapToGrid w:val="0"/>
          <w:spacing w:val="-8"/>
          <w:kern w:val="22"/>
          <w:szCs w:val="22"/>
          <w:lang w:val="fr-CA"/>
        </w:rPr>
        <w:t>4.</w:t>
      </w:r>
      <w:r w:rsidRPr="00DE7EF7">
        <w:rPr>
          <w:snapToGrid w:val="0"/>
          <w:spacing w:val="-8"/>
          <w:kern w:val="22"/>
          <w:szCs w:val="22"/>
          <w:lang w:val="fr-CA"/>
        </w:rPr>
        <w:tab/>
      </w:r>
      <w:r w:rsidRPr="00DE7EF7">
        <w:rPr>
          <w:i/>
          <w:snapToGrid w:val="0"/>
          <w:spacing w:val="-8"/>
          <w:kern w:val="22"/>
          <w:szCs w:val="22"/>
          <w:lang w:val="fr-CA"/>
        </w:rPr>
        <w:t>Exhorte</w:t>
      </w:r>
      <w:r w:rsidRPr="00DE7EF7">
        <w:rPr>
          <w:snapToGrid w:val="0"/>
          <w:spacing w:val="-8"/>
          <w:kern w:val="22"/>
          <w:szCs w:val="22"/>
          <w:lang w:val="fr-CA"/>
        </w:rPr>
        <w:t xml:space="preserve"> les pays qui n’ont pas encore remis leur rapport provisoire à le faire dans les meilleurs délais ;</w:t>
      </w:r>
    </w:p>
    <w:p w14:paraId="60B95788" w14:textId="77777777" w:rsidR="0094661C" w:rsidRPr="00DE7EF7" w:rsidRDefault="0094661C" w:rsidP="0094661C">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fr-CA"/>
        </w:rPr>
      </w:pPr>
      <w:r w:rsidRPr="00DE7EF7">
        <w:rPr>
          <w:snapToGrid w:val="0"/>
          <w:kern w:val="22"/>
          <w:szCs w:val="22"/>
          <w:lang w:val="fr-CA"/>
        </w:rPr>
        <w:t>5.</w:t>
      </w:r>
      <w:r w:rsidRPr="00DE7EF7">
        <w:rPr>
          <w:snapToGrid w:val="0"/>
          <w:kern w:val="22"/>
          <w:szCs w:val="22"/>
          <w:lang w:val="fr-CA"/>
        </w:rPr>
        <w:tab/>
      </w:r>
      <w:r w:rsidRPr="00DE7EF7">
        <w:rPr>
          <w:i/>
          <w:snapToGrid w:val="0"/>
          <w:kern w:val="22"/>
          <w:szCs w:val="22"/>
          <w:lang w:val="fr-CA"/>
        </w:rPr>
        <w:t>Exprime sa satisfaction</w:t>
      </w:r>
      <w:r w:rsidRPr="00DE7EF7">
        <w:rPr>
          <w:snapToGrid w:val="0"/>
          <w:kern w:val="22"/>
          <w:szCs w:val="22"/>
          <w:lang w:val="fr-CA"/>
        </w:rPr>
        <w:t xml:space="preserve"> concernant le soutien financier accordé par le Fonds pour l’environnement mondial à plusieurs Parties admissibles afin d’appuyer la préparation de leurs rapports nationaux provisoires, et </w:t>
      </w:r>
      <w:r w:rsidRPr="00DE7EF7">
        <w:rPr>
          <w:i/>
          <w:snapToGrid w:val="0"/>
          <w:kern w:val="22"/>
          <w:szCs w:val="22"/>
          <w:lang w:val="fr-CA"/>
        </w:rPr>
        <w:t>prend note</w:t>
      </w:r>
      <w:r w:rsidRPr="00DE7EF7">
        <w:rPr>
          <w:snapToGrid w:val="0"/>
          <w:kern w:val="22"/>
          <w:szCs w:val="22"/>
          <w:lang w:val="fr-CA"/>
        </w:rPr>
        <w:t xml:space="preserve"> de l’importance de rendre le soutien financier disponible à point nommé afin de soutenir la préparation et la remise des rapports nationaux avant la date limite ;</w:t>
      </w:r>
    </w:p>
    <w:p w14:paraId="415FD905" w14:textId="77777777" w:rsidR="0094661C" w:rsidRPr="00DE7EF7" w:rsidRDefault="0094661C" w:rsidP="0094661C">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fr-CA"/>
        </w:rPr>
      </w:pPr>
      <w:r w:rsidRPr="00DE7EF7">
        <w:rPr>
          <w:snapToGrid w:val="0"/>
          <w:kern w:val="22"/>
          <w:szCs w:val="22"/>
          <w:lang w:val="fr-CA"/>
        </w:rPr>
        <w:t>6.</w:t>
      </w:r>
      <w:r w:rsidRPr="00DE7EF7">
        <w:rPr>
          <w:snapToGrid w:val="0"/>
          <w:kern w:val="22"/>
          <w:szCs w:val="22"/>
          <w:lang w:val="fr-CA"/>
        </w:rPr>
        <w:tab/>
      </w:r>
      <w:r w:rsidRPr="00DE7EF7">
        <w:rPr>
          <w:i/>
          <w:iCs/>
          <w:snapToGrid w:val="0"/>
          <w:kern w:val="22"/>
          <w:szCs w:val="22"/>
          <w:lang w:val="fr-CA"/>
        </w:rPr>
        <w:t>Se réjouit</w:t>
      </w:r>
      <w:r w:rsidRPr="00DE7EF7">
        <w:rPr>
          <w:snapToGrid w:val="0"/>
          <w:kern w:val="22"/>
          <w:szCs w:val="22"/>
          <w:lang w:val="fr-CA"/>
        </w:rPr>
        <w:t xml:space="preserve"> des efforts déployés par le Secrétariat pour aider les Parties à remettre leur rapports nationaux provisoires ;</w:t>
      </w:r>
      <w:r>
        <w:rPr>
          <w:snapToGrid w:val="0"/>
          <w:kern w:val="22"/>
          <w:szCs w:val="22"/>
          <w:lang w:val="fr-CA"/>
        </w:rPr>
        <w:t xml:space="preserve">     </w:t>
      </w:r>
    </w:p>
    <w:p w14:paraId="1515696A" w14:textId="77777777" w:rsidR="0094661C" w:rsidRPr="00DE7EF7" w:rsidRDefault="0094661C" w:rsidP="0094661C">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fr-CA"/>
        </w:rPr>
      </w:pPr>
      <w:r w:rsidRPr="00DE7EF7">
        <w:rPr>
          <w:snapToGrid w:val="0"/>
          <w:kern w:val="22"/>
          <w:szCs w:val="22"/>
          <w:lang w:val="fr-CA"/>
        </w:rPr>
        <w:t>7.</w:t>
      </w:r>
      <w:r w:rsidRPr="00DE7EF7">
        <w:rPr>
          <w:snapToGrid w:val="0"/>
          <w:kern w:val="22"/>
          <w:szCs w:val="22"/>
          <w:lang w:val="fr-CA"/>
        </w:rPr>
        <w:tab/>
      </w:r>
      <w:r w:rsidRPr="00DE7EF7">
        <w:rPr>
          <w:i/>
          <w:snapToGrid w:val="0"/>
          <w:kern w:val="22"/>
          <w:szCs w:val="22"/>
          <w:lang w:val="fr-CA"/>
        </w:rPr>
        <w:t>Prie</w:t>
      </w:r>
      <w:r w:rsidRPr="00DE7EF7">
        <w:rPr>
          <w:snapToGrid w:val="0"/>
          <w:kern w:val="22"/>
          <w:szCs w:val="22"/>
          <w:lang w:val="fr-CA"/>
        </w:rPr>
        <w:t xml:space="preserve"> le Comité de conformité de contribuer à la révision du modèle de rapport pour le prochain cycle d’établissement de rapports ;</w:t>
      </w:r>
    </w:p>
    <w:p w14:paraId="7179BDC1" w14:textId="77777777" w:rsidR="0094661C" w:rsidRPr="00DE7EF7" w:rsidRDefault="0094661C" w:rsidP="0094661C">
      <w:pPr>
        <w:suppressLineNumbers/>
        <w:suppressAutoHyphens/>
        <w:kinsoku w:val="0"/>
        <w:overflowPunct w:val="0"/>
        <w:autoSpaceDE w:val="0"/>
        <w:autoSpaceDN w:val="0"/>
        <w:snapToGrid w:val="0"/>
        <w:spacing w:before="120" w:line="240" w:lineRule="auto"/>
        <w:ind w:firstLine="709"/>
        <w:rPr>
          <w:snapToGrid w:val="0"/>
          <w:kern w:val="22"/>
          <w:lang w:val="fr-CA"/>
        </w:rPr>
      </w:pPr>
      <w:r w:rsidRPr="00DE7EF7">
        <w:rPr>
          <w:snapToGrid w:val="0"/>
          <w:kern w:val="22"/>
          <w:lang w:val="fr-CA"/>
        </w:rPr>
        <w:t>8.</w:t>
      </w:r>
      <w:r w:rsidRPr="00DE7EF7">
        <w:rPr>
          <w:snapToGrid w:val="0"/>
          <w:kern w:val="22"/>
          <w:lang w:val="fr-CA"/>
        </w:rPr>
        <w:tab/>
      </w:r>
      <w:r w:rsidRPr="00DE7EF7">
        <w:rPr>
          <w:i/>
          <w:snapToGrid w:val="0"/>
          <w:kern w:val="22"/>
          <w:lang w:val="fr-CA"/>
        </w:rPr>
        <w:t>Prie</w:t>
      </w:r>
      <w:r w:rsidRPr="00DE7EF7">
        <w:rPr>
          <w:snapToGrid w:val="0"/>
          <w:kern w:val="22"/>
          <w:lang w:val="fr-CA"/>
        </w:rPr>
        <w:t xml:space="preserve"> la Secrétaire exécutive de réviser le modèle d’établissement des rapports pour examen par la Conférence des Parties siégeant en tant que réunion des Parties au Protocole à sa quatrième réunion, en tenant compte des observations reçues, des contributions du Comité de conformité, du cadre des indicateurs figurant dans la décision N</w:t>
      </w:r>
      <w:r>
        <w:rPr>
          <w:snapToGrid w:val="0"/>
          <w:kern w:val="22"/>
          <w:lang w:val="fr-CA"/>
        </w:rPr>
        <w:t>P-3/1, du C</w:t>
      </w:r>
      <w:r w:rsidRPr="00DE7EF7">
        <w:rPr>
          <w:snapToGrid w:val="0"/>
          <w:kern w:val="22"/>
          <w:lang w:val="fr-CA"/>
        </w:rPr>
        <w:t>adre mondial de la biodiversité pour l’après-2020 et de l'harmonisation des rapports nationaux au titre de la Convention et de ses protocoles, en ayant à l'esprit la nécessité de continuité du format afin de mesurer les progrès réalisés dans la mise en œuvre ;</w:t>
      </w:r>
    </w:p>
    <w:p w14:paraId="3BC82394" w14:textId="6671826F" w:rsidR="009F5D7B" w:rsidRPr="0094661C" w:rsidRDefault="0094661C" w:rsidP="0094661C">
      <w:pPr>
        <w:suppressLineNumbers/>
        <w:suppressAutoHyphens/>
        <w:kinsoku w:val="0"/>
        <w:overflowPunct w:val="0"/>
        <w:autoSpaceDE w:val="0"/>
        <w:autoSpaceDN w:val="0"/>
        <w:snapToGrid w:val="0"/>
        <w:spacing w:before="120" w:line="240" w:lineRule="auto"/>
        <w:ind w:firstLine="720"/>
        <w:rPr>
          <w:snapToGrid w:val="0"/>
          <w:kern w:val="22"/>
          <w:szCs w:val="22"/>
          <w:lang w:val="fr-CA"/>
        </w:rPr>
      </w:pPr>
      <w:r w:rsidRPr="00DE7EF7">
        <w:rPr>
          <w:snapToGrid w:val="0"/>
          <w:kern w:val="22"/>
          <w:lang w:val="fr-CA"/>
        </w:rPr>
        <w:t>9.</w:t>
      </w:r>
      <w:r w:rsidRPr="00DE7EF7">
        <w:rPr>
          <w:snapToGrid w:val="0"/>
          <w:kern w:val="22"/>
          <w:lang w:val="fr-CA"/>
        </w:rPr>
        <w:tab/>
      </w:r>
      <w:r w:rsidRPr="00DE7EF7">
        <w:rPr>
          <w:i/>
          <w:snapToGrid w:val="0"/>
          <w:kern w:val="22"/>
          <w:lang w:val="fr-CA"/>
        </w:rPr>
        <w:t>Décide</w:t>
      </w:r>
      <w:r w:rsidRPr="00DE7EF7">
        <w:rPr>
          <w:snapToGrid w:val="0"/>
          <w:kern w:val="22"/>
          <w:lang w:val="fr-CA"/>
        </w:rPr>
        <w:t xml:space="preserve"> de réexaminer la question de la périodicité des rapports à présenter à la sixième réunion de la Conférence des Parties siégeant en tant que réunion des Parties au Protocole, en tenant compte de l'harmonisation des rapports nationaux au titre de la Convent</w:t>
      </w:r>
      <w:r>
        <w:rPr>
          <w:snapToGrid w:val="0"/>
          <w:kern w:val="22"/>
          <w:lang w:val="fr-CA"/>
        </w:rPr>
        <w:t>ion et de ses protocoles et du C</w:t>
      </w:r>
      <w:r w:rsidRPr="00DE7EF7">
        <w:rPr>
          <w:snapToGrid w:val="0"/>
          <w:kern w:val="22"/>
          <w:lang w:val="fr-CA"/>
        </w:rPr>
        <w:t>adre mondial de la biodiversité pour l’après-2020</w:t>
      </w:r>
      <w:r w:rsidR="009F5D7B" w:rsidRPr="0094661C">
        <w:rPr>
          <w:snapToGrid w:val="0"/>
          <w:kern w:val="22"/>
          <w:szCs w:val="22"/>
          <w:lang w:val="fr-CA"/>
        </w:rPr>
        <w:t>.</w:t>
      </w:r>
    </w:p>
    <w:p w14:paraId="0809CB6C" w14:textId="77777777" w:rsidR="009F5D7B" w:rsidRPr="0094661C" w:rsidRDefault="009F5D7B" w:rsidP="000C6220">
      <w:pPr>
        <w:suppressLineNumbers/>
        <w:suppressAutoHyphens/>
        <w:spacing w:before="120" w:line="240" w:lineRule="auto"/>
        <w:rPr>
          <w:kern w:val="22"/>
          <w:szCs w:val="22"/>
          <w:lang w:val="fr-CA"/>
        </w:rPr>
      </w:pPr>
    </w:p>
    <w:p w14:paraId="2F34DBE8" w14:textId="77777777" w:rsidR="009F5D7B" w:rsidRPr="0094661C" w:rsidRDefault="009F5D7B" w:rsidP="000C6220">
      <w:pPr>
        <w:spacing w:before="120" w:line="240" w:lineRule="auto"/>
        <w:jc w:val="left"/>
        <w:rPr>
          <w:rFonts w:ascii="Times New Roman Bold" w:hAnsi="Times New Roman Bold" w:cs="Times New Roman Bold" w:hint="eastAsia"/>
          <w:b/>
          <w:bCs/>
          <w:caps/>
          <w:snapToGrid w:val="0"/>
          <w:kern w:val="22"/>
          <w:szCs w:val="22"/>
          <w:lang w:val="fr-CA"/>
        </w:rPr>
      </w:pPr>
      <w:r w:rsidRPr="0094661C">
        <w:rPr>
          <w:lang w:val="fr-CA"/>
        </w:rPr>
        <w:br w:type="page"/>
      </w:r>
    </w:p>
    <w:p w14:paraId="4AB36D24" w14:textId="7AC3AAEA" w:rsidR="009E044D" w:rsidRPr="0094661C" w:rsidRDefault="009E044D" w:rsidP="000C6220">
      <w:pPr>
        <w:pStyle w:val="recommendationheader"/>
        <w:spacing w:line="240" w:lineRule="auto"/>
        <w:rPr>
          <w:b w:val="0"/>
          <w:szCs w:val="22"/>
          <w:lang w:val="fr-CA"/>
        </w:rPr>
      </w:pPr>
      <w:bookmarkStart w:id="5" w:name="_Toc256205"/>
      <w:r w:rsidRPr="00852E3F">
        <w:rPr>
          <w:rStyle w:val="Titre2Car"/>
          <w:b/>
          <w:kern w:val="22"/>
          <w:szCs w:val="22"/>
          <w:lang w:val="fr-CA"/>
        </w:rPr>
        <w:lastRenderedPageBreak/>
        <w:t>3/5.</w:t>
      </w:r>
      <w:r w:rsidRPr="00852E3F">
        <w:rPr>
          <w:rStyle w:val="Titre2Car"/>
          <w:b/>
          <w:kern w:val="22"/>
          <w:szCs w:val="22"/>
          <w:lang w:val="fr-CA"/>
        </w:rPr>
        <w:tab/>
      </w:r>
      <w:r w:rsidR="0094661C">
        <w:rPr>
          <w:rFonts w:ascii="Times New Roman Bold" w:hAnsi="Times New Roman Bold"/>
          <w:lang w:val="fr-CA"/>
        </w:rPr>
        <w:t xml:space="preserve">Mesures d'aide au développement </w:t>
      </w:r>
      <w:r w:rsidR="0094661C" w:rsidRPr="007D3061">
        <w:rPr>
          <w:rFonts w:ascii="Times New Roman Bold" w:hAnsi="Times New Roman Bold"/>
          <w:lang w:val="fr-CA"/>
        </w:rPr>
        <w:t>et</w:t>
      </w:r>
      <w:r w:rsidR="0094661C">
        <w:rPr>
          <w:rFonts w:ascii="Times New Roman Bold" w:hAnsi="Times New Roman Bold"/>
          <w:lang w:val="fr-CA"/>
        </w:rPr>
        <w:t xml:space="preserve"> au renforcement des capacités </w:t>
      </w:r>
      <w:r w:rsidR="0094661C">
        <w:rPr>
          <w:rStyle w:val="Titre2Car"/>
          <w:b/>
          <w:kern w:val="22"/>
          <w:szCs w:val="22"/>
          <w:lang w:val="fr-CA"/>
        </w:rPr>
        <w:t>(a</w:t>
      </w:r>
      <w:r w:rsidRPr="0094661C">
        <w:rPr>
          <w:rStyle w:val="Titre2Car"/>
          <w:b/>
          <w:kern w:val="22"/>
          <w:szCs w:val="22"/>
          <w:lang w:val="fr-CA"/>
        </w:rPr>
        <w:t>rticle 2</w:t>
      </w:r>
      <w:r w:rsidRPr="0094661C">
        <w:rPr>
          <w:rStyle w:val="Titre2Car"/>
          <w:b/>
          <w:caps/>
          <w:kern w:val="22"/>
          <w:szCs w:val="22"/>
          <w:lang w:val="fr-CA"/>
        </w:rPr>
        <w:t>2)</w:t>
      </w:r>
      <w:bookmarkEnd w:id="5"/>
    </w:p>
    <w:p w14:paraId="7DD8244F" w14:textId="77777777" w:rsidR="0094661C" w:rsidRPr="007D3061" w:rsidRDefault="0094661C" w:rsidP="0094661C">
      <w:pPr>
        <w:pStyle w:val="Paragraphedeliste"/>
        <w:keepNext/>
        <w:numPr>
          <w:ilvl w:val="0"/>
          <w:numId w:val="56"/>
        </w:numPr>
        <w:suppressLineNumbers/>
        <w:suppressAutoHyphens/>
        <w:spacing w:line="240" w:lineRule="auto"/>
        <w:ind w:left="1843" w:hanging="992"/>
        <w:contextualSpacing w:val="0"/>
        <w:jc w:val="left"/>
        <w:rPr>
          <w:b/>
          <w:kern w:val="22"/>
          <w:szCs w:val="22"/>
          <w:lang w:val="fr-CA"/>
        </w:rPr>
      </w:pPr>
      <w:r w:rsidRPr="007D3061">
        <w:rPr>
          <w:b/>
          <w:snapToGrid w:val="0"/>
          <w:kern w:val="22"/>
          <w:szCs w:val="22"/>
          <w:lang w:val="fr-CA"/>
        </w:rPr>
        <w:t xml:space="preserve">Cadre stratégique pour </w:t>
      </w:r>
      <w:r>
        <w:rPr>
          <w:b/>
          <w:snapToGrid w:val="0"/>
          <w:kern w:val="22"/>
          <w:szCs w:val="22"/>
          <w:lang w:val="fr-CA"/>
        </w:rPr>
        <w:t>le développement</w:t>
      </w:r>
      <w:r w:rsidRPr="007D3061">
        <w:rPr>
          <w:b/>
          <w:snapToGrid w:val="0"/>
          <w:kern w:val="22"/>
          <w:szCs w:val="22"/>
          <w:lang w:val="fr-CA"/>
        </w:rPr>
        <w:t xml:space="preserve"> et le renforcement des capacités en appui à l'application du Protocole de Nagoya</w:t>
      </w:r>
    </w:p>
    <w:p w14:paraId="67F5EB33" w14:textId="77777777" w:rsidR="0094661C" w:rsidRPr="007D3061" w:rsidRDefault="0094661C" w:rsidP="0094661C">
      <w:pPr>
        <w:suppressLineNumbers/>
        <w:suppressAutoHyphens/>
        <w:kinsoku w:val="0"/>
        <w:overflowPunct w:val="0"/>
        <w:autoSpaceDE w:val="0"/>
        <w:autoSpaceDN w:val="0"/>
        <w:adjustRightInd w:val="0"/>
        <w:snapToGrid w:val="0"/>
        <w:spacing w:before="120" w:line="240" w:lineRule="auto"/>
        <w:ind w:firstLine="709"/>
        <w:rPr>
          <w:i/>
          <w:kern w:val="22"/>
          <w:szCs w:val="22"/>
          <w:lang w:val="fr-CA" w:eastAsia="en-CA"/>
        </w:rPr>
      </w:pPr>
      <w:r w:rsidRPr="007D3061">
        <w:rPr>
          <w:i/>
          <w:kern w:val="22"/>
          <w:szCs w:val="22"/>
          <w:lang w:val="fr-CA"/>
        </w:rPr>
        <w:t>La Conférence des Parties siégeant en tant que Réunion des Parties au Protocole de Nagoya</w:t>
      </w:r>
      <w:r>
        <w:rPr>
          <w:i/>
          <w:kern w:val="22"/>
          <w:szCs w:val="22"/>
          <w:lang w:val="fr-CA"/>
        </w:rPr>
        <w:t xml:space="preserve"> sur l’accès et le partage des avantages</w:t>
      </w:r>
    </w:p>
    <w:p w14:paraId="604CF125" w14:textId="77777777" w:rsidR="0094661C" w:rsidRPr="007D3061" w:rsidRDefault="0094661C" w:rsidP="0094661C">
      <w:pPr>
        <w:suppressLineNumbers/>
        <w:suppressAutoHyphens/>
        <w:kinsoku w:val="0"/>
        <w:overflowPunct w:val="0"/>
        <w:autoSpaceDE w:val="0"/>
        <w:autoSpaceDN w:val="0"/>
        <w:adjustRightInd w:val="0"/>
        <w:snapToGrid w:val="0"/>
        <w:spacing w:before="120" w:line="240" w:lineRule="auto"/>
        <w:ind w:firstLine="709"/>
        <w:rPr>
          <w:kern w:val="22"/>
          <w:szCs w:val="22"/>
          <w:lang w:val="fr-CA"/>
        </w:rPr>
      </w:pPr>
      <w:r w:rsidRPr="007D3061">
        <w:rPr>
          <w:color w:val="000000"/>
          <w:kern w:val="22"/>
          <w:szCs w:val="22"/>
          <w:lang w:val="fr-CA"/>
        </w:rPr>
        <w:t>1.</w:t>
      </w:r>
      <w:r w:rsidRPr="007D3061">
        <w:rPr>
          <w:color w:val="000000"/>
          <w:kern w:val="22"/>
          <w:szCs w:val="22"/>
          <w:lang w:val="fr-CA"/>
        </w:rPr>
        <w:tab/>
      </w:r>
      <w:r w:rsidRPr="007D3061">
        <w:rPr>
          <w:i/>
          <w:kern w:val="22"/>
          <w:szCs w:val="22"/>
          <w:lang w:val="fr-CA"/>
        </w:rPr>
        <w:t>Prend note</w:t>
      </w:r>
      <w:r w:rsidRPr="007D3061">
        <w:rPr>
          <w:kern w:val="22"/>
          <w:szCs w:val="22"/>
          <w:lang w:val="fr-CA"/>
        </w:rPr>
        <w:t xml:space="preserve"> des progrès accomplis dans la mise en œuvre du cadre stratégique pour l</w:t>
      </w:r>
      <w:r>
        <w:rPr>
          <w:kern w:val="22"/>
          <w:szCs w:val="22"/>
          <w:lang w:val="fr-CA"/>
        </w:rPr>
        <w:t>e</w:t>
      </w:r>
      <w:r w:rsidRPr="007D3061">
        <w:rPr>
          <w:kern w:val="22"/>
          <w:szCs w:val="22"/>
          <w:lang w:val="fr-CA"/>
        </w:rPr>
        <w:t xml:space="preserve"> </w:t>
      </w:r>
      <w:r>
        <w:rPr>
          <w:kern w:val="22"/>
          <w:szCs w:val="22"/>
          <w:lang w:val="fr-CA"/>
        </w:rPr>
        <w:t>développement</w:t>
      </w:r>
      <w:r w:rsidRPr="007D3061">
        <w:rPr>
          <w:kern w:val="22"/>
          <w:szCs w:val="22"/>
          <w:lang w:val="fr-CA"/>
        </w:rPr>
        <w:t xml:space="preserve"> et le renforcement des capacités en appui à l’application du Protocole de Nagoya sur l’accès aux ressources génétiques et le partage juste et équitable des avantages découlant de leur utilisation</w:t>
      </w:r>
      <w:r w:rsidRPr="00CA70C8">
        <w:rPr>
          <w:kern w:val="22"/>
          <w:szCs w:val="22"/>
          <w:vertAlign w:val="superscript"/>
        </w:rPr>
        <w:footnoteReference w:id="10"/>
      </w:r>
      <w:r w:rsidRPr="007D3061">
        <w:rPr>
          <w:kern w:val="22"/>
          <w:szCs w:val="22"/>
          <w:lang w:val="fr-CA"/>
        </w:rPr>
        <w:t> ;</w:t>
      </w:r>
    </w:p>
    <w:p w14:paraId="02CC0EAF" w14:textId="77777777" w:rsidR="0094661C" w:rsidRPr="007D3061" w:rsidRDefault="0094661C" w:rsidP="0094661C">
      <w:pPr>
        <w:suppressLineNumbers/>
        <w:pBdr>
          <w:top w:val="nil"/>
          <w:left w:val="nil"/>
          <w:bottom w:val="nil"/>
          <w:right w:val="nil"/>
          <w:between w:val="nil"/>
          <w:bar w:val="nil"/>
        </w:pBdr>
        <w:suppressAutoHyphens/>
        <w:spacing w:before="120" w:line="240" w:lineRule="auto"/>
        <w:ind w:firstLine="720"/>
        <w:rPr>
          <w:kern w:val="22"/>
          <w:szCs w:val="22"/>
          <w:lang w:val="fr-CA"/>
        </w:rPr>
      </w:pPr>
      <w:r w:rsidRPr="007D3061">
        <w:rPr>
          <w:color w:val="000000"/>
          <w:kern w:val="22"/>
          <w:szCs w:val="22"/>
          <w:lang w:val="fr-CA"/>
        </w:rPr>
        <w:t>2.</w:t>
      </w:r>
      <w:r w:rsidRPr="007D3061">
        <w:rPr>
          <w:color w:val="000000"/>
          <w:kern w:val="22"/>
          <w:szCs w:val="22"/>
          <w:lang w:val="fr-CA"/>
        </w:rPr>
        <w:tab/>
      </w:r>
      <w:r w:rsidRPr="007D3061">
        <w:rPr>
          <w:i/>
          <w:kern w:val="22"/>
          <w:szCs w:val="22"/>
          <w:lang w:val="fr-CA"/>
        </w:rPr>
        <w:t>Invite</w:t>
      </w:r>
      <w:r w:rsidRPr="007D3061">
        <w:rPr>
          <w:kern w:val="22"/>
          <w:szCs w:val="22"/>
          <w:lang w:val="fr-CA"/>
        </w:rPr>
        <w:t xml:space="preserve"> les Parties, les autres gouvernements et les organisations compétentes à étendre leurs efforts déployés pour mettre en œuvre le cadre stratégique et à continuer de partager des informations sur leurs initiatives de renforcement des capacités, y compris les nouvelles données d’expérience, les meilleures pratiques et les enseignements tirés, et les ressources disponibles pour le renforcement des capacités, par le biais du Centre d’échange sur l’accès et le partage des avantages, en utilisant les modèles communs pertinents ;</w:t>
      </w:r>
    </w:p>
    <w:p w14:paraId="695BF4D0" w14:textId="77777777" w:rsidR="0094661C" w:rsidRPr="007D3061" w:rsidRDefault="0094661C" w:rsidP="0094661C">
      <w:pPr>
        <w:suppressLineNumbers/>
        <w:pBdr>
          <w:top w:val="nil"/>
          <w:left w:val="nil"/>
          <w:bottom w:val="nil"/>
          <w:right w:val="nil"/>
          <w:between w:val="nil"/>
          <w:bar w:val="nil"/>
        </w:pBdr>
        <w:suppressAutoHyphens/>
        <w:spacing w:before="120" w:line="240" w:lineRule="auto"/>
        <w:ind w:firstLine="720"/>
        <w:rPr>
          <w:kern w:val="22"/>
          <w:szCs w:val="22"/>
          <w:lang w:val="fr-CA"/>
        </w:rPr>
      </w:pPr>
      <w:r w:rsidRPr="007D3061">
        <w:rPr>
          <w:color w:val="000000"/>
          <w:kern w:val="22"/>
          <w:szCs w:val="22"/>
          <w:lang w:val="fr-CA"/>
        </w:rPr>
        <w:t>3.</w:t>
      </w:r>
      <w:r w:rsidRPr="007D3061">
        <w:rPr>
          <w:color w:val="000000"/>
          <w:kern w:val="22"/>
          <w:szCs w:val="22"/>
          <w:lang w:val="fr-CA"/>
        </w:rPr>
        <w:tab/>
      </w:r>
      <w:r w:rsidRPr="007D3061">
        <w:rPr>
          <w:i/>
          <w:kern w:val="22"/>
          <w:szCs w:val="22"/>
          <w:lang w:val="fr-CA"/>
        </w:rPr>
        <w:t>Invite</w:t>
      </w:r>
      <w:r w:rsidRPr="007D3061">
        <w:rPr>
          <w:snapToGrid w:val="0"/>
          <w:kern w:val="22"/>
          <w:szCs w:val="22"/>
          <w:lang w:val="fr-CA"/>
        </w:rPr>
        <w:t xml:space="preserve"> les Parties, les autres gouvernements et les organisations compétentes à envisager d’élaborer des projets régionaux et infrarégionaux, comme moyen pour appuyer une coopération régionale et pour combler les lacunes dans le renforcement des capacités dans certaines régions ;</w:t>
      </w:r>
    </w:p>
    <w:p w14:paraId="07CBB3F9" w14:textId="77777777" w:rsidR="0094661C" w:rsidRPr="007D3061" w:rsidRDefault="0094661C" w:rsidP="0094661C">
      <w:pPr>
        <w:suppressLineNumbers/>
        <w:pBdr>
          <w:top w:val="nil"/>
          <w:left w:val="nil"/>
          <w:bottom w:val="nil"/>
          <w:right w:val="nil"/>
          <w:between w:val="nil"/>
          <w:bar w:val="nil"/>
        </w:pBdr>
        <w:suppressAutoHyphens/>
        <w:spacing w:before="120" w:line="240" w:lineRule="auto"/>
        <w:ind w:firstLine="720"/>
        <w:rPr>
          <w:color w:val="000000"/>
          <w:kern w:val="22"/>
          <w:szCs w:val="22"/>
          <w:lang w:val="fr-CA"/>
        </w:rPr>
      </w:pPr>
      <w:r w:rsidRPr="007D3061">
        <w:rPr>
          <w:color w:val="000000"/>
          <w:kern w:val="22"/>
          <w:szCs w:val="22"/>
          <w:lang w:val="fr-CA"/>
        </w:rPr>
        <w:t>4.</w:t>
      </w:r>
      <w:r w:rsidRPr="007D3061">
        <w:rPr>
          <w:color w:val="000000"/>
          <w:kern w:val="22"/>
          <w:szCs w:val="22"/>
          <w:lang w:val="fr-CA"/>
        </w:rPr>
        <w:tab/>
      </w:r>
      <w:r w:rsidRPr="007D3061">
        <w:rPr>
          <w:i/>
          <w:kern w:val="22"/>
          <w:szCs w:val="22"/>
          <w:lang w:val="fr-CA"/>
        </w:rPr>
        <w:t>Prend note</w:t>
      </w:r>
      <w:r w:rsidRPr="007D3061">
        <w:rPr>
          <w:kern w:val="22"/>
          <w:szCs w:val="22"/>
          <w:lang w:val="fr-CA"/>
        </w:rPr>
        <w:t xml:space="preserve"> du rapport de la réunion du Comité consultatif informel sur le renforcement des capacités pour l’application du Protocole de Nagoya, qui s’est tenue durant la période d’intersession</w:t>
      </w:r>
      <w:r w:rsidRPr="00CA70C8">
        <w:rPr>
          <w:kern w:val="22"/>
          <w:szCs w:val="22"/>
          <w:vertAlign w:val="superscript"/>
        </w:rPr>
        <w:footnoteReference w:id="11"/>
      </w:r>
      <w:r w:rsidRPr="007D3061">
        <w:rPr>
          <w:i/>
          <w:kern w:val="22"/>
          <w:szCs w:val="22"/>
          <w:lang w:val="fr-CA"/>
        </w:rPr>
        <w:t>,</w:t>
      </w:r>
      <w:r w:rsidRPr="007D3061">
        <w:rPr>
          <w:kern w:val="22"/>
          <w:szCs w:val="22"/>
          <w:lang w:val="fr-CA"/>
        </w:rPr>
        <w:t xml:space="preserve"> et </w:t>
      </w:r>
      <w:r w:rsidRPr="007D3061">
        <w:rPr>
          <w:i/>
          <w:kern w:val="22"/>
          <w:szCs w:val="22"/>
          <w:lang w:val="fr-CA"/>
        </w:rPr>
        <w:t>décide</w:t>
      </w:r>
      <w:r w:rsidRPr="007D3061">
        <w:rPr>
          <w:kern w:val="22"/>
          <w:szCs w:val="22"/>
          <w:lang w:val="fr-CA"/>
        </w:rPr>
        <w:t xml:space="preserve"> de prolonger le mandat du Comité consultatif informel jusqu’à la quatrième réunion de la Conférence des Parties siégeant en tant que réunion des Parties au Protocole de Nagoya, de sorte que le Comité puisse continuer d’appuyer la mise en œuvre du cadre stratégique pour le</w:t>
      </w:r>
      <w:r>
        <w:rPr>
          <w:kern w:val="22"/>
          <w:szCs w:val="22"/>
          <w:lang w:val="fr-CA"/>
        </w:rPr>
        <w:t xml:space="preserve"> développement et le renforcement des capacités</w:t>
      </w:r>
      <w:r w:rsidRPr="007D3061">
        <w:rPr>
          <w:kern w:val="22"/>
          <w:szCs w:val="22"/>
          <w:lang w:val="fr-CA"/>
        </w:rPr>
        <w:t xml:space="preserve">, conformément au mandat énoncé dans la décision </w:t>
      </w:r>
      <w:hyperlink r:id="rId13" w:history="1">
        <w:r w:rsidRPr="007D3061">
          <w:rPr>
            <w:color w:val="0000FF"/>
            <w:kern w:val="22"/>
            <w:szCs w:val="22"/>
            <w:u w:val="single"/>
            <w:lang w:val="fr-CA"/>
          </w:rPr>
          <w:t>NP-1/8</w:t>
        </w:r>
      </w:hyperlink>
      <w:r w:rsidRPr="007D3061">
        <w:rPr>
          <w:kern w:val="22"/>
          <w:szCs w:val="22"/>
          <w:lang w:val="fr-CA"/>
        </w:rPr>
        <w:t xml:space="preserve"> ; </w:t>
      </w:r>
    </w:p>
    <w:p w14:paraId="2CC40ADC" w14:textId="77777777" w:rsidR="0094661C" w:rsidRPr="007D3061" w:rsidRDefault="0094661C" w:rsidP="0094661C">
      <w:pPr>
        <w:suppressLineNumbers/>
        <w:pBdr>
          <w:top w:val="nil"/>
          <w:left w:val="nil"/>
          <w:bottom w:val="nil"/>
          <w:right w:val="nil"/>
          <w:between w:val="nil"/>
          <w:bar w:val="nil"/>
        </w:pBdr>
        <w:suppressAutoHyphens/>
        <w:spacing w:before="120" w:line="240" w:lineRule="auto"/>
        <w:ind w:firstLine="720"/>
        <w:rPr>
          <w:kern w:val="22"/>
          <w:szCs w:val="22"/>
          <w:lang w:val="fr-CA"/>
        </w:rPr>
      </w:pPr>
      <w:r w:rsidRPr="007D3061">
        <w:rPr>
          <w:color w:val="000000"/>
          <w:kern w:val="22"/>
          <w:szCs w:val="22"/>
          <w:lang w:val="fr-CA"/>
        </w:rPr>
        <w:t>5.</w:t>
      </w:r>
      <w:r w:rsidRPr="007D3061">
        <w:rPr>
          <w:color w:val="000000"/>
          <w:kern w:val="22"/>
          <w:szCs w:val="22"/>
          <w:lang w:val="fr-CA"/>
        </w:rPr>
        <w:tab/>
      </w:r>
      <w:r w:rsidRPr="007D3061">
        <w:rPr>
          <w:i/>
          <w:kern w:val="22"/>
          <w:szCs w:val="22"/>
          <w:lang w:val="fr-CA"/>
        </w:rPr>
        <w:t>Décide</w:t>
      </w:r>
      <w:r w:rsidRPr="007D3061">
        <w:rPr>
          <w:kern w:val="22"/>
          <w:szCs w:val="22"/>
          <w:lang w:val="fr-CA"/>
        </w:rPr>
        <w:t xml:space="preserve"> que le Comité consultatif informel se réunira une fois en personne et qu’il mènera des consultations en ligne, selon que de besoin, et </w:t>
      </w:r>
      <w:r w:rsidRPr="007D3061">
        <w:rPr>
          <w:i/>
          <w:kern w:val="22"/>
          <w:szCs w:val="22"/>
          <w:lang w:val="fr-CA"/>
        </w:rPr>
        <w:t>prie</w:t>
      </w:r>
      <w:r w:rsidRPr="007D3061">
        <w:rPr>
          <w:kern w:val="22"/>
          <w:szCs w:val="22"/>
          <w:lang w:val="fr-CA"/>
        </w:rPr>
        <w:t xml:space="preserve"> le Comité consultatif informel d’apporter sa contribution pour l’évaluation du cadre stratégique, en examinant les premières conclusions et en fournissant des informations supplémentaires et des recommandations </w:t>
      </w:r>
      <w:r w:rsidRPr="00BA1F59">
        <w:rPr>
          <w:kern w:val="22"/>
          <w:szCs w:val="22"/>
          <w:lang w:val="fr-CA"/>
        </w:rPr>
        <w:t>;</w:t>
      </w:r>
    </w:p>
    <w:p w14:paraId="77E1649F" w14:textId="77777777" w:rsidR="0094661C" w:rsidRPr="007D3061" w:rsidRDefault="0094661C" w:rsidP="0094661C">
      <w:pPr>
        <w:suppressLineNumbers/>
        <w:pBdr>
          <w:top w:val="nil"/>
          <w:left w:val="nil"/>
          <w:bottom w:val="nil"/>
          <w:right w:val="nil"/>
          <w:between w:val="nil"/>
          <w:bar w:val="nil"/>
        </w:pBdr>
        <w:suppressAutoHyphens/>
        <w:spacing w:before="120" w:line="240" w:lineRule="auto"/>
        <w:ind w:firstLine="720"/>
        <w:rPr>
          <w:kern w:val="22"/>
          <w:szCs w:val="22"/>
          <w:lang w:val="fr-CA"/>
        </w:rPr>
      </w:pPr>
      <w:r w:rsidRPr="007D3061">
        <w:rPr>
          <w:color w:val="000000"/>
          <w:kern w:val="22"/>
          <w:szCs w:val="22"/>
          <w:lang w:val="fr-CA"/>
        </w:rPr>
        <w:t>6.</w:t>
      </w:r>
      <w:r w:rsidRPr="007D3061">
        <w:rPr>
          <w:color w:val="000000"/>
          <w:kern w:val="22"/>
          <w:szCs w:val="22"/>
          <w:lang w:val="fr-CA"/>
        </w:rPr>
        <w:tab/>
      </w:r>
      <w:r w:rsidRPr="007D3061">
        <w:rPr>
          <w:i/>
          <w:kern w:val="22"/>
          <w:szCs w:val="22"/>
          <w:lang w:val="fr-CA"/>
        </w:rPr>
        <w:t>Décide également</w:t>
      </w:r>
      <w:r w:rsidRPr="007D3061">
        <w:rPr>
          <w:kern w:val="22"/>
          <w:szCs w:val="22"/>
          <w:lang w:val="fr-CA"/>
        </w:rPr>
        <w:t xml:space="preserve"> d’évaluer le cadre stratégique pour le </w:t>
      </w:r>
      <w:r>
        <w:rPr>
          <w:kern w:val="22"/>
          <w:szCs w:val="22"/>
          <w:lang w:val="fr-CA"/>
        </w:rPr>
        <w:t xml:space="preserve">développement et le </w:t>
      </w:r>
      <w:r w:rsidRPr="007D3061">
        <w:rPr>
          <w:kern w:val="22"/>
          <w:szCs w:val="22"/>
          <w:lang w:val="fr-CA"/>
        </w:rPr>
        <w:t>renforcement des capacités en appui à l’application effective du Protocole de Nagoya</w:t>
      </w:r>
      <w:r w:rsidRPr="009B1FCC">
        <w:rPr>
          <w:kern w:val="22"/>
          <w:szCs w:val="22"/>
          <w:vertAlign w:val="superscript"/>
        </w:rPr>
        <w:footnoteReference w:id="12"/>
      </w:r>
      <w:r w:rsidRPr="007D3061">
        <w:rPr>
          <w:kern w:val="22"/>
          <w:szCs w:val="22"/>
          <w:lang w:val="fr-CA"/>
        </w:rPr>
        <w:t xml:space="preserve"> sur la base des éléments figurant dans l’annexe à la présente décision ;</w:t>
      </w:r>
    </w:p>
    <w:p w14:paraId="1CDE2BA3" w14:textId="77777777" w:rsidR="0094661C" w:rsidRPr="007D3061" w:rsidRDefault="0094661C" w:rsidP="0094661C">
      <w:pPr>
        <w:suppressLineNumbers/>
        <w:pBdr>
          <w:top w:val="nil"/>
          <w:left w:val="nil"/>
          <w:bottom w:val="nil"/>
          <w:right w:val="nil"/>
          <w:between w:val="nil"/>
          <w:bar w:val="nil"/>
        </w:pBdr>
        <w:suppressAutoHyphens/>
        <w:spacing w:before="120" w:line="240" w:lineRule="auto"/>
        <w:ind w:firstLine="720"/>
        <w:rPr>
          <w:i/>
          <w:kern w:val="22"/>
          <w:szCs w:val="22"/>
          <w:lang w:val="fr-CA"/>
        </w:rPr>
      </w:pPr>
      <w:r w:rsidRPr="007D3061">
        <w:rPr>
          <w:color w:val="000000"/>
          <w:kern w:val="22"/>
          <w:szCs w:val="22"/>
          <w:lang w:val="fr-CA"/>
        </w:rPr>
        <w:t>7.</w:t>
      </w:r>
      <w:r w:rsidRPr="007D3061">
        <w:rPr>
          <w:color w:val="000000"/>
          <w:kern w:val="22"/>
          <w:szCs w:val="22"/>
          <w:lang w:val="fr-CA"/>
        </w:rPr>
        <w:tab/>
      </w:r>
      <w:r w:rsidRPr="007D3061">
        <w:rPr>
          <w:i/>
          <w:kern w:val="22"/>
          <w:szCs w:val="22"/>
          <w:lang w:val="fr-CA"/>
        </w:rPr>
        <w:t xml:space="preserve">Prie </w:t>
      </w:r>
      <w:r w:rsidRPr="007D3061">
        <w:rPr>
          <w:kern w:val="22"/>
          <w:szCs w:val="22"/>
          <w:lang w:val="fr-CA"/>
        </w:rPr>
        <w:t>la Secrétaire exécutive de :</w:t>
      </w:r>
    </w:p>
    <w:p w14:paraId="123CDA12" w14:textId="77777777" w:rsidR="0094661C" w:rsidRPr="007D3061" w:rsidRDefault="0094661C" w:rsidP="0094661C">
      <w:pPr>
        <w:suppressLineNumbers/>
        <w:pBdr>
          <w:top w:val="nil"/>
          <w:left w:val="nil"/>
          <w:bottom w:val="nil"/>
          <w:right w:val="nil"/>
          <w:between w:val="nil"/>
          <w:bar w:val="nil"/>
        </w:pBdr>
        <w:suppressAutoHyphens/>
        <w:spacing w:before="120" w:line="240" w:lineRule="auto"/>
        <w:ind w:firstLine="720"/>
        <w:rPr>
          <w:kern w:val="22"/>
          <w:szCs w:val="22"/>
          <w:lang w:val="fr-CA"/>
        </w:rPr>
      </w:pPr>
      <w:r w:rsidRPr="007D3061">
        <w:rPr>
          <w:kern w:val="22"/>
          <w:szCs w:val="22"/>
          <w:lang w:val="fr-CA"/>
        </w:rPr>
        <w:t>a)</w:t>
      </w:r>
      <w:r w:rsidRPr="007D3061">
        <w:rPr>
          <w:kern w:val="22"/>
          <w:szCs w:val="22"/>
          <w:lang w:val="fr-CA"/>
        </w:rPr>
        <w:tab/>
        <w:t xml:space="preserve">De continuer à entreprendre et à faciliter des activités de renforcement des capacités pour appuyer la ratification et l’application du Protocole de Nagoya, dans la limite des ressources financières disponibles, tel qu’indiqué dans le plan d’action à court terme (2017-2020) figurant dans l'annexe à la décision </w:t>
      </w:r>
      <w:hyperlink r:id="rId14" w:history="1">
        <w:r w:rsidRPr="007D3061">
          <w:rPr>
            <w:color w:val="0000FF"/>
            <w:kern w:val="22"/>
            <w:szCs w:val="22"/>
            <w:u w:val="single"/>
            <w:lang w:val="fr-CA"/>
          </w:rPr>
          <w:t>NP-2/8</w:t>
        </w:r>
      </w:hyperlink>
      <w:r w:rsidRPr="007D3061">
        <w:rPr>
          <w:kern w:val="22"/>
          <w:szCs w:val="22"/>
          <w:lang w:val="fr-CA"/>
        </w:rPr>
        <w:t xml:space="preserve"> de la Conférence des Parties siégeant en tant que réunion des Parties au Protocole et dans la décision </w:t>
      </w:r>
      <w:hyperlink r:id="rId15" w:history="1">
        <w:r w:rsidRPr="007D3061">
          <w:rPr>
            <w:color w:val="0000FF"/>
            <w:kern w:val="22"/>
            <w:szCs w:val="22"/>
            <w:u w:val="single"/>
            <w:lang w:val="fr-CA"/>
          </w:rPr>
          <w:t>XIII/23</w:t>
        </w:r>
      </w:hyperlink>
      <w:r w:rsidRPr="007D3061">
        <w:rPr>
          <w:kern w:val="22"/>
          <w:szCs w:val="22"/>
          <w:lang w:val="fr-CA"/>
        </w:rPr>
        <w:t xml:space="preserve"> de la Conférence des Parties à la Convention </w:t>
      </w:r>
      <w:r>
        <w:rPr>
          <w:kern w:val="22"/>
          <w:szCs w:val="22"/>
          <w:lang w:val="fr-CA"/>
        </w:rPr>
        <w:t>afin d’</w:t>
      </w:r>
      <w:r w:rsidRPr="007D3061">
        <w:rPr>
          <w:kern w:val="22"/>
          <w:szCs w:val="22"/>
          <w:lang w:val="fr-CA"/>
        </w:rPr>
        <w:t>améliorer et appuyer le renforcement des capacités pour faciliter la mise en œuvre du Plan stratégique pour la diversité biologique 2011-2020 et ses Objectifs d’Aichi pour la biodiversité ;</w:t>
      </w:r>
    </w:p>
    <w:p w14:paraId="43868D73" w14:textId="77777777" w:rsidR="0094661C" w:rsidRPr="007D3061" w:rsidRDefault="0094661C" w:rsidP="0094661C">
      <w:pPr>
        <w:suppressLineNumbers/>
        <w:pBdr>
          <w:top w:val="nil"/>
          <w:left w:val="nil"/>
          <w:bottom w:val="nil"/>
          <w:right w:val="nil"/>
          <w:between w:val="nil"/>
          <w:bar w:val="nil"/>
        </w:pBdr>
        <w:suppressAutoHyphens/>
        <w:spacing w:before="120" w:line="240" w:lineRule="auto"/>
        <w:ind w:firstLine="720"/>
        <w:rPr>
          <w:kern w:val="22"/>
          <w:szCs w:val="22"/>
          <w:lang w:val="fr-CA"/>
        </w:rPr>
      </w:pPr>
      <w:r w:rsidRPr="007D3061">
        <w:rPr>
          <w:kern w:val="22"/>
          <w:szCs w:val="22"/>
          <w:lang w:val="fr-CA"/>
        </w:rPr>
        <w:t>b)</w:t>
      </w:r>
      <w:r w:rsidRPr="007D3061">
        <w:rPr>
          <w:kern w:val="22"/>
          <w:szCs w:val="22"/>
          <w:lang w:val="fr-CA"/>
        </w:rPr>
        <w:tab/>
        <w:t>De préparer une évaluation du cadre stratégique pour le</w:t>
      </w:r>
      <w:r>
        <w:rPr>
          <w:kern w:val="22"/>
          <w:szCs w:val="22"/>
          <w:lang w:val="fr-CA"/>
        </w:rPr>
        <w:t xml:space="preserve"> développement et le renforcement des capacités</w:t>
      </w:r>
      <w:r w:rsidRPr="007D3061">
        <w:rPr>
          <w:kern w:val="22"/>
          <w:szCs w:val="22"/>
          <w:lang w:val="fr-CA"/>
        </w:rPr>
        <w:t>, conformément au paragraphe 9 f) de la décision NP-1/8, et de transmettre le rapport d’évaluation, pour examen par l’Organe subsidiaire chargé de l’application à sa troisième réunion, en vue d’assurer une approche efficace pour le renforcement des capacités au titre du Protocole de Nagoy</w:t>
      </w:r>
      <w:r>
        <w:rPr>
          <w:kern w:val="22"/>
          <w:szCs w:val="22"/>
          <w:lang w:val="fr-CA"/>
        </w:rPr>
        <w:t>a, qui soit compatible avec le C</w:t>
      </w:r>
      <w:r w:rsidRPr="007D3061">
        <w:rPr>
          <w:kern w:val="22"/>
          <w:szCs w:val="22"/>
          <w:lang w:val="fr-CA"/>
        </w:rPr>
        <w:t>adre mondial de la biodiversité pour l’après-2020 ;</w:t>
      </w:r>
    </w:p>
    <w:p w14:paraId="1BED555D" w14:textId="77777777" w:rsidR="0094661C" w:rsidRPr="007D3061" w:rsidRDefault="0094661C" w:rsidP="0094661C">
      <w:pPr>
        <w:suppressLineNumbers/>
        <w:pBdr>
          <w:top w:val="nil"/>
          <w:left w:val="nil"/>
          <w:bottom w:val="nil"/>
          <w:right w:val="nil"/>
          <w:between w:val="nil"/>
          <w:bar w:val="nil"/>
        </w:pBdr>
        <w:suppressAutoHyphens/>
        <w:spacing w:before="120" w:line="240" w:lineRule="auto"/>
        <w:ind w:firstLine="720"/>
        <w:rPr>
          <w:b/>
          <w:kern w:val="22"/>
          <w:szCs w:val="22"/>
          <w:lang w:val="fr-CA"/>
        </w:rPr>
      </w:pPr>
      <w:r w:rsidRPr="007D3061">
        <w:rPr>
          <w:kern w:val="22"/>
          <w:szCs w:val="22"/>
          <w:lang w:val="fr-CA"/>
        </w:rPr>
        <w:lastRenderedPageBreak/>
        <w:t>8.</w:t>
      </w:r>
      <w:r w:rsidRPr="007D3061">
        <w:rPr>
          <w:kern w:val="22"/>
          <w:szCs w:val="22"/>
          <w:lang w:val="fr-CA"/>
        </w:rPr>
        <w:tab/>
      </w:r>
      <w:r w:rsidRPr="007D3061">
        <w:rPr>
          <w:i/>
          <w:kern w:val="22"/>
          <w:szCs w:val="22"/>
          <w:lang w:val="fr-CA"/>
        </w:rPr>
        <w:t>Prie</w:t>
      </w:r>
      <w:r w:rsidRPr="007D3061">
        <w:rPr>
          <w:kern w:val="22"/>
          <w:szCs w:val="22"/>
          <w:lang w:val="fr-CA"/>
        </w:rPr>
        <w:t xml:space="preserve"> l’Organe subsidiaire chargé de l’application, à sa troisième réunion, d’examiner le rapport d’évaluation remis par la Secrétaire exécutive et de transmettre ses recommandations à la Conférence des Parties siégeant en tant que réunion des Parties au Protocole à sa quatrième réunion.</w:t>
      </w:r>
    </w:p>
    <w:p w14:paraId="7AF0896D" w14:textId="77777777" w:rsidR="0094661C" w:rsidRPr="007D3061" w:rsidRDefault="0094661C" w:rsidP="0094661C">
      <w:pPr>
        <w:pStyle w:val="Para1"/>
        <w:keepNext/>
        <w:numPr>
          <w:ilvl w:val="0"/>
          <w:numId w:val="56"/>
        </w:numPr>
        <w:suppressLineNumbers/>
        <w:tabs>
          <w:tab w:val="clear" w:pos="567"/>
          <w:tab w:val="clear" w:pos="2912"/>
        </w:tabs>
        <w:suppressAutoHyphens/>
        <w:kinsoku w:val="0"/>
        <w:overflowPunct w:val="0"/>
        <w:autoSpaceDE w:val="0"/>
        <w:autoSpaceDN w:val="0"/>
        <w:adjustRightInd w:val="0"/>
        <w:snapToGrid w:val="0"/>
        <w:spacing w:line="240" w:lineRule="auto"/>
        <w:jc w:val="center"/>
        <w:rPr>
          <w:b/>
          <w:kern w:val="22"/>
          <w:szCs w:val="22"/>
          <w:lang w:val="fr-CA"/>
        </w:rPr>
      </w:pPr>
      <w:r w:rsidRPr="007D3061">
        <w:rPr>
          <w:b/>
          <w:kern w:val="22"/>
          <w:szCs w:val="22"/>
          <w:lang w:val="fr-CA"/>
        </w:rPr>
        <w:t>Cadre stratégique à long terme pour le renforcement des capacités au-delà de 2020</w:t>
      </w:r>
    </w:p>
    <w:p w14:paraId="78D52716" w14:textId="77777777" w:rsidR="0094661C" w:rsidRPr="007D3061" w:rsidRDefault="0094661C" w:rsidP="0094661C">
      <w:pPr>
        <w:pStyle w:val="Para1"/>
        <w:keepNext/>
        <w:numPr>
          <w:ilvl w:val="0"/>
          <w:numId w:val="0"/>
        </w:numPr>
        <w:suppressLineNumbers/>
        <w:suppressAutoHyphens/>
        <w:kinsoku w:val="0"/>
        <w:overflowPunct w:val="0"/>
        <w:autoSpaceDE w:val="0"/>
        <w:autoSpaceDN w:val="0"/>
        <w:adjustRightInd w:val="0"/>
        <w:snapToGrid w:val="0"/>
        <w:spacing w:line="240" w:lineRule="auto"/>
        <w:ind w:left="720"/>
        <w:rPr>
          <w:i/>
          <w:kern w:val="22"/>
          <w:szCs w:val="22"/>
          <w:lang w:val="fr-CA"/>
        </w:rPr>
      </w:pPr>
      <w:r w:rsidRPr="007D3061">
        <w:rPr>
          <w:i/>
          <w:kern w:val="22"/>
          <w:szCs w:val="22"/>
          <w:lang w:val="fr-CA"/>
        </w:rPr>
        <w:t>La Conférence des Parties siégeant en tant que réunion des Parties au Protocole de Nagoya,</w:t>
      </w:r>
    </w:p>
    <w:p w14:paraId="24496703" w14:textId="77777777" w:rsidR="0094661C" w:rsidRPr="007D3061" w:rsidRDefault="0094661C" w:rsidP="0094661C">
      <w:pPr>
        <w:pStyle w:val="Para1"/>
        <w:keepNext/>
        <w:numPr>
          <w:ilvl w:val="0"/>
          <w:numId w:val="0"/>
        </w:numPr>
        <w:suppressLineNumbers/>
        <w:suppressAutoHyphens/>
        <w:kinsoku w:val="0"/>
        <w:overflowPunct w:val="0"/>
        <w:autoSpaceDE w:val="0"/>
        <w:autoSpaceDN w:val="0"/>
        <w:adjustRightInd w:val="0"/>
        <w:snapToGrid w:val="0"/>
        <w:spacing w:line="240" w:lineRule="auto"/>
        <w:ind w:left="720"/>
        <w:rPr>
          <w:kern w:val="22"/>
          <w:szCs w:val="22"/>
          <w:lang w:val="fr-CA"/>
        </w:rPr>
      </w:pPr>
      <w:r w:rsidRPr="007D3061">
        <w:rPr>
          <w:i/>
          <w:iCs/>
          <w:kern w:val="22"/>
          <w:szCs w:val="22"/>
          <w:lang w:val="fr-CA"/>
        </w:rPr>
        <w:t xml:space="preserve">Rappelant </w:t>
      </w:r>
      <w:r w:rsidRPr="007D3061">
        <w:rPr>
          <w:kern w:val="22"/>
          <w:szCs w:val="22"/>
          <w:lang w:val="fr-CA"/>
        </w:rPr>
        <w:t xml:space="preserve">les décisions </w:t>
      </w:r>
      <w:r w:rsidRPr="007D3061">
        <w:rPr>
          <w:rStyle w:val="Lienhypertexte"/>
          <w:kern w:val="22"/>
          <w:szCs w:val="22"/>
          <w:lang w:val="fr-CA"/>
        </w:rPr>
        <w:t>NP-1/8</w:t>
      </w:r>
      <w:r w:rsidRPr="007D3061">
        <w:rPr>
          <w:kern w:val="22"/>
          <w:szCs w:val="22"/>
          <w:lang w:val="fr-CA"/>
        </w:rPr>
        <w:t xml:space="preserve"> et </w:t>
      </w:r>
      <w:r w:rsidRPr="007D3061">
        <w:rPr>
          <w:rStyle w:val="Lienhypertexte"/>
          <w:kern w:val="22"/>
          <w:szCs w:val="22"/>
          <w:lang w:val="fr-CA"/>
        </w:rPr>
        <w:t>NP-2/8</w:t>
      </w:r>
      <w:r w:rsidRPr="007D3061">
        <w:rPr>
          <w:kern w:val="22"/>
          <w:szCs w:val="22"/>
          <w:lang w:val="fr-CA"/>
        </w:rPr>
        <w:t>,</w:t>
      </w:r>
    </w:p>
    <w:p w14:paraId="2F01A6D9" w14:textId="77777777" w:rsidR="0094661C" w:rsidRPr="007D3061" w:rsidRDefault="0094661C" w:rsidP="00755500">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09"/>
        <w:rPr>
          <w:kern w:val="22"/>
          <w:szCs w:val="22"/>
          <w:lang w:val="fr-CA"/>
        </w:rPr>
      </w:pPr>
      <w:r w:rsidRPr="007D3061">
        <w:rPr>
          <w:kern w:val="22"/>
          <w:szCs w:val="22"/>
          <w:lang w:val="fr-CA"/>
        </w:rPr>
        <w:t>1.</w:t>
      </w:r>
      <w:r w:rsidRPr="007D3061">
        <w:rPr>
          <w:kern w:val="22"/>
          <w:szCs w:val="22"/>
          <w:lang w:val="fr-CA"/>
        </w:rPr>
        <w:tab/>
      </w:r>
      <w:r w:rsidRPr="007D3061">
        <w:rPr>
          <w:i/>
          <w:kern w:val="22"/>
          <w:szCs w:val="22"/>
          <w:lang w:val="fr-CA"/>
        </w:rPr>
        <w:t>Prend note</w:t>
      </w:r>
      <w:r w:rsidRPr="007D3061">
        <w:rPr>
          <w:kern w:val="22"/>
          <w:szCs w:val="22"/>
          <w:lang w:val="fr-CA"/>
        </w:rPr>
        <w:t xml:space="preserve"> du rapport d'activité sur la mise en œuvre du plan d'action à court terme (2017-2020) pour améliorer et appuyer le renforcement des capacités à l'appui de l’application de la Convention et de ses protocoles, soutenu et facilité par la Secrétaire exécutive en collaboration avec divers partenaire</w:t>
      </w:r>
      <w:r w:rsidRPr="007D3061">
        <w:rPr>
          <w:i/>
          <w:kern w:val="22"/>
          <w:szCs w:val="22"/>
          <w:lang w:val="fr-CA"/>
        </w:rPr>
        <w:t>s</w:t>
      </w:r>
      <w:r w:rsidRPr="00CA70C8">
        <w:rPr>
          <w:rStyle w:val="StyleFootnoteReferencenumberFootnoteReferenceSuperscript-EF"/>
          <w:szCs w:val="22"/>
        </w:rPr>
        <w:footnoteReference w:id="13"/>
      </w:r>
      <w:r w:rsidRPr="007D3061">
        <w:rPr>
          <w:i/>
          <w:kern w:val="22"/>
          <w:szCs w:val="22"/>
          <w:lang w:val="fr-CA"/>
        </w:rPr>
        <w:t> ;</w:t>
      </w:r>
    </w:p>
    <w:p w14:paraId="6D6A949E" w14:textId="77777777" w:rsidR="0094661C" w:rsidRPr="007D3061" w:rsidRDefault="0094661C" w:rsidP="00755500">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09"/>
        <w:rPr>
          <w:kern w:val="22"/>
          <w:szCs w:val="22"/>
          <w:lang w:val="fr-CA"/>
        </w:rPr>
      </w:pPr>
      <w:r w:rsidRPr="007D3061">
        <w:rPr>
          <w:kern w:val="22"/>
          <w:szCs w:val="22"/>
          <w:lang w:val="fr-CA"/>
        </w:rPr>
        <w:t>2.</w:t>
      </w:r>
      <w:r w:rsidRPr="007D3061">
        <w:rPr>
          <w:kern w:val="22"/>
          <w:szCs w:val="22"/>
          <w:lang w:val="fr-CA"/>
        </w:rPr>
        <w:tab/>
      </w:r>
      <w:r w:rsidRPr="007D3061">
        <w:rPr>
          <w:i/>
          <w:kern w:val="22"/>
          <w:szCs w:val="22"/>
          <w:lang w:val="fr-CA"/>
        </w:rPr>
        <w:t>Accueille avec satisfaction</w:t>
      </w:r>
      <w:r w:rsidRPr="007D3061">
        <w:rPr>
          <w:kern w:val="22"/>
          <w:szCs w:val="22"/>
          <w:lang w:val="fr-CA"/>
        </w:rPr>
        <w:t xml:space="preserve"> le mandat de l'étude visant à fournir une base d'information pour l'élaboration du cadre stratégique à long terme pour le renforcement des capacités après 2020, joint à</w:t>
      </w:r>
      <w:r>
        <w:rPr>
          <w:kern w:val="22"/>
          <w:szCs w:val="22"/>
          <w:lang w:val="fr-CA"/>
        </w:rPr>
        <w:t xml:space="preserve"> l’appendice de l'annexe I de la décision 14/24</w:t>
      </w:r>
      <w:r w:rsidRPr="007D3061">
        <w:rPr>
          <w:kern w:val="22"/>
          <w:szCs w:val="22"/>
          <w:lang w:val="fr-CA"/>
        </w:rPr>
        <w:t xml:space="preserve">, et </w:t>
      </w:r>
      <w:r w:rsidRPr="007D3061">
        <w:rPr>
          <w:i/>
          <w:iCs/>
          <w:kern w:val="22"/>
          <w:szCs w:val="22"/>
          <w:lang w:val="fr-CA"/>
        </w:rPr>
        <w:t>note</w:t>
      </w:r>
      <w:r w:rsidRPr="007D3061">
        <w:rPr>
          <w:kern w:val="22"/>
          <w:szCs w:val="22"/>
          <w:lang w:val="fr-CA"/>
        </w:rPr>
        <w:t xml:space="preserve"> que la Conférence des</w:t>
      </w:r>
      <w:r>
        <w:rPr>
          <w:kern w:val="22"/>
          <w:szCs w:val="22"/>
          <w:lang w:val="fr-CA"/>
        </w:rPr>
        <w:t xml:space="preserve"> Parties, dans la décision 14/24</w:t>
      </w:r>
      <w:r w:rsidRPr="007D3061">
        <w:rPr>
          <w:kern w:val="22"/>
          <w:szCs w:val="22"/>
          <w:lang w:val="fr-CA"/>
        </w:rPr>
        <w:t xml:space="preserve">, prie la Secrétaire exécutive de commander une étude, dans la limite des ressources disponibles, afin de fournir une base d'information pour la préparation d'un cadre stratégique à long terme pour le renforcement des capacités après 2020, et </w:t>
      </w:r>
      <w:r w:rsidRPr="007D3061">
        <w:rPr>
          <w:i/>
          <w:iCs/>
          <w:kern w:val="22"/>
          <w:szCs w:val="22"/>
          <w:lang w:val="fr-CA"/>
        </w:rPr>
        <w:t>demande</w:t>
      </w:r>
      <w:r w:rsidRPr="007D3061">
        <w:rPr>
          <w:kern w:val="22"/>
          <w:szCs w:val="22"/>
          <w:lang w:val="fr-CA"/>
        </w:rPr>
        <w:t xml:space="preserve"> que les aspects pertinents pour le Protocole de Nagoya soient examinés dans cette étude ;</w:t>
      </w:r>
    </w:p>
    <w:p w14:paraId="2CD45DAC" w14:textId="77777777" w:rsidR="0094661C" w:rsidRPr="007D3061" w:rsidRDefault="0094661C" w:rsidP="00755500">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09"/>
        <w:rPr>
          <w:kern w:val="22"/>
          <w:szCs w:val="22"/>
          <w:lang w:val="fr-CA"/>
        </w:rPr>
      </w:pPr>
      <w:r w:rsidRPr="007D3061">
        <w:rPr>
          <w:kern w:val="22"/>
          <w:szCs w:val="22"/>
          <w:lang w:val="fr-CA"/>
        </w:rPr>
        <w:t>3.</w:t>
      </w:r>
      <w:r w:rsidRPr="007D3061">
        <w:rPr>
          <w:kern w:val="22"/>
          <w:szCs w:val="22"/>
          <w:lang w:val="fr-CA"/>
        </w:rPr>
        <w:tab/>
      </w:r>
      <w:r w:rsidRPr="007D3061">
        <w:rPr>
          <w:i/>
          <w:kern w:val="22"/>
          <w:szCs w:val="22"/>
          <w:lang w:val="fr-CA"/>
        </w:rPr>
        <w:t>Invite</w:t>
      </w:r>
      <w:r w:rsidRPr="007D3061">
        <w:rPr>
          <w:kern w:val="22"/>
          <w:szCs w:val="22"/>
          <w:lang w:val="fr-CA"/>
        </w:rPr>
        <w:t xml:space="preserve"> les Parties, les peuples autochtones et communautés locales et les organisations compétentes à communiquer à la Secrétaire exécutive leurs observations et leurs propositions sur les éléments éventuels du cadre stratégique à long terme pour le renforcement des capacités après 2020 ;</w:t>
      </w:r>
    </w:p>
    <w:p w14:paraId="6A1A5517" w14:textId="77777777" w:rsidR="0094661C" w:rsidRPr="007D3061" w:rsidRDefault="0094661C" w:rsidP="00755500">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09"/>
        <w:rPr>
          <w:kern w:val="22"/>
          <w:szCs w:val="22"/>
          <w:lang w:val="fr-CA"/>
        </w:rPr>
      </w:pPr>
      <w:r w:rsidRPr="007D3061">
        <w:rPr>
          <w:kern w:val="22"/>
          <w:szCs w:val="22"/>
          <w:lang w:val="fr-CA"/>
        </w:rPr>
        <w:t>4.</w:t>
      </w:r>
      <w:r w:rsidRPr="007D3061">
        <w:rPr>
          <w:kern w:val="22"/>
          <w:szCs w:val="22"/>
          <w:lang w:val="fr-CA"/>
        </w:rPr>
        <w:tab/>
      </w:r>
      <w:r w:rsidRPr="007D3061">
        <w:rPr>
          <w:i/>
          <w:kern w:val="22"/>
          <w:szCs w:val="22"/>
          <w:lang w:val="fr-CA"/>
        </w:rPr>
        <w:t>Invite aussi</w:t>
      </w:r>
      <w:r w:rsidRPr="007D3061">
        <w:rPr>
          <w:kern w:val="22"/>
          <w:szCs w:val="22"/>
          <w:lang w:val="fr-CA"/>
        </w:rPr>
        <w:t xml:space="preserve"> les Parties, les peuples autochtones et communautés locales et les organisations compétentes à participer aux ateliers consultatifs et aux forums de discussion en ligne consacrés au projet de cadre stratégique à long terme pour le renforcement des capacités après 2020, en parallèle</w:t>
      </w:r>
      <w:r>
        <w:rPr>
          <w:kern w:val="22"/>
          <w:szCs w:val="22"/>
          <w:lang w:val="fr-CA"/>
        </w:rPr>
        <w:t xml:space="preserve"> au processus d’élaboration du C</w:t>
      </w:r>
      <w:r w:rsidRPr="007D3061">
        <w:rPr>
          <w:kern w:val="22"/>
          <w:szCs w:val="22"/>
          <w:lang w:val="fr-CA"/>
        </w:rPr>
        <w:t>adre mondial de la biodiversité pour l’après-2020 </w:t>
      </w:r>
      <w:r w:rsidRPr="007710F8">
        <w:rPr>
          <w:kern w:val="22"/>
          <w:szCs w:val="22"/>
          <w:lang w:val="fr-CA"/>
        </w:rPr>
        <w:t>;</w:t>
      </w:r>
    </w:p>
    <w:p w14:paraId="0F3F49BF" w14:textId="77777777" w:rsidR="0094661C" w:rsidRPr="007D3061" w:rsidRDefault="0094661C" w:rsidP="00755500">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09"/>
        <w:rPr>
          <w:kern w:val="22"/>
          <w:szCs w:val="22"/>
          <w:lang w:val="fr-CA"/>
        </w:rPr>
      </w:pPr>
      <w:r w:rsidRPr="007D3061">
        <w:rPr>
          <w:rFonts w:eastAsia="MS Mincho"/>
          <w:kern w:val="22"/>
          <w:szCs w:val="22"/>
          <w:lang w:val="fr-CA"/>
        </w:rPr>
        <w:t>5.</w:t>
      </w:r>
      <w:r w:rsidRPr="007D3061">
        <w:rPr>
          <w:rFonts w:eastAsia="MS Mincho"/>
          <w:kern w:val="22"/>
          <w:szCs w:val="22"/>
          <w:lang w:val="fr-CA"/>
        </w:rPr>
        <w:tab/>
      </w:r>
      <w:r w:rsidRPr="007D3061">
        <w:rPr>
          <w:rFonts w:eastAsia="MS Mincho"/>
          <w:i/>
          <w:kern w:val="22"/>
          <w:szCs w:val="22"/>
          <w:lang w:val="fr-CA"/>
        </w:rPr>
        <w:t>Prie</w:t>
      </w:r>
      <w:r w:rsidRPr="007D3061">
        <w:rPr>
          <w:rFonts w:eastAsia="MS Mincho"/>
          <w:kern w:val="22"/>
          <w:szCs w:val="22"/>
          <w:lang w:val="fr-CA"/>
        </w:rPr>
        <w:t xml:space="preserve"> le Comité consultatif informel sur le renforcement des capacités pour l'application du Protocole de Nagoya de contribuer à l’élaboration du projet de cadre stratégique à long terme pour le renforcement des capacités après 2020 </w:t>
      </w:r>
      <w:r w:rsidRPr="007D3061">
        <w:rPr>
          <w:rFonts w:eastAsia="MS Mincho"/>
          <w:i/>
          <w:kern w:val="22"/>
          <w:szCs w:val="22"/>
          <w:lang w:val="fr-CA"/>
        </w:rPr>
        <w:t>;</w:t>
      </w:r>
    </w:p>
    <w:p w14:paraId="09FCD791" w14:textId="77777777" w:rsidR="0094661C" w:rsidRPr="007D3061" w:rsidRDefault="0094661C" w:rsidP="00755500">
      <w:pPr>
        <w:pStyle w:val="Para1"/>
        <w:numPr>
          <w:ilvl w:val="0"/>
          <w:numId w:val="0"/>
        </w:numPr>
        <w:suppressLineNumbers/>
        <w:tabs>
          <w:tab w:val="clear" w:pos="567"/>
          <w:tab w:val="clear" w:pos="2912"/>
        </w:tabs>
        <w:suppressAutoHyphens/>
        <w:kinsoku w:val="0"/>
        <w:overflowPunct w:val="0"/>
        <w:autoSpaceDE w:val="0"/>
        <w:autoSpaceDN w:val="0"/>
        <w:adjustRightInd w:val="0"/>
        <w:snapToGrid w:val="0"/>
        <w:spacing w:line="240" w:lineRule="auto"/>
        <w:ind w:firstLine="709"/>
        <w:rPr>
          <w:kern w:val="22"/>
          <w:szCs w:val="22"/>
          <w:lang w:val="fr-CA"/>
        </w:rPr>
      </w:pPr>
      <w:r w:rsidRPr="007D3061">
        <w:rPr>
          <w:kern w:val="22"/>
          <w:szCs w:val="22"/>
          <w:lang w:val="fr-CA"/>
        </w:rPr>
        <w:t>6.</w:t>
      </w:r>
      <w:r w:rsidRPr="007D3061">
        <w:rPr>
          <w:kern w:val="22"/>
          <w:szCs w:val="22"/>
          <w:lang w:val="fr-CA"/>
        </w:rPr>
        <w:tab/>
      </w:r>
      <w:r w:rsidRPr="007D3061">
        <w:rPr>
          <w:i/>
          <w:kern w:val="22"/>
          <w:szCs w:val="22"/>
          <w:lang w:val="fr-CA"/>
        </w:rPr>
        <w:t>Prie</w:t>
      </w:r>
      <w:r w:rsidRPr="007D3061">
        <w:rPr>
          <w:kern w:val="22"/>
          <w:szCs w:val="22"/>
          <w:lang w:val="fr-CA"/>
        </w:rPr>
        <w:t xml:space="preserve"> la Secrétaire exécutive, dans la limite des ressources disponibles, de présenter un projet de cadre stratégique à long terme pour le renforcement des capacités après 2020, pour examen par l'Organe subsidiaire chargé de l'application à sa troisième réunion et pour examen ultérieur par la Conférence des Parties siégeant en tant que réunion des Parties au Protocole de Nagoya à sa quatrième réunion</w:t>
      </w:r>
      <w:r w:rsidRPr="007D3061">
        <w:rPr>
          <w:i/>
          <w:kern w:val="22"/>
          <w:szCs w:val="22"/>
          <w:lang w:val="fr-CA"/>
        </w:rPr>
        <w:t>.</w:t>
      </w:r>
    </w:p>
    <w:p w14:paraId="43E68B79" w14:textId="77777777" w:rsidR="0094661C" w:rsidRPr="007D3061" w:rsidRDefault="0094661C" w:rsidP="0094661C">
      <w:pPr>
        <w:keepNext/>
        <w:suppressLineNumbers/>
        <w:suppressAutoHyphens/>
        <w:spacing w:before="120" w:line="240" w:lineRule="auto"/>
        <w:jc w:val="center"/>
        <w:outlineLvl w:val="2"/>
        <w:rPr>
          <w:i/>
          <w:kern w:val="22"/>
          <w:szCs w:val="22"/>
          <w:lang w:val="fr-CA"/>
        </w:rPr>
      </w:pPr>
      <w:r w:rsidRPr="007D3061">
        <w:rPr>
          <w:i/>
          <w:kern w:val="22"/>
          <w:szCs w:val="22"/>
          <w:lang w:val="fr-CA"/>
        </w:rPr>
        <w:t>Annexe</w:t>
      </w:r>
    </w:p>
    <w:p w14:paraId="7E818AD4" w14:textId="77777777" w:rsidR="0094661C" w:rsidRPr="007D3061" w:rsidRDefault="0094661C" w:rsidP="0094661C">
      <w:pPr>
        <w:keepNext/>
        <w:suppressLineNumbers/>
        <w:suppressAutoHyphens/>
        <w:spacing w:before="120" w:line="240" w:lineRule="auto"/>
        <w:jc w:val="center"/>
        <w:rPr>
          <w:b/>
          <w:caps/>
          <w:kern w:val="22"/>
          <w:szCs w:val="22"/>
          <w:lang w:val="fr-CA"/>
        </w:rPr>
      </w:pPr>
      <w:r w:rsidRPr="007D3061">
        <w:rPr>
          <w:b/>
          <w:caps/>
          <w:kern w:val="22"/>
          <w:szCs w:val="22"/>
          <w:lang w:val="fr-CA"/>
        </w:rPr>
        <w:t xml:space="preserve">Éléments pour l'évaluation du cadre stratégique pour le </w:t>
      </w:r>
      <w:r>
        <w:rPr>
          <w:b/>
          <w:caps/>
          <w:kern w:val="22"/>
          <w:szCs w:val="22"/>
          <w:lang w:val="fr-CA"/>
        </w:rPr>
        <w:t xml:space="preserve">DÉVELOPPEMENT ET LE </w:t>
      </w:r>
      <w:r w:rsidRPr="007D3061">
        <w:rPr>
          <w:b/>
          <w:caps/>
          <w:kern w:val="22"/>
          <w:szCs w:val="22"/>
          <w:lang w:val="fr-CA"/>
        </w:rPr>
        <w:t>renforcement des capacités en appui à l’application effective du Protocole de Nagoya</w:t>
      </w:r>
    </w:p>
    <w:p w14:paraId="4AB7DA1B" w14:textId="77777777" w:rsidR="0094661C" w:rsidRPr="007D3061" w:rsidRDefault="0094661C" w:rsidP="0094661C">
      <w:pPr>
        <w:keepNext/>
        <w:suppressLineNumbers/>
        <w:tabs>
          <w:tab w:val="left" w:pos="426"/>
        </w:tabs>
        <w:suppressAutoHyphens/>
        <w:kinsoku w:val="0"/>
        <w:overflowPunct w:val="0"/>
        <w:autoSpaceDE w:val="0"/>
        <w:autoSpaceDN w:val="0"/>
        <w:snapToGrid w:val="0"/>
        <w:spacing w:before="60" w:after="60" w:line="240" w:lineRule="auto"/>
        <w:jc w:val="center"/>
        <w:rPr>
          <w:b/>
          <w:kern w:val="22"/>
          <w:szCs w:val="22"/>
          <w:lang w:val="fr-CA"/>
        </w:rPr>
      </w:pPr>
      <w:r w:rsidRPr="007D3061">
        <w:rPr>
          <w:b/>
          <w:kern w:val="22"/>
          <w:szCs w:val="22"/>
          <w:lang w:val="fr-CA"/>
        </w:rPr>
        <w:t>A.</w:t>
      </w:r>
      <w:r w:rsidRPr="007D3061">
        <w:rPr>
          <w:b/>
          <w:kern w:val="22"/>
          <w:szCs w:val="22"/>
          <w:lang w:val="fr-CA"/>
        </w:rPr>
        <w:tab/>
        <w:t>Champs d'application et objectifs de l'évaluation</w:t>
      </w:r>
    </w:p>
    <w:p w14:paraId="0A3717A7" w14:textId="77777777" w:rsidR="0094661C" w:rsidRPr="007D3061" w:rsidRDefault="0094661C" w:rsidP="0094661C">
      <w:pPr>
        <w:suppressLineNumbers/>
        <w:suppressAutoHyphens/>
        <w:kinsoku w:val="0"/>
        <w:overflowPunct w:val="0"/>
        <w:autoSpaceDE w:val="0"/>
        <w:autoSpaceDN w:val="0"/>
        <w:snapToGrid w:val="0"/>
        <w:spacing w:before="120" w:line="240" w:lineRule="auto"/>
        <w:rPr>
          <w:snapToGrid w:val="0"/>
          <w:kern w:val="22"/>
          <w:szCs w:val="22"/>
          <w:lang w:val="fr-CA"/>
        </w:rPr>
      </w:pPr>
      <w:r w:rsidRPr="007D3061">
        <w:rPr>
          <w:snapToGrid w:val="0"/>
          <w:kern w:val="22"/>
          <w:szCs w:val="22"/>
          <w:lang w:val="fr-CA"/>
        </w:rPr>
        <w:t>1.</w:t>
      </w:r>
      <w:r w:rsidRPr="007D3061">
        <w:rPr>
          <w:snapToGrid w:val="0"/>
          <w:kern w:val="22"/>
          <w:szCs w:val="22"/>
          <w:lang w:val="fr-CA"/>
        </w:rPr>
        <w:tab/>
        <w:t>Il est suggéré que l’exercice se fonde sur une évaluation du caractère pertinent et de l’efficacité du cadre stratégique à orienter les initiatives de</w:t>
      </w:r>
      <w:r>
        <w:rPr>
          <w:snapToGrid w:val="0"/>
          <w:kern w:val="22"/>
          <w:szCs w:val="22"/>
          <w:lang w:val="fr-CA"/>
        </w:rPr>
        <w:t xml:space="preserve"> développement et de</w:t>
      </w:r>
      <w:r w:rsidRPr="007D3061">
        <w:rPr>
          <w:snapToGrid w:val="0"/>
          <w:kern w:val="22"/>
          <w:szCs w:val="22"/>
          <w:lang w:val="fr-CA"/>
        </w:rPr>
        <w:t xml:space="preserve"> renforcement des capacités à court terme et à moyen terme (2014-2020), et sur la formulation de recommandations qui pourraient être utiles pour une révision éventuelle du cadre stratégique pour l’après-2020. Ainsi, l’objectif de l’évaluation est d’évaluer la contribution du cadre stratégique à l’utilisation d’une approche stratégique, cohérente et coordonnée en matière de</w:t>
      </w:r>
      <w:r>
        <w:rPr>
          <w:snapToGrid w:val="0"/>
          <w:kern w:val="22"/>
          <w:szCs w:val="22"/>
          <w:lang w:val="fr-CA"/>
        </w:rPr>
        <w:t xml:space="preserve"> développement et de</w:t>
      </w:r>
      <w:r w:rsidRPr="007D3061">
        <w:rPr>
          <w:snapToGrid w:val="0"/>
          <w:kern w:val="22"/>
          <w:szCs w:val="22"/>
          <w:lang w:val="fr-CA"/>
        </w:rPr>
        <w:t xml:space="preserve"> renforcement des capacités pour faciliter l’application effective du Protocole de Nagoya.</w:t>
      </w:r>
    </w:p>
    <w:p w14:paraId="7E930CF9" w14:textId="77777777" w:rsidR="0094661C" w:rsidRPr="007D3061" w:rsidRDefault="0094661C" w:rsidP="0094661C">
      <w:pPr>
        <w:suppressLineNumbers/>
        <w:suppressAutoHyphens/>
        <w:kinsoku w:val="0"/>
        <w:overflowPunct w:val="0"/>
        <w:autoSpaceDE w:val="0"/>
        <w:autoSpaceDN w:val="0"/>
        <w:snapToGrid w:val="0"/>
        <w:spacing w:before="120" w:line="240" w:lineRule="auto"/>
        <w:rPr>
          <w:snapToGrid w:val="0"/>
          <w:kern w:val="22"/>
          <w:szCs w:val="22"/>
          <w:lang w:val="fr-CA"/>
        </w:rPr>
      </w:pPr>
      <w:r w:rsidRPr="007D3061">
        <w:rPr>
          <w:snapToGrid w:val="0"/>
          <w:kern w:val="22"/>
          <w:szCs w:val="22"/>
          <w:lang w:val="fr-CA"/>
        </w:rPr>
        <w:t>2.</w:t>
      </w:r>
      <w:r w:rsidRPr="007D3061">
        <w:rPr>
          <w:snapToGrid w:val="0"/>
          <w:kern w:val="22"/>
          <w:szCs w:val="22"/>
          <w:lang w:val="fr-CA"/>
        </w:rPr>
        <w:tab/>
        <w:t>Les objectifs spécifiques de l’évaluation sont au nombre de trois :</w:t>
      </w:r>
    </w:p>
    <w:p w14:paraId="6A65AC35" w14:textId="77777777" w:rsidR="0094661C" w:rsidRPr="007D3061" w:rsidRDefault="0094661C" w:rsidP="0094661C">
      <w:pPr>
        <w:suppressLineNumbers/>
        <w:suppressAutoHyphens/>
        <w:kinsoku w:val="0"/>
        <w:overflowPunct w:val="0"/>
        <w:autoSpaceDE w:val="0"/>
        <w:autoSpaceDN w:val="0"/>
        <w:snapToGrid w:val="0"/>
        <w:spacing w:line="240" w:lineRule="auto"/>
        <w:ind w:firstLine="720"/>
        <w:rPr>
          <w:kern w:val="22"/>
          <w:szCs w:val="22"/>
          <w:lang w:val="fr-CA"/>
        </w:rPr>
      </w:pPr>
      <w:r w:rsidRPr="007D3061">
        <w:rPr>
          <w:kern w:val="22"/>
          <w:szCs w:val="22"/>
          <w:lang w:val="fr-CA"/>
        </w:rPr>
        <w:t>a)</w:t>
      </w:r>
      <w:r w:rsidRPr="007D3061">
        <w:rPr>
          <w:kern w:val="22"/>
          <w:szCs w:val="22"/>
          <w:lang w:val="fr-CA"/>
        </w:rPr>
        <w:tab/>
        <w:t xml:space="preserve">Identifier et examiner les progrès accomplis dans la mise en œuvre du cadre stratégique, y compris les principales réalisations dans chaque domaine d’intervention du cadre stratégique, les obstacles rencontrés et </w:t>
      </w:r>
      <w:r w:rsidRPr="007D3061">
        <w:rPr>
          <w:kern w:val="22"/>
          <w:szCs w:val="22"/>
          <w:lang w:val="fr-CA"/>
        </w:rPr>
        <w:lastRenderedPageBreak/>
        <w:t>les enseignements tirés depuis son adoption en 2014, sur la base de la réalisation des objectifs du cadre stratégique</w:t>
      </w:r>
      <w:r w:rsidRPr="00755500">
        <w:rPr>
          <w:rStyle w:val="Appelnotedebasdep"/>
          <w:kern w:val="22"/>
          <w:szCs w:val="22"/>
          <w:u w:val="none"/>
          <w:vertAlign w:val="superscript"/>
        </w:rPr>
        <w:footnoteReference w:id="14"/>
      </w:r>
      <w:r w:rsidRPr="007D3061">
        <w:rPr>
          <w:kern w:val="22"/>
          <w:szCs w:val="22"/>
          <w:lang w:val="fr-CA"/>
        </w:rPr>
        <w:t> ;</w:t>
      </w:r>
    </w:p>
    <w:p w14:paraId="598C61EB" w14:textId="77777777" w:rsidR="0094661C" w:rsidRPr="007D3061" w:rsidRDefault="0094661C" w:rsidP="0094661C">
      <w:pPr>
        <w:suppressLineNumbers/>
        <w:suppressAutoHyphens/>
        <w:kinsoku w:val="0"/>
        <w:overflowPunct w:val="0"/>
        <w:autoSpaceDE w:val="0"/>
        <w:autoSpaceDN w:val="0"/>
        <w:snapToGrid w:val="0"/>
        <w:spacing w:line="240" w:lineRule="auto"/>
        <w:ind w:firstLine="720"/>
        <w:rPr>
          <w:kern w:val="22"/>
          <w:szCs w:val="22"/>
          <w:lang w:val="fr-CA"/>
        </w:rPr>
      </w:pPr>
      <w:r w:rsidRPr="007D3061">
        <w:rPr>
          <w:kern w:val="22"/>
          <w:szCs w:val="22"/>
          <w:lang w:val="fr-CA"/>
        </w:rPr>
        <w:t>b)</w:t>
      </w:r>
      <w:r w:rsidRPr="007D3061">
        <w:rPr>
          <w:kern w:val="22"/>
          <w:szCs w:val="22"/>
          <w:lang w:val="fr-CA"/>
        </w:rPr>
        <w:tab/>
        <w:t>Examiner le caractère pertinent et l’efficacité du cadre stratégique en termes d’orientation et de facilitation des initiatives de renforcement des capacités, tout en favorisant la coordination et la coopération à court terme et à moyen terme ;</w:t>
      </w:r>
    </w:p>
    <w:p w14:paraId="79954717" w14:textId="77777777" w:rsidR="0094661C" w:rsidRPr="007D3061" w:rsidRDefault="0094661C" w:rsidP="0094661C">
      <w:pPr>
        <w:suppressLineNumbers/>
        <w:suppressAutoHyphens/>
        <w:kinsoku w:val="0"/>
        <w:overflowPunct w:val="0"/>
        <w:autoSpaceDE w:val="0"/>
        <w:autoSpaceDN w:val="0"/>
        <w:snapToGrid w:val="0"/>
        <w:spacing w:line="240" w:lineRule="auto"/>
        <w:ind w:firstLine="720"/>
        <w:rPr>
          <w:kern w:val="22"/>
          <w:szCs w:val="22"/>
          <w:lang w:val="fr-CA"/>
        </w:rPr>
      </w:pPr>
      <w:r w:rsidRPr="007D3061">
        <w:rPr>
          <w:kern w:val="22"/>
          <w:szCs w:val="22"/>
          <w:lang w:val="fr-CA"/>
        </w:rPr>
        <w:t>c)</w:t>
      </w:r>
      <w:r w:rsidRPr="007D3061">
        <w:rPr>
          <w:kern w:val="22"/>
          <w:szCs w:val="22"/>
          <w:lang w:val="fr-CA"/>
        </w:rPr>
        <w:tab/>
        <w:t>Proposer des solutions et formuler des recommandations pour d’autres activités de renforcement des capacités en appui à l’application du Protocole de Nagoya, qui pourraient être prises en considération dans l’élaboration du cadre stratégique à long terme pour le</w:t>
      </w:r>
      <w:r>
        <w:rPr>
          <w:kern w:val="22"/>
          <w:szCs w:val="22"/>
          <w:lang w:val="fr-CA"/>
        </w:rPr>
        <w:t xml:space="preserve"> développement et le</w:t>
      </w:r>
      <w:r w:rsidRPr="007D3061">
        <w:rPr>
          <w:kern w:val="22"/>
          <w:szCs w:val="22"/>
          <w:lang w:val="fr-CA"/>
        </w:rPr>
        <w:t xml:space="preserve"> renforcement des capacités au-delà de 2020, conformément à la décision XIII/23 de la Conférence des Parties.</w:t>
      </w:r>
    </w:p>
    <w:p w14:paraId="6ED52B93" w14:textId="77777777" w:rsidR="0094661C" w:rsidRPr="007D3061" w:rsidRDefault="0094661C" w:rsidP="0094661C">
      <w:pPr>
        <w:keepNext/>
        <w:suppressLineNumbers/>
        <w:suppressAutoHyphens/>
        <w:kinsoku w:val="0"/>
        <w:overflowPunct w:val="0"/>
        <w:autoSpaceDE w:val="0"/>
        <w:autoSpaceDN w:val="0"/>
        <w:snapToGrid w:val="0"/>
        <w:spacing w:before="120" w:line="240" w:lineRule="auto"/>
        <w:jc w:val="center"/>
        <w:rPr>
          <w:b/>
          <w:kern w:val="22"/>
          <w:szCs w:val="22"/>
          <w:lang w:val="fr-CA"/>
        </w:rPr>
      </w:pPr>
      <w:r w:rsidRPr="007D3061">
        <w:rPr>
          <w:b/>
          <w:kern w:val="22"/>
          <w:szCs w:val="22"/>
          <w:lang w:val="fr-CA"/>
        </w:rPr>
        <w:t>B.</w:t>
      </w:r>
      <w:r w:rsidRPr="007D3061">
        <w:rPr>
          <w:b/>
          <w:kern w:val="22"/>
          <w:szCs w:val="22"/>
          <w:lang w:val="fr-CA"/>
        </w:rPr>
        <w:tab/>
        <w:t>Méthodologie et sources d’information</w:t>
      </w:r>
    </w:p>
    <w:p w14:paraId="02F587BD" w14:textId="77777777" w:rsidR="0094661C" w:rsidRPr="007D3061" w:rsidRDefault="0094661C" w:rsidP="0094661C">
      <w:pPr>
        <w:suppressLineNumbers/>
        <w:suppressAutoHyphens/>
        <w:kinsoku w:val="0"/>
        <w:overflowPunct w:val="0"/>
        <w:autoSpaceDE w:val="0"/>
        <w:autoSpaceDN w:val="0"/>
        <w:snapToGrid w:val="0"/>
        <w:spacing w:before="120" w:line="240" w:lineRule="auto"/>
        <w:rPr>
          <w:snapToGrid w:val="0"/>
          <w:kern w:val="22"/>
          <w:szCs w:val="22"/>
          <w:lang w:val="fr-CA"/>
        </w:rPr>
      </w:pPr>
      <w:r w:rsidRPr="007D3061">
        <w:rPr>
          <w:snapToGrid w:val="0"/>
          <w:kern w:val="22"/>
          <w:szCs w:val="22"/>
          <w:lang w:val="fr-CA"/>
        </w:rPr>
        <w:t>3.</w:t>
      </w:r>
      <w:r w:rsidRPr="007D3061">
        <w:rPr>
          <w:snapToGrid w:val="0"/>
          <w:kern w:val="22"/>
          <w:szCs w:val="22"/>
          <w:lang w:val="fr-CA"/>
        </w:rPr>
        <w:tab/>
        <w:t>Le Secrétariat est chargé d’entreprendre l’évaluation en 2019, avec une contribution des Parties, des organisations internationales et d’autres parties prenantes concernées. Trois principales méthodes de collecte de données seront utilisées : a) une analyse de la documentation ; b) une enquête en ligne ; c) des entretiens avec des représentants des principales organisations qui travaillent dans le domaine du</w:t>
      </w:r>
      <w:r>
        <w:rPr>
          <w:snapToGrid w:val="0"/>
          <w:kern w:val="22"/>
          <w:szCs w:val="22"/>
          <w:lang w:val="fr-CA"/>
        </w:rPr>
        <w:t xml:space="preserve"> développement et du</w:t>
      </w:r>
      <w:r w:rsidRPr="007D3061">
        <w:rPr>
          <w:snapToGrid w:val="0"/>
          <w:kern w:val="22"/>
          <w:szCs w:val="22"/>
          <w:lang w:val="fr-CA"/>
        </w:rPr>
        <w:t xml:space="preserve"> renforcement des capacités concernant l'accès et le partage des avantages.</w:t>
      </w:r>
    </w:p>
    <w:p w14:paraId="20650F57" w14:textId="77777777" w:rsidR="0094661C" w:rsidRPr="007D3061" w:rsidRDefault="0094661C" w:rsidP="0094661C">
      <w:pPr>
        <w:suppressLineNumbers/>
        <w:suppressAutoHyphens/>
        <w:kinsoku w:val="0"/>
        <w:overflowPunct w:val="0"/>
        <w:autoSpaceDE w:val="0"/>
        <w:autoSpaceDN w:val="0"/>
        <w:snapToGrid w:val="0"/>
        <w:spacing w:before="120" w:line="240" w:lineRule="auto"/>
        <w:rPr>
          <w:snapToGrid w:val="0"/>
          <w:kern w:val="22"/>
          <w:szCs w:val="22"/>
          <w:lang w:val="fr-CA"/>
        </w:rPr>
      </w:pPr>
      <w:r w:rsidRPr="007D3061">
        <w:rPr>
          <w:snapToGrid w:val="0"/>
          <w:kern w:val="22"/>
          <w:szCs w:val="22"/>
          <w:lang w:val="fr-CA"/>
        </w:rPr>
        <w:t>4.</w:t>
      </w:r>
      <w:r w:rsidRPr="007D3061">
        <w:rPr>
          <w:snapToGrid w:val="0"/>
          <w:kern w:val="22"/>
          <w:szCs w:val="22"/>
          <w:lang w:val="fr-CA"/>
        </w:rPr>
        <w:tab/>
        <w:t>Pour orienter l’analyse, la série de questions et sous-questions ci-après est proposée :</w:t>
      </w:r>
    </w:p>
    <w:p w14:paraId="600A407E" w14:textId="77777777" w:rsidR="0094661C" w:rsidRPr="007D3061" w:rsidRDefault="0094661C" w:rsidP="0094661C">
      <w:pPr>
        <w:suppressLineNumbers/>
        <w:suppressAutoHyphens/>
        <w:kinsoku w:val="0"/>
        <w:overflowPunct w:val="0"/>
        <w:autoSpaceDE w:val="0"/>
        <w:autoSpaceDN w:val="0"/>
        <w:snapToGrid w:val="0"/>
        <w:spacing w:line="240" w:lineRule="auto"/>
        <w:ind w:firstLine="720"/>
        <w:rPr>
          <w:bCs/>
          <w:kern w:val="22"/>
          <w:szCs w:val="22"/>
          <w:lang w:val="fr-CA"/>
        </w:rPr>
      </w:pPr>
      <w:r w:rsidRPr="007D3061">
        <w:rPr>
          <w:bCs/>
          <w:kern w:val="22"/>
          <w:szCs w:val="22"/>
          <w:lang w:val="fr-CA"/>
        </w:rPr>
        <w:t>a)</w:t>
      </w:r>
      <w:r w:rsidRPr="007D3061">
        <w:rPr>
          <w:bCs/>
          <w:kern w:val="22"/>
          <w:szCs w:val="22"/>
          <w:lang w:val="fr-CA"/>
        </w:rPr>
        <w:tab/>
        <w:t>Quels progrès ont été accomplis dans la mise en œuvre du cadre stratégique ?</w:t>
      </w:r>
    </w:p>
    <w:p w14:paraId="045901FC" w14:textId="77777777" w:rsidR="0094661C" w:rsidRPr="007D3061" w:rsidRDefault="0094661C" w:rsidP="00755500">
      <w:pPr>
        <w:suppressLineNumbers/>
        <w:suppressAutoHyphens/>
        <w:kinsoku w:val="0"/>
        <w:overflowPunct w:val="0"/>
        <w:autoSpaceDE w:val="0"/>
        <w:autoSpaceDN w:val="0"/>
        <w:snapToGrid w:val="0"/>
        <w:spacing w:line="240" w:lineRule="auto"/>
        <w:ind w:left="1440" w:hanging="708"/>
        <w:rPr>
          <w:kern w:val="22"/>
          <w:szCs w:val="22"/>
          <w:lang w:val="fr-CA"/>
        </w:rPr>
      </w:pPr>
      <w:r w:rsidRPr="007D3061">
        <w:rPr>
          <w:kern w:val="22"/>
          <w:szCs w:val="22"/>
          <w:lang w:val="fr-CA"/>
        </w:rPr>
        <w:t>i)</w:t>
      </w:r>
      <w:r w:rsidRPr="007D3061">
        <w:rPr>
          <w:kern w:val="22"/>
          <w:szCs w:val="22"/>
          <w:lang w:val="fr-CA"/>
        </w:rPr>
        <w:tab/>
        <w:t>Quelles ont été les principales réussites dans la mise en œuvre du cadre stratégique ?</w:t>
      </w:r>
    </w:p>
    <w:p w14:paraId="65ADDCB6" w14:textId="77777777" w:rsidR="0094661C" w:rsidRPr="007D3061" w:rsidRDefault="0094661C" w:rsidP="00755500">
      <w:pPr>
        <w:suppressLineNumbers/>
        <w:suppressAutoHyphens/>
        <w:kinsoku w:val="0"/>
        <w:overflowPunct w:val="0"/>
        <w:autoSpaceDE w:val="0"/>
        <w:autoSpaceDN w:val="0"/>
        <w:snapToGrid w:val="0"/>
        <w:spacing w:line="240" w:lineRule="auto"/>
        <w:ind w:left="1440" w:hanging="708"/>
        <w:rPr>
          <w:kern w:val="22"/>
          <w:szCs w:val="22"/>
          <w:lang w:val="fr-CA"/>
        </w:rPr>
      </w:pPr>
      <w:r w:rsidRPr="007D3061">
        <w:rPr>
          <w:kern w:val="22"/>
          <w:szCs w:val="22"/>
          <w:lang w:val="fr-CA"/>
        </w:rPr>
        <w:t>ii)</w:t>
      </w:r>
      <w:r w:rsidRPr="007D3061">
        <w:rPr>
          <w:kern w:val="22"/>
          <w:szCs w:val="22"/>
          <w:lang w:val="fr-CA"/>
        </w:rPr>
        <w:tab/>
        <w:t>Quels progrès ont été accomplis en matière de renforcement des capacités dans les cinq domaines d’intervention</w:t>
      </w:r>
      <w:r w:rsidRPr="00CA70C8">
        <w:rPr>
          <w:kern w:val="22"/>
          <w:szCs w:val="22"/>
          <w:vertAlign w:val="superscript"/>
        </w:rPr>
        <w:footnoteReference w:id="15"/>
      </w:r>
      <w:r w:rsidRPr="007D3061">
        <w:rPr>
          <w:kern w:val="22"/>
          <w:szCs w:val="22"/>
          <w:lang w:val="fr-CA"/>
        </w:rPr>
        <w:t xml:space="preserve"> identifiés par le cadre stratégique ?</w:t>
      </w:r>
    </w:p>
    <w:p w14:paraId="59F92CD9" w14:textId="77777777" w:rsidR="0094661C" w:rsidRPr="007D3061" w:rsidRDefault="0094661C" w:rsidP="00755500">
      <w:pPr>
        <w:suppressLineNumbers/>
        <w:suppressAutoHyphens/>
        <w:kinsoku w:val="0"/>
        <w:overflowPunct w:val="0"/>
        <w:autoSpaceDE w:val="0"/>
        <w:autoSpaceDN w:val="0"/>
        <w:snapToGrid w:val="0"/>
        <w:spacing w:line="240" w:lineRule="auto"/>
        <w:ind w:left="1440" w:hanging="708"/>
        <w:rPr>
          <w:kern w:val="22"/>
          <w:szCs w:val="22"/>
          <w:lang w:val="fr-CA"/>
        </w:rPr>
      </w:pPr>
      <w:r w:rsidRPr="007D3061">
        <w:rPr>
          <w:kern w:val="22"/>
          <w:szCs w:val="22"/>
          <w:lang w:val="fr-CA"/>
        </w:rPr>
        <w:t>iii)</w:t>
      </w:r>
      <w:r w:rsidRPr="007D3061">
        <w:rPr>
          <w:kern w:val="22"/>
          <w:szCs w:val="22"/>
          <w:lang w:val="fr-CA"/>
        </w:rPr>
        <w:tab/>
        <w:t>Subsiste-t-il des lacunes (thématiques et/ou géographiques) dans la mise en œuvre du cadre stratégique ?</w:t>
      </w:r>
    </w:p>
    <w:p w14:paraId="473A6EE7" w14:textId="77777777" w:rsidR="0094661C" w:rsidRPr="007D3061" w:rsidRDefault="0094661C" w:rsidP="00755500">
      <w:pPr>
        <w:suppressLineNumbers/>
        <w:suppressAutoHyphens/>
        <w:kinsoku w:val="0"/>
        <w:overflowPunct w:val="0"/>
        <w:autoSpaceDE w:val="0"/>
        <w:autoSpaceDN w:val="0"/>
        <w:snapToGrid w:val="0"/>
        <w:spacing w:line="240" w:lineRule="auto"/>
        <w:ind w:left="1440" w:hanging="708"/>
        <w:rPr>
          <w:kern w:val="22"/>
          <w:szCs w:val="22"/>
          <w:lang w:val="fr-CA"/>
        </w:rPr>
      </w:pPr>
      <w:r w:rsidRPr="007D3061">
        <w:rPr>
          <w:kern w:val="22"/>
          <w:szCs w:val="22"/>
          <w:lang w:val="fr-CA"/>
        </w:rPr>
        <w:t>iv)</w:t>
      </w:r>
      <w:r w:rsidRPr="007D3061">
        <w:rPr>
          <w:kern w:val="22"/>
          <w:szCs w:val="22"/>
          <w:lang w:val="fr-CA"/>
        </w:rPr>
        <w:tab/>
        <w:t>Est-ce que les mesures et les activités de renforcement des capacités proposées dans l’annexe II du cadre stratégique ont été utilisées dans les initiatives de renforcement des capacités ?</w:t>
      </w:r>
    </w:p>
    <w:p w14:paraId="27BD673D" w14:textId="77777777" w:rsidR="0094661C" w:rsidRPr="007D3061" w:rsidRDefault="0094661C" w:rsidP="00755500">
      <w:pPr>
        <w:suppressLineNumbers/>
        <w:suppressAutoHyphens/>
        <w:kinsoku w:val="0"/>
        <w:overflowPunct w:val="0"/>
        <w:autoSpaceDE w:val="0"/>
        <w:autoSpaceDN w:val="0"/>
        <w:snapToGrid w:val="0"/>
        <w:spacing w:line="240" w:lineRule="auto"/>
        <w:ind w:left="1440" w:hanging="708"/>
        <w:rPr>
          <w:kern w:val="22"/>
          <w:szCs w:val="22"/>
          <w:lang w:val="fr-CA"/>
        </w:rPr>
      </w:pPr>
      <w:r w:rsidRPr="007D3061">
        <w:rPr>
          <w:kern w:val="22"/>
          <w:szCs w:val="22"/>
          <w:lang w:val="fr-CA"/>
        </w:rPr>
        <w:t>v)</w:t>
      </w:r>
      <w:r w:rsidRPr="007D3061">
        <w:rPr>
          <w:kern w:val="22"/>
          <w:szCs w:val="22"/>
          <w:lang w:val="fr-CA"/>
        </w:rPr>
        <w:tab/>
        <w:t xml:space="preserve">Quels ont été les principaux défis/obstacles à la mise en œuvre ? </w:t>
      </w:r>
    </w:p>
    <w:p w14:paraId="282E6867" w14:textId="77777777" w:rsidR="0094661C" w:rsidRPr="007D3061" w:rsidRDefault="0094661C" w:rsidP="00755500">
      <w:pPr>
        <w:suppressLineNumbers/>
        <w:suppressAutoHyphens/>
        <w:kinsoku w:val="0"/>
        <w:overflowPunct w:val="0"/>
        <w:autoSpaceDE w:val="0"/>
        <w:autoSpaceDN w:val="0"/>
        <w:snapToGrid w:val="0"/>
        <w:spacing w:line="240" w:lineRule="auto"/>
        <w:ind w:left="1440" w:hanging="708"/>
        <w:rPr>
          <w:kern w:val="22"/>
          <w:szCs w:val="22"/>
          <w:lang w:val="fr-CA"/>
        </w:rPr>
      </w:pPr>
      <w:r w:rsidRPr="007D3061">
        <w:rPr>
          <w:kern w:val="22"/>
          <w:szCs w:val="22"/>
          <w:lang w:val="fr-CA"/>
        </w:rPr>
        <w:t>vi)</w:t>
      </w:r>
      <w:r w:rsidRPr="007D3061">
        <w:rPr>
          <w:kern w:val="22"/>
          <w:szCs w:val="22"/>
          <w:lang w:val="fr-CA"/>
        </w:rPr>
        <w:tab/>
        <w:t>Quelles ont été les approches les plus réussies et quels sont les enseignements tirés des initiatives de renforcement des capacités ?</w:t>
      </w:r>
    </w:p>
    <w:p w14:paraId="1767F7B6" w14:textId="77777777" w:rsidR="0094661C" w:rsidRPr="007D3061" w:rsidRDefault="0094661C" w:rsidP="0094661C">
      <w:pPr>
        <w:suppressLineNumbers/>
        <w:suppressAutoHyphens/>
        <w:kinsoku w:val="0"/>
        <w:overflowPunct w:val="0"/>
        <w:autoSpaceDE w:val="0"/>
        <w:autoSpaceDN w:val="0"/>
        <w:snapToGrid w:val="0"/>
        <w:spacing w:line="240" w:lineRule="auto"/>
        <w:ind w:firstLine="720"/>
        <w:rPr>
          <w:bCs/>
          <w:kern w:val="22"/>
          <w:szCs w:val="22"/>
          <w:lang w:val="fr-CA"/>
        </w:rPr>
      </w:pPr>
      <w:r w:rsidRPr="007D3061">
        <w:rPr>
          <w:bCs/>
          <w:kern w:val="22"/>
          <w:szCs w:val="22"/>
          <w:lang w:val="fr-CA"/>
        </w:rPr>
        <w:t>b)</w:t>
      </w:r>
      <w:r w:rsidRPr="007D3061">
        <w:rPr>
          <w:bCs/>
          <w:kern w:val="22"/>
          <w:szCs w:val="22"/>
          <w:lang w:val="fr-CA"/>
        </w:rPr>
        <w:tab/>
        <w:t>Dans quelle mesure le cadre stratégique a-t-il été efficace pour favoriser une approche systématique, cohérente et coordonnée en matière de</w:t>
      </w:r>
      <w:r>
        <w:rPr>
          <w:bCs/>
          <w:kern w:val="22"/>
          <w:szCs w:val="22"/>
          <w:lang w:val="fr-CA"/>
        </w:rPr>
        <w:t xml:space="preserve"> développement et de</w:t>
      </w:r>
      <w:r w:rsidRPr="007D3061">
        <w:rPr>
          <w:bCs/>
          <w:kern w:val="22"/>
          <w:szCs w:val="22"/>
          <w:lang w:val="fr-CA"/>
        </w:rPr>
        <w:t xml:space="preserve"> renforcement des capacités  ?</w:t>
      </w:r>
    </w:p>
    <w:p w14:paraId="0A96AEC1" w14:textId="77777777" w:rsidR="0094661C" w:rsidRPr="007D3061" w:rsidRDefault="0094661C" w:rsidP="00755500">
      <w:pPr>
        <w:suppressLineNumbers/>
        <w:suppressAutoHyphens/>
        <w:kinsoku w:val="0"/>
        <w:overflowPunct w:val="0"/>
        <w:autoSpaceDE w:val="0"/>
        <w:autoSpaceDN w:val="0"/>
        <w:snapToGrid w:val="0"/>
        <w:spacing w:line="240" w:lineRule="auto"/>
        <w:ind w:left="1440" w:hanging="708"/>
        <w:rPr>
          <w:kern w:val="22"/>
          <w:szCs w:val="22"/>
          <w:lang w:val="fr-CA"/>
        </w:rPr>
      </w:pPr>
      <w:r w:rsidRPr="007D3061">
        <w:rPr>
          <w:kern w:val="22"/>
          <w:szCs w:val="22"/>
          <w:lang w:val="fr-CA"/>
        </w:rPr>
        <w:t>i)</w:t>
      </w:r>
      <w:r w:rsidRPr="007D3061">
        <w:rPr>
          <w:kern w:val="22"/>
          <w:szCs w:val="22"/>
          <w:lang w:val="fr-CA"/>
        </w:rPr>
        <w:tab/>
        <w:t>Dans quelle mesure le cadre est-il utilisé comme référence pour orienter les politiques et les actions des Parties, des organisations et des organismes donateurs en matière de renforcement des capacités sur l’accès et le partage des avantages ? Si oui, comment ? Si le cadre n’a pas été utilisé comme référence, veuillez expliquer pourquoi.</w:t>
      </w:r>
    </w:p>
    <w:p w14:paraId="51BAC6FA" w14:textId="77777777" w:rsidR="0094661C" w:rsidRPr="007D3061" w:rsidRDefault="0094661C" w:rsidP="00755500">
      <w:pPr>
        <w:suppressLineNumbers/>
        <w:suppressAutoHyphens/>
        <w:kinsoku w:val="0"/>
        <w:overflowPunct w:val="0"/>
        <w:autoSpaceDE w:val="0"/>
        <w:autoSpaceDN w:val="0"/>
        <w:snapToGrid w:val="0"/>
        <w:spacing w:line="240" w:lineRule="auto"/>
        <w:ind w:left="1440" w:hanging="708"/>
        <w:rPr>
          <w:kern w:val="22"/>
          <w:szCs w:val="22"/>
          <w:lang w:val="fr-CA"/>
        </w:rPr>
      </w:pPr>
      <w:r w:rsidRPr="007D3061">
        <w:rPr>
          <w:kern w:val="22"/>
          <w:szCs w:val="22"/>
          <w:lang w:val="fr-CA"/>
        </w:rPr>
        <w:t>ii)</w:t>
      </w:r>
      <w:r w:rsidRPr="007D3061">
        <w:rPr>
          <w:kern w:val="22"/>
          <w:szCs w:val="22"/>
          <w:lang w:val="fr-CA"/>
        </w:rPr>
        <w:tab/>
        <w:t>Quels ont été les mécanismes les plus utiles pour faciliter la coordination de la mise en œuvre du cadre stratégique, et comment ?</w:t>
      </w:r>
    </w:p>
    <w:p w14:paraId="05704CC0" w14:textId="77777777" w:rsidR="0094661C" w:rsidRPr="007D3061" w:rsidRDefault="0094661C" w:rsidP="00755500">
      <w:pPr>
        <w:suppressLineNumbers/>
        <w:suppressAutoHyphens/>
        <w:kinsoku w:val="0"/>
        <w:overflowPunct w:val="0"/>
        <w:autoSpaceDE w:val="0"/>
        <w:autoSpaceDN w:val="0"/>
        <w:snapToGrid w:val="0"/>
        <w:spacing w:line="240" w:lineRule="auto"/>
        <w:ind w:left="1440" w:hanging="708"/>
        <w:rPr>
          <w:kern w:val="22"/>
          <w:szCs w:val="22"/>
          <w:lang w:val="fr-CA"/>
        </w:rPr>
      </w:pPr>
      <w:r w:rsidRPr="007D3061">
        <w:rPr>
          <w:kern w:val="22"/>
          <w:szCs w:val="22"/>
          <w:lang w:val="fr-CA"/>
        </w:rPr>
        <w:t>iii)</w:t>
      </w:r>
      <w:r w:rsidRPr="007D3061">
        <w:rPr>
          <w:kern w:val="22"/>
          <w:szCs w:val="22"/>
          <w:lang w:val="fr-CA"/>
        </w:rPr>
        <w:tab/>
        <w:t xml:space="preserve">Dans quelle mesure les Parties et les organisations compétentes coopèrent-elles dans le domaine </w:t>
      </w:r>
      <w:r>
        <w:rPr>
          <w:kern w:val="22"/>
          <w:szCs w:val="22"/>
          <w:lang w:val="fr-CA"/>
        </w:rPr>
        <w:t>du développement</w:t>
      </w:r>
      <w:r w:rsidRPr="007D3061">
        <w:rPr>
          <w:kern w:val="22"/>
          <w:szCs w:val="22"/>
          <w:lang w:val="fr-CA"/>
        </w:rPr>
        <w:t xml:space="preserve"> de capacités ?</w:t>
      </w:r>
    </w:p>
    <w:p w14:paraId="403D12C1" w14:textId="77777777" w:rsidR="0094661C" w:rsidRPr="007D3061" w:rsidRDefault="0094661C" w:rsidP="0094661C">
      <w:pPr>
        <w:suppressLineNumbers/>
        <w:suppressAutoHyphens/>
        <w:kinsoku w:val="0"/>
        <w:overflowPunct w:val="0"/>
        <w:autoSpaceDE w:val="0"/>
        <w:autoSpaceDN w:val="0"/>
        <w:snapToGrid w:val="0"/>
        <w:spacing w:line="240" w:lineRule="auto"/>
        <w:ind w:firstLine="720"/>
        <w:rPr>
          <w:bCs/>
          <w:kern w:val="22"/>
          <w:szCs w:val="22"/>
          <w:lang w:val="fr-CA"/>
        </w:rPr>
      </w:pPr>
      <w:r w:rsidRPr="007D3061">
        <w:rPr>
          <w:bCs/>
          <w:kern w:val="22"/>
          <w:szCs w:val="22"/>
          <w:lang w:val="fr-CA"/>
        </w:rPr>
        <w:t>c)</w:t>
      </w:r>
      <w:r w:rsidRPr="007D3061">
        <w:rPr>
          <w:bCs/>
          <w:kern w:val="22"/>
          <w:szCs w:val="22"/>
          <w:lang w:val="fr-CA"/>
        </w:rPr>
        <w:tab/>
        <w:t>En quel sens le cadre stratégique a-t-il été efficace pour orienter et faciliter les activités de renforcement des capacités ?</w:t>
      </w:r>
    </w:p>
    <w:p w14:paraId="02054804" w14:textId="77777777" w:rsidR="0094661C" w:rsidRPr="007D3061" w:rsidRDefault="0094661C" w:rsidP="00B97459">
      <w:pPr>
        <w:suppressLineNumbers/>
        <w:suppressAutoHyphens/>
        <w:kinsoku w:val="0"/>
        <w:overflowPunct w:val="0"/>
        <w:autoSpaceDE w:val="0"/>
        <w:autoSpaceDN w:val="0"/>
        <w:snapToGrid w:val="0"/>
        <w:spacing w:line="240" w:lineRule="auto"/>
        <w:ind w:left="1260" w:hanging="567"/>
        <w:rPr>
          <w:kern w:val="22"/>
          <w:szCs w:val="22"/>
          <w:lang w:val="fr-CA"/>
        </w:rPr>
      </w:pPr>
      <w:r w:rsidRPr="007D3061">
        <w:rPr>
          <w:kern w:val="22"/>
          <w:szCs w:val="22"/>
          <w:lang w:val="fr-CA"/>
        </w:rPr>
        <w:t>i)</w:t>
      </w:r>
      <w:r w:rsidRPr="007D3061">
        <w:rPr>
          <w:kern w:val="22"/>
          <w:szCs w:val="22"/>
          <w:lang w:val="fr-CA"/>
        </w:rPr>
        <w:tab/>
        <w:t>Comment le cadre stratégique a-t-il été utilisé pour orienter les activités de renforcement des capacités aux niveaux national, régional et international ?</w:t>
      </w:r>
    </w:p>
    <w:p w14:paraId="1FA86306" w14:textId="77777777" w:rsidR="0094661C" w:rsidRPr="007D3061" w:rsidRDefault="0094661C" w:rsidP="00B97459">
      <w:pPr>
        <w:suppressLineNumbers/>
        <w:suppressAutoHyphens/>
        <w:kinsoku w:val="0"/>
        <w:overflowPunct w:val="0"/>
        <w:autoSpaceDE w:val="0"/>
        <w:autoSpaceDN w:val="0"/>
        <w:snapToGrid w:val="0"/>
        <w:spacing w:line="240" w:lineRule="auto"/>
        <w:ind w:left="1260" w:hanging="567"/>
        <w:rPr>
          <w:kern w:val="22"/>
          <w:szCs w:val="22"/>
          <w:lang w:val="fr-CA"/>
        </w:rPr>
      </w:pPr>
      <w:r w:rsidRPr="007D3061">
        <w:rPr>
          <w:kern w:val="22"/>
          <w:szCs w:val="22"/>
          <w:lang w:val="fr-CA"/>
        </w:rPr>
        <w:lastRenderedPageBreak/>
        <w:t>ii)</w:t>
      </w:r>
      <w:r w:rsidRPr="007D3061">
        <w:rPr>
          <w:kern w:val="22"/>
          <w:szCs w:val="22"/>
          <w:lang w:val="fr-CA"/>
        </w:rPr>
        <w:tab/>
        <w:t>Est-ce que le cadre stratégique a été utilisé pour orienter la mobilisation des ressources par les Parties et est-ce qu’il a influencé le financement provenant des bailleurs de fonds ?</w:t>
      </w:r>
    </w:p>
    <w:p w14:paraId="19EB9F0C" w14:textId="77777777" w:rsidR="0094661C" w:rsidRPr="007D3061" w:rsidRDefault="0094661C" w:rsidP="00B97459">
      <w:pPr>
        <w:suppressLineNumbers/>
        <w:suppressAutoHyphens/>
        <w:kinsoku w:val="0"/>
        <w:overflowPunct w:val="0"/>
        <w:autoSpaceDE w:val="0"/>
        <w:autoSpaceDN w:val="0"/>
        <w:snapToGrid w:val="0"/>
        <w:spacing w:line="240" w:lineRule="auto"/>
        <w:ind w:left="1260" w:hanging="567"/>
        <w:rPr>
          <w:kern w:val="22"/>
          <w:szCs w:val="22"/>
          <w:lang w:val="fr-CA"/>
        </w:rPr>
      </w:pPr>
      <w:r w:rsidRPr="007D3061">
        <w:rPr>
          <w:kern w:val="22"/>
          <w:szCs w:val="22"/>
          <w:lang w:val="fr-CA"/>
        </w:rPr>
        <w:t>iii)</w:t>
      </w:r>
      <w:r w:rsidRPr="007D3061">
        <w:rPr>
          <w:kern w:val="22"/>
          <w:szCs w:val="22"/>
          <w:lang w:val="fr-CA"/>
        </w:rPr>
        <w:tab/>
        <w:t>Dans quelle mesure le cadre stratégique a-t-il été pris en compte par les pays admissibles à un financement, dans la conception de leur projets de renforcement des capacités en matière d’accès et de partage des avantages qui ont été remis au Fonds pour l’environnement mondial ?</w:t>
      </w:r>
    </w:p>
    <w:p w14:paraId="7F414CDF" w14:textId="77777777" w:rsidR="0094661C" w:rsidRPr="007D3061" w:rsidRDefault="0094661C" w:rsidP="0094661C">
      <w:pPr>
        <w:suppressLineNumbers/>
        <w:suppressAutoHyphens/>
        <w:kinsoku w:val="0"/>
        <w:overflowPunct w:val="0"/>
        <w:autoSpaceDE w:val="0"/>
        <w:autoSpaceDN w:val="0"/>
        <w:snapToGrid w:val="0"/>
        <w:spacing w:line="240" w:lineRule="auto"/>
        <w:ind w:firstLine="720"/>
        <w:rPr>
          <w:bCs/>
          <w:kern w:val="22"/>
          <w:szCs w:val="22"/>
          <w:lang w:val="fr-CA"/>
        </w:rPr>
      </w:pPr>
      <w:r w:rsidRPr="007D3061">
        <w:rPr>
          <w:bCs/>
          <w:kern w:val="22"/>
          <w:szCs w:val="22"/>
          <w:lang w:val="fr-CA"/>
        </w:rPr>
        <w:t>d)</w:t>
      </w:r>
      <w:r w:rsidRPr="007D3061">
        <w:rPr>
          <w:bCs/>
          <w:kern w:val="22"/>
          <w:szCs w:val="22"/>
          <w:lang w:val="fr-CA"/>
        </w:rPr>
        <w:tab/>
        <w:t>Est-ce que les éléments constitutifs du cadre stratégique (c.-à-d. domaines d’intervention, objectifs, activités proposées) restent pertinents ?</w:t>
      </w:r>
    </w:p>
    <w:p w14:paraId="072F0C17" w14:textId="77777777" w:rsidR="0094661C" w:rsidRPr="007D3061" w:rsidRDefault="0094661C" w:rsidP="00B97459">
      <w:pPr>
        <w:suppressLineNumbers/>
        <w:suppressAutoHyphens/>
        <w:kinsoku w:val="0"/>
        <w:overflowPunct w:val="0"/>
        <w:autoSpaceDE w:val="0"/>
        <w:autoSpaceDN w:val="0"/>
        <w:snapToGrid w:val="0"/>
        <w:spacing w:line="240" w:lineRule="auto"/>
        <w:ind w:left="1260" w:hanging="567"/>
        <w:rPr>
          <w:kern w:val="22"/>
          <w:szCs w:val="22"/>
          <w:lang w:val="fr-CA"/>
        </w:rPr>
      </w:pPr>
      <w:r w:rsidRPr="007D3061">
        <w:rPr>
          <w:kern w:val="22"/>
          <w:szCs w:val="22"/>
          <w:lang w:val="fr-CA"/>
        </w:rPr>
        <w:t>i)</w:t>
      </w:r>
      <w:r w:rsidRPr="007D3061">
        <w:rPr>
          <w:kern w:val="22"/>
          <w:szCs w:val="22"/>
          <w:lang w:val="fr-CA"/>
        </w:rPr>
        <w:tab/>
        <w:t>Les objectifs du cadre stratégique sont-ils toujours valides ? Dans quelle mesure ?</w:t>
      </w:r>
    </w:p>
    <w:p w14:paraId="32EF723F" w14:textId="77777777" w:rsidR="0094661C" w:rsidRPr="007D3061" w:rsidRDefault="0094661C" w:rsidP="00B97459">
      <w:pPr>
        <w:suppressLineNumbers/>
        <w:suppressAutoHyphens/>
        <w:kinsoku w:val="0"/>
        <w:overflowPunct w:val="0"/>
        <w:autoSpaceDE w:val="0"/>
        <w:autoSpaceDN w:val="0"/>
        <w:snapToGrid w:val="0"/>
        <w:spacing w:line="240" w:lineRule="auto"/>
        <w:ind w:left="1260" w:hanging="567"/>
        <w:rPr>
          <w:kern w:val="22"/>
          <w:szCs w:val="22"/>
          <w:lang w:val="fr-CA"/>
        </w:rPr>
      </w:pPr>
      <w:r w:rsidRPr="007D3061">
        <w:rPr>
          <w:kern w:val="22"/>
          <w:szCs w:val="22"/>
          <w:lang w:val="fr-CA"/>
        </w:rPr>
        <w:t>ii)</w:t>
      </w:r>
      <w:r w:rsidRPr="007D3061">
        <w:rPr>
          <w:kern w:val="22"/>
          <w:szCs w:val="22"/>
          <w:lang w:val="fr-CA"/>
        </w:rPr>
        <w:tab/>
        <w:t>Est-ce que les domaines d’intervention et les exemples d’activités de renforcement des capacités</w:t>
      </w:r>
      <w:r w:rsidRPr="00CA70C8">
        <w:rPr>
          <w:kern w:val="22"/>
          <w:szCs w:val="22"/>
          <w:vertAlign w:val="superscript"/>
        </w:rPr>
        <w:footnoteReference w:id="16"/>
      </w:r>
      <w:r w:rsidRPr="007D3061">
        <w:rPr>
          <w:kern w:val="22"/>
          <w:szCs w:val="22"/>
          <w:vertAlign w:val="superscript"/>
          <w:lang w:val="fr-CA"/>
        </w:rPr>
        <w:t xml:space="preserve"> </w:t>
      </w:r>
      <w:r w:rsidRPr="007D3061">
        <w:rPr>
          <w:kern w:val="22"/>
          <w:szCs w:val="22"/>
          <w:lang w:val="fr-CA"/>
        </w:rPr>
        <w:t xml:space="preserve">sont toujours compatibles avec les buts stratégiques généraux, les objectifs et les changements souhaités en matière de </w:t>
      </w:r>
      <w:r>
        <w:rPr>
          <w:kern w:val="22"/>
          <w:szCs w:val="22"/>
          <w:lang w:val="fr-CA"/>
        </w:rPr>
        <w:t xml:space="preserve">développement et de </w:t>
      </w:r>
      <w:r w:rsidRPr="007D3061">
        <w:rPr>
          <w:kern w:val="22"/>
          <w:szCs w:val="22"/>
          <w:lang w:val="fr-CA"/>
        </w:rPr>
        <w:t>renforcement des capacités pour faciliter l’application du Protocole de Nagoya ?</w:t>
      </w:r>
    </w:p>
    <w:p w14:paraId="26FEB4F4" w14:textId="77777777" w:rsidR="0094661C" w:rsidRPr="007D3061" w:rsidRDefault="0094661C" w:rsidP="0094661C">
      <w:pPr>
        <w:suppressLineNumbers/>
        <w:suppressAutoHyphens/>
        <w:kinsoku w:val="0"/>
        <w:overflowPunct w:val="0"/>
        <w:autoSpaceDE w:val="0"/>
        <w:autoSpaceDN w:val="0"/>
        <w:snapToGrid w:val="0"/>
        <w:spacing w:line="240" w:lineRule="auto"/>
        <w:ind w:firstLine="720"/>
        <w:rPr>
          <w:kern w:val="22"/>
          <w:szCs w:val="22"/>
          <w:lang w:val="fr-CA"/>
        </w:rPr>
      </w:pPr>
      <w:r w:rsidRPr="007D3061">
        <w:rPr>
          <w:bCs/>
          <w:kern w:val="22"/>
          <w:szCs w:val="22"/>
          <w:lang w:val="fr-CA"/>
        </w:rPr>
        <w:t>e)</w:t>
      </w:r>
      <w:r w:rsidRPr="007D3061">
        <w:rPr>
          <w:bCs/>
          <w:kern w:val="22"/>
          <w:szCs w:val="22"/>
          <w:lang w:val="fr-CA"/>
        </w:rPr>
        <w:tab/>
        <w:t>Recommandations pour l’élaboration du cadre stratégique à long terme pour le</w:t>
      </w:r>
      <w:r>
        <w:rPr>
          <w:bCs/>
          <w:kern w:val="22"/>
          <w:szCs w:val="22"/>
          <w:lang w:val="fr-CA"/>
        </w:rPr>
        <w:t xml:space="preserve"> développement et le</w:t>
      </w:r>
      <w:r w:rsidRPr="007D3061">
        <w:rPr>
          <w:bCs/>
          <w:kern w:val="22"/>
          <w:szCs w:val="22"/>
          <w:lang w:val="fr-CA"/>
        </w:rPr>
        <w:t xml:space="preserve"> renforcement des capacités au-delà de 2020 :</w:t>
      </w:r>
    </w:p>
    <w:p w14:paraId="1470B4DB" w14:textId="77777777" w:rsidR="0094661C" w:rsidRPr="007D3061" w:rsidRDefault="0094661C" w:rsidP="00B97459">
      <w:pPr>
        <w:suppressLineNumbers/>
        <w:suppressAutoHyphens/>
        <w:kinsoku w:val="0"/>
        <w:overflowPunct w:val="0"/>
        <w:autoSpaceDE w:val="0"/>
        <w:autoSpaceDN w:val="0"/>
        <w:snapToGrid w:val="0"/>
        <w:spacing w:line="240" w:lineRule="auto"/>
        <w:ind w:left="1260" w:hanging="567"/>
        <w:rPr>
          <w:kern w:val="22"/>
          <w:szCs w:val="22"/>
          <w:lang w:val="fr-CA"/>
        </w:rPr>
      </w:pPr>
      <w:r w:rsidRPr="007D3061">
        <w:rPr>
          <w:kern w:val="22"/>
          <w:szCs w:val="22"/>
          <w:lang w:val="fr-CA"/>
        </w:rPr>
        <w:t>i)</w:t>
      </w:r>
      <w:r w:rsidRPr="007D3061">
        <w:rPr>
          <w:kern w:val="22"/>
          <w:szCs w:val="22"/>
          <w:lang w:val="fr-CA"/>
        </w:rPr>
        <w:tab/>
        <w:t xml:space="preserve">Quelles sont les mesures de renforcement des capacités prioritaires en matière d’accès et de partage des avantages qui devraient être intégrées dans le cadre stratégique à long terme pour le renforcement des capacités et </w:t>
      </w:r>
      <w:r>
        <w:rPr>
          <w:kern w:val="22"/>
          <w:szCs w:val="22"/>
          <w:lang w:val="fr-CA"/>
        </w:rPr>
        <w:t>le développement</w:t>
      </w:r>
      <w:r w:rsidRPr="007D3061">
        <w:rPr>
          <w:kern w:val="22"/>
          <w:szCs w:val="22"/>
          <w:lang w:val="fr-CA"/>
        </w:rPr>
        <w:t xml:space="preserve"> de capacités au-delà de 2020 ?</w:t>
      </w:r>
    </w:p>
    <w:p w14:paraId="42D70296" w14:textId="77777777" w:rsidR="0094661C" w:rsidRPr="007D3061" w:rsidRDefault="0094661C" w:rsidP="00B97459">
      <w:pPr>
        <w:suppressLineNumbers/>
        <w:suppressAutoHyphens/>
        <w:kinsoku w:val="0"/>
        <w:overflowPunct w:val="0"/>
        <w:autoSpaceDE w:val="0"/>
        <w:autoSpaceDN w:val="0"/>
        <w:snapToGrid w:val="0"/>
        <w:spacing w:line="240" w:lineRule="auto"/>
        <w:ind w:left="1260" w:hanging="567"/>
        <w:rPr>
          <w:kern w:val="22"/>
          <w:szCs w:val="22"/>
          <w:lang w:val="fr-CA"/>
        </w:rPr>
      </w:pPr>
      <w:r w:rsidRPr="007D3061">
        <w:rPr>
          <w:kern w:val="22"/>
          <w:szCs w:val="22"/>
          <w:lang w:val="fr-CA"/>
        </w:rPr>
        <w:t>ii)</w:t>
      </w:r>
      <w:r w:rsidRPr="007D3061">
        <w:rPr>
          <w:kern w:val="22"/>
          <w:szCs w:val="22"/>
          <w:lang w:val="fr-CA"/>
        </w:rPr>
        <w:tab/>
        <w:t xml:space="preserve">Quelles sont vos principales recommandations pour améliorer le renforcement des capacités et </w:t>
      </w:r>
      <w:r>
        <w:rPr>
          <w:kern w:val="22"/>
          <w:szCs w:val="22"/>
          <w:lang w:val="fr-CA"/>
        </w:rPr>
        <w:t>le développement</w:t>
      </w:r>
      <w:r w:rsidRPr="007D3061">
        <w:rPr>
          <w:kern w:val="22"/>
          <w:szCs w:val="22"/>
          <w:lang w:val="fr-CA"/>
        </w:rPr>
        <w:t xml:space="preserve"> de capacités en matière d’accès et de partage des avantages au-delà de 2020, compte tenu des défis/obstacles mentionnés au paragraphe 4 a) ?</w:t>
      </w:r>
    </w:p>
    <w:p w14:paraId="4D8B03D7" w14:textId="77777777" w:rsidR="0094661C" w:rsidRPr="007D3061" w:rsidRDefault="0094661C" w:rsidP="0094661C">
      <w:pPr>
        <w:suppressLineNumbers/>
        <w:suppressAutoHyphens/>
        <w:kinsoku w:val="0"/>
        <w:overflowPunct w:val="0"/>
        <w:autoSpaceDE w:val="0"/>
        <w:autoSpaceDN w:val="0"/>
        <w:snapToGrid w:val="0"/>
        <w:spacing w:before="120" w:line="240" w:lineRule="auto"/>
        <w:rPr>
          <w:snapToGrid w:val="0"/>
          <w:kern w:val="22"/>
          <w:szCs w:val="22"/>
          <w:lang w:val="fr-CA"/>
        </w:rPr>
      </w:pPr>
      <w:r w:rsidRPr="007D3061">
        <w:rPr>
          <w:snapToGrid w:val="0"/>
          <w:kern w:val="22"/>
          <w:szCs w:val="22"/>
          <w:lang w:val="fr-CA"/>
        </w:rPr>
        <w:t>5.</w:t>
      </w:r>
      <w:r w:rsidRPr="007D3061">
        <w:rPr>
          <w:snapToGrid w:val="0"/>
          <w:kern w:val="22"/>
          <w:szCs w:val="22"/>
          <w:lang w:val="fr-CA"/>
        </w:rPr>
        <w:tab/>
        <w:t>Les informations utilisées pour l’analyse seront tirées de différentes sources, y compris les suivantes :</w:t>
      </w:r>
    </w:p>
    <w:p w14:paraId="691F36A7" w14:textId="77777777" w:rsidR="0094661C" w:rsidRPr="007D3061" w:rsidRDefault="0094661C" w:rsidP="0094661C">
      <w:pPr>
        <w:suppressLineNumbers/>
        <w:suppressAutoHyphens/>
        <w:kinsoku w:val="0"/>
        <w:overflowPunct w:val="0"/>
        <w:autoSpaceDE w:val="0"/>
        <w:autoSpaceDN w:val="0"/>
        <w:snapToGrid w:val="0"/>
        <w:spacing w:line="240" w:lineRule="auto"/>
        <w:ind w:firstLine="720"/>
        <w:rPr>
          <w:kern w:val="22"/>
          <w:szCs w:val="22"/>
          <w:lang w:val="fr-CA"/>
        </w:rPr>
      </w:pPr>
      <w:r w:rsidRPr="007D3061">
        <w:rPr>
          <w:kern w:val="22"/>
          <w:szCs w:val="22"/>
          <w:lang w:val="fr-CA"/>
        </w:rPr>
        <w:t>a)</w:t>
      </w:r>
      <w:r w:rsidRPr="007D3061">
        <w:rPr>
          <w:kern w:val="22"/>
          <w:szCs w:val="22"/>
          <w:lang w:val="fr-CA"/>
        </w:rPr>
        <w:tab/>
        <w:t>L’exercice d’évaluation et d’examen de l’efficacité du Protocole de Nagoya et les décisions connexes de la Conférence des Parties siégeant en tant que réunion des Parties au Protocole ;</w:t>
      </w:r>
    </w:p>
    <w:p w14:paraId="6D80A5EB" w14:textId="77777777" w:rsidR="0094661C" w:rsidRPr="007D3061" w:rsidRDefault="0094661C" w:rsidP="0094661C">
      <w:pPr>
        <w:suppressLineNumbers/>
        <w:suppressAutoHyphens/>
        <w:kinsoku w:val="0"/>
        <w:overflowPunct w:val="0"/>
        <w:autoSpaceDE w:val="0"/>
        <w:autoSpaceDN w:val="0"/>
        <w:snapToGrid w:val="0"/>
        <w:spacing w:line="240" w:lineRule="auto"/>
        <w:ind w:firstLine="720"/>
        <w:rPr>
          <w:kern w:val="22"/>
          <w:szCs w:val="22"/>
          <w:lang w:val="fr-CA"/>
        </w:rPr>
      </w:pPr>
      <w:r w:rsidRPr="007D3061">
        <w:rPr>
          <w:kern w:val="22"/>
          <w:szCs w:val="22"/>
          <w:lang w:val="fr-CA"/>
        </w:rPr>
        <w:t>b)</w:t>
      </w:r>
      <w:r w:rsidRPr="007D3061">
        <w:rPr>
          <w:kern w:val="22"/>
          <w:szCs w:val="22"/>
          <w:lang w:val="fr-CA"/>
        </w:rPr>
        <w:tab/>
        <w:t>Les informations publiées dans les rapports nationaux provisoires ;</w:t>
      </w:r>
    </w:p>
    <w:p w14:paraId="7B6A0EDF" w14:textId="77777777" w:rsidR="0094661C" w:rsidRPr="007D3061" w:rsidRDefault="0094661C" w:rsidP="0094661C">
      <w:pPr>
        <w:suppressLineNumbers/>
        <w:suppressAutoHyphens/>
        <w:kinsoku w:val="0"/>
        <w:overflowPunct w:val="0"/>
        <w:autoSpaceDE w:val="0"/>
        <w:autoSpaceDN w:val="0"/>
        <w:snapToGrid w:val="0"/>
        <w:spacing w:line="240" w:lineRule="auto"/>
        <w:ind w:firstLine="720"/>
        <w:rPr>
          <w:kern w:val="22"/>
          <w:szCs w:val="22"/>
          <w:lang w:val="fr-CA"/>
        </w:rPr>
      </w:pPr>
      <w:r w:rsidRPr="007D3061">
        <w:rPr>
          <w:kern w:val="22"/>
          <w:szCs w:val="22"/>
          <w:lang w:val="fr-CA"/>
        </w:rPr>
        <w:t>c)</w:t>
      </w:r>
      <w:r w:rsidRPr="007D3061">
        <w:rPr>
          <w:kern w:val="22"/>
          <w:szCs w:val="22"/>
          <w:lang w:val="fr-CA"/>
        </w:rPr>
        <w:tab/>
        <w:t>Les informations publiées dans le Centre d’échange sur l’accès et le partage des avantages ;</w:t>
      </w:r>
    </w:p>
    <w:p w14:paraId="2EC96D6F" w14:textId="77777777" w:rsidR="0094661C" w:rsidRPr="007D3061" w:rsidRDefault="0094661C" w:rsidP="0094661C">
      <w:pPr>
        <w:suppressLineNumbers/>
        <w:suppressAutoHyphens/>
        <w:kinsoku w:val="0"/>
        <w:overflowPunct w:val="0"/>
        <w:autoSpaceDE w:val="0"/>
        <w:autoSpaceDN w:val="0"/>
        <w:snapToGrid w:val="0"/>
        <w:spacing w:line="240" w:lineRule="auto"/>
        <w:ind w:firstLine="720"/>
        <w:rPr>
          <w:kern w:val="22"/>
          <w:szCs w:val="22"/>
          <w:lang w:val="fr-CA"/>
        </w:rPr>
      </w:pPr>
      <w:r w:rsidRPr="007D3061">
        <w:rPr>
          <w:kern w:val="22"/>
          <w:szCs w:val="22"/>
          <w:lang w:val="fr-CA"/>
        </w:rPr>
        <w:t>d)</w:t>
      </w:r>
      <w:r w:rsidRPr="007D3061">
        <w:rPr>
          <w:kern w:val="22"/>
          <w:szCs w:val="22"/>
          <w:lang w:val="fr-CA"/>
        </w:rPr>
        <w:tab/>
        <w:t>Les rapports d’activité sur les initiatives de</w:t>
      </w:r>
      <w:r>
        <w:rPr>
          <w:kern w:val="22"/>
          <w:szCs w:val="22"/>
          <w:lang w:val="fr-CA"/>
        </w:rPr>
        <w:t xml:space="preserve"> développement et de</w:t>
      </w:r>
      <w:r w:rsidRPr="007D3061">
        <w:rPr>
          <w:kern w:val="22"/>
          <w:szCs w:val="22"/>
          <w:lang w:val="fr-CA"/>
        </w:rPr>
        <w:t xml:space="preserve"> renforcement des capacités en appui à l’application du Protocole de Nagoya établis par le Secrétariat ;</w:t>
      </w:r>
    </w:p>
    <w:p w14:paraId="00780EE0" w14:textId="77777777" w:rsidR="0094661C" w:rsidRPr="007D3061" w:rsidRDefault="0094661C" w:rsidP="0094661C">
      <w:pPr>
        <w:suppressLineNumbers/>
        <w:suppressAutoHyphens/>
        <w:kinsoku w:val="0"/>
        <w:overflowPunct w:val="0"/>
        <w:autoSpaceDE w:val="0"/>
        <w:autoSpaceDN w:val="0"/>
        <w:snapToGrid w:val="0"/>
        <w:spacing w:line="240" w:lineRule="auto"/>
        <w:ind w:firstLine="720"/>
        <w:rPr>
          <w:kern w:val="22"/>
          <w:szCs w:val="22"/>
          <w:lang w:val="fr-CA"/>
        </w:rPr>
      </w:pPr>
      <w:r w:rsidRPr="007D3061">
        <w:rPr>
          <w:kern w:val="22"/>
          <w:szCs w:val="22"/>
          <w:lang w:val="fr-CA"/>
        </w:rPr>
        <w:t>e)</w:t>
      </w:r>
      <w:r w:rsidRPr="007D3061">
        <w:rPr>
          <w:kern w:val="22"/>
          <w:szCs w:val="22"/>
          <w:lang w:val="fr-CA"/>
        </w:rPr>
        <w:tab/>
        <w:t>Les rapports du Comité consultatif informel ;</w:t>
      </w:r>
    </w:p>
    <w:p w14:paraId="18DF48CC" w14:textId="77777777" w:rsidR="0094661C" w:rsidRPr="007D3061" w:rsidRDefault="0094661C" w:rsidP="0094661C">
      <w:pPr>
        <w:suppressLineNumbers/>
        <w:suppressAutoHyphens/>
        <w:kinsoku w:val="0"/>
        <w:overflowPunct w:val="0"/>
        <w:autoSpaceDE w:val="0"/>
        <w:autoSpaceDN w:val="0"/>
        <w:snapToGrid w:val="0"/>
        <w:spacing w:line="240" w:lineRule="auto"/>
        <w:ind w:firstLine="720"/>
        <w:rPr>
          <w:kern w:val="22"/>
          <w:szCs w:val="22"/>
          <w:lang w:val="fr-CA"/>
        </w:rPr>
      </w:pPr>
      <w:r w:rsidRPr="007D3061">
        <w:rPr>
          <w:kern w:val="22"/>
          <w:szCs w:val="22"/>
          <w:lang w:val="fr-CA"/>
        </w:rPr>
        <w:t>f)</w:t>
      </w:r>
      <w:r w:rsidRPr="007D3061">
        <w:rPr>
          <w:kern w:val="22"/>
          <w:szCs w:val="22"/>
          <w:lang w:val="fr-CA"/>
        </w:rPr>
        <w:tab/>
        <w:t xml:space="preserve">Les rapports de projets, les évaluations et les communications du Fonds pour l’environnement mondial et ses organismes d’exécution, ainsi que d’autres organisations importantes qui contribuent au renforcement des capacités (par exemple, l’Initiative de </w:t>
      </w:r>
      <w:r>
        <w:rPr>
          <w:kern w:val="22"/>
          <w:szCs w:val="22"/>
          <w:lang w:val="fr-CA"/>
        </w:rPr>
        <w:t>développement</w:t>
      </w:r>
      <w:r w:rsidRPr="007D3061">
        <w:rPr>
          <w:kern w:val="22"/>
          <w:szCs w:val="22"/>
          <w:lang w:val="fr-CA"/>
        </w:rPr>
        <w:t xml:space="preserve"> de capacités en matière d’accès et de partage des avantages) ;</w:t>
      </w:r>
    </w:p>
    <w:p w14:paraId="48F86E09" w14:textId="77777777" w:rsidR="0094661C" w:rsidRPr="007D3061" w:rsidRDefault="0094661C" w:rsidP="0094661C">
      <w:pPr>
        <w:suppressLineNumbers/>
        <w:suppressAutoHyphens/>
        <w:kinsoku w:val="0"/>
        <w:overflowPunct w:val="0"/>
        <w:autoSpaceDE w:val="0"/>
        <w:autoSpaceDN w:val="0"/>
        <w:snapToGrid w:val="0"/>
        <w:spacing w:line="240" w:lineRule="auto"/>
        <w:ind w:firstLine="720"/>
        <w:rPr>
          <w:kern w:val="22"/>
          <w:szCs w:val="22"/>
          <w:lang w:val="fr-CA"/>
        </w:rPr>
      </w:pPr>
      <w:r w:rsidRPr="007D3061">
        <w:rPr>
          <w:kern w:val="22"/>
          <w:szCs w:val="22"/>
          <w:lang w:val="fr-CA"/>
        </w:rPr>
        <w:t>g)</w:t>
      </w:r>
      <w:r w:rsidRPr="007D3061">
        <w:rPr>
          <w:kern w:val="22"/>
          <w:szCs w:val="22"/>
          <w:lang w:val="fr-CA"/>
        </w:rPr>
        <w:tab/>
        <w:t>Les évaluations des besoins effectuées par les Parties et les organisations internationales ;</w:t>
      </w:r>
    </w:p>
    <w:p w14:paraId="7DA22FE3" w14:textId="77777777" w:rsidR="0094661C" w:rsidRPr="00B97459" w:rsidRDefault="0094661C" w:rsidP="0094661C">
      <w:pPr>
        <w:suppressLineNumbers/>
        <w:suppressAutoHyphens/>
        <w:kinsoku w:val="0"/>
        <w:overflowPunct w:val="0"/>
        <w:autoSpaceDE w:val="0"/>
        <w:autoSpaceDN w:val="0"/>
        <w:snapToGrid w:val="0"/>
        <w:spacing w:line="240" w:lineRule="auto"/>
        <w:ind w:firstLine="720"/>
        <w:rPr>
          <w:kern w:val="22"/>
          <w:szCs w:val="22"/>
          <w:lang w:val="fr-CA"/>
        </w:rPr>
      </w:pPr>
      <w:r w:rsidRPr="007D3061">
        <w:rPr>
          <w:kern w:val="22"/>
          <w:szCs w:val="22"/>
          <w:lang w:val="fr-CA"/>
        </w:rPr>
        <w:t>h)</w:t>
      </w:r>
      <w:r w:rsidRPr="007D3061">
        <w:rPr>
          <w:kern w:val="22"/>
          <w:szCs w:val="22"/>
          <w:lang w:val="fr-CA"/>
        </w:rPr>
        <w:tab/>
        <w:t xml:space="preserve">Les informations </w:t>
      </w:r>
      <w:r w:rsidRPr="00B97459">
        <w:rPr>
          <w:kern w:val="22"/>
          <w:szCs w:val="22"/>
          <w:lang w:val="fr-CA"/>
        </w:rPr>
        <w:t>recueillies dans le cadre d'une enquête en ligne et les interviews ciblées réalisées avec les parties prenantes importantes.</w:t>
      </w:r>
    </w:p>
    <w:p w14:paraId="52140D1A" w14:textId="77777777" w:rsidR="0094661C" w:rsidRPr="00B97459" w:rsidRDefault="0094661C" w:rsidP="0094661C">
      <w:pPr>
        <w:keepNext/>
        <w:suppressLineNumbers/>
        <w:tabs>
          <w:tab w:val="left" w:pos="426"/>
        </w:tabs>
        <w:suppressAutoHyphens/>
        <w:kinsoku w:val="0"/>
        <w:overflowPunct w:val="0"/>
        <w:autoSpaceDE w:val="0"/>
        <w:autoSpaceDN w:val="0"/>
        <w:snapToGrid w:val="0"/>
        <w:spacing w:before="120" w:line="240" w:lineRule="auto"/>
        <w:jc w:val="center"/>
        <w:rPr>
          <w:b/>
          <w:kern w:val="22"/>
          <w:szCs w:val="22"/>
          <w:lang w:val="fr-CA"/>
        </w:rPr>
      </w:pPr>
      <w:r w:rsidRPr="00B97459">
        <w:rPr>
          <w:b/>
          <w:kern w:val="22"/>
          <w:szCs w:val="22"/>
          <w:lang w:val="fr-CA"/>
        </w:rPr>
        <w:t>C.</w:t>
      </w:r>
      <w:r w:rsidRPr="00B97459">
        <w:rPr>
          <w:b/>
          <w:kern w:val="22"/>
          <w:szCs w:val="22"/>
          <w:lang w:val="fr-CA"/>
        </w:rPr>
        <w:tab/>
        <w:t>Produit et résultats escomptés</w:t>
      </w:r>
    </w:p>
    <w:p w14:paraId="64F34250" w14:textId="66477F2D" w:rsidR="009E044D" w:rsidRPr="0094661C" w:rsidRDefault="0094661C" w:rsidP="0094661C">
      <w:pPr>
        <w:suppressLineNumbers/>
        <w:suppressAutoHyphens/>
        <w:kinsoku w:val="0"/>
        <w:overflowPunct w:val="0"/>
        <w:autoSpaceDE w:val="0"/>
        <w:autoSpaceDN w:val="0"/>
        <w:snapToGrid w:val="0"/>
        <w:spacing w:before="120" w:line="240" w:lineRule="auto"/>
        <w:rPr>
          <w:kern w:val="22"/>
          <w:szCs w:val="22"/>
          <w:lang w:val="fr-CA"/>
        </w:rPr>
      </w:pPr>
      <w:r w:rsidRPr="00B97459">
        <w:rPr>
          <w:snapToGrid w:val="0"/>
          <w:kern w:val="22"/>
          <w:szCs w:val="22"/>
          <w:lang w:val="fr-CA"/>
        </w:rPr>
        <w:t>6.</w:t>
      </w:r>
      <w:r w:rsidRPr="00B97459">
        <w:rPr>
          <w:snapToGrid w:val="0"/>
          <w:kern w:val="22"/>
          <w:szCs w:val="22"/>
          <w:lang w:val="fr-CA"/>
        </w:rPr>
        <w:tab/>
        <w:t>Le cadre stratégique est un document souple et évolutif. Dès sa conception, il vise à être utilisé, adapté et mis à jour sur la base des nouvelles données d’expérience et des enseignements tirés. Comme indiqué au paragraphe 44 du cadre stratégique, le principal produit de l’analyse sera un rapport transmis à la Conférence des Parties siégeant en tant que réunion des Parties au Protocole aux fins d’examen</w:t>
      </w:r>
      <w:r w:rsidRPr="007D3061">
        <w:rPr>
          <w:snapToGrid w:val="0"/>
          <w:kern w:val="22"/>
          <w:szCs w:val="22"/>
          <w:lang w:val="fr-CA"/>
        </w:rPr>
        <w:t xml:space="preserve"> et, selon qu’il convient, de révision du cadre stratégique pour le</w:t>
      </w:r>
      <w:r>
        <w:rPr>
          <w:snapToGrid w:val="0"/>
          <w:kern w:val="22"/>
          <w:szCs w:val="22"/>
          <w:lang w:val="fr-CA"/>
        </w:rPr>
        <w:t xml:space="preserve"> développement et le renforcement des capacités</w:t>
      </w:r>
      <w:r w:rsidRPr="007D3061">
        <w:rPr>
          <w:snapToGrid w:val="0"/>
          <w:kern w:val="22"/>
          <w:szCs w:val="22"/>
          <w:lang w:val="fr-CA"/>
        </w:rPr>
        <w:t>, en même temps que l’examen et l’adoption d’un cadre mondial de la biodiversité pour l’après-2020</w:t>
      </w:r>
      <w:r w:rsidR="009E044D" w:rsidRPr="0094661C">
        <w:rPr>
          <w:snapToGrid w:val="0"/>
          <w:kern w:val="22"/>
          <w:szCs w:val="22"/>
          <w:lang w:val="fr-CA"/>
        </w:rPr>
        <w:t>.</w:t>
      </w:r>
    </w:p>
    <w:p w14:paraId="1A9A1DEB" w14:textId="440178C1" w:rsidR="009F5D7B" w:rsidRPr="0094661C" w:rsidRDefault="009F5D7B" w:rsidP="000C6220">
      <w:pPr>
        <w:spacing w:before="120" w:line="240" w:lineRule="auto"/>
        <w:jc w:val="left"/>
        <w:rPr>
          <w:b/>
          <w:bCs/>
          <w:caps/>
          <w:snapToGrid w:val="0"/>
          <w:kern w:val="22"/>
          <w:szCs w:val="22"/>
          <w:lang w:val="fr-CA"/>
        </w:rPr>
      </w:pPr>
    </w:p>
    <w:p w14:paraId="0C1EB5F7" w14:textId="07826141" w:rsidR="001E4E65" w:rsidRPr="00775CFF" w:rsidRDefault="001E4E65" w:rsidP="000C6220">
      <w:pPr>
        <w:pStyle w:val="recommendationheader"/>
        <w:spacing w:line="240" w:lineRule="auto"/>
        <w:rPr>
          <w:lang w:val="fr-CA"/>
        </w:rPr>
      </w:pPr>
      <w:bookmarkStart w:id="6" w:name="_Toc256206"/>
      <w:r w:rsidRPr="00775CFF">
        <w:rPr>
          <w:lang w:val="fr-CA"/>
        </w:rPr>
        <w:t>3/6.</w:t>
      </w:r>
      <w:r w:rsidRPr="00775CFF">
        <w:rPr>
          <w:lang w:val="fr-CA"/>
        </w:rPr>
        <w:tab/>
      </w:r>
      <w:r w:rsidR="00EB6D06">
        <w:rPr>
          <w:lang w:val="fr-CA"/>
        </w:rPr>
        <w:t>Mesures pou</w:t>
      </w:r>
      <w:r w:rsidR="00775CFF" w:rsidRPr="00411DEC">
        <w:rPr>
          <w:rFonts w:eastAsia="Batang"/>
          <w:snapToGrid w:val="0"/>
          <w:kern w:val="22"/>
          <w:lang w:val="fr-FR"/>
        </w:rPr>
        <w:t>r sensibiliser le public à l’importance des ressources génétiques et des connaissances traditionnelles associées (article</w:t>
      </w:r>
      <w:r w:rsidR="00775CFF">
        <w:rPr>
          <w:rFonts w:eastAsia="Batang"/>
          <w:snapToGrid w:val="0"/>
          <w:kern w:val="22"/>
          <w:lang w:val="fr-FR"/>
        </w:rPr>
        <w:t xml:space="preserve"> </w:t>
      </w:r>
      <w:r w:rsidRPr="00775CFF">
        <w:rPr>
          <w:lang w:val="fr-CA"/>
        </w:rPr>
        <w:t>21)</w:t>
      </w:r>
      <w:bookmarkEnd w:id="6"/>
    </w:p>
    <w:p w14:paraId="0F5DE6F0" w14:textId="59402029" w:rsidR="001E4E65" w:rsidRPr="00EE0850" w:rsidRDefault="001E4E65" w:rsidP="000C6220">
      <w:pPr>
        <w:pStyle w:val="Para1"/>
        <w:numPr>
          <w:ilvl w:val="0"/>
          <w:numId w:val="0"/>
        </w:numPr>
        <w:suppressLineNumbers/>
        <w:shd w:val="clear" w:color="auto" w:fill="FFFFFF" w:themeFill="background1"/>
        <w:suppressAutoHyphens/>
        <w:spacing w:line="240" w:lineRule="auto"/>
        <w:ind w:firstLine="720"/>
        <w:rPr>
          <w:i/>
          <w:kern w:val="22"/>
          <w:szCs w:val="22"/>
        </w:rPr>
      </w:pPr>
      <w:r w:rsidRPr="00EE0850">
        <w:rPr>
          <w:i/>
          <w:kern w:val="22"/>
          <w:szCs w:val="22"/>
        </w:rPr>
        <w:t>The Conference of the Parties serving as the meeting of the Parties to the Nagoya Protocol</w:t>
      </w:r>
      <w:r w:rsidRPr="00EE0850">
        <w:t xml:space="preserve"> </w:t>
      </w:r>
      <w:r w:rsidRPr="00EE0850">
        <w:rPr>
          <w:i/>
          <w:kern w:val="22"/>
          <w:szCs w:val="22"/>
        </w:rPr>
        <w:t>on Access and Benefit-sharing</w:t>
      </w:r>
    </w:p>
    <w:p w14:paraId="583F648F" w14:textId="77777777" w:rsidR="00775CFF" w:rsidRPr="00970D68" w:rsidRDefault="00775CFF" w:rsidP="00775CFF">
      <w:pPr>
        <w:pStyle w:val="Para1"/>
        <w:numPr>
          <w:ilvl w:val="0"/>
          <w:numId w:val="0"/>
        </w:numPr>
        <w:shd w:val="clear" w:color="auto" w:fill="FFFFFF" w:themeFill="background1"/>
        <w:ind w:firstLine="720"/>
        <w:rPr>
          <w:i/>
          <w:kern w:val="22"/>
          <w:szCs w:val="22"/>
          <w:lang w:val="fr-FR"/>
        </w:rPr>
      </w:pPr>
      <w:r w:rsidRPr="00970D68">
        <w:rPr>
          <w:i/>
          <w:iCs/>
          <w:kern w:val="22"/>
          <w:szCs w:val="22"/>
          <w:lang w:val="fr-FR"/>
        </w:rPr>
        <w:t>La Conférence des Parties siégeant en tant que réunion des Parties au Protocole de Nagoya</w:t>
      </w:r>
      <w:r>
        <w:rPr>
          <w:i/>
          <w:iCs/>
          <w:kern w:val="22"/>
          <w:szCs w:val="22"/>
          <w:lang w:val="fr-FR"/>
        </w:rPr>
        <w:t xml:space="preserve"> sur l’accès et le partage des avantages</w:t>
      </w:r>
      <w:r w:rsidRPr="00970D68">
        <w:rPr>
          <w:kern w:val="22"/>
          <w:szCs w:val="22"/>
          <w:lang w:val="fr-FR"/>
        </w:rPr>
        <w:t>,</w:t>
      </w:r>
    </w:p>
    <w:p w14:paraId="13019B0B" w14:textId="77777777" w:rsidR="00775CFF" w:rsidRPr="00970D68" w:rsidRDefault="00775CFF" w:rsidP="00775CFF">
      <w:pPr>
        <w:pStyle w:val="Para1"/>
        <w:numPr>
          <w:ilvl w:val="0"/>
          <w:numId w:val="20"/>
        </w:numPr>
        <w:shd w:val="clear" w:color="auto" w:fill="FFFFFF" w:themeFill="background1"/>
        <w:tabs>
          <w:tab w:val="clear" w:pos="360"/>
          <w:tab w:val="clear" w:pos="567"/>
          <w:tab w:val="clear" w:pos="2912"/>
          <w:tab w:val="left" w:pos="720"/>
        </w:tabs>
        <w:spacing w:line="240" w:lineRule="auto"/>
        <w:ind w:firstLine="720"/>
        <w:rPr>
          <w:kern w:val="22"/>
          <w:szCs w:val="22"/>
          <w:lang w:val="fr-FR"/>
        </w:rPr>
      </w:pPr>
      <w:r w:rsidRPr="00970D68">
        <w:rPr>
          <w:i/>
          <w:kern w:val="22"/>
          <w:szCs w:val="22"/>
          <w:lang w:val="fr-FR"/>
        </w:rPr>
        <w:t>Prend note</w:t>
      </w:r>
      <w:r w:rsidRPr="00970D68">
        <w:rPr>
          <w:kern w:val="22"/>
          <w:szCs w:val="22"/>
          <w:lang w:val="fr-FR"/>
        </w:rPr>
        <w:t xml:space="preserve"> des progrès accomplis dans la mise en œuvre de la stratégie de sensibilisation au Protocole de Nagoya sur l'accès et le partage des avantages</w:t>
      </w:r>
      <w:r w:rsidRPr="00775CFF">
        <w:rPr>
          <w:rStyle w:val="Appelnotedebasdep"/>
          <w:rFonts w:eastAsiaTheme="majorEastAsia"/>
          <w:kern w:val="22"/>
          <w:szCs w:val="22"/>
          <w:u w:val="none"/>
          <w:vertAlign w:val="superscript"/>
          <w:lang w:val="fr-FR"/>
        </w:rPr>
        <w:footnoteReference w:id="17"/>
      </w:r>
      <w:r w:rsidRPr="00970D68">
        <w:rPr>
          <w:kern w:val="22"/>
          <w:szCs w:val="22"/>
          <w:lang w:val="fr-FR"/>
        </w:rPr>
        <w:t> ;</w:t>
      </w:r>
    </w:p>
    <w:p w14:paraId="3FA5A759" w14:textId="77777777" w:rsidR="00775CFF" w:rsidRPr="00970D68" w:rsidRDefault="00775CFF" w:rsidP="00775CFF">
      <w:pPr>
        <w:pStyle w:val="Para1"/>
        <w:numPr>
          <w:ilvl w:val="0"/>
          <w:numId w:val="20"/>
        </w:numPr>
        <w:shd w:val="clear" w:color="auto" w:fill="FFFFFF" w:themeFill="background1"/>
        <w:tabs>
          <w:tab w:val="clear" w:pos="360"/>
          <w:tab w:val="clear" w:pos="567"/>
          <w:tab w:val="clear" w:pos="2912"/>
          <w:tab w:val="left" w:pos="720"/>
        </w:tabs>
        <w:spacing w:line="240" w:lineRule="auto"/>
        <w:ind w:firstLine="720"/>
        <w:rPr>
          <w:kern w:val="22"/>
          <w:szCs w:val="22"/>
          <w:lang w:val="fr-FR"/>
        </w:rPr>
      </w:pPr>
      <w:r w:rsidRPr="00970D68">
        <w:rPr>
          <w:i/>
          <w:kern w:val="22"/>
          <w:szCs w:val="22"/>
          <w:lang w:val="fr-FR"/>
        </w:rPr>
        <w:t>Accueille avec satisfaction</w:t>
      </w:r>
      <w:r w:rsidRPr="00970D68">
        <w:rPr>
          <w:kern w:val="22"/>
          <w:szCs w:val="22"/>
          <w:lang w:val="fr-FR"/>
        </w:rPr>
        <w:t xml:space="preserve"> la boîte à outils sur la sensibilisation en matière d’accès et de partage des avantages, élaborée par le Secrétariat en vue d’appuyer la mise en œuvre de la stratégie de sensibilisation ;</w:t>
      </w:r>
    </w:p>
    <w:p w14:paraId="5111DD91" w14:textId="77777777" w:rsidR="00775CFF" w:rsidRPr="00970D68" w:rsidRDefault="00775CFF" w:rsidP="00775CFF">
      <w:pPr>
        <w:pStyle w:val="Para1"/>
        <w:numPr>
          <w:ilvl w:val="0"/>
          <w:numId w:val="20"/>
        </w:numPr>
        <w:shd w:val="clear" w:color="auto" w:fill="FFFFFF" w:themeFill="background1"/>
        <w:tabs>
          <w:tab w:val="clear" w:pos="360"/>
          <w:tab w:val="clear" w:pos="567"/>
          <w:tab w:val="clear" w:pos="2912"/>
          <w:tab w:val="left" w:pos="720"/>
        </w:tabs>
        <w:spacing w:line="240" w:lineRule="auto"/>
        <w:ind w:firstLine="720"/>
        <w:rPr>
          <w:kern w:val="22"/>
          <w:szCs w:val="22"/>
          <w:lang w:val="fr-FR"/>
        </w:rPr>
      </w:pPr>
      <w:r w:rsidRPr="00970D68">
        <w:rPr>
          <w:i/>
          <w:kern w:val="22"/>
          <w:szCs w:val="22"/>
          <w:lang w:val="fr-FR"/>
        </w:rPr>
        <w:t>Encourage</w:t>
      </w:r>
      <w:r w:rsidRPr="00970D68">
        <w:rPr>
          <w:kern w:val="22"/>
          <w:szCs w:val="22"/>
          <w:lang w:val="fr-FR"/>
        </w:rPr>
        <w:t xml:space="preserve"> les Parties, les </w:t>
      </w:r>
      <w:r>
        <w:rPr>
          <w:kern w:val="22"/>
          <w:szCs w:val="22"/>
          <w:lang w:val="fr-FR"/>
        </w:rPr>
        <w:t xml:space="preserve">États non </w:t>
      </w:r>
      <w:r w:rsidRPr="00970D68">
        <w:rPr>
          <w:kern w:val="22"/>
          <w:szCs w:val="22"/>
          <w:lang w:val="fr-FR"/>
        </w:rPr>
        <w:t>Parties, les organisations compétentes et d’autres acteurs concernés à utiliser la boîte à outils sur la sensibilisation en matière d’accès et de partage des avantages élaborée par le Secrétariat, dans le cadre de leurs activités de sensibilisation et de renforcement des capacités, et à transmettre des retours d’information sur son utilisation au Secrétariat ;</w:t>
      </w:r>
    </w:p>
    <w:p w14:paraId="356DF485" w14:textId="77777777" w:rsidR="00775CFF" w:rsidRPr="00970D68" w:rsidRDefault="00775CFF" w:rsidP="00775CFF">
      <w:pPr>
        <w:pStyle w:val="Para1"/>
        <w:numPr>
          <w:ilvl w:val="0"/>
          <w:numId w:val="20"/>
        </w:numPr>
        <w:shd w:val="clear" w:color="auto" w:fill="FFFFFF" w:themeFill="background1"/>
        <w:tabs>
          <w:tab w:val="clear" w:pos="360"/>
          <w:tab w:val="clear" w:pos="567"/>
          <w:tab w:val="clear" w:pos="2912"/>
          <w:tab w:val="left" w:pos="720"/>
        </w:tabs>
        <w:spacing w:line="240" w:lineRule="auto"/>
        <w:ind w:firstLine="720"/>
        <w:rPr>
          <w:kern w:val="22"/>
          <w:szCs w:val="22"/>
          <w:lang w:val="fr-FR"/>
        </w:rPr>
      </w:pPr>
      <w:r w:rsidRPr="00970D68">
        <w:rPr>
          <w:i/>
          <w:kern w:val="22"/>
          <w:szCs w:val="22"/>
          <w:lang w:val="fr-FR"/>
        </w:rPr>
        <w:t>Encourage</w:t>
      </w:r>
      <w:r w:rsidRPr="00970D68">
        <w:rPr>
          <w:kern w:val="22"/>
          <w:szCs w:val="22"/>
          <w:lang w:val="fr-FR"/>
        </w:rPr>
        <w:t xml:space="preserve"> </w:t>
      </w:r>
      <w:r w:rsidRPr="00970D68">
        <w:rPr>
          <w:i/>
          <w:kern w:val="22"/>
          <w:szCs w:val="22"/>
          <w:lang w:val="fr-FR"/>
        </w:rPr>
        <w:t>également</w:t>
      </w:r>
      <w:r>
        <w:rPr>
          <w:kern w:val="22"/>
          <w:szCs w:val="22"/>
          <w:lang w:val="fr-FR"/>
        </w:rPr>
        <w:t xml:space="preserve"> les Parties, les États non </w:t>
      </w:r>
      <w:r w:rsidRPr="00970D68">
        <w:rPr>
          <w:kern w:val="22"/>
          <w:szCs w:val="22"/>
          <w:lang w:val="fr-FR"/>
        </w:rPr>
        <w:t>Parties, les organisations compétentes et d’autres acteurs concernés à continuer d’entreprendre des activités de sensibilisation et à mettre à disposition des informations sur les stratégies et les ressources en matière de sensibilisation par le biais du Centre d’échange sur l’accès et le partage des avantages ;</w:t>
      </w:r>
    </w:p>
    <w:p w14:paraId="564A5AEC" w14:textId="77777777" w:rsidR="00775CFF" w:rsidRPr="00970D68" w:rsidRDefault="00775CFF" w:rsidP="00775CFF">
      <w:pPr>
        <w:pStyle w:val="Para1"/>
        <w:numPr>
          <w:ilvl w:val="0"/>
          <w:numId w:val="20"/>
        </w:numPr>
        <w:shd w:val="clear" w:color="auto" w:fill="FFFFFF" w:themeFill="background1"/>
        <w:tabs>
          <w:tab w:val="clear" w:pos="360"/>
          <w:tab w:val="clear" w:pos="567"/>
          <w:tab w:val="clear" w:pos="2912"/>
          <w:tab w:val="left" w:pos="720"/>
        </w:tabs>
        <w:spacing w:line="240" w:lineRule="auto"/>
        <w:ind w:firstLine="720"/>
        <w:rPr>
          <w:kern w:val="22"/>
          <w:szCs w:val="22"/>
          <w:lang w:val="fr-FR"/>
        </w:rPr>
      </w:pPr>
      <w:r w:rsidRPr="00970D68">
        <w:rPr>
          <w:i/>
          <w:kern w:val="22"/>
          <w:szCs w:val="22"/>
          <w:lang w:val="fr-FR"/>
        </w:rPr>
        <w:t>Prie</w:t>
      </w:r>
      <w:r w:rsidRPr="00970D68">
        <w:rPr>
          <w:kern w:val="22"/>
          <w:szCs w:val="22"/>
          <w:lang w:val="fr-FR"/>
        </w:rPr>
        <w:t xml:space="preserve"> la Secrétaire exécutive de continuer à soutenir la mise en œuvre de la stratégie de sensibilisation</w:t>
      </w:r>
      <w:r w:rsidRPr="001B692B">
        <w:rPr>
          <w:rStyle w:val="Appelnotedebasdep"/>
          <w:kern w:val="22"/>
          <w:szCs w:val="22"/>
          <w:u w:val="none"/>
          <w:vertAlign w:val="superscript"/>
          <w:lang w:val="fr-FR"/>
        </w:rPr>
        <w:footnoteReference w:id="18"/>
      </w:r>
      <w:r w:rsidRPr="00970D68">
        <w:rPr>
          <w:kern w:val="22"/>
          <w:szCs w:val="22"/>
          <w:lang w:val="fr-FR"/>
        </w:rPr>
        <w:t xml:space="preserve"> dans le cadre de ses activités de renforcement des capacités et en encourageant l’utilisation de la boîte à outils sur la sensibilisation en matière d’accès et de partage des avantages dans les projets sur le renforcement des capacités et la sensibilisation en matière d’accès et de partage des avantages mis en œuvre par les Parties, les </w:t>
      </w:r>
      <w:r>
        <w:rPr>
          <w:kern w:val="22"/>
          <w:szCs w:val="22"/>
          <w:lang w:val="fr-FR"/>
        </w:rPr>
        <w:t xml:space="preserve">États </w:t>
      </w:r>
      <w:r w:rsidRPr="00970D68">
        <w:rPr>
          <w:kern w:val="22"/>
          <w:szCs w:val="22"/>
          <w:lang w:val="fr-FR"/>
        </w:rPr>
        <w:t>non</w:t>
      </w:r>
      <w:r>
        <w:rPr>
          <w:kern w:val="22"/>
          <w:szCs w:val="22"/>
          <w:lang w:val="fr-FR"/>
        </w:rPr>
        <w:t xml:space="preserve"> </w:t>
      </w:r>
      <w:r w:rsidRPr="00970D68">
        <w:rPr>
          <w:kern w:val="22"/>
          <w:szCs w:val="22"/>
          <w:lang w:val="fr-FR"/>
        </w:rPr>
        <w:t>Parties et les organisations compétentes ;</w:t>
      </w:r>
    </w:p>
    <w:p w14:paraId="142D2E38" w14:textId="5A28DC9F" w:rsidR="001E4E65" w:rsidRPr="00775CFF" w:rsidRDefault="00775CFF" w:rsidP="001B692B">
      <w:pPr>
        <w:pStyle w:val="Para1"/>
        <w:numPr>
          <w:ilvl w:val="0"/>
          <w:numId w:val="20"/>
        </w:numPr>
        <w:suppressLineNumbers/>
        <w:shd w:val="clear" w:color="auto" w:fill="FFFFFF" w:themeFill="background1"/>
        <w:tabs>
          <w:tab w:val="clear" w:pos="360"/>
          <w:tab w:val="clear" w:pos="567"/>
          <w:tab w:val="clear" w:pos="2912"/>
        </w:tabs>
        <w:suppressAutoHyphens/>
        <w:spacing w:line="240" w:lineRule="auto"/>
        <w:ind w:firstLine="720"/>
        <w:rPr>
          <w:kern w:val="22"/>
          <w:szCs w:val="22"/>
          <w:lang w:val="fr-CA"/>
        </w:rPr>
      </w:pPr>
      <w:r w:rsidRPr="00970D68">
        <w:rPr>
          <w:i/>
          <w:kern w:val="22"/>
          <w:szCs w:val="22"/>
          <w:lang w:val="fr-FR"/>
        </w:rPr>
        <w:t>Prie</w:t>
      </w:r>
      <w:r w:rsidRPr="00970D68">
        <w:rPr>
          <w:kern w:val="22"/>
          <w:szCs w:val="22"/>
          <w:lang w:val="fr-FR"/>
        </w:rPr>
        <w:t xml:space="preserve"> </w:t>
      </w:r>
      <w:r w:rsidRPr="00970D68">
        <w:rPr>
          <w:i/>
          <w:kern w:val="22"/>
          <w:szCs w:val="22"/>
          <w:lang w:val="fr-FR"/>
        </w:rPr>
        <w:t>aussi</w:t>
      </w:r>
      <w:r w:rsidRPr="00970D68">
        <w:rPr>
          <w:kern w:val="22"/>
          <w:szCs w:val="22"/>
          <w:lang w:val="fr-FR"/>
        </w:rPr>
        <w:t xml:space="preserve"> la Secrétaire exécutive de chercher à obtenir des retours d’information des Parties, des </w:t>
      </w:r>
      <w:r>
        <w:rPr>
          <w:kern w:val="22"/>
          <w:szCs w:val="22"/>
          <w:lang w:val="fr-FR"/>
        </w:rPr>
        <w:t xml:space="preserve">États </w:t>
      </w:r>
      <w:r w:rsidRPr="00970D68">
        <w:rPr>
          <w:kern w:val="22"/>
          <w:szCs w:val="22"/>
          <w:lang w:val="fr-FR"/>
        </w:rPr>
        <w:t>non</w:t>
      </w:r>
      <w:r>
        <w:rPr>
          <w:kern w:val="22"/>
          <w:szCs w:val="22"/>
          <w:lang w:val="fr-FR"/>
        </w:rPr>
        <w:t xml:space="preserve"> </w:t>
      </w:r>
      <w:r w:rsidRPr="00970D68">
        <w:rPr>
          <w:kern w:val="22"/>
          <w:szCs w:val="22"/>
          <w:lang w:val="fr-FR"/>
        </w:rPr>
        <w:t>Parties et d’autres acteurs concernés à propos de la boîte à outils sur la sensibilisation en matière d’accès et de partage des avantages, et de fournir une mise à jour sur les progrès accomplis dans la mise en œuvre de la stratégie de sensibilisation, pour examen par la Conférence des Parties siégeant en tant que réunion des Parties au Protocole de Nagoya à sa quatrième réunion</w:t>
      </w:r>
      <w:r w:rsidR="001E4E65" w:rsidRPr="00775CFF">
        <w:rPr>
          <w:kern w:val="22"/>
          <w:szCs w:val="22"/>
          <w:lang w:val="fr-CA"/>
        </w:rPr>
        <w:t>.</w:t>
      </w:r>
    </w:p>
    <w:p w14:paraId="54FE799C" w14:textId="77777777" w:rsidR="00C33A7A" w:rsidRPr="00775CFF" w:rsidRDefault="00C33A7A" w:rsidP="000C6220">
      <w:pPr>
        <w:spacing w:before="120" w:line="240" w:lineRule="auto"/>
        <w:jc w:val="left"/>
        <w:rPr>
          <w:rFonts w:ascii="Times New Roman Bold" w:hAnsi="Times New Roman Bold" w:cs="Times New Roman Bold" w:hint="eastAsia"/>
          <w:b/>
          <w:bCs/>
          <w:caps/>
          <w:snapToGrid w:val="0"/>
          <w:kern w:val="22"/>
          <w:szCs w:val="22"/>
          <w:lang w:val="fr-CA"/>
        </w:rPr>
      </w:pPr>
      <w:r w:rsidRPr="00775CFF">
        <w:rPr>
          <w:lang w:val="fr-CA"/>
        </w:rPr>
        <w:br w:type="page"/>
      </w:r>
    </w:p>
    <w:p w14:paraId="30AF157B" w14:textId="3E06BE79" w:rsidR="001E4E65" w:rsidRPr="001B692B" w:rsidRDefault="001E4E65" w:rsidP="000C6220">
      <w:pPr>
        <w:pStyle w:val="recommendationheader"/>
        <w:spacing w:line="240" w:lineRule="auto"/>
        <w:rPr>
          <w:lang w:val="fr-CA"/>
        </w:rPr>
      </w:pPr>
      <w:bookmarkStart w:id="7" w:name="_Toc256207"/>
      <w:r w:rsidRPr="00852E3F">
        <w:rPr>
          <w:lang w:val="fr-CA"/>
        </w:rPr>
        <w:lastRenderedPageBreak/>
        <w:t>3/7.</w:t>
      </w:r>
      <w:r w:rsidRPr="00852E3F">
        <w:rPr>
          <w:lang w:val="fr-CA"/>
        </w:rPr>
        <w:tab/>
      </w:r>
      <w:bookmarkEnd w:id="7"/>
      <w:r w:rsidR="001B692B" w:rsidRPr="001B692B">
        <w:rPr>
          <w:lang w:val="fr-CA"/>
        </w:rPr>
        <w:t>Coopération avec d’autres conventions, organisations et initiatives internationales</w:t>
      </w:r>
    </w:p>
    <w:p w14:paraId="3F16600C" w14:textId="77777777" w:rsidR="001B692B" w:rsidRPr="00F344B9" w:rsidRDefault="001B692B" w:rsidP="003C4B89">
      <w:pPr>
        <w:pStyle w:val="Para1"/>
        <w:numPr>
          <w:ilvl w:val="0"/>
          <w:numId w:val="0"/>
        </w:numPr>
        <w:spacing w:line="240" w:lineRule="auto"/>
        <w:ind w:firstLine="720"/>
        <w:rPr>
          <w:lang w:val="fr-CA"/>
        </w:rPr>
      </w:pPr>
      <w:bookmarkStart w:id="8" w:name="_Hlk530975177"/>
      <w:r w:rsidRPr="00F344B9">
        <w:rPr>
          <w:i/>
          <w:lang w:val="fr-CA"/>
        </w:rPr>
        <w:t>La Conférence des Parties siégeant en tant que réunion des Parties au Protocole de Nagoya</w:t>
      </w:r>
      <w:r>
        <w:rPr>
          <w:i/>
          <w:lang w:val="fr-CA"/>
        </w:rPr>
        <w:t xml:space="preserve"> sur l’accès et la partage des avantages</w:t>
      </w:r>
      <w:r w:rsidRPr="00F344B9">
        <w:rPr>
          <w:i/>
          <w:lang w:val="fr-CA"/>
        </w:rPr>
        <w:t xml:space="preserve">, </w:t>
      </w:r>
    </w:p>
    <w:p w14:paraId="586F8DB1" w14:textId="77777777" w:rsidR="001B692B" w:rsidRPr="00F344B9" w:rsidRDefault="001B692B" w:rsidP="003C4B89">
      <w:pPr>
        <w:pStyle w:val="Para1"/>
        <w:numPr>
          <w:ilvl w:val="0"/>
          <w:numId w:val="0"/>
        </w:numPr>
        <w:spacing w:line="240" w:lineRule="auto"/>
        <w:ind w:firstLine="720"/>
        <w:rPr>
          <w:lang w:val="fr-CA"/>
        </w:rPr>
      </w:pPr>
      <w:r w:rsidRPr="00F344B9">
        <w:rPr>
          <w:i/>
          <w:lang w:val="fr-CA"/>
        </w:rPr>
        <w:t>Reconnaissant</w:t>
      </w:r>
      <w:r w:rsidRPr="00F344B9">
        <w:rPr>
          <w:lang w:val="fr-CA"/>
        </w:rPr>
        <w:t xml:space="preserve"> l</w:t>
      </w:r>
      <w:r>
        <w:rPr>
          <w:lang w:val="fr-CA"/>
        </w:rPr>
        <w:t>’</w:t>
      </w:r>
      <w:r w:rsidRPr="00F344B9">
        <w:rPr>
          <w:lang w:val="fr-CA"/>
        </w:rPr>
        <w:t>importance de la coopération avec d</w:t>
      </w:r>
      <w:r>
        <w:rPr>
          <w:lang w:val="fr-CA"/>
        </w:rPr>
        <w:t>’</w:t>
      </w:r>
      <w:r w:rsidRPr="00F344B9">
        <w:rPr>
          <w:lang w:val="fr-CA"/>
        </w:rPr>
        <w:t>autres organisations, conventions et initiatives internationales sur des questions relatives à l</w:t>
      </w:r>
      <w:r>
        <w:rPr>
          <w:lang w:val="fr-CA"/>
        </w:rPr>
        <w:t>’</w:t>
      </w:r>
      <w:r w:rsidRPr="00F344B9">
        <w:rPr>
          <w:lang w:val="fr-CA"/>
        </w:rPr>
        <w:t xml:space="preserve">accès et au partage des avantages, et </w:t>
      </w:r>
      <w:r w:rsidRPr="00F344B9">
        <w:rPr>
          <w:i/>
          <w:lang w:val="fr-CA"/>
        </w:rPr>
        <w:t>saluant</w:t>
      </w:r>
      <w:r w:rsidRPr="00F344B9">
        <w:rPr>
          <w:lang w:val="fr-CA"/>
        </w:rPr>
        <w:t xml:space="preserve"> les activités de coopération entreprises par la Secrétaire exécutive,</w:t>
      </w:r>
    </w:p>
    <w:p w14:paraId="4A9B9744" w14:textId="77777777" w:rsidR="001B692B" w:rsidRPr="00F344B9" w:rsidRDefault="001B692B" w:rsidP="003C4B89">
      <w:pPr>
        <w:pStyle w:val="Para1"/>
        <w:numPr>
          <w:ilvl w:val="0"/>
          <w:numId w:val="0"/>
        </w:numPr>
        <w:spacing w:line="240" w:lineRule="auto"/>
        <w:ind w:firstLine="720"/>
        <w:rPr>
          <w:lang w:val="fr-CA"/>
        </w:rPr>
      </w:pPr>
      <w:r w:rsidRPr="00F344B9">
        <w:rPr>
          <w:i/>
          <w:lang w:val="fr-CA"/>
        </w:rPr>
        <w:t xml:space="preserve">Rappelant </w:t>
      </w:r>
      <w:r w:rsidRPr="00F344B9">
        <w:rPr>
          <w:lang w:val="fr-CA"/>
        </w:rPr>
        <w:t>le préambule du Protocole de Nagoya dans lequel les Parties au Protocole reconnaissent que les instruments internationaux relatifs à l</w:t>
      </w:r>
      <w:r>
        <w:rPr>
          <w:lang w:val="fr-CA"/>
        </w:rPr>
        <w:t>’</w:t>
      </w:r>
      <w:r w:rsidRPr="00F344B9">
        <w:rPr>
          <w:lang w:val="fr-CA"/>
        </w:rPr>
        <w:t>accès et au partage des avantages devraient être complémentaires afin d</w:t>
      </w:r>
      <w:r>
        <w:rPr>
          <w:lang w:val="fr-CA"/>
        </w:rPr>
        <w:t>’</w:t>
      </w:r>
      <w:r w:rsidRPr="00F344B9">
        <w:rPr>
          <w:lang w:val="fr-CA"/>
        </w:rPr>
        <w:t>atteindre les objectifs de la Convention</w:t>
      </w:r>
      <w:r w:rsidRPr="00F344B9">
        <w:rPr>
          <w:i/>
          <w:lang w:val="fr-CA"/>
        </w:rPr>
        <w:t>,</w:t>
      </w:r>
      <w:r w:rsidRPr="00F344B9">
        <w:rPr>
          <w:lang w:val="fr-CA"/>
        </w:rPr>
        <w:t xml:space="preserve"> </w:t>
      </w:r>
    </w:p>
    <w:p w14:paraId="4E06EEFC" w14:textId="77777777" w:rsidR="001B692B" w:rsidRPr="00206997" w:rsidRDefault="001B692B" w:rsidP="003C4B89">
      <w:pPr>
        <w:pStyle w:val="Para1"/>
        <w:numPr>
          <w:ilvl w:val="0"/>
          <w:numId w:val="0"/>
        </w:numPr>
        <w:spacing w:line="240" w:lineRule="auto"/>
        <w:ind w:firstLine="720"/>
        <w:rPr>
          <w:lang w:val="fr-CA"/>
        </w:rPr>
      </w:pPr>
      <w:r w:rsidRPr="00F344B9">
        <w:rPr>
          <w:i/>
          <w:lang w:val="fr-CA"/>
        </w:rPr>
        <w:t xml:space="preserve">Rappelant également </w:t>
      </w:r>
      <w:r w:rsidRPr="00F344B9">
        <w:rPr>
          <w:lang w:val="fr-CA"/>
        </w:rPr>
        <w:t xml:space="preserve">que le préambule du Protocole de Nagoya se réfère au Traité international sur les ressources </w:t>
      </w:r>
      <w:r w:rsidRPr="00F344B9">
        <w:rPr>
          <w:noProof/>
          <w:lang w:val="fr-CA"/>
        </w:rPr>
        <w:t>phytogénétiques pour l</w:t>
      </w:r>
      <w:r>
        <w:rPr>
          <w:noProof/>
          <w:lang w:val="fr-CA"/>
        </w:rPr>
        <w:t>’</w:t>
      </w:r>
      <w:r w:rsidRPr="00F344B9">
        <w:rPr>
          <w:noProof/>
          <w:lang w:val="fr-CA"/>
        </w:rPr>
        <w:t>alimentation et l</w:t>
      </w:r>
      <w:r>
        <w:rPr>
          <w:noProof/>
          <w:lang w:val="fr-CA"/>
        </w:rPr>
        <w:t>’</w:t>
      </w:r>
      <w:r w:rsidRPr="00F344B9">
        <w:rPr>
          <w:noProof/>
          <w:lang w:val="fr-CA"/>
        </w:rPr>
        <w:t>agriculture, à la Commission des ressources génétiques pour l</w:t>
      </w:r>
      <w:r>
        <w:rPr>
          <w:noProof/>
          <w:lang w:val="fr-CA"/>
        </w:rPr>
        <w:t>’</w:t>
      </w:r>
      <w:r w:rsidRPr="00F344B9">
        <w:rPr>
          <w:noProof/>
          <w:lang w:val="fr-CA"/>
        </w:rPr>
        <w:t>alimentation et l</w:t>
      </w:r>
      <w:r>
        <w:rPr>
          <w:noProof/>
          <w:lang w:val="fr-CA"/>
        </w:rPr>
        <w:t>’</w:t>
      </w:r>
      <w:r w:rsidRPr="00F344B9">
        <w:rPr>
          <w:noProof/>
          <w:lang w:val="fr-CA"/>
        </w:rPr>
        <w:t>agriculture</w:t>
      </w:r>
      <w:r w:rsidRPr="00F344B9">
        <w:rPr>
          <w:lang w:val="fr-CA"/>
        </w:rPr>
        <w:t xml:space="preserve"> de l</w:t>
      </w:r>
      <w:r>
        <w:rPr>
          <w:lang w:val="fr-CA"/>
        </w:rPr>
        <w:t>’</w:t>
      </w:r>
      <w:r w:rsidRPr="00F344B9">
        <w:rPr>
          <w:lang w:val="fr-CA"/>
        </w:rPr>
        <w:t>Organisation des Nations Unies pour l</w:t>
      </w:r>
      <w:r>
        <w:rPr>
          <w:lang w:val="fr-CA"/>
        </w:rPr>
        <w:t>’</w:t>
      </w:r>
      <w:r w:rsidRPr="00F344B9">
        <w:rPr>
          <w:lang w:val="fr-CA"/>
        </w:rPr>
        <w:t>alimentation et l</w:t>
      </w:r>
      <w:r>
        <w:rPr>
          <w:lang w:val="fr-CA"/>
        </w:rPr>
        <w:t>’</w:t>
      </w:r>
      <w:r w:rsidRPr="00F344B9">
        <w:rPr>
          <w:lang w:val="fr-CA"/>
        </w:rPr>
        <w:t>agriculture, et à l</w:t>
      </w:r>
      <w:r>
        <w:rPr>
          <w:lang w:val="fr-CA"/>
        </w:rPr>
        <w:t>’</w:t>
      </w:r>
      <w:r w:rsidRPr="00F344B9">
        <w:rPr>
          <w:lang w:val="fr-CA"/>
        </w:rPr>
        <w:t>Organisation mondiale de la Santé,</w:t>
      </w:r>
    </w:p>
    <w:p w14:paraId="7B0B06DF" w14:textId="56C7A30F" w:rsidR="001B692B" w:rsidRPr="00F344B9" w:rsidRDefault="001B692B" w:rsidP="003C4B89">
      <w:pPr>
        <w:pStyle w:val="Para1"/>
        <w:numPr>
          <w:ilvl w:val="0"/>
          <w:numId w:val="82"/>
        </w:numPr>
        <w:tabs>
          <w:tab w:val="clear" w:pos="360"/>
          <w:tab w:val="clear" w:pos="567"/>
          <w:tab w:val="clear" w:pos="2912"/>
        </w:tabs>
        <w:spacing w:line="240" w:lineRule="auto"/>
        <w:ind w:firstLine="720"/>
        <w:rPr>
          <w:lang w:val="fr-CA"/>
        </w:rPr>
      </w:pPr>
      <w:r w:rsidRPr="0001564D">
        <w:rPr>
          <w:i/>
          <w:lang w:val="fr-CA"/>
        </w:rPr>
        <w:t>Prend note</w:t>
      </w:r>
      <w:r w:rsidRPr="0001564D">
        <w:rPr>
          <w:lang w:val="fr-CA"/>
        </w:rPr>
        <w:t xml:space="preserve"> des activités de coopération sur l</w:t>
      </w:r>
      <w:r>
        <w:rPr>
          <w:lang w:val="fr-CA"/>
        </w:rPr>
        <w:t>’</w:t>
      </w:r>
      <w:r w:rsidRPr="0001564D">
        <w:rPr>
          <w:lang w:val="fr-CA"/>
        </w:rPr>
        <w:t>accès et le partage des avantages entreprises par la Secrétaire exécutive</w:t>
      </w:r>
      <w:r w:rsidRPr="003C4B89">
        <w:rPr>
          <w:rStyle w:val="Appelnotedebasdep"/>
          <w:kern w:val="22"/>
          <w:u w:val="none"/>
          <w:vertAlign w:val="superscript"/>
        </w:rPr>
        <w:footnoteReference w:id="19"/>
      </w:r>
      <w:r w:rsidRPr="00F344B9">
        <w:rPr>
          <w:lang w:val="fr-CA"/>
        </w:rPr>
        <w:t>;</w:t>
      </w:r>
      <w:r>
        <w:rPr>
          <w:lang w:val="fr-CA"/>
        </w:rPr>
        <w:t xml:space="preserve"> </w:t>
      </w:r>
    </w:p>
    <w:p w14:paraId="7113843B" w14:textId="77777777" w:rsidR="001B692B" w:rsidRPr="00F344B9" w:rsidRDefault="001B692B" w:rsidP="003C4B89">
      <w:pPr>
        <w:pStyle w:val="Para1"/>
        <w:numPr>
          <w:ilvl w:val="0"/>
          <w:numId w:val="82"/>
        </w:numPr>
        <w:tabs>
          <w:tab w:val="clear" w:pos="360"/>
          <w:tab w:val="clear" w:pos="567"/>
          <w:tab w:val="clear" w:pos="2912"/>
          <w:tab w:val="num" w:pos="1440"/>
        </w:tabs>
        <w:spacing w:line="240" w:lineRule="auto"/>
        <w:ind w:firstLine="720"/>
        <w:rPr>
          <w:lang w:val="fr-CA"/>
        </w:rPr>
      </w:pPr>
      <w:r w:rsidRPr="0001564D">
        <w:rPr>
          <w:i/>
          <w:lang w:val="fr-CA"/>
        </w:rPr>
        <w:t>Prie</w:t>
      </w:r>
      <w:r w:rsidRPr="0001564D">
        <w:rPr>
          <w:lang w:val="fr-CA"/>
        </w:rPr>
        <w:t xml:space="preserve"> la Secrétaire exécutive de continuer à participer aux processus en cours et aux débats d</w:t>
      </w:r>
      <w:r>
        <w:rPr>
          <w:lang w:val="fr-CA"/>
        </w:rPr>
        <w:t>’</w:t>
      </w:r>
      <w:r w:rsidRPr="0001564D">
        <w:rPr>
          <w:lang w:val="fr-CA"/>
        </w:rPr>
        <w:t>orientation pertinents, et de s</w:t>
      </w:r>
      <w:r>
        <w:rPr>
          <w:lang w:val="fr-CA"/>
        </w:rPr>
        <w:t>’</w:t>
      </w:r>
      <w:r w:rsidRPr="0001564D">
        <w:rPr>
          <w:lang w:val="fr-CA"/>
        </w:rPr>
        <w:t>entretenir avec d</w:t>
      </w:r>
      <w:r>
        <w:rPr>
          <w:lang w:val="fr-CA"/>
        </w:rPr>
        <w:t>’</w:t>
      </w:r>
      <w:r w:rsidRPr="0001564D">
        <w:rPr>
          <w:lang w:val="fr-CA"/>
        </w:rPr>
        <w:t>autres conventions, organisations et initiatives internationales, selon qu</w:t>
      </w:r>
      <w:r>
        <w:rPr>
          <w:lang w:val="fr-CA"/>
        </w:rPr>
        <w:t>’</w:t>
      </w:r>
      <w:r w:rsidRPr="0001564D">
        <w:rPr>
          <w:lang w:val="fr-CA"/>
        </w:rPr>
        <w:t xml:space="preserve">il convient, afin de </w:t>
      </w:r>
      <w:r>
        <w:rPr>
          <w:lang w:val="fr-CA"/>
        </w:rPr>
        <w:t xml:space="preserve">fournir et de </w:t>
      </w:r>
      <w:r w:rsidRPr="0001564D">
        <w:rPr>
          <w:lang w:val="fr-CA"/>
        </w:rPr>
        <w:t>recueillir des informations sur les discussions en cours qui portent sur l</w:t>
      </w:r>
      <w:r>
        <w:rPr>
          <w:lang w:val="fr-CA"/>
        </w:rPr>
        <w:t>’</w:t>
      </w:r>
      <w:r w:rsidRPr="0001564D">
        <w:rPr>
          <w:lang w:val="fr-CA"/>
        </w:rPr>
        <w:t>accès et le partage des avantages, et en particulier l</w:t>
      </w:r>
      <w:r>
        <w:rPr>
          <w:lang w:val="fr-CA"/>
        </w:rPr>
        <w:t>es questions de santé publique</w:t>
      </w:r>
      <w:r w:rsidRPr="00F344B9">
        <w:rPr>
          <w:lang w:val="fr-CA"/>
        </w:rPr>
        <w:t>;</w:t>
      </w:r>
    </w:p>
    <w:p w14:paraId="14C4C8F1" w14:textId="77777777" w:rsidR="001B692B" w:rsidRPr="0001564D" w:rsidRDefault="001B692B" w:rsidP="003C4B89">
      <w:pPr>
        <w:pStyle w:val="Para1"/>
        <w:numPr>
          <w:ilvl w:val="0"/>
          <w:numId w:val="82"/>
        </w:numPr>
        <w:tabs>
          <w:tab w:val="clear" w:pos="360"/>
          <w:tab w:val="clear" w:pos="567"/>
          <w:tab w:val="clear" w:pos="2912"/>
          <w:tab w:val="num" w:pos="1440"/>
        </w:tabs>
        <w:spacing w:line="240" w:lineRule="auto"/>
        <w:ind w:firstLine="720"/>
        <w:rPr>
          <w:lang w:val="fr-CA"/>
        </w:rPr>
      </w:pPr>
      <w:r w:rsidRPr="0001564D">
        <w:rPr>
          <w:i/>
          <w:lang w:val="fr-CA"/>
        </w:rPr>
        <w:t>Prie aussi</w:t>
      </w:r>
      <w:r w:rsidRPr="0001564D">
        <w:rPr>
          <w:lang w:val="fr-CA"/>
        </w:rPr>
        <w:t xml:space="preserve"> la Secrétaire exécutive d</w:t>
      </w:r>
      <w:r>
        <w:rPr>
          <w:lang w:val="fr-CA"/>
        </w:rPr>
        <w:t>’</w:t>
      </w:r>
      <w:r w:rsidRPr="0001564D">
        <w:rPr>
          <w:lang w:val="fr-CA"/>
        </w:rPr>
        <w:t xml:space="preserve">élaborer un rapport sur les activités entreprises </w:t>
      </w:r>
      <w:r w:rsidRPr="0001564D">
        <w:rPr>
          <w:noProof/>
          <w:lang w:val="fr-CA"/>
        </w:rPr>
        <w:t>conformément au paragraphe 2 ci</w:t>
      </w:r>
      <w:r>
        <w:rPr>
          <w:noProof/>
          <w:lang w:val="fr-CA"/>
        </w:rPr>
        <w:noBreakHyphen/>
      </w:r>
      <w:r w:rsidRPr="0001564D">
        <w:rPr>
          <w:noProof/>
          <w:lang w:val="fr-CA"/>
        </w:rPr>
        <w:t>dessus, notamment</w:t>
      </w:r>
      <w:r w:rsidRPr="0001564D">
        <w:rPr>
          <w:lang w:val="fr-CA"/>
        </w:rPr>
        <w:t xml:space="preserve"> les évolutions importantes en vertu des accords et instruments internationaux présentant un intérêt pour l</w:t>
      </w:r>
      <w:r>
        <w:rPr>
          <w:lang w:val="fr-CA"/>
        </w:rPr>
        <w:t>’</w:t>
      </w:r>
      <w:r w:rsidRPr="0001564D">
        <w:rPr>
          <w:lang w:val="fr-CA"/>
        </w:rPr>
        <w:t>application du Protocole de Nagoya aux fins d</w:t>
      </w:r>
      <w:r>
        <w:rPr>
          <w:lang w:val="fr-CA"/>
        </w:rPr>
        <w:t>’</w:t>
      </w:r>
      <w:r w:rsidRPr="0001564D">
        <w:rPr>
          <w:lang w:val="fr-CA"/>
        </w:rPr>
        <w:t>examen par la Conférence des Parties siégeant en tant que réunion des</w:t>
      </w:r>
      <w:r>
        <w:rPr>
          <w:lang w:val="fr-CA"/>
        </w:rPr>
        <w:t xml:space="preserve"> Parties à sa quatrième réunion</w:t>
      </w:r>
      <w:r w:rsidRPr="0001564D">
        <w:rPr>
          <w:lang w:val="fr-CA"/>
        </w:rPr>
        <w:t>;</w:t>
      </w:r>
    </w:p>
    <w:p w14:paraId="5C5D829E" w14:textId="77777777" w:rsidR="001B692B" w:rsidRPr="00F344B9" w:rsidRDefault="001B692B" w:rsidP="003C4B89">
      <w:pPr>
        <w:pStyle w:val="Para1"/>
        <w:numPr>
          <w:ilvl w:val="0"/>
          <w:numId w:val="82"/>
        </w:numPr>
        <w:tabs>
          <w:tab w:val="clear" w:pos="360"/>
          <w:tab w:val="clear" w:pos="567"/>
          <w:tab w:val="clear" w:pos="2912"/>
          <w:tab w:val="num" w:pos="1440"/>
        </w:tabs>
        <w:spacing w:line="240" w:lineRule="auto"/>
        <w:ind w:firstLine="720"/>
        <w:rPr>
          <w:lang w:val="fr-CA"/>
        </w:rPr>
      </w:pPr>
      <w:r w:rsidRPr="0001564D">
        <w:rPr>
          <w:i/>
          <w:lang w:val="fr-CA"/>
        </w:rPr>
        <w:t>Prie en outre</w:t>
      </w:r>
      <w:r w:rsidRPr="0001564D">
        <w:rPr>
          <w:lang w:val="fr-CA"/>
        </w:rPr>
        <w:t xml:space="preserve"> la Secrétaire exécutive de continuer à participer aux activités de coopération et aux projets portant sur la mise en œuvre concertée du Protocole de Nagoya et du Traité international sur les </w:t>
      </w:r>
      <w:r w:rsidRPr="0001564D">
        <w:rPr>
          <w:noProof/>
          <w:lang w:val="fr-CA"/>
        </w:rPr>
        <w:t>ressources phytogénétiques pour</w:t>
      </w:r>
      <w:r w:rsidRPr="0001564D">
        <w:rPr>
          <w:lang w:val="fr-CA"/>
        </w:rPr>
        <w:t xml:space="preserve"> l</w:t>
      </w:r>
      <w:r>
        <w:rPr>
          <w:lang w:val="fr-CA"/>
        </w:rPr>
        <w:t>’</w:t>
      </w:r>
      <w:r w:rsidRPr="0001564D">
        <w:rPr>
          <w:lang w:val="fr-CA"/>
        </w:rPr>
        <w:t>alimentation et l</w:t>
      </w:r>
      <w:r>
        <w:rPr>
          <w:lang w:val="fr-CA"/>
        </w:rPr>
        <w:t>’</w:t>
      </w:r>
      <w:r w:rsidRPr="0001564D">
        <w:rPr>
          <w:lang w:val="fr-CA"/>
        </w:rPr>
        <w:t>agriculture</w:t>
      </w:r>
      <w:r w:rsidRPr="00F344B9">
        <w:rPr>
          <w:lang w:val="fr-CA"/>
        </w:rPr>
        <w:t>;</w:t>
      </w:r>
    </w:p>
    <w:p w14:paraId="5DD06D05" w14:textId="0A68C2AA" w:rsidR="001E4E65" w:rsidRPr="001B692B" w:rsidRDefault="001B692B" w:rsidP="003C4B89">
      <w:pPr>
        <w:pStyle w:val="Para1"/>
        <w:keepLines/>
        <w:numPr>
          <w:ilvl w:val="0"/>
          <w:numId w:val="82"/>
        </w:numPr>
        <w:tabs>
          <w:tab w:val="clear" w:pos="360"/>
          <w:tab w:val="clear" w:pos="567"/>
          <w:tab w:val="clear" w:pos="2912"/>
        </w:tabs>
        <w:spacing w:line="240" w:lineRule="auto"/>
        <w:ind w:firstLine="720"/>
        <w:rPr>
          <w:kern w:val="22"/>
          <w:lang w:val="fr-CA"/>
        </w:rPr>
      </w:pPr>
      <w:r>
        <w:rPr>
          <w:i/>
          <w:lang w:val="fr-CA"/>
        </w:rPr>
        <w:t xml:space="preserve">Prie </w:t>
      </w:r>
      <w:r>
        <w:rPr>
          <w:iCs/>
          <w:lang w:val="fr-CA"/>
        </w:rPr>
        <w:t xml:space="preserve">la </w:t>
      </w:r>
      <w:r w:rsidRPr="00434B51">
        <w:rPr>
          <w:lang w:val="fr-CA"/>
        </w:rPr>
        <w:t>Secrétaire exécutive de porter la décision NP</w:t>
      </w:r>
      <w:r>
        <w:rPr>
          <w:lang w:val="fr-CA"/>
        </w:rPr>
        <w:noBreakHyphen/>
      </w:r>
      <w:r w:rsidRPr="00434B51">
        <w:rPr>
          <w:lang w:val="fr-CA"/>
        </w:rPr>
        <w:t>3/</w:t>
      </w:r>
      <w:r>
        <w:rPr>
          <w:lang w:val="fr-CA"/>
        </w:rPr>
        <w:t xml:space="preserve">14 </w:t>
      </w:r>
      <w:r w:rsidRPr="00434B51">
        <w:rPr>
          <w:lang w:val="fr-CA"/>
        </w:rPr>
        <w:t>à la connaissance de l</w:t>
      </w:r>
      <w:r>
        <w:rPr>
          <w:lang w:val="fr-CA"/>
        </w:rPr>
        <w:t>’</w:t>
      </w:r>
      <w:r w:rsidRPr="00434B51">
        <w:rPr>
          <w:lang w:val="fr-CA"/>
        </w:rPr>
        <w:t xml:space="preserve">Organisation mondiale de la santé, du Traité international sur les ressources </w:t>
      </w:r>
      <w:r w:rsidRPr="00434B51">
        <w:rPr>
          <w:noProof/>
          <w:lang w:val="fr-CA"/>
        </w:rPr>
        <w:t>phytogénétiques pour l</w:t>
      </w:r>
      <w:r>
        <w:rPr>
          <w:noProof/>
          <w:lang w:val="fr-CA"/>
        </w:rPr>
        <w:t>’</w:t>
      </w:r>
      <w:r w:rsidRPr="00434B51">
        <w:rPr>
          <w:noProof/>
          <w:lang w:val="fr-CA"/>
        </w:rPr>
        <w:t>alimentation et l</w:t>
      </w:r>
      <w:r>
        <w:rPr>
          <w:noProof/>
          <w:lang w:val="fr-CA"/>
        </w:rPr>
        <w:t>’</w:t>
      </w:r>
      <w:r w:rsidRPr="00434B51">
        <w:rPr>
          <w:noProof/>
          <w:lang w:val="fr-CA"/>
        </w:rPr>
        <w:t>agriculture</w:t>
      </w:r>
      <w:r>
        <w:rPr>
          <w:noProof/>
          <w:lang w:val="fr-CA"/>
        </w:rPr>
        <w:t xml:space="preserve">, de </w:t>
      </w:r>
      <w:r w:rsidRPr="00434B51">
        <w:rPr>
          <w:noProof/>
          <w:lang w:val="fr-CA"/>
        </w:rPr>
        <w:t>la Commission des ressources génétiques</w:t>
      </w:r>
      <w:r w:rsidRPr="00434B51">
        <w:rPr>
          <w:lang w:val="fr-CA"/>
        </w:rPr>
        <w:t xml:space="preserve"> pour l</w:t>
      </w:r>
      <w:r>
        <w:rPr>
          <w:lang w:val="fr-CA"/>
        </w:rPr>
        <w:t>’</w:t>
      </w:r>
      <w:r w:rsidRPr="00434B51">
        <w:rPr>
          <w:lang w:val="fr-CA"/>
        </w:rPr>
        <w:t>alimentation et l</w:t>
      </w:r>
      <w:r>
        <w:rPr>
          <w:lang w:val="fr-CA"/>
        </w:rPr>
        <w:t>’</w:t>
      </w:r>
      <w:r w:rsidRPr="00434B51">
        <w:rPr>
          <w:lang w:val="fr-CA"/>
        </w:rPr>
        <w:t>agriculture</w:t>
      </w:r>
      <w:r>
        <w:rPr>
          <w:lang w:val="fr-CA"/>
        </w:rPr>
        <w:t xml:space="preserve"> de l’Organisation des Nations Unies pour l’alimentation et l’agriculture et d’autres conventions et organes concernés</w:t>
      </w:r>
      <w:r w:rsidR="001E4E65" w:rsidRPr="001B692B">
        <w:rPr>
          <w:kern w:val="22"/>
          <w:lang w:val="fr-CA"/>
        </w:rPr>
        <w:t>.</w:t>
      </w:r>
      <w:bookmarkEnd w:id="8"/>
    </w:p>
    <w:p w14:paraId="427E631A" w14:textId="77777777" w:rsidR="001E4E65" w:rsidRPr="001B692B" w:rsidRDefault="001E4E65" w:rsidP="003C4B89">
      <w:pPr>
        <w:spacing w:before="120" w:line="240" w:lineRule="auto"/>
        <w:jc w:val="left"/>
        <w:rPr>
          <w:rFonts w:ascii="Times New Roman Bold" w:hAnsi="Times New Roman Bold" w:cs="Times New Roman Bold" w:hint="eastAsia"/>
          <w:b/>
          <w:bCs/>
          <w:caps/>
          <w:snapToGrid w:val="0"/>
          <w:kern w:val="22"/>
          <w:szCs w:val="22"/>
          <w:lang w:val="fr-CA"/>
        </w:rPr>
      </w:pPr>
      <w:r w:rsidRPr="001B692B">
        <w:rPr>
          <w:lang w:val="fr-CA"/>
        </w:rPr>
        <w:br w:type="page"/>
      </w:r>
    </w:p>
    <w:p w14:paraId="33A94AF4" w14:textId="2C60543B" w:rsidR="001E4E65" w:rsidRPr="003C4B89" w:rsidRDefault="001E4E65" w:rsidP="000C6220">
      <w:pPr>
        <w:pStyle w:val="recommendationheader"/>
        <w:spacing w:line="240" w:lineRule="auto"/>
        <w:rPr>
          <w:lang w:val="fr-CA"/>
        </w:rPr>
      </w:pPr>
      <w:bookmarkStart w:id="9" w:name="_Toc256208"/>
      <w:r w:rsidRPr="00852E3F">
        <w:rPr>
          <w:lang w:val="fr-CA"/>
        </w:rPr>
        <w:lastRenderedPageBreak/>
        <w:t>3/8.</w:t>
      </w:r>
      <w:r w:rsidRPr="00852E3F">
        <w:rPr>
          <w:lang w:val="fr-CA"/>
        </w:rPr>
        <w:tab/>
      </w:r>
      <w:bookmarkEnd w:id="9"/>
      <w:r w:rsidR="003C4B89">
        <w:rPr>
          <w:lang w:val="fr-CA"/>
        </w:rPr>
        <w:t>Mécanisme financier</w:t>
      </w:r>
    </w:p>
    <w:p w14:paraId="71112E76" w14:textId="77777777" w:rsidR="003C4B89" w:rsidRPr="00BA7CC8" w:rsidRDefault="003C4B89" w:rsidP="003C4B89">
      <w:pPr>
        <w:suppressLineNumbers/>
        <w:shd w:val="clear" w:color="auto" w:fill="FFFFFF" w:themeFill="background1"/>
        <w:suppressAutoHyphens/>
        <w:kinsoku w:val="0"/>
        <w:overflowPunct w:val="0"/>
        <w:autoSpaceDE w:val="0"/>
        <w:autoSpaceDN w:val="0"/>
        <w:snapToGrid w:val="0"/>
        <w:spacing w:before="120" w:line="240" w:lineRule="auto"/>
        <w:ind w:firstLine="720"/>
        <w:rPr>
          <w:i/>
          <w:kern w:val="22"/>
          <w:szCs w:val="22"/>
          <w:lang w:val="fr-CA"/>
        </w:rPr>
      </w:pPr>
      <w:r w:rsidRPr="00775C8A">
        <w:rPr>
          <w:i/>
          <w:kern w:val="22"/>
          <w:szCs w:val="22"/>
          <w:lang w:val="fr-FR" w:bidi="fr-FR"/>
        </w:rPr>
        <w:t xml:space="preserve">La Conférence des Parties siégeant en tant que </w:t>
      </w:r>
      <w:r>
        <w:rPr>
          <w:i/>
          <w:kern w:val="22"/>
          <w:szCs w:val="22"/>
          <w:lang w:val="fr-FR" w:bidi="fr-FR"/>
        </w:rPr>
        <w:t>R</w:t>
      </w:r>
      <w:r w:rsidRPr="00775C8A">
        <w:rPr>
          <w:i/>
          <w:kern w:val="22"/>
          <w:szCs w:val="22"/>
          <w:lang w:val="fr-FR" w:bidi="fr-FR"/>
        </w:rPr>
        <w:t>éunion des Parties au Protocole de Nagoya</w:t>
      </w:r>
      <w:r>
        <w:rPr>
          <w:i/>
          <w:kern w:val="22"/>
          <w:szCs w:val="22"/>
          <w:lang w:val="fr-FR" w:bidi="fr-FR"/>
        </w:rPr>
        <w:t xml:space="preserve"> sur l’accès et le partage des avantages</w:t>
      </w:r>
    </w:p>
    <w:p w14:paraId="3B305795" w14:textId="77777777" w:rsidR="003C4B89" w:rsidRPr="00BA7CC8" w:rsidRDefault="003C4B89" w:rsidP="003C4B89">
      <w:pPr>
        <w:numPr>
          <w:ilvl w:val="0"/>
          <w:numId w:val="64"/>
        </w:numPr>
        <w:shd w:val="clear" w:color="auto" w:fill="FFFFFF" w:themeFill="background1"/>
        <w:tabs>
          <w:tab w:val="clear" w:pos="900"/>
        </w:tabs>
        <w:spacing w:before="120" w:line="240" w:lineRule="auto"/>
        <w:ind w:left="0" w:firstLine="720"/>
        <w:rPr>
          <w:kern w:val="22"/>
          <w:szCs w:val="22"/>
          <w:lang w:val="fr-CA" w:eastAsia="x-none"/>
        </w:rPr>
      </w:pPr>
      <w:r w:rsidRPr="00775C8A">
        <w:rPr>
          <w:i/>
          <w:kern w:val="22"/>
          <w:szCs w:val="22"/>
          <w:lang w:val="fr-FR" w:bidi="fr-FR"/>
        </w:rPr>
        <w:t>Se félicite</w:t>
      </w:r>
      <w:r w:rsidRPr="00775C8A">
        <w:rPr>
          <w:kern w:val="22"/>
          <w:szCs w:val="22"/>
          <w:lang w:val="fr-FR" w:bidi="fr-FR"/>
        </w:rPr>
        <w:t xml:space="preserve"> de la septième reconstitution des ressources du Fonds d'affectation spéciale du Fonds pour l’environnement mondial et </w:t>
      </w:r>
      <w:r w:rsidRPr="00775C8A">
        <w:rPr>
          <w:i/>
          <w:kern w:val="22"/>
          <w:szCs w:val="22"/>
          <w:lang w:val="fr-FR" w:bidi="fr-FR"/>
        </w:rPr>
        <w:t>exprime sa gratitude</w:t>
      </w:r>
      <w:r w:rsidRPr="00775C8A">
        <w:rPr>
          <w:kern w:val="22"/>
          <w:szCs w:val="22"/>
          <w:lang w:val="fr-FR" w:bidi="fr-FR"/>
        </w:rPr>
        <w:t xml:space="preserve"> aux pays qui y ont contribué</w:t>
      </w:r>
      <w:r w:rsidRPr="003C4B89">
        <w:rPr>
          <w:rStyle w:val="Appelnotedebasdep"/>
          <w:kern w:val="22"/>
          <w:szCs w:val="22"/>
          <w:u w:val="none"/>
          <w:vertAlign w:val="superscript"/>
          <w:lang w:eastAsia="x-none"/>
        </w:rPr>
        <w:footnoteReference w:id="20"/>
      </w:r>
      <w:r w:rsidRPr="00775C8A">
        <w:rPr>
          <w:kern w:val="22"/>
          <w:szCs w:val="22"/>
          <w:lang w:val="fr-FR" w:bidi="fr-FR"/>
        </w:rPr>
        <w:t>;</w:t>
      </w:r>
    </w:p>
    <w:p w14:paraId="489CCC90" w14:textId="77777777" w:rsidR="003C4B89" w:rsidRPr="00BA7CC8" w:rsidRDefault="003C4B89" w:rsidP="003C4B89">
      <w:pPr>
        <w:numPr>
          <w:ilvl w:val="0"/>
          <w:numId w:val="64"/>
        </w:numPr>
        <w:shd w:val="clear" w:color="auto" w:fill="FFFFFF" w:themeFill="background1"/>
        <w:tabs>
          <w:tab w:val="clear" w:pos="900"/>
        </w:tabs>
        <w:spacing w:before="120" w:line="240" w:lineRule="auto"/>
        <w:ind w:left="0" w:firstLine="720"/>
        <w:rPr>
          <w:kern w:val="22"/>
          <w:szCs w:val="22"/>
          <w:lang w:val="fr-CA" w:eastAsia="x-none"/>
        </w:rPr>
      </w:pPr>
      <w:r w:rsidRPr="00775C8A">
        <w:rPr>
          <w:i/>
          <w:kern w:val="22"/>
          <w:szCs w:val="22"/>
          <w:lang w:val="fr-FR" w:bidi="fr-FR"/>
        </w:rPr>
        <w:t>Accueille également</w:t>
      </w:r>
      <w:r w:rsidRPr="00775C8A">
        <w:rPr>
          <w:kern w:val="22"/>
          <w:szCs w:val="22"/>
          <w:lang w:val="fr-FR" w:bidi="fr-FR"/>
        </w:rPr>
        <w:t xml:space="preserve"> la stratégie pour le domaine d'intervention </w:t>
      </w:r>
      <w:r>
        <w:rPr>
          <w:kern w:val="22"/>
          <w:szCs w:val="22"/>
          <w:lang w:val="fr-FR" w:bidi="fr-FR"/>
        </w:rPr>
        <w:t xml:space="preserve">de la </w:t>
      </w:r>
      <w:r w:rsidRPr="00775C8A">
        <w:rPr>
          <w:kern w:val="22"/>
          <w:szCs w:val="22"/>
          <w:lang w:val="fr-FR" w:bidi="fr-FR"/>
        </w:rPr>
        <w:t>diversité biologique, qui comprend</w:t>
      </w:r>
      <w:r>
        <w:rPr>
          <w:kern w:val="22"/>
          <w:szCs w:val="22"/>
          <w:lang w:val="fr-FR" w:bidi="fr-FR"/>
        </w:rPr>
        <w:t xml:space="preserve"> un programme d’application du P</w:t>
      </w:r>
      <w:r w:rsidRPr="00775C8A">
        <w:rPr>
          <w:kern w:val="22"/>
          <w:szCs w:val="22"/>
          <w:lang w:val="fr-FR" w:bidi="fr-FR"/>
        </w:rPr>
        <w:t xml:space="preserve">rotocole de Nagoya, et </w:t>
      </w:r>
      <w:r w:rsidRPr="00775C8A">
        <w:rPr>
          <w:i/>
          <w:kern w:val="22"/>
          <w:szCs w:val="22"/>
          <w:lang w:val="fr-FR" w:bidi="fr-FR"/>
        </w:rPr>
        <w:t>prend note</w:t>
      </w:r>
      <w:r w:rsidRPr="00775C8A">
        <w:rPr>
          <w:kern w:val="22"/>
          <w:szCs w:val="22"/>
          <w:lang w:val="fr-FR" w:bidi="fr-FR"/>
        </w:rPr>
        <w:t xml:space="preserve"> des cibles fictives de programmation relatives aux divers objectifs et programmes pour le domaine d'intervention </w:t>
      </w:r>
      <w:r>
        <w:rPr>
          <w:kern w:val="22"/>
          <w:szCs w:val="22"/>
          <w:lang w:val="fr-FR" w:bidi="fr-FR"/>
        </w:rPr>
        <w:t xml:space="preserve">de la </w:t>
      </w:r>
      <w:r w:rsidRPr="00775C8A">
        <w:rPr>
          <w:kern w:val="22"/>
          <w:szCs w:val="22"/>
          <w:lang w:val="fr-FR" w:bidi="fr-FR"/>
        </w:rPr>
        <w:t>diversité biologique figurant dans le rapport sur la septième reconstitution</w:t>
      </w:r>
      <w:r w:rsidRPr="00775C8A">
        <w:rPr>
          <w:kern w:val="22"/>
          <w:szCs w:val="22"/>
          <w:vertAlign w:val="superscript"/>
          <w:lang w:val="fr-FR" w:bidi="fr-FR"/>
        </w:rPr>
        <w:footnoteReference w:id="21"/>
      </w:r>
      <w:r w:rsidRPr="00775C8A">
        <w:rPr>
          <w:kern w:val="22"/>
          <w:szCs w:val="22"/>
          <w:lang w:val="fr-FR" w:bidi="fr-FR"/>
        </w:rPr>
        <w:t>;</w:t>
      </w:r>
    </w:p>
    <w:p w14:paraId="42609D8F" w14:textId="77777777" w:rsidR="003C4B89" w:rsidRPr="00BA7CC8" w:rsidRDefault="003C4B89" w:rsidP="003C4B89">
      <w:pPr>
        <w:numPr>
          <w:ilvl w:val="0"/>
          <w:numId w:val="64"/>
        </w:numPr>
        <w:shd w:val="clear" w:color="auto" w:fill="FFFFFF" w:themeFill="background1"/>
        <w:tabs>
          <w:tab w:val="clear" w:pos="900"/>
        </w:tabs>
        <w:spacing w:before="120" w:line="240" w:lineRule="auto"/>
        <w:ind w:left="0" w:firstLine="720"/>
        <w:rPr>
          <w:kern w:val="22"/>
          <w:szCs w:val="22"/>
          <w:lang w:val="fr-CA" w:eastAsia="x-none"/>
        </w:rPr>
      </w:pPr>
      <w:r w:rsidRPr="00775C8A">
        <w:rPr>
          <w:i/>
          <w:kern w:val="22"/>
          <w:szCs w:val="22"/>
          <w:lang w:val="fr-FR" w:bidi="fr-FR"/>
        </w:rPr>
        <w:t>Prie instamment</w:t>
      </w:r>
      <w:r w:rsidRPr="00775C8A">
        <w:rPr>
          <w:kern w:val="22"/>
          <w:szCs w:val="22"/>
          <w:lang w:val="fr-FR" w:bidi="fr-FR"/>
        </w:rPr>
        <w:t xml:space="preserve"> les Parties admissibles à un financement d’accorder une priorité aux projets liés à l’accès aux ressources génétiques et au partage des avantages lors de la programmation de leurs allocations nationales pour la septième reconstitution dans le cadre du Système transparent d’allocation des ressources (STAR) ;</w:t>
      </w:r>
      <w:r>
        <w:rPr>
          <w:kern w:val="22"/>
          <w:szCs w:val="22"/>
          <w:lang w:val="fr-FR" w:bidi="fr-FR"/>
        </w:rPr>
        <w:t xml:space="preserve"> </w:t>
      </w:r>
    </w:p>
    <w:p w14:paraId="0F894A59" w14:textId="77777777" w:rsidR="003C4B89" w:rsidRPr="00BA7CC8" w:rsidRDefault="003C4B89" w:rsidP="003C4B89">
      <w:pPr>
        <w:numPr>
          <w:ilvl w:val="0"/>
          <w:numId w:val="64"/>
        </w:numPr>
        <w:shd w:val="clear" w:color="auto" w:fill="FFFFFF" w:themeFill="background1"/>
        <w:tabs>
          <w:tab w:val="clear" w:pos="900"/>
        </w:tabs>
        <w:spacing w:before="120" w:line="240" w:lineRule="auto"/>
        <w:ind w:left="0" w:firstLine="720"/>
        <w:rPr>
          <w:kern w:val="22"/>
          <w:szCs w:val="22"/>
          <w:lang w:val="fr-CA" w:eastAsia="x-none"/>
        </w:rPr>
      </w:pPr>
      <w:r w:rsidRPr="00775C8A">
        <w:rPr>
          <w:i/>
          <w:kern w:val="22"/>
          <w:szCs w:val="22"/>
          <w:lang w:val="fr-FR" w:bidi="fr-FR"/>
        </w:rPr>
        <w:t>Encourage</w:t>
      </w:r>
      <w:r w:rsidRPr="00775C8A">
        <w:rPr>
          <w:kern w:val="22"/>
          <w:szCs w:val="22"/>
          <w:lang w:val="fr-FR" w:bidi="fr-FR"/>
        </w:rPr>
        <w:t xml:space="preserve"> les Parties à incorporer des activités d’accès et partage des avantages dans les projets </w:t>
      </w:r>
      <w:r w:rsidRPr="002D04ED">
        <w:rPr>
          <w:kern w:val="22"/>
          <w:szCs w:val="22"/>
          <w:lang w:val="fr-FR" w:bidi="fr-FR"/>
        </w:rPr>
        <w:t>élaborés dans le cadre d'autres programmes du Fonds pour l'environnement mondial, selon qu'il convient</w:t>
      </w:r>
      <w:r>
        <w:rPr>
          <w:kern w:val="22"/>
          <w:szCs w:val="22"/>
          <w:lang w:val="fr-FR" w:bidi="fr-FR"/>
        </w:rPr>
        <w:t xml:space="preserve"> </w:t>
      </w:r>
      <w:r w:rsidRPr="00775C8A">
        <w:rPr>
          <w:kern w:val="22"/>
          <w:szCs w:val="22"/>
          <w:lang w:val="fr-FR" w:bidi="fr-FR"/>
        </w:rPr>
        <w:t>;</w:t>
      </w:r>
      <w:r>
        <w:rPr>
          <w:kern w:val="22"/>
          <w:szCs w:val="22"/>
          <w:lang w:val="fr-FR" w:bidi="fr-FR"/>
        </w:rPr>
        <w:t xml:space="preserve"> </w:t>
      </w:r>
    </w:p>
    <w:p w14:paraId="59BA7A9F" w14:textId="20F5F22E" w:rsidR="001E4E65" w:rsidRPr="003C4B89" w:rsidRDefault="003C4B89" w:rsidP="003C4B89">
      <w:pPr>
        <w:numPr>
          <w:ilvl w:val="0"/>
          <w:numId w:val="64"/>
        </w:numPr>
        <w:suppressLineNumbers/>
        <w:shd w:val="clear" w:color="auto" w:fill="FFFFFF" w:themeFill="background1"/>
        <w:tabs>
          <w:tab w:val="clear" w:pos="900"/>
        </w:tabs>
        <w:suppressAutoHyphens/>
        <w:spacing w:before="120" w:line="240" w:lineRule="auto"/>
        <w:ind w:left="0" w:firstLine="720"/>
        <w:rPr>
          <w:kern w:val="22"/>
          <w:lang w:val="fr-CA"/>
        </w:rPr>
      </w:pPr>
      <w:r w:rsidRPr="00775C8A">
        <w:rPr>
          <w:i/>
          <w:kern w:val="22"/>
          <w:szCs w:val="22"/>
          <w:lang w:val="fr-FR" w:bidi="fr-FR"/>
        </w:rPr>
        <w:t>Encourage également les</w:t>
      </w:r>
      <w:r w:rsidRPr="00775C8A">
        <w:rPr>
          <w:kern w:val="22"/>
          <w:szCs w:val="22"/>
          <w:lang w:val="fr-FR" w:bidi="fr-FR"/>
        </w:rPr>
        <w:t xml:space="preserve"> Parties à co</w:t>
      </w:r>
      <w:r>
        <w:rPr>
          <w:kern w:val="22"/>
          <w:szCs w:val="22"/>
          <w:lang w:val="fr-FR" w:bidi="fr-FR"/>
        </w:rPr>
        <w:t>opérer aux niveaux régional et infrar</w:t>
      </w:r>
      <w:r w:rsidRPr="00775C8A">
        <w:rPr>
          <w:kern w:val="22"/>
          <w:szCs w:val="22"/>
          <w:lang w:val="fr-FR" w:bidi="fr-FR"/>
        </w:rPr>
        <w:t xml:space="preserve">égional et à demander l’appui du Fonds pour l’environnement mondial pour des projets conjoints afin de maximiser les synergies et </w:t>
      </w:r>
      <w:r>
        <w:rPr>
          <w:kern w:val="22"/>
          <w:szCs w:val="22"/>
          <w:lang w:val="fr-FR" w:bidi="fr-FR"/>
        </w:rPr>
        <w:t>l</w:t>
      </w:r>
      <w:r w:rsidRPr="00775C8A">
        <w:rPr>
          <w:kern w:val="22"/>
          <w:szCs w:val="22"/>
          <w:lang w:val="fr-FR" w:bidi="fr-FR"/>
        </w:rPr>
        <w:t>es opportunités pour le partage efficace des ressources, informations, expériences et savoir-faire</w:t>
      </w:r>
      <w:r w:rsidR="001E4E65" w:rsidRPr="003C4B89">
        <w:rPr>
          <w:kern w:val="22"/>
          <w:szCs w:val="22"/>
          <w:lang w:val="fr-CA" w:eastAsia="x-none"/>
        </w:rPr>
        <w:t>.</w:t>
      </w:r>
    </w:p>
    <w:p w14:paraId="29BF4199" w14:textId="77777777" w:rsidR="001E4E65" w:rsidRPr="003C4B89" w:rsidRDefault="001E4E65" w:rsidP="003C4B89">
      <w:pPr>
        <w:spacing w:before="120" w:line="240" w:lineRule="auto"/>
        <w:jc w:val="left"/>
        <w:rPr>
          <w:rFonts w:ascii="Times New Roman Bold" w:hAnsi="Times New Roman Bold" w:cs="Times New Roman Bold" w:hint="eastAsia"/>
          <w:b/>
          <w:bCs/>
          <w:caps/>
          <w:snapToGrid w:val="0"/>
          <w:kern w:val="22"/>
          <w:szCs w:val="22"/>
          <w:lang w:val="fr-CA"/>
        </w:rPr>
      </w:pPr>
      <w:r w:rsidRPr="003C4B89">
        <w:rPr>
          <w:lang w:val="fr-CA"/>
        </w:rPr>
        <w:br w:type="page"/>
      </w:r>
    </w:p>
    <w:p w14:paraId="118BA585" w14:textId="20B590F5" w:rsidR="001E4E65" w:rsidRPr="006E168F" w:rsidRDefault="001E4E65" w:rsidP="000C6220">
      <w:pPr>
        <w:pStyle w:val="recommendationheader"/>
        <w:spacing w:line="240" w:lineRule="auto"/>
        <w:ind w:left="1560" w:hanging="709"/>
        <w:jc w:val="left"/>
        <w:rPr>
          <w:szCs w:val="22"/>
          <w:lang w:val="fr-CA"/>
        </w:rPr>
      </w:pPr>
      <w:bookmarkStart w:id="10" w:name="_Toc256209"/>
      <w:r w:rsidRPr="00852E3F">
        <w:rPr>
          <w:szCs w:val="22"/>
          <w:lang w:val="fr-CA"/>
        </w:rPr>
        <w:lastRenderedPageBreak/>
        <w:t>3/9.</w:t>
      </w:r>
      <w:r w:rsidRPr="00852E3F">
        <w:rPr>
          <w:szCs w:val="22"/>
          <w:lang w:val="fr-CA"/>
        </w:rPr>
        <w:tab/>
      </w:r>
      <w:bookmarkEnd w:id="10"/>
      <w:r w:rsidR="006E168F">
        <w:rPr>
          <w:snapToGrid w:val="0"/>
          <w:lang w:val="fr-FR"/>
        </w:rPr>
        <w:t>R</w:t>
      </w:r>
      <w:r w:rsidR="006E168F" w:rsidRPr="005F34F5">
        <w:rPr>
          <w:snapToGrid w:val="0"/>
          <w:lang w:val="fr-FR"/>
        </w:rPr>
        <w:t>enforce</w:t>
      </w:r>
      <w:r w:rsidR="006E168F">
        <w:rPr>
          <w:snapToGrid w:val="0"/>
          <w:lang w:val="fr-FR"/>
        </w:rPr>
        <w:t>r l’intégration au titre de la C</w:t>
      </w:r>
      <w:r w:rsidR="006E168F" w:rsidRPr="005F34F5">
        <w:rPr>
          <w:snapToGrid w:val="0"/>
          <w:lang w:val="fr-FR"/>
        </w:rPr>
        <w:t>onvention et de ses protocoles pour ce qui est des</w:t>
      </w:r>
      <w:r w:rsidR="006E168F">
        <w:rPr>
          <w:snapToGrid w:val="0"/>
          <w:lang w:val="fr-FR"/>
        </w:rPr>
        <w:t xml:space="preserve"> dispositions relatives à l’accè</w:t>
      </w:r>
      <w:r w:rsidR="006E168F" w:rsidRPr="005F34F5">
        <w:rPr>
          <w:snapToGrid w:val="0"/>
          <w:lang w:val="fr-FR"/>
        </w:rPr>
        <w:t>s et au partage des avantages</w:t>
      </w:r>
    </w:p>
    <w:p w14:paraId="566BDDFA" w14:textId="77777777" w:rsidR="006E168F" w:rsidRPr="008A4DC7" w:rsidRDefault="006E168F" w:rsidP="006E168F">
      <w:pPr>
        <w:pStyle w:val="Para1"/>
        <w:numPr>
          <w:ilvl w:val="0"/>
          <w:numId w:val="0"/>
        </w:numPr>
        <w:spacing w:line="240" w:lineRule="auto"/>
        <w:ind w:firstLine="720"/>
        <w:rPr>
          <w:kern w:val="22"/>
          <w:szCs w:val="22"/>
          <w:lang w:val="fr-FR"/>
        </w:rPr>
      </w:pPr>
      <w:r w:rsidRPr="008A4DC7">
        <w:rPr>
          <w:i/>
          <w:szCs w:val="22"/>
          <w:lang w:val="fr-FR"/>
        </w:rPr>
        <w:t>La Conférence des Parties siégeant en tant que réunion des Parties au Protocol</w:t>
      </w:r>
      <w:r>
        <w:rPr>
          <w:i/>
          <w:szCs w:val="22"/>
          <w:lang w:val="fr-FR"/>
        </w:rPr>
        <w:t>e de Nagoya sur l’accès et le partage des avantages</w:t>
      </w:r>
      <w:r w:rsidRPr="008A4DC7">
        <w:rPr>
          <w:kern w:val="22"/>
          <w:szCs w:val="22"/>
          <w:lang w:val="fr-FR"/>
        </w:rPr>
        <w:t>,</w:t>
      </w:r>
    </w:p>
    <w:p w14:paraId="032FB516" w14:textId="77777777" w:rsidR="006E168F" w:rsidRPr="00AD324E" w:rsidRDefault="006E168F" w:rsidP="006E168F">
      <w:pPr>
        <w:pStyle w:val="Para1"/>
        <w:numPr>
          <w:ilvl w:val="0"/>
          <w:numId w:val="0"/>
        </w:numPr>
        <w:spacing w:line="240" w:lineRule="auto"/>
        <w:ind w:firstLine="720"/>
        <w:rPr>
          <w:kern w:val="22"/>
          <w:szCs w:val="22"/>
          <w:lang w:val="fr-FR"/>
        </w:rPr>
      </w:pPr>
      <w:r w:rsidRPr="00AD324E">
        <w:rPr>
          <w:i/>
          <w:kern w:val="22"/>
          <w:szCs w:val="22"/>
          <w:lang w:val="fr-FR"/>
        </w:rPr>
        <w:t xml:space="preserve">Rappelant </w:t>
      </w:r>
      <w:r>
        <w:rPr>
          <w:kern w:val="22"/>
          <w:szCs w:val="22"/>
          <w:lang w:val="fr-FR"/>
        </w:rPr>
        <w:t xml:space="preserve">la </w:t>
      </w:r>
      <w:r w:rsidRPr="00AD324E">
        <w:rPr>
          <w:kern w:val="22"/>
          <w:szCs w:val="22"/>
          <w:lang w:val="fr-FR"/>
        </w:rPr>
        <w:t>décision</w:t>
      </w:r>
      <w:r w:rsidRPr="00AD324E">
        <w:rPr>
          <w:i/>
          <w:kern w:val="22"/>
          <w:szCs w:val="22"/>
          <w:lang w:val="fr-FR"/>
        </w:rPr>
        <w:t xml:space="preserve"> </w:t>
      </w:r>
      <w:hyperlink r:id="rId16" w:history="1">
        <w:r w:rsidRPr="00BA2EDB">
          <w:rPr>
            <w:rStyle w:val="Lienhypertexte"/>
            <w:kern w:val="22"/>
            <w:szCs w:val="22"/>
            <w:lang w:val="fr-FR"/>
          </w:rPr>
          <w:t>XII/13</w:t>
        </w:r>
      </w:hyperlink>
      <w:r w:rsidRPr="00AD324E">
        <w:rPr>
          <w:kern w:val="22"/>
          <w:szCs w:val="22"/>
          <w:lang w:val="fr-FR"/>
        </w:rPr>
        <w:t xml:space="preserve"> de la Conférence des Parties concernant des moyens </w:t>
      </w:r>
      <w:r w:rsidRPr="00AD324E">
        <w:rPr>
          <w:szCs w:val="22"/>
          <w:lang w:val="fr-FR" w:eastAsia="zh-CN"/>
        </w:rPr>
        <w:t xml:space="preserve">éventuels de promouvoir des approches intégrées pour les questions concernant à la fois les dispositions de la Convention relatives à l’accès et au partage des avantages et les dispositions du Protocole de </w:t>
      </w:r>
      <w:r w:rsidRPr="00AD324E">
        <w:rPr>
          <w:kern w:val="22"/>
          <w:szCs w:val="22"/>
          <w:lang w:val="fr-FR"/>
        </w:rPr>
        <w:t xml:space="preserve">Nagoya </w:t>
      </w:r>
      <w:r>
        <w:rPr>
          <w:kern w:val="22"/>
          <w:szCs w:val="22"/>
          <w:lang w:val="fr-FR"/>
        </w:rPr>
        <w:t>sur l’accès aux ressources génétiques et le partage juste et équitable des avantages découlant de leur utilisation</w:t>
      </w:r>
      <w:r w:rsidRPr="00AD324E">
        <w:rPr>
          <w:kern w:val="22"/>
          <w:szCs w:val="22"/>
          <w:lang w:val="fr-FR"/>
        </w:rPr>
        <w:t>,</w:t>
      </w:r>
    </w:p>
    <w:p w14:paraId="7C2353D6" w14:textId="154E4088" w:rsidR="001E4E65" w:rsidRPr="006E168F" w:rsidRDefault="006E168F" w:rsidP="006E168F">
      <w:pPr>
        <w:pStyle w:val="Para1"/>
        <w:numPr>
          <w:ilvl w:val="0"/>
          <w:numId w:val="0"/>
        </w:numPr>
        <w:spacing w:line="240" w:lineRule="auto"/>
        <w:ind w:firstLine="720"/>
        <w:rPr>
          <w:szCs w:val="22"/>
          <w:lang w:val="fr-CA"/>
        </w:rPr>
      </w:pPr>
      <w:r w:rsidRPr="00AD324E">
        <w:rPr>
          <w:i/>
          <w:szCs w:val="22"/>
          <w:lang w:val="fr-FR"/>
        </w:rPr>
        <w:t xml:space="preserve">Prend note </w:t>
      </w:r>
      <w:r w:rsidRPr="00AD324E">
        <w:rPr>
          <w:szCs w:val="22"/>
          <w:lang w:val="fr-FR"/>
        </w:rPr>
        <w:t>des moyens proposés pour renforcer l'intégratio</w:t>
      </w:r>
      <w:r>
        <w:rPr>
          <w:szCs w:val="22"/>
          <w:lang w:val="fr-FR"/>
        </w:rPr>
        <w:t>n</w:t>
      </w:r>
      <w:r w:rsidRPr="006E168F">
        <w:rPr>
          <w:rStyle w:val="Appelnotedebasdep"/>
          <w:kern w:val="22"/>
          <w:szCs w:val="22"/>
          <w:u w:val="none"/>
          <w:vertAlign w:val="superscript"/>
        </w:rPr>
        <w:footnoteReference w:id="22"/>
      </w:r>
      <w:r w:rsidRPr="00AD324E">
        <w:rPr>
          <w:szCs w:val="22"/>
          <w:lang w:val="fr-FR"/>
        </w:rPr>
        <w:t>,</w:t>
      </w:r>
      <w:r w:rsidRPr="00AD324E">
        <w:rPr>
          <w:kern w:val="22"/>
          <w:szCs w:val="22"/>
          <w:lang w:val="fr-FR"/>
        </w:rPr>
        <w:t xml:space="preserve"> </w:t>
      </w:r>
      <w:r>
        <w:rPr>
          <w:kern w:val="22"/>
          <w:szCs w:val="22"/>
          <w:lang w:val="fr-FR"/>
        </w:rPr>
        <w:t xml:space="preserve">et </w:t>
      </w:r>
      <w:r w:rsidRPr="00AD324E">
        <w:rPr>
          <w:i/>
          <w:szCs w:val="22"/>
          <w:lang w:val="fr-FR"/>
        </w:rPr>
        <w:t>accueille avec satisfaction</w:t>
      </w:r>
      <w:r>
        <w:rPr>
          <w:szCs w:val="22"/>
          <w:lang w:val="fr-FR"/>
        </w:rPr>
        <w:t xml:space="preserve"> la décision 14</w:t>
      </w:r>
      <w:r>
        <w:rPr>
          <w:kern w:val="22"/>
          <w:szCs w:val="22"/>
          <w:lang w:val="fr-FR"/>
        </w:rPr>
        <w:t>/31</w:t>
      </w:r>
      <w:r w:rsidRPr="00AD324E">
        <w:rPr>
          <w:kern w:val="22"/>
          <w:szCs w:val="22"/>
          <w:lang w:val="fr-FR"/>
        </w:rPr>
        <w:t xml:space="preserve"> </w:t>
      </w:r>
      <w:r w:rsidRPr="00AD324E">
        <w:rPr>
          <w:szCs w:val="22"/>
          <w:lang w:val="fr-FR"/>
        </w:rPr>
        <w:t>de la Conférence des Parties</w:t>
      </w:r>
      <w:r w:rsidR="001E4E65" w:rsidRPr="006E168F">
        <w:rPr>
          <w:kern w:val="22"/>
          <w:szCs w:val="22"/>
          <w:lang w:val="fr-CA"/>
        </w:rPr>
        <w:t>.</w:t>
      </w:r>
    </w:p>
    <w:p w14:paraId="56AD7AD7" w14:textId="77777777" w:rsidR="001E4E65" w:rsidRPr="006E168F" w:rsidRDefault="001E4E65" w:rsidP="006E168F">
      <w:pPr>
        <w:spacing w:before="120" w:line="240" w:lineRule="auto"/>
        <w:jc w:val="left"/>
        <w:rPr>
          <w:rFonts w:ascii="Times New Roman Bold" w:hAnsi="Times New Roman Bold" w:cs="Times New Roman Bold" w:hint="eastAsia"/>
          <w:b/>
          <w:bCs/>
          <w:caps/>
          <w:snapToGrid w:val="0"/>
          <w:kern w:val="22"/>
          <w:szCs w:val="22"/>
          <w:lang w:val="fr-CA"/>
        </w:rPr>
      </w:pPr>
      <w:r w:rsidRPr="006E168F">
        <w:rPr>
          <w:rFonts w:hint="eastAsia"/>
          <w:lang w:val="fr-CA"/>
        </w:rPr>
        <w:br w:type="page"/>
      </w:r>
    </w:p>
    <w:p w14:paraId="0157EC61" w14:textId="75B0A3A8" w:rsidR="00127617" w:rsidRPr="006E168F" w:rsidRDefault="00127617" w:rsidP="000C6220">
      <w:pPr>
        <w:pStyle w:val="recommendationheader"/>
        <w:spacing w:line="240" w:lineRule="auto"/>
        <w:ind w:left="1560" w:hanging="851"/>
        <w:jc w:val="left"/>
        <w:rPr>
          <w:szCs w:val="22"/>
          <w:lang w:val="fr-CA"/>
        </w:rPr>
      </w:pPr>
      <w:bookmarkStart w:id="11" w:name="_Toc256210"/>
      <w:r w:rsidRPr="00852E3F">
        <w:rPr>
          <w:szCs w:val="22"/>
          <w:lang w:val="fr-CA"/>
        </w:rPr>
        <w:lastRenderedPageBreak/>
        <w:t>3/10.</w:t>
      </w:r>
      <w:r w:rsidRPr="00852E3F">
        <w:rPr>
          <w:szCs w:val="22"/>
          <w:lang w:val="fr-CA"/>
        </w:rPr>
        <w:tab/>
      </w:r>
      <w:bookmarkEnd w:id="11"/>
      <w:r w:rsidR="006E168F">
        <w:rPr>
          <w:kern w:val="22"/>
          <w:lang w:val="fr-CA"/>
        </w:rPr>
        <w:t>E</w:t>
      </w:r>
      <w:r w:rsidR="006E168F" w:rsidRPr="00AC6628">
        <w:rPr>
          <w:kern w:val="22"/>
          <w:lang w:val="fr-CA"/>
        </w:rPr>
        <w:t>xamen de l'expérience de la tenue d</w:t>
      </w:r>
      <w:r w:rsidR="006E168F">
        <w:rPr>
          <w:kern w:val="22"/>
          <w:lang w:val="fr-CA"/>
        </w:rPr>
        <w:t>e réunions concomitantes de la Conférence des Parties à la Convention, de la Conférence des P</w:t>
      </w:r>
      <w:r w:rsidR="006E168F" w:rsidRPr="00AC6628">
        <w:rPr>
          <w:kern w:val="22"/>
          <w:lang w:val="fr-CA"/>
        </w:rPr>
        <w:t>arties si</w:t>
      </w:r>
      <w:r w:rsidR="006E168F">
        <w:rPr>
          <w:kern w:val="22"/>
          <w:lang w:val="fr-CA"/>
        </w:rPr>
        <w:t>égeant en tant que réunion des Parties au Protocole de C</w:t>
      </w:r>
      <w:r w:rsidR="006E168F" w:rsidRPr="00AC6628">
        <w:rPr>
          <w:kern w:val="22"/>
          <w:lang w:val="fr-CA"/>
        </w:rPr>
        <w:t xml:space="preserve">artagena et de la </w:t>
      </w:r>
      <w:r w:rsidR="006E168F">
        <w:rPr>
          <w:kern w:val="22"/>
          <w:lang w:val="fr-CA"/>
        </w:rPr>
        <w:t>Conférence des P</w:t>
      </w:r>
      <w:r w:rsidR="006E168F" w:rsidRPr="00AC6628">
        <w:rPr>
          <w:kern w:val="22"/>
          <w:lang w:val="fr-CA"/>
        </w:rPr>
        <w:t>arties si</w:t>
      </w:r>
      <w:r w:rsidR="006E168F">
        <w:rPr>
          <w:kern w:val="22"/>
          <w:lang w:val="fr-CA"/>
        </w:rPr>
        <w:t>égeant en tant que réunion des Parties au Protocole de N</w:t>
      </w:r>
      <w:r w:rsidR="006E168F" w:rsidRPr="00AC6628">
        <w:rPr>
          <w:kern w:val="22"/>
          <w:lang w:val="fr-CA"/>
        </w:rPr>
        <w:t>agoya</w:t>
      </w:r>
    </w:p>
    <w:p w14:paraId="6C6ED927" w14:textId="77777777" w:rsidR="006E168F" w:rsidRPr="000A7DBA" w:rsidRDefault="006E168F" w:rsidP="006E168F">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i/>
          <w:kern w:val="22"/>
          <w:szCs w:val="22"/>
          <w:lang w:val="fr-CA"/>
        </w:rPr>
      </w:pPr>
      <w:r w:rsidRPr="000A7DBA">
        <w:rPr>
          <w:i/>
          <w:kern w:val="22"/>
          <w:szCs w:val="22"/>
          <w:lang w:val="fr-CA"/>
        </w:rPr>
        <w:t>La Conférence des Parties siégeant en tant que réunion des Parties au Protocole de Nagoya sur l'accès et le partage des avantages,</w:t>
      </w:r>
    </w:p>
    <w:p w14:paraId="738D9A43" w14:textId="77777777" w:rsidR="006E168F" w:rsidRPr="000A7DBA" w:rsidRDefault="006E168F" w:rsidP="006E168F">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kern w:val="22"/>
          <w:szCs w:val="22"/>
          <w:lang w:val="fr-CA"/>
        </w:rPr>
      </w:pPr>
      <w:r w:rsidRPr="000A7DBA">
        <w:rPr>
          <w:i/>
          <w:iCs/>
          <w:kern w:val="22"/>
          <w:szCs w:val="22"/>
          <w:lang w:val="fr-CA"/>
        </w:rPr>
        <w:t>Rappelant</w:t>
      </w:r>
      <w:r w:rsidRPr="000A7DBA">
        <w:rPr>
          <w:kern w:val="22"/>
          <w:szCs w:val="22"/>
          <w:lang w:val="fr-CA"/>
        </w:rPr>
        <w:t xml:space="preserve"> les décisions </w:t>
      </w:r>
      <w:hyperlink r:id="rId17" w:history="1">
        <w:r w:rsidRPr="000A7DBA">
          <w:rPr>
            <w:color w:val="0000FF"/>
            <w:kern w:val="22"/>
            <w:szCs w:val="22"/>
            <w:u w:val="single"/>
            <w:lang w:val="fr-CA"/>
          </w:rPr>
          <w:t>NP-1/12</w:t>
        </w:r>
      </w:hyperlink>
      <w:r>
        <w:rPr>
          <w:kern w:val="22"/>
          <w:szCs w:val="22"/>
          <w:lang w:val="fr-CA"/>
        </w:rPr>
        <w:t xml:space="preserve"> </w:t>
      </w:r>
      <w:r w:rsidRPr="000A7DBA">
        <w:rPr>
          <w:kern w:val="22"/>
          <w:szCs w:val="22"/>
          <w:lang w:val="fr-CA"/>
        </w:rPr>
        <w:t xml:space="preserve">et </w:t>
      </w:r>
      <w:hyperlink r:id="rId18" w:history="1">
        <w:r w:rsidRPr="000A7DBA">
          <w:rPr>
            <w:color w:val="0000FF"/>
            <w:kern w:val="22"/>
            <w:szCs w:val="22"/>
            <w:u w:val="single"/>
            <w:lang w:val="fr-CA"/>
          </w:rPr>
          <w:t>NP-2/12</w:t>
        </w:r>
      </w:hyperlink>
      <w:r w:rsidRPr="000A7DBA">
        <w:rPr>
          <w:kern w:val="22"/>
          <w:szCs w:val="22"/>
          <w:lang w:val="fr-CA"/>
        </w:rPr>
        <w:t>,</w:t>
      </w:r>
    </w:p>
    <w:p w14:paraId="1A63E82A" w14:textId="77777777" w:rsidR="006E168F" w:rsidRPr="000A7DBA" w:rsidRDefault="006E168F" w:rsidP="006E168F">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kern w:val="22"/>
          <w:szCs w:val="22"/>
          <w:lang w:val="fr-CA"/>
        </w:rPr>
      </w:pPr>
      <w:r w:rsidRPr="000A7DBA">
        <w:rPr>
          <w:i/>
          <w:iCs/>
          <w:kern w:val="22"/>
          <w:szCs w:val="22"/>
          <w:lang w:val="fr-CA"/>
        </w:rPr>
        <w:t>Ayant examiné</w:t>
      </w:r>
      <w:r w:rsidRPr="000A7DBA">
        <w:rPr>
          <w:kern w:val="22"/>
          <w:szCs w:val="22"/>
          <w:lang w:val="fr-CA"/>
        </w:rPr>
        <w:t xml:space="preserve"> l’expérience de la tenue de réunions concomitantes de la Conférence des Parties à la Convention, la Conférence des Parties siégeant en tant que réunion des Parties au Protocole de Cartagena et la Conférence des Parties siégeant en tant que réunion des Parties au Protocole de Nagoya, en utilisant les critères établis dans l</w:t>
      </w:r>
      <w:r>
        <w:rPr>
          <w:kern w:val="22"/>
          <w:szCs w:val="22"/>
          <w:lang w:val="fr-CA"/>
        </w:rPr>
        <w:t>a</w:t>
      </w:r>
      <w:r w:rsidRPr="000A7DBA">
        <w:rPr>
          <w:kern w:val="22"/>
          <w:szCs w:val="22"/>
          <w:lang w:val="fr-CA"/>
        </w:rPr>
        <w:t xml:space="preserve"> décision NP-2/12, et </w:t>
      </w:r>
      <w:r w:rsidRPr="000A7DBA">
        <w:rPr>
          <w:i/>
          <w:iCs/>
          <w:kern w:val="22"/>
          <w:szCs w:val="22"/>
          <w:lang w:val="fr-CA"/>
        </w:rPr>
        <w:t>tenant compte</w:t>
      </w:r>
      <w:r w:rsidRPr="000A7DBA">
        <w:rPr>
          <w:kern w:val="22"/>
          <w:szCs w:val="22"/>
          <w:lang w:val="fr-CA"/>
        </w:rPr>
        <w:t xml:space="preserve"> des points de vue des Parties, des observateurs et des participants à la treizième réunion de la Conférence des Parties, la huitième réunion de la Conférence des Parties siégeant en tant que réunion des Parties au Protocole de Cartagena et la deuxième réunion de la Conférence des Parties siégeant en tant que réunion des Parties au Protocole de Nagoya, et par le biais d’enquêtes effectuées après les réunions,</w:t>
      </w:r>
    </w:p>
    <w:p w14:paraId="05CE556C" w14:textId="77777777" w:rsidR="006E168F" w:rsidRPr="000A7DBA" w:rsidRDefault="006E168F" w:rsidP="006E168F">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kern w:val="22"/>
          <w:szCs w:val="22"/>
          <w:lang w:val="fr-CA"/>
        </w:rPr>
      </w:pPr>
      <w:r w:rsidRPr="000A7DBA">
        <w:rPr>
          <w:i/>
          <w:iCs/>
          <w:kern w:val="22"/>
          <w:szCs w:val="22"/>
          <w:lang w:val="fr-CA"/>
        </w:rPr>
        <w:t>Sachant</w:t>
      </w:r>
      <w:r w:rsidRPr="000A7DBA">
        <w:rPr>
          <w:kern w:val="22"/>
          <w:szCs w:val="22"/>
          <w:lang w:val="fr-CA"/>
        </w:rPr>
        <w:t xml:space="preserve"> qu’un autre examen sera effectué à la quinzième réunion de la Conférence des Parties à la Convention, la dixième réunion de la Conférence des Parties siégeant en tant que réunion des Parties au Protocole de Cartagena et la quatrième réunion de la Conférence des Parties siégeant en tant que réunion des Parties au Protocole de Nagoya,</w:t>
      </w:r>
    </w:p>
    <w:p w14:paraId="57AFD29F" w14:textId="77777777" w:rsidR="006E168F" w:rsidRPr="000A7DBA" w:rsidRDefault="006E168F" w:rsidP="006E168F">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kern w:val="22"/>
          <w:szCs w:val="22"/>
          <w:lang w:val="fr-CA"/>
        </w:rPr>
      </w:pPr>
      <w:r w:rsidRPr="000A7DBA">
        <w:rPr>
          <w:kern w:val="22"/>
          <w:szCs w:val="22"/>
          <w:lang w:val="fr-CA"/>
        </w:rPr>
        <w:t>1.</w:t>
      </w:r>
      <w:r w:rsidRPr="000A7DBA">
        <w:rPr>
          <w:kern w:val="22"/>
          <w:szCs w:val="22"/>
          <w:lang w:val="fr-CA"/>
        </w:rPr>
        <w:tab/>
      </w:r>
      <w:r w:rsidRPr="000A7DBA">
        <w:rPr>
          <w:i/>
          <w:kern w:val="22"/>
          <w:szCs w:val="22"/>
          <w:lang w:val="fr-CA"/>
        </w:rPr>
        <w:t>Constate avec satisfaction</w:t>
      </w:r>
      <w:r w:rsidRPr="000A7DBA">
        <w:rPr>
          <w:kern w:val="22"/>
          <w:szCs w:val="22"/>
          <w:lang w:val="fr-CA"/>
        </w:rPr>
        <w:t xml:space="preserve"> que les réunions concomitantes ont permis une intégration accrue de la Convention et de ses protocoles ainsi qu’une amélioration des consultations, de la coordination et des synergies parmi les correspondants nationaux respectifs </w:t>
      </w:r>
      <w:r w:rsidRPr="002B7819">
        <w:rPr>
          <w:kern w:val="22"/>
          <w:szCs w:val="22"/>
          <w:lang w:val="fr-CA"/>
        </w:rPr>
        <w:t>;</w:t>
      </w:r>
    </w:p>
    <w:p w14:paraId="0F2FF50E" w14:textId="77777777" w:rsidR="006E168F" w:rsidRPr="002B7819" w:rsidRDefault="006E168F" w:rsidP="006E168F">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kern w:val="22"/>
          <w:szCs w:val="22"/>
          <w:lang w:val="fr-CA"/>
        </w:rPr>
      </w:pPr>
      <w:r w:rsidRPr="000A7DBA">
        <w:rPr>
          <w:kern w:val="22"/>
          <w:szCs w:val="22"/>
          <w:lang w:val="fr-CA"/>
        </w:rPr>
        <w:t>2.</w:t>
      </w:r>
      <w:r w:rsidRPr="000A7DBA">
        <w:rPr>
          <w:kern w:val="22"/>
          <w:szCs w:val="22"/>
          <w:lang w:val="fr-CA"/>
        </w:rPr>
        <w:tab/>
      </w:r>
      <w:r w:rsidRPr="000A7DBA">
        <w:rPr>
          <w:i/>
          <w:kern w:val="22"/>
          <w:szCs w:val="22"/>
          <w:lang w:val="fr-CA"/>
        </w:rPr>
        <w:t>Note</w:t>
      </w:r>
      <w:r w:rsidRPr="000A7DBA">
        <w:rPr>
          <w:kern w:val="22"/>
          <w:szCs w:val="22"/>
          <w:lang w:val="fr-CA"/>
        </w:rPr>
        <w:t xml:space="preserve"> que la plupart des critères ont été considérés comme ayant été remplis ou partiellement remplis et que des améliorations supplémentaires du fonctionnement des réunions concomitantes sont souhaitables, notamment en ce qui concerne les résultats et l’efficacité des réunions des Parties aux protocoles </w:t>
      </w:r>
      <w:r w:rsidRPr="002B7819">
        <w:rPr>
          <w:kern w:val="22"/>
          <w:szCs w:val="22"/>
          <w:lang w:val="fr-CA"/>
        </w:rPr>
        <w:t>;</w:t>
      </w:r>
    </w:p>
    <w:p w14:paraId="3DD8E504" w14:textId="77777777" w:rsidR="006E168F" w:rsidRDefault="006E168F" w:rsidP="006E168F">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kern w:val="22"/>
          <w:szCs w:val="22"/>
          <w:lang w:val="fr-CA"/>
        </w:rPr>
      </w:pPr>
      <w:r w:rsidRPr="000A7DBA">
        <w:rPr>
          <w:kern w:val="22"/>
          <w:szCs w:val="22"/>
          <w:lang w:val="fr-CA"/>
        </w:rPr>
        <w:t>3.</w:t>
      </w:r>
      <w:r w:rsidRPr="000A7DBA">
        <w:rPr>
          <w:kern w:val="22"/>
          <w:szCs w:val="22"/>
          <w:lang w:val="fr-CA"/>
        </w:rPr>
        <w:tab/>
      </w:r>
      <w:r w:rsidRPr="000A7DBA">
        <w:rPr>
          <w:i/>
          <w:kern w:val="22"/>
          <w:szCs w:val="22"/>
          <w:lang w:val="fr-CA"/>
        </w:rPr>
        <w:t>Réitère</w:t>
      </w:r>
      <w:r w:rsidRPr="000A7DBA">
        <w:rPr>
          <w:kern w:val="22"/>
          <w:szCs w:val="22"/>
          <w:lang w:val="fr-CA"/>
        </w:rPr>
        <w:t xml:space="preserve"> l’importance d’assurer la participation pleine et effective des représentants des Parties qui sont des pays en développement, en particulier les pays les moins avancés et les petits États insulaires, ainsi que les pays à économie en transition, aux réunions concomitantes, et </w:t>
      </w:r>
      <w:r w:rsidRPr="000A7DBA">
        <w:rPr>
          <w:i/>
          <w:kern w:val="22"/>
          <w:szCs w:val="22"/>
          <w:lang w:val="fr-CA"/>
        </w:rPr>
        <w:t>souligne</w:t>
      </w:r>
      <w:r w:rsidRPr="000A7DBA">
        <w:rPr>
          <w:kern w:val="22"/>
          <w:szCs w:val="22"/>
          <w:lang w:val="fr-CA"/>
        </w:rPr>
        <w:t>, à cet égard, l’importance, en particulier, d’assurer une participation adéquate des représentants aux réunions des protocoles en fournissant des fonds à cette participation, y compris à des réunions intersessions </w:t>
      </w:r>
      <w:r w:rsidRPr="002B7819">
        <w:rPr>
          <w:kern w:val="22"/>
          <w:szCs w:val="22"/>
          <w:lang w:val="fr-CA"/>
        </w:rPr>
        <w:t>;</w:t>
      </w:r>
    </w:p>
    <w:p w14:paraId="44D69681" w14:textId="77777777" w:rsidR="006E168F" w:rsidRPr="000A7DBA" w:rsidRDefault="006E168F" w:rsidP="006E168F">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kern w:val="22"/>
          <w:szCs w:val="22"/>
          <w:lang w:val="fr-CA"/>
        </w:rPr>
      </w:pPr>
      <w:r>
        <w:rPr>
          <w:kern w:val="22"/>
          <w:szCs w:val="22"/>
          <w:lang w:val="fr-CA"/>
        </w:rPr>
        <w:t>4.</w:t>
      </w:r>
      <w:r>
        <w:rPr>
          <w:kern w:val="22"/>
          <w:szCs w:val="22"/>
          <w:lang w:val="fr-CA"/>
        </w:rPr>
        <w:tab/>
      </w:r>
      <w:r w:rsidRPr="00513C8A">
        <w:rPr>
          <w:i/>
          <w:kern w:val="22"/>
          <w:lang w:val="fr-FR"/>
        </w:rPr>
        <w:t>Prie</w:t>
      </w:r>
      <w:r>
        <w:rPr>
          <w:kern w:val="22"/>
          <w:lang w:val="fr-FR"/>
        </w:rPr>
        <w:t> la Secrétaire exécutive d’élaborer davantage l’examen préliminaire de l’expérience de réunions concomitantes en appliquant les critères énoncés dans la décision 2/12, en se fondant sur l’expérience acquise lors de la quatorzième réunion de la Conférence des Parties, la neuvième réunion de la Conférence des Parties siégeant en tant que réunion des Parties au Protocole de Cartagena et la troisième réunion de la Conférence des Parties siégeant en tant que réunion des Parties au Protocole de Nagoya, pour examen par l’Organe subsidiaire chargé de l’application pour examen à sa troisième réunion ;</w:t>
      </w:r>
    </w:p>
    <w:p w14:paraId="3F4A6FA7" w14:textId="7758BAB6" w:rsidR="00127617" w:rsidRPr="006E168F" w:rsidRDefault="006E168F" w:rsidP="006E168F">
      <w:pPr>
        <w:suppressLineNumbers/>
        <w:shd w:val="clear" w:color="auto" w:fill="FFFFFF"/>
        <w:suppressAutoHyphens/>
        <w:kinsoku w:val="0"/>
        <w:overflowPunct w:val="0"/>
        <w:autoSpaceDE w:val="0"/>
        <w:autoSpaceDN w:val="0"/>
        <w:adjustRightInd w:val="0"/>
        <w:snapToGrid w:val="0"/>
        <w:spacing w:before="120" w:line="240" w:lineRule="auto"/>
        <w:ind w:firstLine="720"/>
        <w:rPr>
          <w:kern w:val="22"/>
          <w:lang w:val="fr-CA"/>
        </w:rPr>
      </w:pPr>
      <w:r>
        <w:rPr>
          <w:kern w:val="22"/>
          <w:szCs w:val="22"/>
          <w:lang w:val="fr-CA"/>
        </w:rPr>
        <w:t>5</w:t>
      </w:r>
      <w:r w:rsidRPr="000A7DBA">
        <w:rPr>
          <w:kern w:val="22"/>
          <w:szCs w:val="22"/>
          <w:lang w:val="fr-CA"/>
        </w:rPr>
        <w:t>.</w:t>
      </w:r>
      <w:r w:rsidRPr="000A7DBA">
        <w:rPr>
          <w:kern w:val="22"/>
          <w:szCs w:val="22"/>
          <w:lang w:val="fr-CA"/>
        </w:rPr>
        <w:tab/>
      </w:r>
      <w:r w:rsidRPr="000A7DBA">
        <w:rPr>
          <w:i/>
          <w:kern w:val="22"/>
          <w:szCs w:val="22"/>
          <w:lang w:val="fr-CA"/>
        </w:rPr>
        <w:t>Demande</w:t>
      </w:r>
      <w:r w:rsidRPr="000A7DBA">
        <w:rPr>
          <w:kern w:val="22"/>
          <w:szCs w:val="22"/>
          <w:lang w:val="fr-CA"/>
        </w:rPr>
        <w:t xml:space="preserve"> au Bureau et à la Secrétaire exécutive, lors de la mise au point finale de l’organisation des travaux proposée pour la quinzième réunion de la Conférence des Parties à la Convention, la dixième réunion de la Conférence des Parties siégeant en tant que réunion des Parties au Protocole de Cartagena et la quatrième réunion de la Conférence des Parties siégeant en tant que réunion des Parties au Protocole de Nagoya, de prendre en compte la présente décision</w:t>
      </w:r>
      <w:r>
        <w:rPr>
          <w:kern w:val="22"/>
          <w:szCs w:val="22"/>
          <w:lang w:val="fr-CA"/>
        </w:rPr>
        <w:t xml:space="preserve">, </w:t>
      </w:r>
      <w:r w:rsidRPr="000A7DBA">
        <w:rPr>
          <w:kern w:val="22"/>
          <w:szCs w:val="22"/>
          <w:lang w:val="fr-CA"/>
        </w:rPr>
        <w:t>les i</w:t>
      </w:r>
      <w:r>
        <w:rPr>
          <w:kern w:val="22"/>
          <w:szCs w:val="22"/>
          <w:lang w:val="fr-CA"/>
        </w:rPr>
        <w:t>nformations qui figurent dans les</w:t>
      </w:r>
      <w:r w:rsidRPr="000A7DBA">
        <w:rPr>
          <w:kern w:val="22"/>
          <w:szCs w:val="22"/>
          <w:lang w:val="fr-CA"/>
        </w:rPr>
        <w:t xml:space="preserve"> note</w:t>
      </w:r>
      <w:r>
        <w:rPr>
          <w:kern w:val="22"/>
          <w:szCs w:val="22"/>
          <w:lang w:val="fr-CA"/>
        </w:rPr>
        <w:t>s</w:t>
      </w:r>
      <w:r w:rsidRPr="000A7DBA">
        <w:rPr>
          <w:kern w:val="22"/>
          <w:szCs w:val="22"/>
          <w:lang w:val="fr-CA"/>
        </w:rPr>
        <w:t xml:space="preserve"> de la Secrétaire exécutive</w:t>
      </w:r>
      <w:r w:rsidRPr="000307F5">
        <w:rPr>
          <w:rStyle w:val="Appelnotedebasdep"/>
          <w:rFonts w:eastAsiaTheme="majorEastAsia"/>
          <w:kern w:val="22"/>
          <w:szCs w:val="22"/>
          <w:u w:val="none"/>
          <w:vertAlign w:val="superscript"/>
        </w:rPr>
        <w:footnoteReference w:id="23"/>
      </w:r>
      <w:r>
        <w:rPr>
          <w:kern w:val="22"/>
          <w:szCs w:val="22"/>
          <w:lang w:val="fr-CA"/>
        </w:rPr>
        <w:t xml:space="preserve">, </w:t>
      </w:r>
      <w:r>
        <w:rPr>
          <w:kern w:val="22"/>
          <w:lang w:val="fr-FR"/>
        </w:rPr>
        <w:t>ainsi que l’expérience acquise lors de la quatorzième réunion de la Conférence des Parties, la neuvième réunion de la Conférence des Parties siégeant en tant que réunion des Parties au Protocole de Cartagena et la troisième réunion de la Conférence des Parties siégeant en tant que réunion des Parties au Protocole de Nagoya</w:t>
      </w:r>
      <w:r w:rsidR="00127617" w:rsidRPr="006E168F">
        <w:rPr>
          <w:kern w:val="22"/>
          <w:szCs w:val="22"/>
          <w:lang w:val="fr-CA"/>
        </w:rPr>
        <w:t>.</w:t>
      </w:r>
    </w:p>
    <w:p w14:paraId="4CA11E6A" w14:textId="77777777" w:rsidR="00127617" w:rsidRPr="006E168F" w:rsidRDefault="00127617" w:rsidP="000C6220">
      <w:pPr>
        <w:spacing w:before="120" w:line="240" w:lineRule="auto"/>
        <w:jc w:val="left"/>
        <w:rPr>
          <w:rFonts w:ascii="Times New Roman Bold" w:hAnsi="Times New Roman Bold" w:cs="Times New Roman Bold" w:hint="eastAsia"/>
          <w:b/>
          <w:bCs/>
          <w:caps/>
          <w:snapToGrid w:val="0"/>
          <w:kern w:val="22"/>
          <w:szCs w:val="22"/>
          <w:lang w:val="fr-CA"/>
        </w:rPr>
      </w:pPr>
      <w:r w:rsidRPr="006E168F">
        <w:rPr>
          <w:lang w:val="fr-CA"/>
        </w:rPr>
        <w:br w:type="page"/>
      </w:r>
    </w:p>
    <w:p w14:paraId="0EEA0EC5" w14:textId="75B164A9" w:rsidR="00C01027" w:rsidRPr="000307F5" w:rsidRDefault="00C01027" w:rsidP="000C6220">
      <w:pPr>
        <w:pStyle w:val="recommendationheader"/>
        <w:spacing w:line="240" w:lineRule="auto"/>
        <w:rPr>
          <w:lang w:val="fr-CA"/>
        </w:rPr>
      </w:pPr>
      <w:bookmarkStart w:id="12" w:name="_Toc256211"/>
      <w:r w:rsidRPr="00852E3F">
        <w:rPr>
          <w:lang w:val="fr-CA"/>
        </w:rPr>
        <w:lastRenderedPageBreak/>
        <w:t>3/11.</w:t>
      </w:r>
      <w:r w:rsidRPr="00852E3F">
        <w:rPr>
          <w:lang w:val="fr-CA"/>
        </w:rPr>
        <w:tab/>
      </w:r>
      <w:bookmarkEnd w:id="12"/>
      <w:r w:rsidR="000307F5">
        <w:rPr>
          <w:caps/>
          <w:kern w:val="22"/>
          <w:szCs w:val="22"/>
          <w:lang w:val="fr-FR"/>
        </w:rPr>
        <w:t>P</w:t>
      </w:r>
      <w:r w:rsidR="000307F5">
        <w:rPr>
          <w:kern w:val="22"/>
          <w:szCs w:val="22"/>
          <w:lang w:val="fr-FR"/>
        </w:rPr>
        <w:t>rocédure relative à</w:t>
      </w:r>
      <w:r w:rsidR="000307F5" w:rsidRPr="005D1CE5">
        <w:rPr>
          <w:kern w:val="22"/>
          <w:szCs w:val="22"/>
          <w:lang w:val="fr-FR"/>
        </w:rPr>
        <w:t xml:space="preserve"> la prévention et </w:t>
      </w:r>
      <w:r w:rsidR="000307F5">
        <w:rPr>
          <w:kern w:val="22"/>
          <w:szCs w:val="22"/>
          <w:lang w:val="fr-FR"/>
        </w:rPr>
        <w:t>à</w:t>
      </w:r>
      <w:r w:rsidR="000307F5" w:rsidRPr="005D1CE5">
        <w:rPr>
          <w:kern w:val="22"/>
          <w:szCs w:val="22"/>
          <w:lang w:val="fr-FR"/>
        </w:rPr>
        <w:t xml:space="preserve"> </w:t>
      </w:r>
      <w:r w:rsidR="000307F5">
        <w:rPr>
          <w:kern w:val="22"/>
          <w:szCs w:val="22"/>
          <w:lang w:val="fr-FR"/>
        </w:rPr>
        <w:t>la gestion des conflits d’intérêts</w:t>
      </w:r>
      <w:r w:rsidR="000307F5" w:rsidRPr="005D1CE5">
        <w:rPr>
          <w:kern w:val="22"/>
          <w:szCs w:val="22"/>
          <w:lang w:val="fr-FR"/>
        </w:rPr>
        <w:t xml:space="preserve"> au sein des groupes d’experts</w:t>
      </w:r>
    </w:p>
    <w:p w14:paraId="2EB1C7B9" w14:textId="77777777" w:rsidR="000307F5" w:rsidRPr="00581912" w:rsidRDefault="000307F5" w:rsidP="000307F5">
      <w:pPr>
        <w:pStyle w:val="Paragraphedeliste"/>
        <w:keepNext/>
        <w:spacing w:before="120" w:line="240" w:lineRule="auto"/>
        <w:ind w:left="0" w:firstLine="709"/>
        <w:contextualSpacing w:val="0"/>
        <w:rPr>
          <w:kern w:val="22"/>
          <w:szCs w:val="22"/>
          <w:lang w:val="fr-FR"/>
        </w:rPr>
      </w:pPr>
      <w:r w:rsidRPr="00581912">
        <w:rPr>
          <w:i/>
          <w:kern w:val="22"/>
          <w:szCs w:val="22"/>
          <w:lang w:val="fr-FR"/>
        </w:rPr>
        <w:t>La Conférence des Parties siégeant en tant que Réunion des Parties au Protocole de Nagoya</w:t>
      </w:r>
      <w:r>
        <w:rPr>
          <w:i/>
          <w:kern w:val="22"/>
          <w:szCs w:val="22"/>
          <w:lang w:val="fr-FR"/>
        </w:rPr>
        <w:t xml:space="preserve"> sur l’accès et le partage des avantages</w:t>
      </w:r>
      <w:r w:rsidRPr="00581912">
        <w:rPr>
          <w:i/>
          <w:kern w:val="22"/>
          <w:szCs w:val="22"/>
          <w:lang w:val="fr-FR"/>
        </w:rPr>
        <w:t>,</w:t>
      </w:r>
    </w:p>
    <w:p w14:paraId="7547D4AD" w14:textId="77777777" w:rsidR="000307F5" w:rsidRPr="00581912" w:rsidRDefault="000307F5" w:rsidP="000307F5">
      <w:pPr>
        <w:pStyle w:val="Paragraphedeliste"/>
        <w:spacing w:before="120" w:line="240" w:lineRule="auto"/>
        <w:ind w:left="0" w:firstLine="720"/>
        <w:contextualSpacing w:val="0"/>
        <w:rPr>
          <w:kern w:val="22"/>
          <w:szCs w:val="22"/>
          <w:lang w:val="fr-FR"/>
        </w:rPr>
      </w:pPr>
      <w:r w:rsidRPr="00581912">
        <w:rPr>
          <w:i/>
          <w:kern w:val="22"/>
          <w:szCs w:val="22"/>
          <w:lang w:val="fr-FR"/>
        </w:rPr>
        <w:t xml:space="preserve">Reconnaissant </w:t>
      </w:r>
      <w:r w:rsidRPr="00581912">
        <w:rPr>
          <w:kern w:val="22"/>
          <w:szCs w:val="22"/>
          <w:lang w:val="fr-FR"/>
        </w:rPr>
        <w:t>qu’il importe au plus haut point que les décisions soient prises en s’appuyant sur les meilleurs avis d’experts disponibles,</w:t>
      </w:r>
    </w:p>
    <w:p w14:paraId="5FB6F432" w14:textId="77777777" w:rsidR="000307F5" w:rsidRPr="00581912" w:rsidRDefault="000307F5" w:rsidP="000307F5">
      <w:pPr>
        <w:suppressLineNumbers/>
        <w:suppressAutoHyphens/>
        <w:kinsoku w:val="0"/>
        <w:overflowPunct w:val="0"/>
        <w:autoSpaceDE w:val="0"/>
        <w:autoSpaceDN w:val="0"/>
        <w:adjustRightInd w:val="0"/>
        <w:snapToGrid w:val="0"/>
        <w:spacing w:before="120" w:line="240" w:lineRule="auto"/>
        <w:ind w:firstLine="720"/>
        <w:rPr>
          <w:kern w:val="22"/>
          <w:szCs w:val="22"/>
          <w:lang w:val="fr-FR" w:eastAsia="en-CA"/>
        </w:rPr>
      </w:pPr>
      <w:r w:rsidRPr="00581912">
        <w:rPr>
          <w:i/>
          <w:kern w:val="22"/>
          <w:szCs w:val="22"/>
          <w:lang w:val="fr-FR"/>
        </w:rPr>
        <w:t>Reconnaissant également</w:t>
      </w:r>
      <w:r w:rsidRPr="00581912">
        <w:rPr>
          <w:kern w:val="22"/>
          <w:szCs w:val="22"/>
          <w:lang w:val="fr-FR"/>
        </w:rPr>
        <w:t xml:space="preserve"> la nécessité d’éviter ou de gérer, de manière transparente, les conflits d’intérêts au sein des groupes d’experts constitués de temps à autre</w:t>
      </w:r>
      <w:r>
        <w:rPr>
          <w:kern w:val="22"/>
          <w:szCs w:val="22"/>
          <w:lang w:val="fr-FR"/>
        </w:rPr>
        <w:t>s</w:t>
      </w:r>
      <w:r w:rsidRPr="00581912">
        <w:rPr>
          <w:kern w:val="22"/>
          <w:szCs w:val="22"/>
          <w:lang w:val="fr-FR"/>
        </w:rPr>
        <w:t xml:space="preserve"> pour formuler des recommandations,</w:t>
      </w:r>
    </w:p>
    <w:p w14:paraId="08C30C0B" w14:textId="77777777" w:rsidR="000307F5" w:rsidRPr="00581912" w:rsidRDefault="000307F5" w:rsidP="000307F5">
      <w:pPr>
        <w:pStyle w:val="Paragraphedeliste"/>
        <w:spacing w:before="120" w:line="240" w:lineRule="auto"/>
        <w:ind w:left="0" w:firstLine="720"/>
        <w:contextualSpacing w:val="0"/>
        <w:rPr>
          <w:kern w:val="22"/>
          <w:szCs w:val="22"/>
          <w:lang w:val="fr-FR"/>
        </w:rPr>
      </w:pPr>
      <w:r w:rsidRPr="00581912">
        <w:rPr>
          <w:kern w:val="22"/>
          <w:szCs w:val="22"/>
          <w:lang w:val="fr-FR" w:eastAsia="en-CA"/>
        </w:rPr>
        <w:t>1.</w:t>
      </w:r>
      <w:r w:rsidRPr="00581912">
        <w:rPr>
          <w:kern w:val="22"/>
          <w:szCs w:val="22"/>
          <w:lang w:val="fr-FR" w:eastAsia="en-CA"/>
        </w:rPr>
        <w:tab/>
      </w:r>
      <w:r w:rsidRPr="00581912">
        <w:rPr>
          <w:i/>
          <w:kern w:val="22"/>
          <w:szCs w:val="22"/>
          <w:lang w:val="fr-FR"/>
        </w:rPr>
        <w:t>Approuve</w:t>
      </w:r>
      <w:r w:rsidRPr="00581912">
        <w:rPr>
          <w:kern w:val="22"/>
          <w:szCs w:val="22"/>
          <w:lang w:val="fr-FR"/>
        </w:rPr>
        <w:t xml:space="preserve"> la procédure </w:t>
      </w:r>
      <w:r w:rsidRPr="00581912">
        <w:rPr>
          <w:kern w:val="22"/>
          <w:szCs w:val="22"/>
          <w:lang w:val="fr-FR" w:eastAsia="de-AT"/>
        </w:rPr>
        <w:t xml:space="preserve">relative à la prévention et à la gestion des conflits d’intérêts au sein des groupes d’experts </w:t>
      </w:r>
      <w:r w:rsidRPr="00581912">
        <w:rPr>
          <w:kern w:val="22"/>
          <w:szCs w:val="22"/>
          <w:lang w:val="fr-FR"/>
        </w:rPr>
        <w:t xml:space="preserve">qui figure à l’annexe de la décision </w:t>
      </w:r>
      <w:r>
        <w:rPr>
          <w:rFonts w:eastAsia="MS Mincho" w:cs="Angsana New"/>
          <w:color w:val="000000" w:themeColor="text1"/>
          <w:kern w:val="22"/>
          <w:lang w:val="fr-FR"/>
        </w:rPr>
        <w:t>14/33 de la Conférence des Parties à la Convention</w:t>
      </w:r>
      <w:r w:rsidRPr="00581912">
        <w:rPr>
          <w:rFonts w:eastAsia="MS Mincho" w:cs="Angsana New"/>
          <w:color w:val="000000" w:themeColor="text1"/>
          <w:kern w:val="22"/>
          <w:lang w:val="fr-FR"/>
        </w:rPr>
        <w:t>;</w:t>
      </w:r>
    </w:p>
    <w:p w14:paraId="3DB1A85C" w14:textId="77777777" w:rsidR="000307F5" w:rsidRPr="00581912" w:rsidRDefault="000307F5" w:rsidP="000307F5">
      <w:pPr>
        <w:suppressLineNumbers/>
        <w:suppressAutoHyphens/>
        <w:kinsoku w:val="0"/>
        <w:overflowPunct w:val="0"/>
        <w:autoSpaceDE w:val="0"/>
        <w:autoSpaceDN w:val="0"/>
        <w:adjustRightInd w:val="0"/>
        <w:snapToGrid w:val="0"/>
        <w:spacing w:before="120" w:line="240" w:lineRule="auto"/>
        <w:ind w:firstLine="720"/>
        <w:rPr>
          <w:kern w:val="22"/>
          <w:szCs w:val="22"/>
          <w:lang w:val="fr-FR"/>
        </w:rPr>
      </w:pPr>
      <w:r w:rsidRPr="00581912">
        <w:rPr>
          <w:kern w:val="22"/>
          <w:szCs w:val="22"/>
          <w:lang w:val="fr-FR"/>
        </w:rPr>
        <w:t>2.</w:t>
      </w:r>
      <w:r w:rsidRPr="00581912">
        <w:rPr>
          <w:kern w:val="22"/>
          <w:szCs w:val="22"/>
          <w:lang w:val="fr-FR"/>
        </w:rPr>
        <w:tab/>
      </w:r>
      <w:r w:rsidRPr="00581912">
        <w:rPr>
          <w:i/>
          <w:iCs/>
          <w:kern w:val="22"/>
          <w:szCs w:val="22"/>
          <w:lang w:val="fr-FR"/>
        </w:rPr>
        <w:t>Prie</w:t>
      </w:r>
      <w:r w:rsidRPr="00581912">
        <w:rPr>
          <w:kern w:val="22"/>
          <w:szCs w:val="22"/>
          <w:lang w:val="fr-FR"/>
        </w:rPr>
        <w:t xml:space="preserve"> la Secrétaire exécutive de veiller à </w:t>
      </w:r>
      <w:r w:rsidRPr="00581912">
        <w:rPr>
          <w:kern w:val="22"/>
          <w:szCs w:val="22"/>
          <w:lang w:val="fr-FR" w:eastAsia="de-AT"/>
        </w:rPr>
        <w:t xml:space="preserve">l’application, </w:t>
      </w:r>
      <w:r w:rsidRPr="00EC6482">
        <w:rPr>
          <w:kern w:val="22"/>
          <w:szCs w:val="22"/>
          <w:lang w:val="fr-FR" w:eastAsia="de-AT"/>
        </w:rPr>
        <w:t>avec les adaptations nécessaires</w:t>
      </w:r>
      <w:r w:rsidRPr="00581912">
        <w:rPr>
          <w:kern w:val="22"/>
          <w:szCs w:val="22"/>
          <w:lang w:val="fr-FR" w:eastAsia="de-AT"/>
        </w:rPr>
        <w:t xml:space="preserve">, dans le cadre des travaux des groupes d’experts techniques menés au titre du Protocole de </w:t>
      </w:r>
      <w:r>
        <w:rPr>
          <w:kern w:val="22"/>
          <w:szCs w:val="22"/>
          <w:lang w:val="fr-FR" w:eastAsia="de-AT"/>
        </w:rPr>
        <w:t>Nagoya</w:t>
      </w:r>
      <w:r w:rsidRPr="00581912">
        <w:rPr>
          <w:kern w:val="22"/>
          <w:szCs w:val="22"/>
          <w:lang w:val="fr-FR" w:eastAsia="de-AT"/>
        </w:rPr>
        <w:t>, de la procédure relative à la prévention et à la gestion des conflits d’intérêts au sein des groupes d’experts, en consultation avec le Bureau de l’Organe subsidiaire chargé de fournir des avis scientifiques, techniques et technologique</w:t>
      </w:r>
      <w:r>
        <w:rPr>
          <w:kern w:val="22"/>
          <w:szCs w:val="22"/>
          <w:lang w:val="fr-FR" w:eastAsia="de-AT"/>
        </w:rPr>
        <w:t>s</w:t>
      </w:r>
      <w:r w:rsidRPr="00581912">
        <w:rPr>
          <w:kern w:val="22"/>
          <w:szCs w:val="22"/>
          <w:lang w:val="fr-FR" w:eastAsia="de-AT"/>
        </w:rPr>
        <w:t xml:space="preserve"> ou le Bureau de la Conférence des Parties lorsque celui-ci fait fonction de Bureau de la Conférence des Parties siégeant en tant que réunion des Parties au Protocole de Nagoya, selon qu’il convient;</w:t>
      </w:r>
    </w:p>
    <w:p w14:paraId="6394AB42" w14:textId="77777777" w:rsidR="000307F5" w:rsidRPr="00581912" w:rsidRDefault="000307F5" w:rsidP="000307F5">
      <w:pPr>
        <w:pStyle w:val="Listepuces"/>
        <w:spacing w:line="240" w:lineRule="auto"/>
        <w:ind w:firstLine="720"/>
        <w:rPr>
          <w:kern w:val="22"/>
          <w:lang w:val="fr-FR"/>
        </w:rPr>
      </w:pPr>
      <w:r w:rsidRPr="00581912">
        <w:rPr>
          <w:kern w:val="22"/>
          <w:lang w:val="fr-FR"/>
        </w:rPr>
        <w:t>3.</w:t>
      </w:r>
      <w:r w:rsidRPr="00581912">
        <w:rPr>
          <w:kern w:val="22"/>
          <w:lang w:val="fr-FR"/>
        </w:rPr>
        <w:tab/>
      </w:r>
      <w:r w:rsidRPr="00581912">
        <w:rPr>
          <w:i/>
          <w:iCs/>
          <w:kern w:val="22"/>
          <w:lang w:val="fr-FR"/>
        </w:rPr>
        <w:t>Prie également</w:t>
      </w:r>
      <w:r w:rsidRPr="00581912">
        <w:rPr>
          <w:kern w:val="22"/>
          <w:lang w:val="fr-FR"/>
        </w:rPr>
        <w:t xml:space="preserve"> la Secrétaire exécutive de préparer un rapport sur : a) l’application de la procédure, et b) les évolutions pertinentes en matière de prévention ou de gestion de conflits d’intérêts dans le cadre d’autres accords multilatéraux, initiatives ou organisations intergouvernementales de protection de l’environnement et, s’il y a lieu, de proposer des mises à jour et des modifications de la procédure actuelle, aux fins d’examen par l’Organe subsidiaire chargé de l’application lors d’une réunion qui se tiendra avant la </w:t>
      </w:r>
      <w:r>
        <w:rPr>
          <w:kern w:val="22"/>
          <w:lang w:val="fr-FR"/>
        </w:rPr>
        <w:t>cinquième</w:t>
      </w:r>
      <w:r w:rsidRPr="00581912">
        <w:rPr>
          <w:kern w:val="22"/>
          <w:lang w:val="fr-FR"/>
        </w:rPr>
        <w:t xml:space="preserve"> réunion de la Conférence des Parties</w:t>
      </w:r>
      <w:r>
        <w:rPr>
          <w:kern w:val="22"/>
          <w:lang w:val="fr-FR"/>
        </w:rPr>
        <w:t xml:space="preserve"> siégeant en tant que réunion des Parties au Protocole de Nagoya</w:t>
      </w:r>
      <w:r w:rsidRPr="00581912">
        <w:rPr>
          <w:kern w:val="22"/>
          <w:lang w:val="fr-FR"/>
        </w:rPr>
        <w:t>;</w:t>
      </w:r>
    </w:p>
    <w:p w14:paraId="2DEED004" w14:textId="688F5D08" w:rsidR="00C01027" w:rsidRPr="000307F5" w:rsidRDefault="000307F5" w:rsidP="000307F5">
      <w:pPr>
        <w:pStyle w:val="Listepuces"/>
        <w:spacing w:line="240" w:lineRule="auto"/>
        <w:rPr>
          <w:lang w:val="fr-CA"/>
        </w:rPr>
      </w:pPr>
      <w:r w:rsidRPr="00581912">
        <w:rPr>
          <w:kern w:val="22"/>
          <w:lang w:val="fr-FR"/>
        </w:rPr>
        <w:t>4.</w:t>
      </w:r>
      <w:r w:rsidRPr="00581912">
        <w:rPr>
          <w:kern w:val="22"/>
          <w:lang w:val="fr-FR"/>
        </w:rPr>
        <w:tab/>
      </w:r>
      <w:r w:rsidRPr="00581912">
        <w:rPr>
          <w:i/>
          <w:iCs/>
          <w:kern w:val="22"/>
          <w:lang w:val="fr-FR"/>
        </w:rPr>
        <w:t xml:space="preserve">Prie </w:t>
      </w:r>
      <w:r w:rsidRPr="00581912">
        <w:rPr>
          <w:kern w:val="22"/>
          <w:lang w:val="fr-FR"/>
        </w:rPr>
        <w:t>l’Organe subsidiaire chargé de l’application d’examiner le rapport dont il est question au paragraphe 3 ci</w:t>
      </w:r>
      <w:r w:rsidRPr="00581912">
        <w:rPr>
          <w:kern w:val="22"/>
          <w:lang w:val="fr-FR"/>
        </w:rPr>
        <w:noBreakHyphen/>
        <w:t>dessus et de soumettre des recommandations, selon qu’il convient, pour examen par la Conférence des Parties</w:t>
      </w:r>
      <w:r>
        <w:rPr>
          <w:kern w:val="22"/>
          <w:lang w:val="fr-FR"/>
        </w:rPr>
        <w:t xml:space="preserve"> siégeant en tant que réunion des Parties au Protocole de Nagoya, à sa cinquième réunion</w:t>
      </w:r>
      <w:r w:rsidR="00C01027" w:rsidRPr="000307F5">
        <w:rPr>
          <w:lang w:val="fr-CA"/>
        </w:rPr>
        <w:t>.</w:t>
      </w:r>
    </w:p>
    <w:p w14:paraId="6DBDE035" w14:textId="77777777" w:rsidR="00C01027" w:rsidRPr="000307F5" w:rsidRDefault="00C01027" w:rsidP="000C6220">
      <w:pPr>
        <w:spacing w:before="120" w:line="240" w:lineRule="auto"/>
        <w:jc w:val="left"/>
        <w:rPr>
          <w:rFonts w:ascii="Times New Roman Bold" w:hAnsi="Times New Roman Bold" w:cs="Times New Roman Bold" w:hint="eastAsia"/>
          <w:b/>
          <w:bCs/>
          <w:caps/>
          <w:snapToGrid w:val="0"/>
          <w:kern w:val="22"/>
          <w:szCs w:val="22"/>
          <w:lang w:val="fr-CA"/>
        </w:rPr>
      </w:pPr>
      <w:r w:rsidRPr="000307F5">
        <w:rPr>
          <w:lang w:val="fr-CA"/>
        </w:rPr>
        <w:br w:type="page"/>
      </w:r>
    </w:p>
    <w:p w14:paraId="21B5F637" w14:textId="7E321C64" w:rsidR="00682B7B" w:rsidRPr="000307F5" w:rsidRDefault="00682B7B" w:rsidP="000C6220">
      <w:pPr>
        <w:pStyle w:val="recommendationheader"/>
        <w:spacing w:line="240" w:lineRule="auto"/>
        <w:rPr>
          <w:lang w:val="fr-CA"/>
        </w:rPr>
      </w:pPr>
      <w:bookmarkStart w:id="13" w:name="_Toc256212"/>
      <w:r w:rsidRPr="00852E3F">
        <w:rPr>
          <w:lang w:val="fr-CA"/>
        </w:rPr>
        <w:lastRenderedPageBreak/>
        <w:t>3/12.</w:t>
      </w:r>
      <w:r w:rsidRPr="00852E3F">
        <w:rPr>
          <w:lang w:val="fr-CA"/>
        </w:rPr>
        <w:tab/>
      </w:r>
      <w:bookmarkEnd w:id="13"/>
      <w:r w:rsidR="000307F5">
        <w:rPr>
          <w:lang w:val="fr-FR"/>
        </w:rPr>
        <w:t>I</w:t>
      </w:r>
      <w:r w:rsidR="000307F5" w:rsidRPr="004A7F4A">
        <w:rPr>
          <w:lang w:val="fr-FR"/>
        </w:rPr>
        <w:t>nformation de séquençage numérique sur les ressources génétiques</w:t>
      </w:r>
    </w:p>
    <w:p w14:paraId="5A5C388E" w14:textId="77777777" w:rsidR="000307F5" w:rsidRPr="00823798" w:rsidRDefault="000307F5" w:rsidP="000307F5">
      <w:pPr>
        <w:pStyle w:val="Paragraphedeliste"/>
        <w:suppressLineNumbers/>
        <w:suppressAutoHyphens/>
        <w:kinsoku w:val="0"/>
        <w:overflowPunct w:val="0"/>
        <w:autoSpaceDE w:val="0"/>
        <w:autoSpaceDN w:val="0"/>
        <w:adjustRightInd w:val="0"/>
        <w:snapToGrid w:val="0"/>
        <w:spacing w:before="120" w:line="240" w:lineRule="auto"/>
        <w:ind w:left="0" w:firstLine="720"/>
        <w:contextualSpacing w:val="0"/>
        <w:rPr>
          <w:i/>
          <w:kern w:val="22"/>
          <w:szCs w:val="22"/>
          <w:lang w:val="fr-FR"/>
        </w:rPr>
      </w:pPr>
      <w:r w:rsidRPr="00823798">
        <w:rPr>
          <w:i/>
          <w:kern w:val="22"/>
          <w:szCs w:val="22"/>
          <w:lang w:val="fr-FR"/>
        </w:rPr>
        <w:t>La Conférence des Parties siégeant en tant que réunion des Parties au Protocole de Nagoya</w:t>
      </w:r>
      <w:r>
        <w:rPr>
          <w:i/>
          <w:kern w:val="22"/>
          <w:szCs w:val="22"/>
          <w:lang w:val="fr-FR"/>
        </w:rPr>
        <w:t xml:space="preserve"> sur l’accès et le partage des avantages</w:t>
      </w:r>
      <w:r w:rsidRPr="00823798">
        <w:rPr>
          <w:i/>
          <w:kern w:val="22"/>
          <w:szCs w:val="22"/>
          <w:lang w:val="fr-FR"/>
        </w:rPr>
        <w:t>,</w:t>
      </w:r>
    </w:p>
    <w:p w14:paraId="1EF2838B" w14:textId="77777777" w:rsidR="000307F5" w:rsidRDefault="000307F5" w:rsidP="000307F5">
      <w:pPr>
        <w:pStyle w:val="Paragraphedeliste"/>
        <w:suppressLineNumbers/>
        <w:suppressAutoHyphens/>
        <w:kinsoku w:val="0"/>
        <w:overflowPunct w:val="0"/>
        <w:autoSpaceDE w:val="0"/>
        <w:autoSpaceDN w:val="0"/>
        <w:adjustRightInd w:val="0"/>
        <w:snapToGrid w:val="0"/>
        <w:spacing w:before="120" w:line="240" w:lineRule="auto"/>
        <w:ind w:left="0" w:firstLine="720"/>
        <w:contextualSpacing w:val="0"/>
        <w:rPr>
          <w:kern w:val="22"/>
          <w:szCs w:val="22"/>
          <w:lang w:val="fr-FR"/>
        </w:rPr>
      </w:pPr>
      <w:r>
        <w:rPr>
          <w:i/>
          <w:kern w:val="22"/>
          <w:szCs w:val="22"/>
          <w:lang w:val="fr-FR"/>
        </w:rPr>
        <w:t xml:space="preserve">Gardant </w:t>
      </w:r>
      <w:r w:rsidRPr="00823798">
        <w:rPr>
          <w:i/>
          <w:kern w:val="22"/>
          <w:szCs w:val="22"/>
          <w:lang w:val="fr-FR"/>
        </w:rPr>
        <w:t>à l’esprit</w:t>
      </w:r>
      <w:r w:rsidRPr="00823798">
        <w:rPr>
          <w:kern w:val="22"/>
          <w:szCs w:val="22"/>
          <w:lang w:val="fr-FR"/>
        </w:rPr>
        <w:t xml:space="preserve"> l’objectif du Protocole de Nagoya,</w:t>
      </w:r>
    </w:p>
    <w:p w14:paraId="58AD2ACF" w14:textId="77777777" w:rsidR="000307F5" w:rsidRPr="000224E5" w:rsidRDefault="000307F5" w:rsidP="000307F5">
      <w:pPr>
        <w:pStyle w:val="Paragraphedeliste"/>
        <w:suppressLineNumbers/>
        <w:suppressAutoHyphens/>
        <w:kinsoku w:val="0"/>
        <w:overflowPunct w:val="0"/>
        <w:autoSpaceDE w:val="0"/>
        <w:autoSpaceDN w:val="0"/>
        <w:adjustRightInd w:val="0"/>
        <w:snapToGrid w:val="0"/>
        <w:spacing w:before="120" w:line="240" w:lineRule="auto"/>
        <w:ind w:left="0" w:firstLine="720"/>
        <w:contextualSpacing w:val="0"/>
        <w:rPr>
          <w:kern w:val="22"/>
          <w:szCs w:val="22"/>
          <w:lang w:val="fr-FR"/>
        </w:rPr>
      </w:pPr>
      <w:r w:rsidRPr="00913B82">
        <w:rPr>
          <w:i/>
          <w:kern w:val="22"/>
          <w:szCs w:val="22"/>
          <w:lang w:val="fr-FR"/>
        </w:rPr>
        <w:t>Rappelant</w:t>
      </w:r>
      <w:r w:rsidRPr="00913B82">
        <w:rPr>
          <w:kern w:val="22"/>
          <w:szCs w:val="22"/>
          <w:lang w:val="fr-FR"/>
        </w:rPr>
        <w:t xml:space="preserve"> les articles 5.1, 8, 20, 22 et 23 du Protocole de Nagoya,</w:t>
      </w:r>
    </w:p>
    <w:p w14:paraId="065033B3" w14:textId="77777777" w:rsidR="000307F5" w:rsidRDefault="000307F5" w:rsidP="00171128">
      <w:pPr>
        <w:pStyle w:val="Paragraphedeliste"/>
        <w:numPr>
          <w:ilvl w:val="0"/>
          <w:numId w:val="83"/>
        </w:numPr>
        <w:suppressLineNumbers/>
        <w:suppressAutoHyphens/>
        <w:kinsoku w:val="0"/>
        <w:overflowPunct w:val="0"/>
        <w:autoSpaceDE w:val="0"/>
        <w:autoSpaceDN w:val="0"/>
        <w:adjustRightInd w:val="0"/>
        <w:snapToGrid w:val="0"/>
        <w:spacing w:after="0" w:line="240" w:lineRule="auto"/>
        <w:ind w:left="0" w:firstLine="720"/>
        <w:rPr>
          <w:kern w:val="22"/>
          <w:szCs w:val="22"/>
          <w:lang w:val="fr-FR"/>
        </w:rPr>
      </w:pPr>
      <w:r w:rsidRPr="00252267">
        <w:rPr>
          <w:i/>
          <w:kern w:val="22"/>
          <w:szCs w:val="22"/>
          <w:lang w:val="fr-FR"/>
        </w:rPr>
        <w:t>Se réjouit</w:t>
      </w:r>
      <w:r w:rsidRPr="00252267">
        <w:rPr>
          <w:kern w:val="22"/>
          <w:szCs w:val="22"/>
          <w:lang w:val="fr-FR"/>
        </w:rPr>
        <w:t xml:space="preserve"> </w:t>
      </w:r>
      <w:r>
        <w:rPr>
          <w:kern w:val="22"/>
          <w:szCs w:val="22"/>
          <w:lang w:val="fr-FR"/>
        </w:rPr>
        <w:t>des</w:t>
      </w:r>
      <w:r w:rsidRPr="00252267">
        <w:rPr>
          <w:kern w:val="22"/>
          <w:szCs w:val="22"/>
          <w:lang w:val="fr-FR"/>
        </w:rPr>
        <w:t xml:space="preserve"> décision</w:t>
      </w:r>
      <w:r>
        <w:rPr>
          <w:kern w:val="22"/>
          <w:szCs w:val="22"/>
          <w:lang w:val="fr-FR"/>
        </w:rPr>
        <w:t>s</w:t>
      </w:r>
      <w:r w:rsidRPr="00252267">
        <w:rPr>
          <w:kern w:val="22"/>
          <w:szCs w:val="22"/>
          <w:lang w:val="fr-FR"/>
        </w:rPr>
        <w:t xml:space="preserve"> 14/34 et 14/20 de la Conférence des Parties à la Convention ;</w:t>
      </w:r>
    </w:p>
    <w:p w14:paraId="4DDC0E1A" w14:textId="77777777" w:rsidR="000307F5" w:rsidRPr="00252267" w:rsidRDefault="000307F5" w:rsidP="00171128">
      <w:pPr>
        <w:pStyle w:val="Paragraphedeliste"/>
        <w:suppressLineNumbers/>
        <w:suppressAutoHyphens/>
        <w:kinsoku w:val="0"/>
        <w:overflowPunct w:val="0"/>
        <w:autoSpaceDE w:val="0"/>
        <w:autoSpaceDN w:val="0"/>
        <w:adjustRightInd w:val="0"/>
        <w:snapToGrid w:val="0"/>
        <w:spacing w:after="0" w:line="240" w:lineRule="auto"/>
        <w:rPr>
          <w:kern w:val="22"/>
          <w:szCs w:val="22"/>
          <w:lang w:val="fr-FR"/>
        </w:rPr>
      </w:pPr>
    </w:p>
    <w:p w14:paraId="0E15DE81" w14:textId="77777777" w:rsidR="000307F5" w:rsidRDefault="000307F5" w:rsidP="00171128">
      <w:pPr>
        <w:pStyle w:val="Paragraphedeliste"/>
        <w:numPr>
          <w:ilvl w:val="0"/>
          <w:numId w:val="83"/>
        </w:numPr>
        <w:suppressLineNumbers/>
        <w:suppressAutoHyphens/>
        <w:kinsoku w:val="0"/>
        <w:overflowPunct w:val="0"/>
        <w:autoSpaceDE w:val="0"/>
        <w:autoSpaceDN w:val="0"/>
        <w:adjustRightInd w:val="0"/>
        <w:snapToGrid w:val="0"/>
        <w:spacing w:after="0" w:line="240" w:lineRule="auto"/>
        <w:ind w:left="0" w:firstLine="720"/>
        <w:rPr>
          <w:kern w:val="22"/>
          <w:szCs w:val="22"/>
          <w:lang w:val="fr-FR"/>
        </w:rPr>
      </w:pPr>
      <w:r>
        <w:rPr>
          <w:i/>
          <w:kern w:val="22"/>
          <w:szCs w:val="22"/>
          <w:lang w:val="fr-FR"/>
        </w:rPr>
        <w:t>Est conscient</w:t>
      </w:r>
      <w:r>
        <w:rPr>
          <w:kern w:val="22"/>
          <w:szCs w:val="22"/>
          <w:lang w:val="fr-FR"/>
        </w:rPr>
        <w:t xml:space="preserve"> que le Groupe de travail intersessions à composition non limitée sur le Cadre mondial de la biodiversité pour l’après-2020 examinera les conclusions des échanges du Groupe spécial d’experts techniques dont il est question au paragraphe 11 de la décision 14/20 de la Conférence des Parties</w:t>
      </w:r>
      <w:r w:rsidRPr="00252267">
        <w:rPr>
          <w:kern w:val="22"/>
          <w:szCs w:val="22"/>
          <w:lang w:val="fr-FR"/>
        </w:rPr>
        <w:t>;</w:t>
      </w:r>
    </w:p>
    <w:p w14:paraId="7805B348" w14:textId="77777777" w:rsidR="000307F5" w:rsidRPr="00252267" w:rsidRDefault="000307F5" w:rsidP="00171128">
      <w:pPr>
        <w:pStyle w:val="Paragraphedeliste"/>
        <w:spacing w:after="0" w:line="240" w:lineRule="auto"/>
        <w:rPr>
          <w:i/>
          <w:kern w:val="22"/>
          <w:szCs w:val="22"/>
          <w:lang w:val="fr-FR"/>
        </w:rPr>
      </w:pPr>
    </w:p>
    <w:p w14:paraId="4CD44D00" w14:textId="2DA9B7DD" w:rsidR="00682B7B" w:rsidRPr="00171128" w:rsidRDefault="000307F5" w:rsidP="00171128">
      <w:pPr>
        <w:pStyle w:val="Paragraphedeliste"/>
        <w:numPr>
          <w:ilvl w:val="0"/>
          <w:numId w:val="83"/>
        </w:numPr>
        <w:suppressLineNumbers/>
        <w:suppressAutoHyphens/>
        <w:spacing w:after="0" w:line="240" w:lineRule="auto"/>
        <w:ind w:left="0" w:firstLine="720"/>
        <w:rPr>
          <w:kern w:val="22"/>
          <w:szCs w:val="22"/>
          <w:lang w:val="fr-CA"/>
        </w:rPr>
      </w:pPr>
      <w:r w:rsidRPr="00171128">
        <w:rPr>
          <w:i/>
          <w:kern w:val="22"/>
          <w:szCs w:val="22"/>
          <w:lang w:val="fr-FR"/>
        </w:rPr>
        <w:t>Prie</w:t>
      </w:r>
      <w:r w:rsidRPr="00171128">
        <w:rPr>
          <w:kern w:val="22"/>
          <w:szCs w:val="22"/>
          <w:lang w:val="fr-FR"/>
        </w:rPr>
        <w:t xml:space="preserve"> le Groupe de travail à composition non limitée de soumettre les conclusions de ses échanges pour examen par la Conférence des Parties siégeant en tant que Réunion des Parties au Protocole de Nagoya à sa quatrième réunion</w:t>
      </w:r>
      <w:r w:rsidR="00682B7B" w:rsidRPr="00171128">
        <w:rPr>
          <w:snapToGrid w:val="0"/>
          <w:kern w:val="22"/>
          <w:szCs w:val="22"/>
          <w:lang w:val="fr-CA"/>
        </w:rPr>
        <w:t>.</w:t>
      </w:r>
    </w:p>
    <w:p w14:paraId="4AEDC96E" w14:textId="77777777" w:rsidR="002D1A3A" w:rsidRPr="000307F5" w:rsidRDefault="002D1A3A" w:rsidP="000307F5">
      <w:pPr>
        <w:spacing w:before="120" w:line="240" w:lineRule="auto"/>
        <w:jc w:val="left"/>
        <w:rPr>
          <w:rFonts w:ascii="Times New Roman Bold" w:hAnsi="Times New Roman Bold" w:cs="Times New Roman Bold" w:hint="eastAsia"/>
          <w:b/>
          <w:bCs/>
          <w:caps/>
          <w:snapToGrid w:val="0"/>
          <w:kern w:val="22"/>
          <w:szCs w:val="22"/>
          <w:lang w:val="fr-CA"/>
        </w:rPr>
      </w:pPr>
      <w:r w:rsidRPr="000307F5">
        <w:rPr>
          <w:lang w:val="fr-CA"/>
        </w:rPr>
        <w:br w:type="page"/>
      </w:r>
    </w:p>
    <w:p w14:paraId="08403F66" w14:textId="084E183D" w:rsidR="00682B7B" w:rsidRPr="00171128" w:rsidRDefault="00682B7B" w:rsidP="000C6220">
      <w:pPr>
        <w:pStyle w:val="recommendationheader"/>
        <w:spacing w:line="240" w:lineRule="auto"/>
        <w:rPr>
          <w:lang w:val="fr-CA"/>
        </w:rPr>
      </w:pPr>
      <w:bookmarkStart w:id="14" w:name="_Toc256213"/>
      <w:r w:rsidRPr="00852E3F">
        <w:rPr>
          <w:lang w:val="fr-CA"/>
        </w:rPr>
        <w:lastRenderedPageBreak/>
        <w:t>3/13.</w:t>
      </w:r>
      <w:r w:rsidRPr="00852E3F">
        <w:rPr>
          <w:lang w:val="fr-CA"/>
        </w:rPr>
        <w:tab/>
      </w:r>
      <w:r w:rsidR="00171128">
        <w:rPr>
          <w:snapToGrid w:val="0"/>
          <w:lang w:val="fr-CA"/>
        </w:rPr>
        <w:t>M</w:t>
      </w:r>
      <w:r w:rsidR="00171128" w:rsidRPr="001D7101">
        <w:rPr>
          <w:snapToGrid w:val="0"/>
          <w:lang w:val="fr-CA"/>
        </w:rPr>
        <w:t xml:space="preserve">écanisme multilatéral mondial de partage des avantages (article </w:t>
      </w:r>
      <w:r w:rsidRPr="00171128">
        <w:rPr>
          <w:lang w:val="fr-CA"/>
        </w:rPr>
        <w:t>10)</w:t>
      </w:r>
      <w:bookmarkEnd w:id="14"/>
    </w:p>
    <w:p w14:paraId="4FB334E2" w14:textId="77777777" w:rsidR="00171128" w:rsidRPr="003F0B0F" w:rsidRDefault="00171128" w:rsidP="00171128">
      <w:pPr>
        <w:kinsoku w:val="0"/>
        <w:overflowPunct w:val="0"/>
        <w:autoSpaceDE w:val="0"/>
        <w:autoSpaceDN w:val="0"/>
        <w:spacing w:before="120" w:line="240" w:lineRule="auto"/>
        <w:ind w:firstLine="720"/>
        <w:rPr>
          <w:i/>
          <w:spacing w:val="-1"/>
          <w:kern w:val="22"/>
          <w:lang w:val="fr-CA"/>
        </w:rPr>
      </w:pPr>
      <w:r w:rsidRPr="003F0B0F">
        <w:rPr>
          <w:i/>
          <w:spacing w:val="-1"/>
          <w:kern w:val="22"/>
          <w:lang w:val="fr-CA"/>
        </w:rPr>
        <w:t>La Conférence des Parties siégeant en tant que réunion des Parties au Protocole de Nagoya</w:t>
      </w:r>
      <w:r>
        <w:rPr>
          <w:i/>
          <w:spacing w:val="-1"/>
          <w:kern w:val="22"/>
          <w:lang w:val="fr-CA"/>
        </w:rPr>
        <w:t xml:space="preserve"> sur l’accès et le partage des avantages</w:t>
      </w:r>
      <w:r w:rsidRPr="003F0B0F">
        <w:rPr>
          <w:i/>
          <w:spacing w:val="-1"/>
          <w:kern w:val="22"/>
          <w:lang w:val="fr-CA"/>
        </w:rPr>
        <w:t>,</w:t>
      </w:r>
    </w:p>
    <w:p w14:paraId="2900A023" w14:textId="77777777" w:rsidR="00171128" w:rsidRPr="003F0B0F" w:rsidRDefault="00171128" w:rsidP="00171128">
      <w:pPr>
        <w:kinsoku w:val="0"/>
        <w:overflowPunct w:val="0"/>
        <w:autoSpaceDE w:val="0"/>
        <w:autoSpaceDN w:val="0"/>
        <w:spacing w:before="120" w:line="240" w:lineRule="auto"/>
        <w:ind w:firstLine="720"/>
        <w:rPr>
          <w:kern w:val="22"/>
          <w:lang w:val="fr-CA"/>
        </w:rPr>
      </w:pPr>
      <w:r w:rsidRPr="00071717">
        <w:rPr>
          <w:i/>
          <w:kern w:val="22"/>
          <w:lang w:val="fr-CA"/>
        </w:rPr>
        <w:t>Ayant présent à l</w:t>
      </w:r>
      <w:r>
        <w:rPr>
          <w:i/>
          <w:kern w:val="22"/>
          <w:lang w:val="fr-CA"/>
        </w:rPr>
        <w:t>’</w:t>
      </w:r>
      <w:r w:rsidRPr="00071717">
        <w:rPr>
          <w:i/>
          <w:kern w:val="22"/>
          <w:lang w:val="fr-CA"/>
        </w:rPr>
        <w:t>esprit</w:t>
      </w:r>
      <w:r w:rsidRPr="00071717">
        <w:rPr>
          <w:kern w:val="22"/>
          <w:lang w:val="fr-CA"/>
        </w:rPr>
        <w:t xml:space="preserve"> l</w:t>
      </w:r>
      <w:r>
        <w:rPr>
          <w:kern w:val="22"/>
          <w:lang w:val="fr-CA"/>
        </w:rPr>
        <w:t>’</w:t>
      </w:r>
      <w:r w:rsidRPr="00071717">
        <w:rPr>
          <w:kern w:val="22"/>
          <w:lang w:val="fr-CA"/>
        </w:rPr>
        <w:t>objectif du Protocole de Nagoya</w:t>
      </w:r>
      <w:r w:rsidRPr="003F0B0F">
        <w:rPr>
          <w:kern w:val="22"/>
          <w:lang w:val="fr-CA"/>
        </w:rPr>
        <w:t>,</w:t>
      </w:r>
    </w:p>
    <w:p w14:paraId="180C36FC" w14:textId="77777777" w:rsidR="00171128" w:rsidRPr="003F0B0F" w:rsidRDefault="00171128" w:rsidP="00171128">
      <w:pPr>
        <w:kinsoku w:val="0"/>
        <w:overflowPunct w:val="0"/>
        <w:autoSpaceDE w:val="0"/>
        <w:autoSpaceDN w:val="0"/>
        <w:spacing w:before="120" w:line="240" w:lineRule="auto"/>
        <w:ind w:firstLine="720"/>
        <w:rPr>
          <w:kern w:val="22"/>
          <w:lang w:val="fr-CA"/>
        </w:rPr>
      </w:pPr>
      <w:r w:rsidRPr="00071717">
        <w:rPr>
          <w:i/>
          <w:kern w:val="22"/>
          <w:lang w:val="fr-CA"/>
        </w:rPr>
        <w:t>Rappelant</w:t>
      </w:r>
      <w:r w:rsidRPr="00071717">
        <w:rPr>
          <w:kern w:val="22"/>
          <w:lang w:val="fr-CA"/>
        </w:rPr>
        <w:t xml:space="preserve"> le</w:t>
      </w:r>
      <w:r>
        <w:rPr>
          <w:kern w:val="22"/>
          <w:lang w:val="fr-CA"/>
        </w:rPr>
        <w:t>s</w:t>
      </w:r>
      <w:r w:rsidRPr="00071717">
        <w:rPr>
          <w:kern w:val="22"/>
          <w:lang w:val="fr-CA"/>
        </w:rPr>
        <w:t xml:space="preserve"> droit</w:t>
      </w:r>
      <w:r>
        <w:rPr>
          <w:kern w:val="22"/>
          <w:lang w:val="fr-CA"/>
        </w:rPr>
        <w:t>s</w:t>
      </w:r>
      <w:r w:rsidRPr="00071717">
        <w:rPr>
          <w:kern w:val="22"/>
          <w:lang w:val="fr-CA"/>
        </w:rPr>
        <w:t xml:space="preserve"> souverain</w:t>
      </w:r>
      <w:r>
        <w:rPr>
          <w:kern w:val="22"/>
          <w:lang w:val="fr-CA"/>
        </w:rPr>
        <w:t>s</w:t>
      </w:r>
      <w:r w:rsidRPr="00071717">
        <w:rPr>
          <w:kern w:val="22"/>
          <w:lang w:val="fr-CA"/>
        </w:rPr>
        <w:t xml:space="preserve"> des États sur leurs ressources génétiques</w:t>
      </w:r>
      <w:r w:rsidRPr="003F0B0F">
        <w:rPr>
          <w:kern w:val="22"/>
          <w:lang w:val="fr-CA"/>
        </w:rPr>
        <w:t>,</w:t>
      </w:r>
    </w:p>
    <w:p w14:paraId="27A613FA" w14:textId="77777777" w:rsidR="00171128" w:rsidRPr="003F0B0F" w:rsidRDefault="00171128" w:rsidP="00171128">
      <w:pPr>
        <w:kinsoku w:val="0"/>
        <w:overflowPunct w:val="0"/>
        <w:autoSpaceDE w:val="0"/>
        <w:autoSpaceDN w:val="0"/>
        <w:spacing w:before="120" w:line="240" w:lineRule="auto"/>
        <w:ind w:firstLine="720"/>
        <w:rPr>
          <w:kern w:val="22"/>
          <w:lang w:val="fr-CA"/>
        </w:rPr>
      </w:pPr>
      <w:r w:rsidRPr="00071717">
        <w:rPr>
          <w:i/>
          <w:kern w:val="22"/>
          <w:lang w:val="fr-CA"/>
        </w:rPr>
        <w:t>Rappelant également</w:t>
      </w:r>
      <w:r w:rsidRPr="00071717">
        <w:rPr>
          <w:kern w:val="22"/>
          <w:lang w:val="fr-CA"/>
        </w:rPr>
        <w:t xml:space="preserve"> l</w:t>
      </w:r>
      <w:r>
        <w:rPr>
          <w:kern w:val="22"/>
          <w:lang w:val="fr-CA"/>
        </w:rPr>
        <w:t>’</w:t>
      </w:r>
      <w:r w:rsidRPr="00071717">
        <w:rPr>
          <w:kern w:val="22"/>
          <w:lang w:val="fr-CA"/>
        </w:rPr>
        <w:t>article 10 du Protocole de Nagoya</w:t>
      </w:r>
      <w:r w:rsidRPr="003F0B0F">
        <w:rPr>
          <w:kern w:val="22"/>
          <w:lang w:val="fr-CA"/>
        </w:rPr>
        <w:t>,</w:t>
      </w:r>
    </w:p>
    <w:p w14:paraId="29591AAA" w14:textId="77777777" w:rsidR="00171128" w:rsidRPr="003F0B0F" w:rsidRDefault="00171128" w:rsidP="00171128">
      <w:pPr>
        <w:kinsoku w:val="0"/>
        <w:overflowPunct w:val="0"/>
        <w:autoSpaceDE w:val="0"/>
        <w:autoSpaceDN w:val="0"/>
        <w:spacing w:before="120" w:line="240" w:lineRule="auto"/>
        <w:ind w:firstLine="720"/>
        <w:rPr>
          <w:kern w:val="22"/>
          <w:szCs w:val="22"/>
          <w:lang w:val="fr-CA"/>
        </w:rPr>
      </w:pPr>
      <w:r w:rsidRPr="00071717">
        <w:rPr>
          <w:i/>
          <w:kern w:val="22"/>
          <w:lang w:val="fr-CA"/>
        </w:rPr>
        <w:t>Rappelant en outre</w:t>
      </w:r>
      <w:r w:rsidRPr="00071717">
        <w:rPr>
          <w:kern w:val="22"/>
          <w:lang w:val="fr-CA"/>
        </w:rPr>
        <w:t xml:space="preserve"> les articles</w:t>
      </w:r>
      <w:r>
        <w:rPr>
          <w:kern w:val="22"/>
          <w:lang w:val="fr-CA"/>
        </w:rPr>
        <w:t xml:space="preserve">9, </w:t>
      </w:r>
      <w:r w:rsidRPr="00071717">
        <w:rPr>
          <w:kern w:val="22"/>
          <w:lang w:val="fr-CA"/>
        </w:rPr>
        <w:t>11 et 22 du Protocole de Nagoya</w:t>
      </w:r>
      <w:r>
        <w:rPr>
          <w:kern w:val="22"/>
          <w:szCs w:val="22"/>
          <w:lang w:val="fr-CA"/>
        </w:rPr>
        <w:t>,</w:t>
      </w:r>
    </w:p>
    <w:p w14:paraId="5A60B21D" w14:textId="77777777" w:rsidR="00171128" w:rsidRPr="003F0B0F" w:rsidRDefault="00171128" w:rsidP="00171128">
      <w:pPr>
        <w:spacing w:before="120" w:line="240" w:lineRule="auto"/>
        <w:ind w:firstLine="720"/>
        <w:rPr>
          <w:szCs w:val="22"/>
          <w:lang w:val="fr-CA"/>
        </w:rPr>
      </w:pPr>
      <w:r>
        <w:rPr>
          <w:i/>
          <w:szCs w:val="22"/>
          <w:lang w:val="fr-CA"/>
        </w:rPr>
        <w:t xml:space="preserve">Rappelant </w:t>
      </w:r>
      <w:r>
        <w:rPr>
          <w:iCs/>
          <w:szCs w:val="22"/>
          <w:lang w:val="fr-CA"/>
        </w:rPr>
        <w:t>les décisions </w:t>
      </w:r>
      <w:r w:rsidRPr="003F0B0F">
        <w:rPr>
          <w:szCs w:val="22"/>
          <w:lang w:val="fr-CA"/>
        </w:rPr>
        <w:t xml:space="preserve">XI/1B, </w:t>
      </w:r>
      <w:r w:rsidRPr="003F0B0F">
        <w:rPr>
          <w:kern w:val="22"/>
          <w:szCs w:val="22"/>
          <w:lang w:val="fr-CA"/>
        </w:rPr>
        <w:t>NP</w:t>
      </w:r>
      <w:r>
        <w:rPr>
          <w:kern w:val="22"/>
          <w:szCs w:val="22"/>
          <w:lang w:val="fr-CA"/>
        </w:rPr>
        <w:noBreakHyphen/>
      </w:r>
      <w:r w:rsidRPr="003F0B0F">
        <w:rPr>
          <w:kern w:val="22"/>
          <w:szCs w:val="22"/>
          <w:lang w:val="fr-CA"/>
        </w:rPr>
        <w:t xml:space="preserve">1/10 </w:t>
      </w:r>
      <w:r>
        <w:rPr>
          <w:kern w:val="22"/>
          <w:szCs w:val="22"/>
          <w:lang w:val="fr-CA"/>
        </w:rPr>
        <w:t>et</w:t>
      </w:r>
      <w:r w:rsidRPr="003F0B0F">
        <w:rPr>
          <w:kern w:val="22"/>
          <w:szCs w:val="22"/>
          <w:lang w:val="fr-CA"/>
        </w:rPr>
        <w:t xml:space="preserve"> NP</w:t>
      </w:r>
      <w:r>
        <w:rPr>
          <w:kern w:val="22"/>
          <w:szCs w:val="22"/>
          <w:lang w:val="fr-CA"/>
        </w:rPr>
        <w:noBreakHyphen/>
      </w:r>
      <w:r w:rsidRPr="003F0B0F">
        <w:rPr>
          <w:kern w:val="22"/>
          <w:szCs w:val="22"/>
          <w:lang w:val="fr-CA"/>
        </w:rPr>
        <w:t>2/10</w:t>
      </w:r>
      <w:r>
        <w:rPr>
          <w:kern w:val="22"/>
          <w:szCs w:val="22"/>
          <w:lang w:val="fr-CA"/>
        </w:rPr>
        <w:t xml:space="preserve">, et </w:t>
      </w:r>
      <w:r>
        <w:rPr>
          <w:i/>
          <w:iCs/>
          <w:kern w:val="22"/>
          <w:szCs w:val="22"/>
          <w:lang w:val="fr-CA"/>
        </w:rPr>
        <w:t>s’appuyant</w:t>
      </w:r>
      <w:r>
        <w:rPr>
          <w:kern w:val="22"/>
          <w:szCs w:val="22"/>
          <w:lang w:val="fr-CA"/>
        </w:rPr>
        <w:t xml:space="preserve"> sur les travaux entrepris en application de ces décisions,</w:t>
      </w:r>
    </w:p>
    <w:p w14:paraId="4A9DF1E1" w14:textId="77777777" w:rsidR="00171128" w:rsidRPr="00616740" w:rsidRDefault="00171128" w:rsidP="00171128">
      <w:pPr>
        <w:spacing w:before="120" w:line="240" w:lineRule="auto"/>
        <w:ind w:firstLine="720"/>
        <w:rPr>
          <w:iCs/>
          <w:szCs w:val="22"/>
          <w:lang w:val="fr-CA"/>
        </w:rPr>
      </w:pPr>
      <w:r>
        <w:rPr>
          <w:i/>
          <w:szCs w:val="22"/>
          <w:lang w:val="fr-CA"/>
        </w:rPr>
        <w:t>Reconnaissant</w:t>
      </w:r>
      <w:r>
        <w:rPr>
          <w:iCs/>
          <w:szCs w:val="22"/>
          <w:lang w:val="fr-CA"/>
        </w:rPr>
        <w:t xml:space="preserve"> l’expérience acquise dans la mise en œuvre du Protocole de Nagoya depuis son entrée en vigueur tout en </w:t>
      </w:r>
      <w:r>
        <w:rPr>
          <w:i/>
          <w:szCs w:val="22"/>
          <w:lang w:val="fr-CA"/>
        </w:rPr>
        <w:t>convenant</w:t>
      </w:r>
      <w:r>
        <w:rPr>
          <w:iCs/>
          <w:szCs w:val="22"/>
          <w:lang w:val="fr-CA"/>
        </w:rPr>
        <w:t xml:space="preserve"> que de nombreuses Parties sont encore en train de mettre en place des mesures législatives, administratives et politiques et des dispositions institutionnelles relatives à l’accès aux ressources génétiques et au partage des avantages,</w:t>
      </w:r>
    </w:p>
    <w:p w14:paraId="28551B6F" w14:textId="77777777" w:rsidR="00171128" w:rsidRPr="003F0B0F" w:rsidRDefault="00171128" w:rsidP="00171128">
      <w:pPr>
        <w:kinsoku w:val="0"/>
        <w:overflowPunct w:val="0"/>
        <w:autoSpaceDE w:val="0"/>
        <w:autoSpaceDN w:val="0"/>
        <w:spacing w:before="120" w:line="240" w:lineRule="auto"/>
        <w:ind w:firstLine="720"/>
        <w:rPr>
          <w:kern w:val="22"/>
          <w:lang w:val="fr-CA"/>
        </w:rPr>
      </w:pPr>
      <w:r w:rsidRPr="00071717">
        <w:rPr>
          <w:i/>
          <w:kern w:val="22"/>
          <w:lang w:val="fr-CA"/>
        </w:rPr>
        <w:t xml:space="preserve">Reconnaissant </w:t>
      </w:r>
      <w:r>
        <w:rPr>
          <w:i/>
          <w:kern w:val="22"/>
          <w:lang w:val="fr-CA"/>
        </w:rPr>
        <w:t>en outre</w:t>
      </w:r>
      <w:r w:rsidRPr="00071717">
        <w:rPr>
          <w:kern w:val="22"/>
          <w:lang w:val="fr-CA"/>
        </w:rPr>
        <w:t xml:space="preserve"> le besoin continu de renforcement des capacités pour aider les Parties et les peuples autochtones et </w:t>
      </w:r>
      <w:r>
        <w:rPr>
          <w:kern w:val="22"/>
          <w:lang w:val="fr-CA"/>
        </w:rPr>
        <w:t xml:space="preserve">les </w:t>
      </w:r>
      <w:r w:rsidRPr="00071717">
        <w:rPr>
          <w:kern w:val="22"/>
          <w:lang w:val="fr-CA"/>
        </w:rPr>
        <w:t xml:space="preserve">communautés locales à élaborer et à appliquer des mesures législatives, administratives et </w:t>
      </w:r>
      <w:r>
        <w:rPr>
          <w:kern w:val="22"/>
          <w:lang w:val="fr-CA"/>
        </w:rPr>
        <w:t>politiques</w:t>
      </w:r>
      <w:r w:rsidRPr="00071717">
        <w:rPr>
          <w:kern w:val="22"/>
          <w:lang w:val="fr-CA"/>
        </w:rPr>
        <w:t xml:space="preserve"> sur l</w:t>
      </w:r>
      <w:r>
        <w:rPr>
          <w:kern w:val="22"/>
          <w:lang w:val="fr-CA"/>
        </w:rPr>
        <w:t>’</w:t>
      </w:r>
      <w:r w:rsidRPr="00071717">
        <w:rPr>
          <w:kern w:val="22"/>
          <w:lang w:val="fr-CA"/>
        </w:rPr>
        <w:t>accès et le partage des avantages</w:t>
      </w:r>
      <w:r>
        <w:rPr>
          <w:kern w:val="22"/>
          <w:lang w:val="fr-CA"/>
        </w:rPr>
        <w:t>,</w:t>
      </w:r>
    </w:p>
    <w:p w14:paraId="640A2ADE" w14:textId="77777777" w:rsidR="00171128" w:rsidRPr="003F0B0F" w:rsidRDefault="00171128" w:rsidP="00171128">
      <w:pPr>
        <w:kinsoku w:val="0"/>
        <w:overflowPunct w:val="0"/>
        <w:autoSpaceDE w:val="0"/>
        <w:autoSpaceDN w:val="0"/>
        <w:spacing w:before="120" w:line="240" w:lineRule="auto"/>
        <w:ind w:firstLine="720"/>
        <w:rPr>
          <w:kern w:val="22"/>
          <w:lang w:val="fr-CA"/>
        </w:rPr>
      </w:pPr>
      <w:r w:rsidRPr="003F0B0F">
        <w:rPr>
          <w:kern w:val="22"/>
          <w:lang w:val="fr-CA"/>
        </w:rPr>
        <w:t>1.</w:t>
      </w:r>
      <w:r w:rsidRPr="003F0B0F">
        <w:rPr>
          <w:kern w:val="22"/>
          <w:lang w:val="fr-CA"/>
        </w:rPr>
        <w:tab/>
      </w:r>
      <w:r w:rsidRPr="00071717">
        <w:rPr>
          <w:i/>
          <w:kern w:val="22"/>
          <w:lang w:val="fr-CA"/>
        </w:rPr>
        <w:t>Se félicite</w:t>
      </w:r>
      <w:r w:rsidRPr="00071717">
        <w:rPr>
          <w:kern w:val="22"/>
          <w:lang w:val="fr-CA"/>
        </w:rPr>
        <w:t xml:space="preserve"> des informations résumées par la Secrétaire exécutive, par le biais des rapports nationaux provisoires et du Centre d</w:t>
      </w:r>
      <w:r>
        <w:rPr>
          <w:kern w:val="22"/>
          <w:lang w:val="fr-CA"/>
        </w:rPr>
        <w:t>’</w:t>
      </w:r>
      <w:r w:rsidRPr="00071717">
        <w:rPr>
          <w:kern w:val="22"/>
          <w:lang w:val="fr-CA"/>
        </w:rPr>
        <w:t>échange sur l</w:t>
      </w:r>
      <w:r>
        <w:rPr>
          <w:kern w:val="22"/>
          <w:lang w:val="fr-CA"/>
        </w:rPr>
        <w:t>’</w:t>
      </w:r>
      <w:r w:rsidRPr="00071717">
        <w:rPr>
          <w:kern w:val="22"/>
          <w:lang w:val="fr-CA"/>
        </w:rPr>
        <w:t>accès et le partage des avantages, qui prése</w:t>
      </w:r>
      <w:r>
        <w:rPr>
          <w:kern w:val="22"/>
          <w:lang w:val="fr-CA"/>
        </w:rPr>
        <w:t>ntent un intérêt pour l’article </w:t>
      </w:r>
      <w:r w:rsidRPr="00071717">
        <w:rPr>
          <w:kern w:val="22"/>
          <w:lang w:val="fr-CA"/>
        </w:rPr>
        <w:t>10</w:t>
      </w:r>
      <w:r w:rsidRPr="003F0B0F">
        <w:rPr>
          <w:kern w:val="22"/>
          <w:lang w:val="fr-CA"/>
        </w:rPr>
        <w:t>;</w:t>
      </w:r>
    </w:p>
    <w:p w14:paraId="751B73AB" w14:textId="77777777" w:rsidR="00171128" w:rsidRPr="003F0B0F" w:rsidRDefault="00171128" w:rsidP="00171128">
      <w:pPr>
        <w:kinsoku w:val="0"/>
        <w:overflowPunct w:val="0"/>
        <w:autoSpaceDE w:val="0"/>
        <w:autoSpaceDN w:val="0"/>
        <w:spacing w:before="120" w:line="240" w:lineRule="auto"/>
        <w:ind w:firstLine="720"/>
        <w:rPr>
          <w:kern w:val="22"/>
          <w:lang w:val="fr-CA"/>
        </w:rPr>
      </w:pPr>
      <w:r w:rsidRPr="003F0B0F">
        <w:rPr>
          <w:kern w:val="22"/>
          <w:lang w:val="fr-CA"/>
        </w:rPr>
        <w:t>2.</w:t>
      </w:r>
      <w:r w:rsidRPr="003F0B0F">
        <w:rPr>
          <w:kern w:val="22"/>
          <w:lang w:val="fr-CA"/>
        </w:rPr>
        <w:tab/>
      </w:r>
      <w:r w:rsidRPr="00071717">
        <w:rPr>
          <w:i/>
          <w:kern w:val="22"/>
          <w:lang w:val="fr-CA"/>
        </w:rPr>
        <w:t>Prend note</w:t>
      </w:r>
      <w:r w:rsidRPr="00071717">
        <w:rPr>
          <w:kern w:val="22"/>
          <w:lang w:val="fr-CA"/>
        </w:rPr>
        <w:t xml:space="preserve"> des informations sur les récents développements dans les processus et organisations internationaux pertinents</w:t>
      </w:r>
      <w:r>
        <w:rPr>
          <w:kern w:val="22"/>
          <w:lang w:val="fr-CA"/>
        </w:rPr>
        <w:t>;</w:t>
      </w:r>
      <w:r w:rsidRPr="00171128">
        <w:rPr>
          <w:rStyle w:val="Appelnotedebasdep"/>
          <w:kern w:val="22"/>
          <w:u w:val="none"/>
          <w:lang w:val="fr-CA"/>
        </w:rPr>
        <w:t xml:space="preserve"> </w:t>
      </w:r>
      <w:r w:rsidRPr="00171128">
        <w:rPr>
          <w:rStyle w:val="Appelnotedebasdep"/>
          <w:kern w:val="22"/>
          <w:u w:val="none"/>
          <w:vertAlign w:val="superscript"/>
          <w:lang w:val="fr-CA"/>
        </w:rPr>
        <w:footnoteReference w:id="24"/>
      </w:r>
    </w:p>
    <w:p w14:paraId="39314BFA" w14:textId="77777777" w:rsidR="00171128" w:rsidRPr="003F0B0F" w:rsidRDefault="00171128" w:rsidP="00171128">
      <w:pPr>
        <w:kinsoku w:val="0"/>
        <w:overflowPunct w:val="0"/>
        <w:autoSpaceDE w:val="0"/>
        <w:autoSpaceDN w:val="0"/>
        <w:spacing w:before="120" w:line="240" w:lineRule="auto"/>
        <w:ind w:firstLine="720"/>
        <w:rPr>
          <w:kern w:val="22"/>
          <w:lang w:val="fr-CA"/>
        </w:rPr>
      </w:pPr>
      <w:r w:rsidRPr="003F0B0F">
        <w:rPr>
          <w:lang w:val="fr-CA"/>
        </w:rPr>
        <w:t>3.</w:t>
      </w:r>
      <w:r w:rsidRPr="003F0B0F">
        <w:rPr>
          <w:lang w:val="fr-CA"/>
        </w:rPr>
        <w:tab/>
      </w:r>
      <w:r>
        <w:rPr>
          <w:i/>
          <w:iCs/>
          <w:lang w:val="fr-CA"/>
        </w:rPr>
        <w:t xml:space="preserve">Estime </w:t>
      </w:r>
      <w:r>
        <w:rPr>
          <w:lang w:val="fr-CA"/>
        </w:rPr>
        <w:t>que plus d’informations sur des cas spécifiques relatifs aux ressources génétiques et aux connaissances traditionnelles associées à des ressources génétiques dans des situations transfrontières ou pour lesquelles il n’est pas possible d’octroyer ou d’obtenir un consentement préalable en connaissance de cause, accompagnées d’une explication sur les raisons pour lesquelles ces cas ne peuvent pas être couverts au titre de l’approche bilatérale du Protocole de Nagoya ainsi que des options pour aborder ces cas, y compris par le biais d’un mécanisme multilatéral mondial de partage des avantages, seraient utiles dans l’examen de l’article 10;</w:t>
      </w:r>
    </w:p>
    <w:p w14:paraId="333C7C2E" w14:textId="77777777" w:rsidR="00171128" w:rsidRPr="003F0B0F" w:rsidRDefault="00171128" w:rsidP="00171128">
      <w:pPr>
        <w:kinsoku w:val="0"/>
        <w:overflowPunct w:val="0"/>
        <w:autoSpaceDE w:val="0"/>
        <w:autoSpaceDN w:val="0"/>
        <w:spacing w:before="120" w:line="240" w:lineRule="auto"/>
        <w:ind w:firstLine="720"/>
        <w:rPr>
          <w:kern w:val="22"/>
          <w:lang w:val="fr-CA"/>
        </w:rPr>
      </w:pPr>
      <w:r w:rsidRPr="003F0B0F">
        <w:rPr>
          <w:kern w:val="22"/>
          <w:lang w:val="fr-CA"/>
        </w:rPr>
        <w:t>4.</w:t>
      </w:r>
      <w:r w:rsidRPr="003F0B0F">
        <w:rPr>
          <w:kern w:val="22"/>
          <w:lang w:val="fr-CA"/>
        </w:rPr>
        <w:tab/>
      </w:r>
      <w:r w:rsidRPr="00494214">
        <w:rPr>
          <w:i/>
          <w:iCs/>
          <w:kern w:val="22"/>
          <w:lang w:val="fr-CA"/>
        </w:rPr>
        <w:t>Invite</w:t>
      </w:r>
      <w:r>
        <w:rPr>
          <w:i/>
          <w:iCs/>
          <w:kern w:val="22"/>
          <w:lang w:val="fr-CA"/>
        </w:rPr>
        <w:t xml:space="preserve"> </w:t>
      </w:r>
      <w:r>
        <w:rPr>
          <w:kern w:val="22"/>
          <w:lang w:val="fr-CA"/>
        </w:rPr>
        <w:t>les Parties, les autres gouvernements, les peuples autochtones et les communautés locales, les parties prenantes et les organisations concernées à soumettre à la Secrétaire exécutive :</w:t>
      </w:r>
    </w:p>
    <w:p w14:paraId="3274B9B1" w14:textId="0E090859" w:rsidR="00171128" w:rsidRPr="003F0B0F" w:rsidRDefault="00171128" w:rsidP="00171128">
      <w:pPr>
        <w:pStyle w:val="Paragraphedeliste"/>
        <w:numPr>
          <w:ilvl w:val="0"/>
          <w:numId w:val="66"/>
        </w:numPr>
        <w:spacing w:before="120" w:line="240" w:lineRule="auto"/>
        <w:ind w:left="0" w:firstLine="709"/>
        <w:contextualSpacing w:val="0"/>
        <w:rPr>
          <w:rFonts w:eastAsiaTheme="minorHAnsi"/>
          <w:szCs w:val="22"/>
          <w:lang w:val="fr-CA"/>
        </w:rPr>
      </w:pPr>
      <w:r>
        <w:rPr>
          <w:rFonts w:eastAsiaTheme="minorHAnsi"/>
          <w:szCs w:val="22"/>
          <w:lang w:val="fr-CA"/>
        </w:rPr>
        <w:t xml:space="preserve">Des informations sur des cas spécifiques qui pourraient appuyer le besoin d’un mécanisme multilatéral mondial de partage des avantages qui ne sont pas couverts au titre de l’approche bilatérale, accompagnés </w:t>
      </w:r>
      <w:r>
        <w:rPr>
          <w:lang w:val="fr-CA"/>
        </w:rPr>
        <w:t>des raisons pour lesquelles ces cas ne peuvent pas être couverts au titre de l’approche bilatérale établie dans le Protocole de Nagoya;</w:t>
      </w:r>
    </w:p>
    <w:p w14:paraId="430491FE" w14:textId="77777777" w:rsidR="00171128" w:rsidRPr="003F0B0F" w:rsidRDefault="00171128" w:rsidP="00171128">
      <w:pPr>
        <w:pStyle w:val="Paragraphedeliste"/>
        <w:numPr>
          <w:ilvl w:val="0"/>
          <w:numId w:val="66"/>
        </w:numPr>
        <w:spacing w:before="120" w:line="240" w:lineRule="auto"/>
        <w:ind w:left="0" w:firstLine="709"/>
        <w:contextualSpacing w:val="0"/>
        <w:rPr>
          <w:lang w:val="fr-CA"/>
        </w:rPr>
      </w:pPr>
      <w:r>
        <w:rPr>
          <w:lang w:val="fr-CA"/>
        </w:rPr>
        <w:t>Des options</w:t>
      </w:r>
      <w:r w:rsidRPr="00B937BE">
        <w:rPr>
          <w:lang w:val="fr-CA"/>
        </w:rPr>
        <w:t xml:space="preserve"> </w:t>
      </w:r>
      <w:r>
        <w:rPr>
          <w:lang w:val="fr-CA"/>
        </w:rPr>
        <w:t>pour de possibles modalités pour aborder ces cas, y compris par le biais d’un mécanisme multilatéral mondial de partage des avantages</w:t>
      </w:r>
      <w:r w:rsidRPr="003F0B0F">
        <w:rPr>
          <w:lang w:val="fr-CA"/>
        </w:rPr>
        <w:t>;</w:t>
      </w:r>
    </w:p>
    <w:p w14:paraId="21619D2F" w14:textId="77777777" w:rsidR="00171128" w:rsidRPr="003F0B0F" w:rsidRDefault="00171128" w:rsidP="00171128">
      <w:pPr>
        <w:spacing w:before="120" w:line="240" w:lineRule="auto"/>
        <w:ind w:firstLine="720"/>
        <w:rPr>
          <w:kern w:val="22"/>
          <w:lang w:val="fr-CA"/>
        </w:rPr>
      </w:pPr>
      <w:r w:rsidRPr="003F0B0F">
        <w:rPr>
          <w:kern w:val="22"/>
          <w:lang w:val="fr-CA"/>
        </w:rPr>
        <w:t>5.</w:t>
      </w:r>
      <w:r w:rsidRPr="003F0B0F">
        <w:rPr>
          <w:kern w:val="22"/>
          <w:lang w:val="fr-CA"/>
        </w:rPr>
        <w:tab/>
      </w:r>
      <w:r>
        <w:rPr>
          <w:i/>
          <w:kern w:val="22"/>
          <w:lang w:val="fr-CA"/>
        </w:rPr>
        <w:t>Prie</w:t>
      </w:r>
      <w:r w:rsidRPr="003F0B0F">
        <w:rPr>
          <w:kern w:val="22"/>
          <w:lang w:val="fr-CA"/>
        </w:rPr>
        <w:t xml:space="preserve"> </w:t>
      </w:r>
      <w:r>
        <w:rPr>
          <w:kern w:val="22"/>
          <w:lang w:val="fr-CA"/>
        </w:rPr>
        <w:t>la Secrétaire exécutive :</w:t>
      </w:r>
    </w:p>
    <w:p w14:paraId="38D7DABB" w14:textId="4F1B622F" w:rsidR="00171128" w:rsidRPr="003F0B0F" w:rsidRDefault="00171128" w:rsidP="00171128">
      <w:pPr>
        <w:pStyle w:val="Paragraphedeliste"/>
        <w:numPr>
          <w:ilvl w:val="0"/>
          <w:numId w:val="67"/>
        </w:numPr>
        <w:spacing w:before="120" w:line="240" w:lineRule="auto"/>
        <w:ind w:left="0" w:firstLine="709"/>
        <w:contextualSpacing w:val="0"/>
        <w:rPr>
          <w:rFonts w:eastAsiaTheme="minorHAnsi"/>
          <w:lang w:val="fr-CA"/>
        </w:rPr>
      </w:pPr>
      <w:r>
        <w:rPr>
          <w:rFonts w:eastAsiaTheme="minorHAnsi"/>
          <w:szCs w:val="22"/>
          <w:lang w:val="fr-CA"/>
        </w:rPr>
        <w:t>De commander, sous réserve de la disponibilité des ressources, une étude évaluée par des pairs visant à recenser des cas spécifiques relatifs aux ressources génétiques et aux connaissances traditionnelles associées à des ressources génétiques dans des situations transfrontières ou pour lesquelles il s’avère impossible d’octroyer ou d’obtenir un consentement préalable en connaissance de cause</w:t>
      </w:r>
      <w:r w:rsidRPr="003F0B0F">
        <w:rPr>
          <w:rFonts w:eastAsiaTheme="minorHAnsi"/>
          <w:szCs w:val="22"/>
          <w:lang w:val="fr-CA"/>
        </w:rPr>
        <w:t>;</w:t>
      </w:r>
    </w:p>
    <w:p w14:paraId="4BEF1CC9" w14:textId="77777777" w:rsidR="00171128" w:rsidRPr="003F0B0F" w:rsidRDefault="00171128" w:rsidP="00171128">
      <w:pPr>
        <w:pStyle w:val="Paragraphedeliste"/>
        <w:numPr>
          <w:ilvl w:val="0"/>
          <w:numId w:val="67"/>
        </w:numPr>
        <w:spacing w:before="120" w:line="240" w:lineRule="auto"/>
        <w:ind w:left="0" w:firstLine="709"/>
        <w:contextualSpacing w:val="0"/>
        <w:rPr>
          <w:rFonts w:eastAsiaTheme="minorHAnsi"/>
          <w:szCs w:val="22"/>
          <w:lang w:val="fr-CA"/>
        </w:rPr>
      </w:pPr>
      <w:r>
        <w:rPr>
          <w:rFonts w:eastAsiaTheme="minorHAnsi"/>
          <w:lang w:val="fr-CA"/>
        </w:rPr>
        <w:t>De compiler et de synthétiser les informations reçues en application du paragraphe 4 a) et b);</w:t>
      </w:r>
    </w:p>
    <w:p w14:paraId="2F303798" w14:textId="77777777" w:rsidR="00171128" w:rsidRPr="003F0B0F" w:rsidRDefault="00171128" w:rsidP="00171128">
      <w:pPr>
        <w:pStyle w:val="Paragraphedeliste"/>
        <w:numPr>
          <w:ilvl w:val="0"/>
          <w:numId w:val="67"/>
        </w:numPr>
        <w:spacing w:before="120" w:line="240" w:lineRule="auto"/>
        <w:ind w:left="0" w:firstLine="709"/>
        <w:contextualSpacing w:val="0"/>
        <w:rPr>
          <w:kern w:val="22"/>
          <w:lang w:val="fr-CA"/>
        </w:rPr>
      </w:pPr>
      <w:r>
        <w:rPr>
          <w:rFonts w:eastAsiaTheme="minorHAnsi"/>
          <w:szCs w:val="22"/>
          <w:lang w:val="fr-CA"/>
        </w:rPr>
        <w:lastRenderedPageBreak/>
        <w:t>De soumettre l’étude et la synthèse à l’Organe subsidiaire chargé de l’application aux fins d’examen;</w:t>
      </w:r>
    </w:p>
    <w:p w14:paraId="072EBCBC" w14:textId="67D17D43" w:rsidR="00682B7B" w:rsidRPr="00171128" w:rsidRDefault="00171128" w:rsidP="00171128">
      <w:pPr>
        <w:suppressLineNumbers/>
        <w:suppressAutoHyphens/>
        <w:spacing w:before="120" w:line="240" w:lineRule="auto"/>
        <w:ind w:firstLine="720"/>
        <w:rPr>
          <w:kern w:val="22"/>
          <w:lang w:val="fr-CA"/>
        </w:rPr>
      </w:pPr>
      <w:r w:rsidRPr="003F0B0F">
        <w:rPr>
          <w:lang w:val="fr-CA"/>
        </w:rPr>
        <w:t xml:space="preserve">6. </w:t>
      </w:r>
      <w:r w:rsidRPr="003F0B0F">
        <w:rPr>
          <w:lang w:val="fr-CA"/>
        </w:rPr>
        <w:tab/>
      </w:r>
      <w:r>
        <w:rPr>
          <w:i/>
          <w:iCs/>
          <w:lang w:val="fr-CA"/>
        </w:rPr>
        <w:t xml:space="preserve">Prie </w:t>
      </w:r>
      <w:r>
        <w:rPr>
          <w:lang w:val="fr-CA"/>
        </w:rPr>
        <w:t>l’Organe subsidiaire chargé de l’application d’examiner l’étude et la synthèse en vue de recenser : a) des cas spécifiques, s’il en est, qui ne peuvent pas être abordés par le biais de l’approche bilatérale; et b) si elles sont identifiées, des options pour aborder ces cas, y compris un éventuel mécanisme multilatéral mondial de partage des avantages</w:t>
      </w:r>
      <w:r w:rsidRPr="003F0B0F">
        <w:rPr>
          <w:lang w:val="fr-CA"/>
        </w:rPr>
        <w:t>,</w:t>
      </w:r>
      <w:r>
        <w:rPr>
          <w:lang w:val="fr-CA"/>
        </w:rPr>
        <w:t xml:space="preserve"> et de formuler des recommandations à la quatrième réunion de la Conférence des Parties siégeant en tant que Réunion des Parties au Protocole de Nagoya</w:t>
      </w:r>
      <w:r w:rsidR="00682B7B" w:rsidRPr="00171128">
        <w:rPr>
          <w:kern w:val="22"/>
          <w:lang w:val="fr-CA"/>
        </w:rPr>
        <w:t>.</w:t>
      </w:r>
    </w:p>
    <w:p w14:paraId="54DB77DF" w14:textId="77777777" w:rsidR="00682B7B" w:rsidRPr="00171128" w:rsidRDefault="00682B7B" w:rsidP="000C6220">
      <w:pPr>
        <w:spacing w:before="120" w:line="240" w:lineRule="auto"/>
        <w:jc w:val="left"/>
        <w:rPr>
          <w:rFonts w:ascii="Times New Roman Bold" w:hAnsi="Times New Roman Bold" w:cs="Times New Roman Bold" w:hint="eastAsia"/>
          <w:b/>
          <w:bCs/>
          <w:caps/>
          <w:snapToGrid w:val="0"/>
          <w:kern w:val="22"/>
          <w:szCs w:val="22"/>
          <w:lang w:val="fr-CA"/>
        </w:rPr>
      </w:pPr>
      <w:r w:rsidRPr="00171128">
        <w:rPr>
          <w:rFonts w:hint="eastAsia"/>
          <w:lang w:val="fr-CA"/>
        </w:rPr>
        <w:br w:type="page"/>
      </w:r>
    </w:p>
    <w:p w14:paraId="15E91978" w14:textId="29FEA308" w:rsidR="00682B7B" w:rsidRPr="00A43E0A" w:rsidRDefault="00682B7B" w:rsidP="000C6220">
      <w:pPr>
        <w:pStyle w:val="recommendationheader"/>
        <w:spacing w:line="240" w:lineRule="auto"/>
        <w:ind w:left="1418" w:right="327" w:hanging="709"/>
        <w:jc w:val="left"/>
        <w:rPr>
          <w:lang w:val="fr-CA"/>
        </w:rPr>
      </w:pPr>
      <w:bookmarkStart w:id="15" w:name="_Toc256214"/>
      <w:r w:rsidRPr="00A43E0A">
        <w:rPr>
          <w:lang w:val="fr-CA"/>
        </w:rPr>
        <w:lastRenderedPageBreak/>
        <w:t>3/14.</w:t>
      </w:r>
      <w:r w:rsidRPr="00A43E0A">
        <w:rPr>
          <w:lang w:val="fr-CA"/>
        </w:rPr>
        <w:tab/>
      </w:r>
      <w:bookmarkEnd w:id="15"/>
      <w:r w:rsidR="00A43E0A" w:rsidRPr="00A43E0A">
        <w:rPr>
          <w:lang w:val="fr-CA"/>
        </w:rPr>
        <w:t>Instruments internationaux spéciaux sur l’accès et le partage des avantages dans le context</w:t>
      </w:r>
      <w:r w:rsidR="00A43E0A">
        <w:rPr>
          <w:lang w:val="fr-CA"/>
        </w:rPr>
        <w:t>e</w:t>
      </w:r>
      <w:r w:rsidR="00A43E0A" w:rsidRPr="00A43E0A">
        <w:rPr>
          <w:lang w:val="fr-CA"/>
        </w:rPr>
        <w:t xml:space="preserve"> du paragraphe 4 de l’article 4 du Protocole</w:t>
      </w:r>
    </w:p>
    <w:p w14:paraId="4764A7D2" w14:textId="77777777" w:rsidR="00A43E0A" w:rsidRPr="00C95DDA" w:rsidRDefault="00A43E0A" w:rsidP="00A43E0A">
      <w:pPr>
        <w:suppressLineNumbers/>
        <w:suppressAutoHyphens/>
        <w:kinsoku w:val="0"/>
        <w:overflowPunct w:val="0"/>
        <w:autoSpaceDE w:val="0"/>
        <w:autoSpaceDN w:val="0"/>
        <w:adjustRightInd w:val="0"/>
        <w:snapToGrid w:val="0"/>
        <w:spacing w:before="120" w:line="240" w:lineRule="auto"/>
        <w:ind w:firstLine="709"/>
        <w:rPr>
          <w:i/>
          <w:kern w:val="22"/>
          <w:szCs w:val="22"/>
          <w:lang w:val="fr-CA"/>
        </w:rPr>
      </w:pPr>
      <w:r w:rsidRPr="00C95DDA">
        <w:rPr>
          <w:i/>
          <w:kern w:val="22"/>
          <w:szCs w:val="22"/>
          <w:lang w:val="fr-CA"/>
        </w:rPr>
        <w:t>La Conférence des Parties siégeant en tant que réunion des Parties au Protocole de Nagoya</w:t>
      </w:r>
      <w:r>
        <w:rPr>
          <w:i/>
          <w:kern w:val="22"/>
          <w:szCs w:val="22"/>
          <w:lang w:val="fr-CA"/>
        </w:rPr>
        <w:t xml:space="preserve"> sur l’accès et le partage des avantages</w:t>
      </w:r>
      <w:r w:rsidRPr="00C95DDA">
        <w:rPr>
          <w:i/>
          <w:kern w:val="22"/>
          <w:szCs w:val="22"/>
          <w:lang w:val="fr-CA"/>
        </w:rPr>
        <w:t>,</w:t>
      </w:r>
    </w:p>
    <w:p w14:paraId="7B8710E8" w14:textId="77777777" w:rsidR="00A43E0A" w:rsidRPr="00C95DDA" w:rsidRDefault="00A43E0A" w:rsidP="00A43E0A">
      <w:pPr>
        <w:suppressLineNumbers/>
        <w:suppressAutoHyphens/>
        <w:kinsoku w:val="0"/>
        <w:overflowPunct w:val="0"/>
        <w:autoSpaceDE w:val="0"/>
        <w:autoSpaceDN w:val="0"/>
        <w:adjustRightInd w:val="0"/>
        <w:snapToGrid w:val="0"/>
        <w:spacing w:before="120" w:line="240" w:lineRule="auto"/>
        <w:ind w:firstLine="720"/>
        <w:rPr>
          <w:kern w:val="22"/>
          <w:szCs w:val="22"/>
          <w:lang w:val="fr-CA"/>
        </w:rPr>
      </w:pPr>
      <w:r w:rsidRPr="00C95DDA">
        <w:rPr>
          <w:i/>
          <w:kern w:val="22"/>
          <w:szCs w:val="22"/>
          <w:lang w:val="fr-CA"/>
        </w:rPr>
        <w:t>Reconnaissant</w:t>
      </w:r>
      <w:r w:rsidRPr="00C95DDA">
        <w:rPr>
          <w:kern w:val="22"/>
          <w:szCs w:val="22"/>
          <w:lang w:val="fr-CA"/>
        </w:rPr>
        <w:t xml:space="preserve"> la nécessité de renforcer la coordination et la complémentarité entre les instruments internationaux sur l'accès et le partage des avantages,</w:t>
      </w:r>
    </w:p>
    <w:p w14:paraId="07A08A86" w14:textId="77777777" w:rsidR="00A43E0A" w:rsidRPr="00C95DDA" w:rsidRDefault="00A43E0A" w:rsidP="00A43E0A">
      <w:pPr>
        <w:suppressLineNumbers/>
        <w:suppressAutoHyphens/>
        <w:kinsoku w:val="0"/>
        <w:overflowPunct w:val="0"/>
        <w:autoSpaceDE w:val="0"/>
        <w:autoSpaceDN w:val="0"/>
        <w:adjustRightInd w:val="0"/>
        <w:snapToGrid w:val="0"/>
        <w:spacing w:before="120" w:line="240" w:lineRule="auto"/>
        <w:ind w:firstLine="720"/>
        <w:rPr>
          <w:kern w:val="22"/>
          <w:szCs w:val="22"/>
          <w:lang w:val="fr-CA"/>
        </w:rPr>
      </w:pPr>
      <w:r w:rsidRPr="00C95DDA">
        <w:rPr>
          <w:i/>
          <w:kern w:val="22"/>
          <w:szCs w:val="22"/>
          <w:lang w:val="fr-CA"/>
        </w:rPr>
        <w:t xml:space="preserve">Soulignant </w:t>
      </w:r>
      <w:r w:rsidRPr="00C95DDA">
        <w:rPr>
          <w:kern w:val="22"/>
          <w:szCs w:val="22"/>
          <w:lang w:val="fr-CA"/>
        </w:rPr>
        <w:t>que les critères d'identification d'un instrument international spécial sur l'accès et le partage des avantages et un processus de reconnaissance d'un tel instrument n'ont pas vocation à établir une hiérarchie entre le Protocole de Nagoya et d'autres instruments internationaux,</w:t>
      </w:r>
    </w:p>
    <w:p w14:paraId="34EEDC12" w14:textId="77777777" w:rsidR="00A43E0A" w:rsidRPr="00C95DDA" w:rsidRDefault="00A43E0A" w:rsidP="00A43E0A">
      <w:pPr>
        <w:suppressLineNumbers/>
        <w:suppressAutoHyphens/>
        <w:kinsoku w:val="0"/>
        <w:overflowPunct w:val="0"/>
        <w:autoSpaceDE w:val="0"/>
        <w:autoSpaceDN w:val="0"/>
        <w:adjustRightInd w:val="0"/>
        <w:snapToGrid w:val="0"/>
        <w:spacing w:before="120" w:line="240" w:lineRule="auto"/>
        <w:ind w:firstLine="720"/>
        <w:rPr>
          <w:kern w:val="22"/>
          <w:szCs w:val="22"/>
          <w:lang w:val="fr-CA"/>
        </w:rPr>
      </w:pPr>
      <w:r w:rsidRPr="00C95DDA">
        <w:rPr>
          <w:kern w:val="22"/>
          <w:szCs w:val="22"/>
          <w:lang w:val="fr-CA"/>
        </w:rPr>
        <w:t>1.</w:t>
      </w:r>
      <w:r w:rsidRPr="00C95DDA">
        <w:rPr>
          <w:kern w:val="22"/>
          <w:szCs w:val="22"/>
          <w:lang w:val="fr-CA"/>
        </w:rPr>
        <w:tab/>
      </w:r>
      <w:r w:rsidRPr="00C95DDA">
        <w:rPr>
          <w:i/>
          <w:kern w:val="22"/>
          <w:szCs w:val="22"/>
          <w:lang w:val="fr-CA"/>
        </w:rPr>
        <w:t>Prend note</w:t>
      </w:r>
      <w:r w:rsidRPr="00C95DDA">
        <w:rPr>
          <w:kern w:val="22"/>
          <w:szCs w:val="22"/>
          <w:lang w:val="fr-CA"/>
        </w:rPr>
        <w:t xml:space="preserve"> de l'étude</w:t>
      </w:r>
      <w:r w:rsidRPr="007241B5">
        <w:rPr>
          <w:rStyle w:val="Appelnotedebasdep"/>
          <w:rFonts w:eastAsiaTheme="majorEastAsia"/>
          <w:kern w:val="22"/>
          <w:szCs w:val="22"/>
          <w:u w:val="none"/>
          <w:vertAlign w:val="superscript"/>
          <w:lang w:val="fr-CA"/>
        </w:rPr>
        <w:footnoteReference w:id="25"/>
      </w:r>
      <w:r w:rsidRPr="00C95DDA">
        <w:rPr>
          <w:kern w:val="22"/>
          <w:szCs w:val="22"/>
          <w:lang w:val="fr-CA"/>
        </w:rPr>
        <w:t xml:space="preserve"> et des critères potentiels pour la reconnaissance des instruments internationaux spéciaux sur l'accès et le partage des avantages dans le cadre du paragraphe 4 de l'article 4 du Protocole de Nagoya, tels que synthétisés dans l'annexe ci-dessous et </w:t>
      </w:r>
      <w:r w:rsidRPr="00C95DDA">
        <w:rPr>
          <w:i/>
          <w:kern w:val="22"/>
          <w:szCs w:val="22"/>
          <w:lang w:val="fr-CA"/>
        </w:rPr>
        <w:t>accepte</w:t>
      </w:r>
      <w:r w:rsidRPr="00C95DDA">
        <w:rPr>
          <w:kern w:val="22"/>
          <w:szCs w:val="22"/>
          <w:lang w:val="fr-CA"/>
        </w:rPr>
        <w:t xml:space="preserve"> de réexaminer ces critères potentiels à sa quatrième réunion ;</w:t>
      </w:r>
    </w:p>
    <w:p w14:paraId="4A7D6A84" w14:textId="77777777" w:rsidR="00A43E0A" w:rsidRPr="00C95DDA" w:rsidRDefault="00A43E0A" w:rsidP="00A43E0A">
      <w:pPr>
        <w:suppressLineNumbers/>
        <w:suppressAutoHyphens/>
        <w:kinsoku w:val="0"/>
        <w:overflowPunct w:val="0"/>
        <w:autoSpaceDE w:val="0"/>
        <w:autoSpaceDN w:val="0"/>
        <w:adjustRightInd w:val="0"/>
        <w:snapToGrid w:val="0"/>
        <w:spacing w:before="120" w:line="240" w:lineRule="auto"/>
        <w:ind w:firstLine="720"/>
        <w:rPr>
          <w:kern w:val="22"/>
          <w:szCs w:val="22"/>
          <w:lang w:val="fr-CA"/>
        </w:rPr>
      </w:pPr>
      <w:r w:rsidRPr="00C95DDA">
        <w:rPr>
          <w:kern w:val="22"/>
          <w:szCs w:val="22"/>
          <w:lang w:val="fr-CA"/>
        </w:rPr>
        <w:t>2.</w:t>
      </w:r>
      <w:r w:rsidRPr="00C95DDA">
        <w:rPr>
          <w:kern w:val="22"/>
          <w:szCs w:val="22"/>
          <w:lang w:val="fr-CA"/>
        </w:rPr>
        <w:tab/>
      </w:r>
      <w:r w:rsidRPr="00C95DDA">
        <w:rPr>
          <w:i/>
          <w:kern w:val="22"/>
          <w:szCs w:val="22"/>
          <w:lang w:val="fr-CA"/>
        </w:rPr>
        <w:t>Invite</w:t>
      </w:r>
      <w:r w:rsidRPr="00C95DDA">
        <w:rPr>
          <w:kern w:val="22"/>
          <w:szCs w:val="22"/>
          <w:lang w:val="fr-CA"/>
        </w:rPr>
        <w:t xml:space="preserve"> les Parties et les autres gouvernements à soumettre :</w:t>
      </w:r>
    </w:p>
    <w:p w14:paraId="486C2AD6" w14:textId="77777777" w:rsidR="00A43E0A" w:rsidRPr="00C95DDA" w:rsidRDefault="00A43E0A" w:rsidP="00A43E0A">
      <w:pPr>
        <w:suppressLineNumbers/>
        <w:suppressAutoHyphens/>
        <w:kinsoku w:val="0"/>
        <w:overflowPunct w:val="0"/>
        <w:autoSpaceDE w:val="0"/>
        <w:autoSpaceDN w:val="0"/>
        <w:adjustRightInd w:val="0"/>
        <w:snapToGrid w:val="0"/>
        <w:spacing w:before="120" w:line="240" w:lineRule="auto"/>
        <w:ind w:firstLine="720"/>
        <w:rPr>
          <w:kern w:val="22"/>
          <w:szCs w:val="22"/>
          <w:lang w:val="fr-CA"/>
        </w:rPr>
      </w:pPr>
      <w:r w:rsidRPr="00C95DDA">
        <w:rPr>
          <w:kern w:val="22"/>
          <w:szCs w:val="22"/>
          <w:lang w:val="fr-CA"/>
        </w:rPr>
        <w:t xml:space="preserve">a) </w:t>
      </w:r>
      <w:r w:rsidRPr="00C95DDA">
        <w:rPr>
          <w:kern w:val="22"/>
          <w:szCs w:val="22"/>
          <w:lang w:val="fr-CA"/>
        </w:rPr>
        <w:tab/>
        <w:t>Des informations sur la manière dont les instruments internationaux spéciaux sur l'accès et le partage des avantages sont traités dans leurs mesures internes ;</w:t>
      </w:r>
    </w:p>
    <w:p w14:paraId="78B42842" w14:textId="77777777" w:rsidR="00A43E0A" w:rsidRPr="00C95DDA" w:rsidRDefault="00A43E0A" w:rsidP="00A43E0A">
      <w:pPr>
        <w:suppressLineNumbers/>
        <w:suppressAutoHyphens/>
        <w:kinsoku w:val="0"/>
        <w:overflowPunct w:val="0"/>
        <w:autoSpaceDE w:val="0"/>
        <w:autoSpaceDN w:val="0"/>
        <w:adjustRightInd w:val="0"/>
        <w:snapToGrid w:val="0"/>
        <w:spacing w:before="120" w:line="240" w:lineRule="auto"/>
        <w:ind w:firstLine="720"/>
        <w:rPr>
          <w:kern w:val="22"/>
          <w:szCs w:val="22"/>
          <w:lang w:val="fr-CA"/>
        </w:rPr>
      </w:pPr>
      <w:r w:rsidRPr="00C95DDA">
        <w:rPr>
          <w:kern w:val="22"/>
          <w:szCs w:val="22"/>
          <w:lang w:val="fr-CA"/>
        </w:rPr>
        <w:t xml:space="preserve">b) </w:t>
      </w:r>
      <w:r w:rsidRPr="00C95DDA">
        <w:rPr>
          <w:kern w:val="22"/>
          <w:szCs w:val="22"/>
          <w:lang w:val="fr-CA"/>
        </w:rPr>
        <w:tab/>
        <w:t>Des points de vue sur les critères potentiels figurant dans l'étude, en tenant compte des paragraphes 1 à 3 de l'article 4 du Protocole ;</w:t>
      </w:r>
    </w:p>
    <w:p w14:paraId="327967FC" w14:textId="77777777" w:rsidR="00A43E0A" w:rsidRPr="00C95DDA" w:rsidRDefault="00A43E0A" w:rsidP="00A43E0A">
      <w:pPr>
        <w:suppressLineNumbers/>
        <w:suppressAutoHyphens/>
        <w:kinsoku w:val="0"/>
        <w:overflowPunct w:val="0"/>
        <w:autoSpaceDE w:val="0"/>
        <w:autoSpaceDN w:val="0"/>
        <w:adjustRightInd w:val="0"/>
        <w:snapToGrid w:val="0"/>
        <w:spacing w:before="120" w:line="240" w:lineRule="auto"/>
        <w:ind w:firstLine="720"/>
        <w:rPr>
          <w:kern w:val="22"/>
          <w:szCs w:val="22"/>
          <w:lang w:val="fr-CA"/>
        </w:rPr>
      </w:pPr>
      <w:r w:rsidRPr="00C95DDA">
        <w:rPr>
          <w:kern w:val="22"/>
          <w:szCs w:val="22"/>
          <w:lang w:val="fr-CA"/>
        </w:rPr>
        <w:t>3.</w:t>
      </w:r>
      <w:r w:rsidRPr="00C95DDA">
        <w:rPr>
          <w:kern w:val="22"/>
          <w:szCs w:val="22"/>
          <w:lang w:val="fr-CA"/>
        </w:rPr>
        <w:tab/>
      </w:r>
      <w:r w:rsidRPr="00C95DDA">
        <w:rPr>
          <w:i/>
          <w:kern w:val="22"/>
          <w:szCs w:val="22"/>
          <w:lang w:val="fr-CA"/>
        </w:rPr>
        <w:t>Prie</w:t>
      </w:r>
      <w:r w:rsidRPr="00C95DDA">
        <w:rPr>
          <w:kern w:val="22"/>
          <w:szCs w:val="22"/>
          <w:lang w:val="fr-CA"/>
        </w:rPr>
        <w:t xml:space="preserve"> la Secrétaire exécutive de continuer à suivre les évolutions dans les instances internationales compétentes ;</w:t>
      </w:r>
    </w:p>
    <w:p w14:paraId="7696F9B2" w14:textId="77777777" w:rsidR="00A43E0A" w:rsidRPr="00C95DDA" w:rsidRDefault="00A43E0A" w:rsidP="00A43E0A">
      <w:pPr>
        <w:suppressLineNumbers/>
        <w:suppressAutoHyphens/>
        <w:kinsoku w:val="0"/>
        <w:overflowPunct w:val="0"/>
        <w:autoSpaceDE w:val="0"/>
        <w:autoSpaceDN w:val="0"/>
        <w:adjustRightInd w:val="0"/>
        <w:snapToGrid w:val="0"/>
        <w:spacing w:before="120" w:line="240" w:lineRule="auto"/>
        <w:ind w:firstLine="720"/>
        <w:rPr>
          <w:kern w:val="22"/>
          <w:szCs w:val="22"/>
          <w:lang w:val="fr-CA"/>
        </w:rPr>
      </w:pPr>
      <w:r w:rsidRPr="00C95DDA">
        <w:rPr>
          <w:kern w:val="22"/>
          <w:szCs w:val="22"/>
          <w:lang w:val="fr-CA"/>
        </w:rPr>
        <w:t>4.</w:t>
      </w:r>
      <w:r w:rsidRPr="00C95DDA">
        <w:rPr>
          <w:kern w:val="22"/>
          <w:szCs w:val="22"/>
          <w:lang w:val="fr-CA"/>
        </w:rPr>
        <w:tab/>
      </w:r>
      <w:r w:rsidRPr="00C95DDA">
        <w:rPr>
          <w:i/>
          <w:kern w:val="22"/>
          <w:szCs w:val="22"/>
          <w:lang w:val="fr-CA"/>
        </w:rPr>
        <w:t>Prie aussi</w:t>
      </w:r>
      <w:r w:rsidRPr="00C95DDA">
        <w:rPr>
          <w:kern w:val="22"/>
          <w:szCs w:val="22"/>
          <w:lang w:val="fr-CA"/>
        </w:rPr>
        <w:t xml:space="preserve"> la Secrétaire exécutive de synthétiser les informations et points de vue reçus, y compris les informations concernant les évolutions dans les instances internationales compétentes, et de les mettre à disposition pour examen par l'Organe subsidiaire chargé de l'application à sa troisième réunion ;</w:t>
      </w:r>
    </w:p>
    <w:p w14:paraId="18F628FD" w14:textId="77777777" w:rsidR="00A43E0A" w:rsidRPr="00C95DDA" w:rsidRDefault="00A43E0A" w:rsidP="00A43E0A">
      <w:pPr>
        <w:suppressLineNumbers/>
        <w:suppressAutoHyphens/>
        <w:kinsoku w:val="0"/>
        <w:overflowPunct w:val="0"/>
        <w:autoSpaceDE w:val="0"/>
        <w:autoSpaceDN w:val="0"/>
        <w:adjustRightInd w:val="0"/>
        <w:snapToGrid w:val="0"/>
        <w:spacing w:before="120" w:line="240" w:lineRule="auto"/>
        <w:ind w:firstLine="720"/>
        <w:rPr>
          <w:kern w:val="22"/>
          <w:szCs w:val="22"/>
          <w:lang w:val="fr-CA"/>
        </w:rPr>
      </w:pPr>
      <w:r w:rsidRPr="00C95DDA">
        <w:rPr>
          <w:kern w:val="22"/>
          <w:szCs w:val="22"/>
          <w:lang w:val="fr-CA"/>
        </w:rPr>
        <w:t>5.</w:t>
      </w:r>
      <w:r w:rsidRPr="00C95DDA">
        <w:rPr>
          <w:kern w:val="22"/>
          <w:szCs w:val="22"/>
          <w:lang w:val="fr-CA"/>
        </w:rPr>
        <w:tab/>
      </w:r>
      <w:r w:rsidRPr="00C95DDA">
        <w:rPr>
          <w:i/>
          <w:kern w:val="22"/>
          <w:szCs w:val="22"/>
          <w:lang w:val="fr-CA"/>
        </w:rPr>
        <w:t>Prie</w:t>
      </w:r>
      <w:r w:rsidRPr="00C95DDA">
        <w:rPr>
          <w:kern w:val="22"/>
          <w:szCs w:val="22"/>
          <w:lang w:val="fr-CA"/>
        </w:rPr>
        <w:t xml:space="preserve"> l'Organe subsidiaire chargé de l'application, à sa troisième réunion, d'examiner la synthèse mentionnée au paragraphe 4 ci-dessus et d'effectuer une recommandation à la Conférence des Parties siégeant en tant que réunion des Parties au Protocole de Nagoya à sa quatrième réunion ;</w:t>
      </w:r>
    </w:p>
    <w:p w14:paraId="368F272F" w14:textId="77777777" w:rsidR="00A43E0A" w:rsidRPr="00C95DDA" w:rsidRDefault="00A43E0A" w:rsidP="00A43E0A">
      <w:pPr>
        <w:suppressLineNumbers/>
        <w:suppressAutoHyphens/>
        <w:kinsoku w:val="0"/>
        <w:overflowPunct w:val="0"/>
        <w:autoSpaceDE w:val="0"/>
        <w:autoSpaceDN w:val="0"/>
        <w:adjustRightInd w:val="0"/>
        <w:snapToGrid w:val="0"/>
        <w:spacing w:before="120" w:line="240" w:lineRule="auto"/>
        <w:ind w:firstLine="720"/>
        <w:rPr>
          <w:kern w:val="22"/>
          <w:szCs w:val="22"/>
          <w:lang w:val="fr-CA"/>
        </w:rPr>
      </w:pPr>
      <w:r w:rsidRPr="00C95DDA">
        <w:rPr>
          <w:kern w:val="22"/>
          <w:szCs w:val="22"/>
          <w:lang w:val="fr-CA"/>
        </w:rPr>
        <w:t>6.</w:t>
      </w:r>
      <w:r w:rsidRPr="00C95DDA">
        <w:rPr>
          <w:kern w:val="22"/>
          <w:szCs w:val="22"/>
          <w:lang w:val="fr-CA"/>
        </w:rPr>
        <w:tab/>
      </w:r>
      <w:r w:rsidRPr="00C95DDA">
        <w:rPr>
          <w:i/>
          <w:kern w:val="22"/>
          <w:szCs w:val="22"/>
          <w:lang w:val="fr-CA"/>
        </w:rPr>
        <w:t>Décide</w:t>
      </w:r>
      <w:r w:rsidRPr="00C95DDA">
        <w:rPr>
          <w:kern w:val="22"/>
          <w:szCs w:val="22"/>
          <w:lang w:val="fr-CA"/>
        </w:rPr>
        <w:t xml:space="preserve"> d'inscrire à l'ordre du jour de ses futures réunions un point permanent sur la « coopération avec d'autres organisations internationales » pour tenir compte des dernières évolutions dans les instances internationales compétentes, notamment toute information portant sur des instruments internationaux spéciaux sur l'accès et le partage des avantages reconnus par un autre organisme intergouvernemental et/ou par une Partie ou un groupe de Parties, en vue de renforcer la complémentarité entre le Protocole et les instruments internationaux spéciaux sur l'accès et le partage des avantages ;</w:t>
      </w:r>
    </w:p>
    <w:p w14:paraId="2CDF1589" w14:textId="77777777" w:rsidR="00A43E0A" w:rsidRPr="00C95DDA" w:rsidRDefault="00A43E0A" w:rsidP="00A43E0A">
      <w:pPr>
        <w:suppressLineNumbers/>
        <w:suppressAutoHyphens/>
        <w:kinsoku w:val="0"/>
        <w:overflowPunct w:val="0"/>
        <w:autoSpaceDE w:val="0"/>
        <w:autoSpaceDN w:val="0"/>
        <w:adjustRightInd w:val="0"/>
        <w:snapToGrid w:val="0"/>
        <w:spacing w:before="120" w:line="240" w:lineRule="auto"/>
        <w:ind w:firstLine="720"/>
        <w:rPr>
          <w:kern w:val="22"/>
          <w:szCs w:val="22"/>
          <w:lang w:val="fr-CA"/>
        </w:rPr>
      </w:pPr>
      <w:r w:rsidRPr="00C95DDA">
        <w:rPr>
          <w:kern w:val="22"/>
          <w:szCs w:val="22"/>
          <w:lang w:val="fr-CA"/>
        </w:rPr>
        <w:t>7.</w:t>
      </w:r>
      <w:r w:rsidRPr="00C95DDA">
        <w:rPr>
          <w:kern w:val="22"/>
          <w:szCs w:val="22"/>
          <w:lang w:val="fr-CA"/>
        </w:rPr>
        <w:tab/>
      </w:r>
      <w:r w:rsidRPr="00C95DDA">
        <w:rPr>
          <w:i/>
          <w:kern w:val="22"/>
          <w:szCs w:val="22"/>
          <w:lang w:val="fr-CA"/>
        </w:rPr>
        <w:t xml:space="preserve">Invite </w:t>
      </w:r>
      <w:r w:rsidRPr="00C95DDA">
        <w:rPr>
          <w:kern w:val="22"/>
          <w:szCs w:val="22"/>
          <w:lang w:val="fr-CA"/>
        </w:rPr>
        <w:t>les Parties et les autres gouvernements à se coordonner au niveau national sur les questions relatives à l’accès et au partage des avantages qui sont abordées dans différentes instances internationales, selon qu'il convient, afin d’appuyer un régime international cohérent sur l’accès et le partage des avantages ;</w:t>
      </w:r>
    </w:p>
    <w:p w14:paraId="0549EBFC" w14:textId="77777777" w:rsidR="00A43E0A" w:rsidRPr="00C95DDA" w:rsidRDefault="00A43E0A" w:rsidP="00A43E0A">
      <w:pPr>
        <w:suppressLineNumbers/>
        <w:suppressAutoHyphens/>
        <w:kinsoku w:val="0"/>
        <w:overflowPunct w:val="0"/>
        <w:autoSpaceDE w:val="0"/>
        <w:autoSpaceDN w:val="0"/>
        <w:adjustRightInd w:val="0"/>
        <w:snapToGrid w:val="0"/>
        <w:spacing w:before="120" w:line="240" w:lineRule="auto"/>
        <w:ind w:firstLine="720"/>
        <w:rPr>
          <w:bCs/>
          <w:kern w:val="22"/>
          <w:szCs w:val="22"/>
          <w:lang w:val="fr-CA"/>
        </w:rPr>
      </w:pPr>
      <w:r w:rsidRPr="00C95DDA">
        <w:rPr>
          <w:kern w:val="22"/>
          <w:szCs w:val="22"/>
          <w:lang w:val="fr-CA"/>
        </w:rPr>
        <w:t>8.</w:t>
      </w:r>
      <w:r w:rsidRPr="00C95DDA">
        <w:rPr>
          <w:kern w:val="22"/>
          <w:szCs w:val="22"/>
          <w:lang w:val="fr-CA"/>
        </w:rPr>
        <w:tab/>
      </w:r>
      <w:r w:rsidRPr="00C95DDA">
        <w:rPr>
          <w:i/>
          <w:kern w:val="22"/>
          <w:szCs w:val="22"/>
          <w:lang w:val="fr-CA"/>
        </w:rPr>
        <w:t>Invite</w:t>
      </w:r>
      <w:r w:rsidRPr="00C95DDA">
        <w:rPr>
          <w:kern w:val="22"/>
          <w:szCs w:val="22"/>
          <w:lang w:val="fr-CA"/>
        </w:rPr>
        <w:t xml:space="preserve"> les Parties et les autres gouvernements qui sont ou peuvent devenir Parties au Protocole de Nagoya et à un instrument international spécial sur l'accès et le partage des avantages, selon qu'il convient, à prendre des mesures pour appliquer les deux instruments d'une façon complémentaire, notamment avec la participation des peuples autochtones et des communautés locales, le cas échéant, selon leurs situations nationales.</w:t>
      </w:r>
    </w:p>
    <w:p w14:paraId="7FEED366" w14:textId="77777777" w:rsidR="00A43E0A" w:rsidRPr="00C95DDA" w:rsidRDefault="00A43E0A" w:rsidP="00A43E0A">
      <w:pPr>
        <w:keepNext/>
        <w:suppressLineNumbers/>
        <w:suppressAutoHyphens/>
        <w:kinsoku w:val="0"/>
        <w:overflowPunct w:val="0"/>
        <w:autoSpaceDE w:val="0"/>
        <w:autoSpaceDN w:val="0"/>
        <w:adjustRightInd w:val="0"/>
        <w:snapToGrid w:val="0"/>
        <w:spacing w:before="240" w:line="240" w:lineRule="auto"/>
        <w:jc w:val="center"/>
        <w:outlineLvl w:val="2"/>
        <w:rPr>
          <w:i/>
          <w:kern w:val="22"/>
          <w:szCs w:val="22"/>
          <w:lang w:val="fr-CA"/>
        </w:rPr>
      </w:pPr>
      <w:r w:rsidRPr="00C95DDA">
        <w:rPr>
          <w:i/>
          <w:kern w:val="22"/>
          <w:szCs w:val="22"/>
          <w:lang w:val="fr-CA"/>
        </w:rPr>
        <w:lastRenderedPageBreak/>
        <w:t>Annexe</w:t>
      </w:r>
    </w:p>
    <w:p w14:paraId="55368B7C" w14:textId="595C31AD" w:rsidR="00A43E0A" w:rsidRPr="00C95DDA" w:rsidRDefault="00A43E0A" w:rsidP="007241B5">
      <w:pPr>
        <w:tabs>
          <w:tab w:val="left" w:pos="763"/>
        </w:tabs>
        <w:spacing w:line="240" w:lineRule="auto"/>
        <w:ind w:right="360"/>
        <w:jc w:val="center"/>
        <w:rPr>
          <w:rFonts w:eastAsia="Calibri"/>
          <w:b/>
          <w:color w:val="000000"/>
          <w:kern w:val="22"/>
          <w:szCs w:val="22"/>
          <w:u w:color="000000"/>
          <w:lang w:val="fr-CA"/>
        </w:rPr>
      </w:pPr>
      <w:r w:rsidRPr="00C95DDA">
        <w:rPr>
          <w:rFonts w:eastAsia="Calibri"/>
          <w:b/>
          <w:color w:val="000000"/>
          <w:kern w:val="22"/>
          <w:szCs w:val="22"/>
          <w:u w:color="000000"/>
          <w:lang w:val="fr-CA"/>
        </w:rPr>
        <w:t xml:space="preserve">Critères potentiels pour les instruments internationaux spéciaux sur l’accès et le partage des avantages dans le contexte du paragraphe 4 de l’article 4 du Protocole de Nagoya sur l’accès aux ressources génétiques et le partage juste et équitable des avantages découlant de leur utilisation </w:t>
      </w:r>
    </w:p>
    <w:p w14:paraId="2892027E" w14:textId="77777777" w:rsidR="00A43E0A" w:rsidRPr="0095498B" w:rsidRDefault="00A43E0A" w:rsidP="007241B5">
      <w:pPr>
        <w:pStyle w:val="Notedebasdepage"/>
        <w:spacing w:line="240" w:lineRule="auto"/>
        <w:rPr>
          <w:sz w:val="22"/>
          <w:szCs w:val="22"/>
          <w:lang w:val="fr-CA"/>
        </w:rPr>
      </w:pPr>
      <w:r w:rsidRPr="00C95DDA">
        <w:rPr>
          <w:bCs/>
          <w:kern w:val="22"/>
          <w:sz w:val="22"/>
          <w:szCs w:val="22"/>
          <w:lang w:val="fr-CA"/>
        </w:rPr>
        <w:t xml:space="preserve">La section suivante est un résumé des </w:t>
      </w:r>
      <w:r w:rsidRPr="00C95DDA">
        <w:rPr>
          <w:rFonts w:eastAsia="Calibri"/>
          <w:color w:val="000000"/>
          <w:kern w:val="22"/>
          <w:sz w:val="22"/>
          <w:szCs w:val="22"/>
          <w:u w:color="000000"/>
          <w:lang w:val="fr-CA"/>
        </w:rPr>
        <w:t>critères potentiels pour les instruments internationaux spéciaux sur l’accès et le partage des avantages dans le contexte du paragraphe 4 de l’article 4 du Protocole de Nagoya sur l’accès aux ressources génétiques et le partage juste et équitable des avantages découlant de leur utilisation, comme indiqué dans l'étude figurant dans le document CBD/SBI/2/INF/17.</w:t>
      </w:r>
      <w:r w:rsidRPr="00C95DDA">
        <w:rPr>
          <w:bCs/>
          <w:kern w:val="22"/>
          <w:sz w:val="22"/>
          <w:szCs w:val="22"/>
          <w:lang w:val="fr-CA"/>
        </w:rPr>
        <w:t xml:space="preserve"> Les critères potentiels sont à l'étude et n'ont pas encore été approuvés par les Parties au Protocole.</w:t>
      </w:r>
    </w:p>
    <w:p w14:paraId="04766B93" w14:textId="77777777" w:rsidR="00A43E0A" w:rsidRPr="00C95DDA" w:rsidRDefault="00A43E0A" w:rsidP="007241B5">
      <w:pPr>
        <w:pStyle w:val="Paragraphedeliste"/>
        <w:suppressLineNumbers/>
        <w:suppressAutoHyphens/>
        <w:kinsoku w:val="0"/>
        <w:overflowPunct w:val="0"/>
        <w:autoSpaceDE w:val="0"/>
        <w:autoSpaceDN w:val="0"/>
        <w:adjustRightInd w:val="0"/>
        <w:snapToGrid w:val="0"/>
        <w:spacing w:before="120" w:line="240" w:lineRule="auto"/>
        <w:ind w:left="0" w:firstLine="720"/>
        <w:contextualSpacing w:val="0"/>
        <w:rPr>
          <w:kern w:val="22"/>
          <w:szCs w:val="22"/>
          <w:lang w:val="fr-CA"/>
        </w:rPr>
      </w:pPr>
      <w:r w:rsidRPr="00C95DDA">
        <w:rPr>
          <w:bCs/>
          <w:kern w:val="22"/>
          <w:szCs w:val="22"/>
          <w:lang w:val="fr-CA"/>
        </w:rPr>
        <w:t>1.</w:t>
      </w:r>
      <w:r w:rsidRPr="00C95DDA">
        <w:rPr>
          <w:bCs/>
          <w:kern w:val="22"/>
          <w:szCs w:val="22"/>
          <w:lang w:val="fr-CA"/>
        </w:rPr>
        <w:tab/>
      </w:r>
      <w:r w:rsidRPr="00C95DDA">
        <w:rPr>
          <w:bCs/>
          <w:i/>
          <w:iCs/>
          <w:kern w:val="22"/>
          <w:szCs w:val="22"/>
          <w:lang w:val="fr-CA"/>
        </w:rPr>
        <w:t>Conclu au niveau intergouvernemental</w:t>
      </w:r>
      <w:r w:rsidRPr="00C95DDA">
        <w:rPr>
          <w:kern w:val="22"/>
          <w:szCs w:val="22"/>
          <w:lang w:val="fr-CA"/>
        </w:rPr>
        <w:t xml:space="preserve"> — L’instrument est élaboré et conclu dans le cadre d’un processus intergouvernemental. L’instrument peut être juridiquement contraignant ou non contraignant.</w:t>
      </w:r>
    </w:p>
    <w:p w14:paraId="4E09AB09" w14:textId="77777777" w:rsidR="00A43E0A" w:rsidRPr="00C95DDA" w:rsidRDefault="00A43E0A" w:rsidP="007241B5">
      <w:pPr>
        <w:pStyle w:val="Paragraphedeliste"/>
        <w:suppressLineNumbers/>
        <w:suppressAutoHyphens/>
        <w:kinsoku w:val="0"/>
        <w:overflowPunct w:val="0"/>
        <w:autoSpaceDE w:val="0"/>
        <w:autoSpaceDN w:val="0"/>
        <w:adjustRightInd w:val="0"/>
        <w:snapToGrid w:val="0"/>
        <w:spacing w:before="120" w:line="240" w:lineRule="auto"/>
        <w:ind w:left="0" w:firstLine="720"/>
        <w:contextualSpacing w:val="0"/>
        <w:rPr>
          <w:b/>
          <w:kern w:val="22"/>
          <w:szCs w:val="22"/>
          <w:lang w:val="fr-CA"/>
        </w:rPr>
      </w:pPr>
      <w:r w:rsidRPr="00C95DDA">
        <w:rPr>
          <w:bCs/>
          <w:kern w:val="22"/>
          <w:szCs w:val="22"/>
          <w:lang w:val="fr-CA"/>
        </w:rPr>
        <w:t>2.</w:t>
      </w:r>
      <w:r w:rsidRPr="00C95DDA">
        <w:rPr>
          <w:bCs/>
          <w:kern w:val="22"/>
          <w:szCs w:val="22"/>
          <w:lang w:val="fr-CA"/>
        </w:rPr>
        <w:tab/>
      </w:r>
      <w:r w:rsidRPr="00C95DDA">
        <w:rPr>
          <w:bCs/>
          <w:i/>
          <w:iCs/>
          <w:kern w:val="22"/>
          <w:szCs w:val="22"/>
          <w:lang w:val="fr-CA"/>
        </w:rPr>
        <w:t>Spécial</w:t>
      </w:r>
      <w:r w:rsidRPr="00C95DDA">
        <w:rPr>
          <w:kern w:val="22"/>
          <w:szCs w:val="22"/>
          <w:lang w:val="fr-CA"/>
        </w:rPr>
        <w:t xml:space="preserve"> — L’instrument </w:t>
      </w:r>
      <w:r w:rsidRPr="00C95DDA">
        <w:rPr>
          <w:bCs/>
          <w:i/>
          <w:iCs/>
          <w:kern w:val="22"/>
          <w:szCs w:val="22"/>
          <w:lang w:val="fr-CA"/>
        </w:rPr>
        <w:t>:</w:t>
      </w:r>
    </w:p>
    <w:p w14:paraId="63F360CB" w14:textId="77777777" w:rsidR="00A43E0A" w:rsidRPr="00C95DDA" w:rsidRDefault="00A43E0A" w:rsidP="00A43E0A">
      <w:pPr>
        <w:suppressLineNumbers/>
        <w:suppressAutoHyphens/>
        <w:kinsoku w:val="0"/>
        <w:overflowPunct w:val="0"/>
        <w:autoSpaceDE w:val="0"/>
        <w:autoSpaceDN w:val="0"/>
        <w:adjustRightInd w:val="0"/>
        <w:snapToGrid w:val="0"/>
        <w:spacing w:line="240" w:lineRule="auto"/>
        <w:ind w:firstLine="720"/>
        <w:rPr>
          <w:kern w:val="22"/>
          <w:szCs w:val="22"/>
          <w:lang w:val="fr-CA"/>
        </w:rPr>
      </w:pPr>
      <w:r w:rsidRPr="00C95DDA">
        <w:rPr>
          <w:kern w:val="22"/>
          <w:szCs w:val="22"/>
          <w:lang w:val="fr-CA"/>
        </w:rPr>
        <w:t>a)</w:t>
      </w:r>
      <w:r w:rsidRPr="00C95DDA">
        <w:rPr>
          <w:kern w:val="22"/>
          <w:szCs w:val="22"/>
          <w:lang w:val="fr-CA"/>
        </w:rPr>
        <w:tab/>
        <w:t>S’appliquerait à un ensemble spécifique de ressources génétiques et/ou de connaissances traditionnelles associées aux ressources génétiques, qui entrent dans le champ d’application du Protocole de Nagoya ;</w:t>
      </w:r>
    </w:p>
    <w:p w14:paraId="0AD53480" w14:textId="77777777" w:rsidR="00A43E0A" w:rsidRPr="00C95DDA" w:rsidRDefault="00A43E0A" w:rsidP="00A43E0A">
      <w:pPr>
        <w:suppressLineNumbers/>
        <w:suppressAutoHyphens/>
        <w:kinsoku w:val="0"/>
        <w:overflowPunct w:val="0"/>
        <w:autoSpaceDE w:val="0"/>
        <w:autoSpaceDN w:val="0"/>
        <w:adjustRightInd w:val="0"/>
        <w:snapToGrid w:val="0"/>
        <w:spacing w:line="240" w:lineRule="auto"/>
        <w:ind w:firstLine="720"/>
        <w:rPr>
          <w:kern w:val="22"/>
          <w:szCs w:val="22"/>
          <w:lang w:val="fr-CA"/>
        </w:rPr>
      </w:pPr>
      <w:r w:rsidRPr="00C95DDA">
        <w:rPr>
          <w:kern w:val="22"/>
          <w:szCs w:val="22"/>
          <w:lang w:val="fr-CA"/>
        </w:rPr>
        <w:t>b)</w:t>
      </w:r>
      <w:r w:rsidRPr="00C95DDA">
        <w:rPr>
          <w:kern w:val="22"/>
          <w:szCs w:val="22"/>
          <w:lang w:val="fr-CA"/>
        </w:rPr>
        <w:tab/>
        <w:t>S’appliquerait à des utilisations spécifiques de ressources génétiques et/ou de connaissances traditionnelles associées aux ressources génétiques, qui nécessitent une approche différenciée et, par conséquent, spéciale.</w:t>
      </w:r>
    </w:p>
    <w:p w14:paraId="304BC36E" w14:textId="77777777" w:rsidR="00A43E0A" w:rsidRPr="00C95DDA" w:rsidRDefault="00A43E0A" w:rsidP="007241B5">
      <w:pPr>
        <w:suppressLineNumbers/>
        <w:suppressAutoHyphens/>
        <w:kinsoku w:val="0"/>
        <w:overflowPunct w:val="0"/>
        <w:autoSpaceDE w:val="0"/>
        <w:autoSpaceDN w:val="0"/>
        <w:adjustRightInd w:val="0"/>
        <w:snapToGrid w:val="0"/>
        <w:spacing w:before="120" w:line="240" w:lineRule="auto"/>
        <w:ind w:firstLine="720"/>
        <w:rPr>
          <w:b/>
          <w:kern w:val="22"/>
          <w:szCs w:val="22"/>
          <w:lang w:val="fr-CA"/>
        </w:rPr>
      </w:pPr>
      <w:r w:rsidRPr="00C95DDA">
        <w:rPr>
          <w:bCs/>
          <w:kern w:val="22"/>
          <w:szCs w:val="22"/>
          <w:lang w:val="fr-CA"/>
        </w:rPr>
        <w:t>3.</w:t>
      </w:r>
      <w:r w:rsidRPr="00C95DDA">
        <w:rPr>
          <w:bCs/>
          <w:kern w:val="22"/>
          <w:szCs w:val="22"/>
          <w:lang w:val="fr-CA"/>
        </w:rPr>
        <w:tab/>
      </w:r>
      <w:r w:rsidRPr="00C95DDA">
        <w:rPr>
          <w:bCs/>
          <w:i/>
          <w:iCs/>
          <w:kern w:val="22"/>
          <w:szCs w:val="22"/>
          <w:lang w:val="fr-CA"/>
        </w:rPr>
        <w:t>Renforcement mutuel</w:t>
      </w:r>
      <w:r w:rsidRPr="00C95DDA">
        <w:rPr>
          <w:kern w:val="22"/>
          <w:szCs w:val="22"/>
          <w:lang w:val="fr-CA"/>
        </w:rPr>
        <w:t xml:space="preserve"> — L’instrument est complémentaire et compatible avec les objectifs de la Convention sur la diversité biologique et du Protocole de Nagoya, et ne va pas à l’encontre de ces objectifs, y compris en ce qui concerne les éléments suivants :</w:t>
      </w:r>
    </w:p>
    <w:p w14:paraId="65951DE3" w14:textId="77777777" w:rsidR="00A43E0A" w:rsidRPr="00C95DDA" w:rsidRDefault="00A43E0A" w:rsidP="00A43E0A">
      <w:pPr>
        <w:suppressLineNumbers/>
        <w:suppressAutoHyphens/>
        <w:kinsoku w:val="0"/>
        <w:overflowPunct w:val="0"/>
        <w:autoSpaceDE w:val="0"/>
        <w:autoSpaceDN w:val="0"/>
        <w:adjustRightInd w:val="0"/>
        <w:snapToGrid w:val="0"/>
        <w:spacing w:line="240" w:lineRule="auto"/>
        <w:ind w:firstLine="720"/>
        <w:rPr>
          <w:kern w:val="22"/>
          <w:szCs w:val="22"/>
          <w:lang w:val="fr-CA"/>
        </w:rPr>
      </w:pPr>
      <w:r w:rsidRPr="00C95DDA">
        <w:rPr>
          <w:kern w:val="22"/>
          <w:szCs w:val="22"/>
          <w:lang w:val="fr-CA"/>
        </w:rPr>
        <w:t>a)</w:t>
      </w:r>
      <w:r w:rsidRPr="00C95DDA">
        <w:rPr>
          <w:kern w:val="22"/>
          <w:szCs w:val="22"/>
          <w:lang w:val="fr-CA"/>
        </w:rPr>
        <w:tab/>
        <w:t>Compatibilité avec les objectifs de conservation et d’utilisation durable de la diversité biologique ;</w:t>
      </w:r>
    </w:p>
    <w:p w14:paraId="24A87FE2" w14:textId="77777777" w:rsidR="00A43E0A" w:rsidRPr="00C95DDA" w:rsidRDefault="00A43E0A" w:rsidP="00A43E0A">
      <w:pPr>
        <w:suppressLineNumbers/>
        <w:suppressAutoHyphens/>
        <w:kinsoku w:val="0"/>
        <w:overflowPunct w:val="0"/>
        <w:autoSpaceDE w:val="0"/>
        <w:autoSpaceDN w:val="0"/>
        <w:adjustRightInd w:val="0"/>
        <w:snapToGrid w:val="0"/>
        <w:spacing w:line="240" w:lineRule="auto"/>
        <w:ind w:firstLine="720"/>
        <w:rPr>
          <w:kern w:val="22"/>
          <w:szCs w:val="22"/>
          <w:lang w:val="fr-CA"/>
        </w:rPr>
      </w:pPr>
      <w:r w:rsidRPr="00C95DDA">
        <w:rPr>
          <w:kern w:val="22"/>
          <w:szCs w:val="22"/>
          <w:lang w:val="fr-CA"/>
        </w:rPr>
        <w:t>b)</w:t>
      </w:r>
      <w:r w:rsidRPr="00C95DDA">
        <w:rPr>
          <w:kern w:val="22"/>
          <w:szCs w:val="22"/>
          <w:lang w:val="fr-CA"/>
        </w:rPr>
        <w:tab/>
        <w:t>Justice et équité dans le cadre du partage des avantages ;</w:t>
      </w:r>
    </w:p>
    <w:p w14:paraId="6F3EC296" w14:textId="77777777" w:rsidR="00A43E0A" w:rsidRPr="00C95DDA" w:rsidRDefault="00A43E0A" w:rsidP="00A43E0A">
      <w:pPr>
        <w:suppressLineNumbers/>
        <w:suppressAutoHyphens/>
        <w:kinsoku w:val="0"/>
        <w:overflowPunct w:val="0"/>
        <w:autoSpaceDE w:val="0"/>
        <w:autoSpaceDN w:val="0"/>
        <w:adjustRightInd w:val="0"/>
        <w:snapToGrid w:val="0"/>
        <w:spacing w:line="240" w:lineRule="auto"/>
        <w:ind w:firstLine="720"/>
        <w:rPr>
          <w:kern w:val="22"/>
          <w:szCs w:val="22"/>
          <w:lang w:val="fr-CA"/>
        </w:rPr>
      </w:pPr>
      <w:r w:rsidRPr="00C95DDA">
        <w:rPr>
          <w:kern w:val="22"/>
          <w:szCs w:val="22"/>
          <w:lang w:val="fr-CA"/>
        </w:rPr>
        <w:t>c)</w:t>
      </w:r>
      <w:r w:rsidRPr="00C95DDA">
        <w:rPr>
          <w:kern w:val="22"/>
          <w:szCs w:val="22"/>
          <w:lang w:val="fr-CA"/>
        </w:rPr>
        <w:tab/>
        <w:t>Sécurité juridique en ce qui concerne l’accès aux ressources génétiques ou aux connaissances traditionnelles associées aux ressources génétiques et au partage des avantages ;</w:t>
      </w:r>
    </w:p>
    <w:p w14:paraId="55BBEB41" w14:textId="77777777" w:rsidR="00A43E0A" w:rsidRPr="00C95DDA" w:rsidRDefault="00A43E0A" w:rsidP="00A43E0A">
      <w:pPr>
        <w:suppressLineNumbers/>
        <w:suppressAutoHyphens/>
        <w:kinsoku w:val="0"/>
        <w:overflowPunct w:val="0"/>
        <w:autoSpaceDE w:val="0"/>
        <w:autoSpaceDN w:val="0"/>
        <w:adjustRightInd w:val="0"/>
        <w:snapToGrid w:val="0"/>
        <w:spacing w:line="240" w:lineRule="auto"/>
        <w:ind w:firstLine="720"/>
        <w:rPr>
          <w:kern w:val="22"/>
          <w:szCs w:val="22"/>
          <w:lang w:val="fr-CA"/>
        </w:rPr>
      </w:pPr>
      <w:r w:rsidRPr="00C95DDA">
        <w:rPr>
          <w:kern w:val="22"/>
          <w:szCs w:val="22"/>
          <w:lang w:val="fr-CA"/>
        </w:rPr>
        <w:t>d)</w:t>
      </w:r>
      <w:r w:rsidRPr="00C95DDA">
        <w:rPr>
          <w:kern w:val="22"/>
          <w:szCs w:val="22"/>
          <w:lang w:val="fr-CA"/>
        </w:rPr>
        <w:tab/>
        <w:t>Contribution au développement durable, tel que consacré dans les objectifs convenus au niveau international ;</w:t>
      </w:r>
    </w:p>
    <w:p w14:paraId="02C44DA7" w14:textId="253CF2B5" w:rsidR="00682B7B" w:rsidRPr="00A43E0A" w:rsidRDefault="00A43E0A" w:rsidP="00A43E0A">
      <w:pPr>
        <w:suppressLineNumbers/>
        <w:suppressAutoHyphens/>
        <w:kinsoku w:val="0"/>
        <w:overflowPunct w:val="0"/>
        <w:autoSpaceDE w:val="0"/>
        <w:autoSpaceDN w:val="0"/>
        <w:adjustRightInd w:val="0"/>
        <w:snapToGrid w:val="0"/>
        <w:spacing w:before="120" w:line="240" w:lineRule="auto"/>
        <w:ind w:firstLine="720"/>
        <w:rPr>
          <w:szCs w:val="22"/>
          <w:lang w:val="fr-CA"/>
        </w:rPr>
      </w:pPr>
      <w:r w:rsidRPr="00C95DDA">
        <w:rPr>
          <w:kern w:val="22"/>
          <w:szCs w:val="22"/>
          <w:lang w:val="fr-CA"/>
        </w:rPr>
        <w:t>e)</w:t>
      </w:r>
      <w:r w:rsidRPr="00C95DDA">
        <w:rPr>
          <w:kern w:val="22"/>
          <w:szCs w:val="22"/>
          <w:lang w:val="fr-CA"/>
        </w:rPr>
        <w:tab/>
        <w:t>D’autres principes généraux du droit international, y compris la bonne foi, l’efficacité et les attentes légitimes</w:t>
      </w:r>
      <w:r w:rsidR="00682B7B" w:rsidRPr="00A43E0A">
        <w:rPr>
          <w:kern w:val="22"/>
          <w:szCs w:val="22"/>
          <w:lang w:val="fr-CA"/>
        </w:rPr>
        <w:t>.</w:t>
      </w:r>
    </w:p>
    <w:p w14:paraId="4B8D70A0" w14:textId="77777777" w:rsidR="00682B7B" w:rsidRPr="00A43E0A" w:rsidRDefault="00682B7B" w:rsidP="000C6220">
      <w:pPr>
        <w:spacing w:before="120" w:line="240" w:lineRule="auto"/>
        <w:jc w:val="left"/>
        <w:rPr>
          <w:rFonts w:ascii="Times New Roman Bold" w:hAnsi="Times New Roman Bold" w:cs="Times New Roman Bold" w:hint="eastAsia"/>
          <w:b/>
          <w:bCs/>
          <w:caps/>
          <w:snapToGrid w:val="0"/>
          <w:kern w:val="22"/>
          <w:szCs w:val="22"/>
          <w:lang w:val="fr-CA"/>
        </w:rPr>
      </w:pPr>
      <w:r w:rsidRPr="00A43E0A">
        <w:rPr>
          <w:rFonts w:hint="eastAsia"/>
          <w:lang w:val="fr-CA"/>
        </w:rPr>
        <w:br w:type="page"/>
      </w:r>
    </w:p>
    <w:p w14:paraId="01C9E0B7" w14:textId="15555FD2" w:rsidR="00682B7B" w:rsidRPr="00A77CF6" w:rsidRDefault="00682B7B" w:rsidP="000C6220">
      <w:pPr>
        <w:pStyle w:val="recommendationheader"/>
        <w:spacing w:line="240" w:lineRule="auto"/>
        <w:rPr>
          <w:snapToGrid w:val="0"/>
          <w:lang w:val="fr-CA"/>
        </w:rPr>
      </w:pPr>
      <w:bookmarkStart w:id="16" w:name="_Toc256215"/>
      <w:r w:rsidRPr="00A77CF6">
        <w:rPr>
          <w:snapToGrid w:val="0"/>
          <w:lang w:val="fr-CA"/>
        </w:rPr>
        <w:lastRenderedPageBreak/>
        <w:t>3/15.</w:t>
      </w:r>
      <w:r w:rsidRPr="00A77CF6">
        <w:rPr>
          <w:snapToGrid w:val="0"/>
          <w:lang w:val="fr-CA"/>
        </w:rPr>
        <w:tab/>
      </w:r>
      <w:bookmarkEnd w:id="16"/>
      <w:r w:rsidR="00A77CF6" w:rsidRPr="00A77CF6">
        <w:rPr>
          <w:snapToGrid w:val="0"/>
          <w:lang w:val="fr-CA"/>
        </w:rPr>
        <w:t>P</w:t>
      </w:r>
      <w:r w:rsidR="00A77CF6">
        <w:rPr>
          <w:snapToGrid w:val="0"/>
          <w:lang w:val="fr-CA"/>
        </w:rPr>
        <w:t>réparation du suivi d</w:t>
      </w:r>
      <w:r w:rsidR="00A77CF6" w:rsidRPr="00A77CF6">
        <w:rPr>
          <w:snapToGrid w:val="0"/>
          <w:lang w:val="fr-CA"/>
        </w:rPr>
        <w:t>u Plan stratégique pour la diversité biologique 2011-2020</w:t>
      </w:r>
    </w:p>
    <w:p w14:paraId="5DED1786" w14:textId="77777777" w:rsidR="00A77CF6" w:rsidRPr="0046456A" w:rsidRDefault="00A77CF6" w:rsidP="00A77CF6">
      <w:pPr>
        <w:suppressLineNumbers/>
        <w:suppressAutoHyphens/>
        <w:kinsoku w:val="0"/>
        <w:overflowPunct w:val="0"/>
        <w:autoSpaceDE w:val="0"/>
        <w:autoSpaceDN w:val="0"/>
        <w:adjustRightInd w:val="0"/>
        <w:snapToGrid w:val="0"/>
        <w:spacing w:before="120" w:line="240" w:lineRule="auto"/>
        <w:ind w:firstLine="720"/>
        <w:rPr>
          <w:i/>
          <w:snapToGrid w:val="0"/>
          <w:color w:val="000000" w:themeColor="text1"/>
          <w:kern w:val="22"/>
          <w:szCs w:val="22"/>
          <w:lang w:val="fr-CA"/>
        </w:rPr>
      </w:pPr>
      <w:r w:rsidRPr="003F0B0F">
        <w:rPr>
          <w:i/>
          <w:spacing w:val="-1"/>
          <w:kern w:val="22"/>
          <w:lang w:val="fr-CA"/>
        </w:rPr>
        <w:t>La Conférence des Parties siégeant en tant que réunion des Parties au Protocole de Nagoya</w:t>
      </w:r>
      <w:r w:rsidRPr="0046456A">
        <w:rPr>
          <w:i/>
          <w:snapToGrid w:val="0"/>
          <w:color w:val="000000" w:themeColor="text1"/>
          <w:kern w:val="22"/>
          <w:szCs w:val="22"/>
          <w:lang w:val="fr-CA"/>
        </w:rPr>
        <w:t xml:space="preserve"> </w:t>
      </w:r>
      <w:r>
        <w:rPr>
          <w:i/>
          <w:snapToGrid w:val="0"/>
          <w:color w:val="000000" w:themeColor="text1"/>
          <w:kern w:val="22"/>
          <w:szCs w:val="22"/>
          <w:lang w:val="fr-CA"/>
        </w:rPr>
        <w:t>sur l’accès et le partage des avantages</w:t>
      </w:r>
    </w:p>
    <w:p w14:paraId="6BAC6AEF" w14:textId="77777777" w:rsidR="00A77CF6" w:rsidRPr="00AE5254" w:rsidRDefault="00A77CF6" w:rsidP="00A77CF6">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fr-CA"/>
        </w:rPr>
      </w:pPr>
      <w:r w:rsidRPr="0046456A">
        <w:rPr>
          <w:snapToGrid w:val="0"/>
          <w:color w:val="000000" w:themeColor="text1"/>
          <w:kern w:val="22"/>
          <w:szCs w:val="22"/>
          <w:lang w:val="fr-CA"/>
        </w:rPr>
        <w:t>1.</w:t>
      </w:r>
      <w:r w:rsidRPr="0046456A">
        <w:rPr>
          <w:snapToGrid w:val="0"/>
          <w:color w:val="000000" w:themeColor="text1"/>
          <w:kern w:val="22"/>
          <w:szCs w:val="22"/>
          <w:lang w:val="fr-CA"/>
        </w:rPr>
        <w:tab/>
      </w:r>
      <w:r w:rsidRPr="00AE5254">
        <w:rPr>
          <w:i/>
          <w:iCs/>
          <w:snapToGrid w:val="0"/>
          <w:kern w:val="22"/>
          <w:szCs w:val="22"/>
          <w:lang w:val="fr-CA"/>
        </w:rPr>
        <w:t>Prend note</w:t>
      </w:r>
      <w:r w:rsidRPr="00AE5254">
        <w:rPr>
          <w:snapToGrid w:val="0"/>
          <w:kern w:val="22"/>
          <w:szCs w:val="22"/>
          <w:lang w:val="fr-CA"/>
        </w:rPr>
        <w:t xml:space="preserve"> de la propositio</w:t>
      </w:r>
      <w:r>
        <w:rPr>
          <w:snapToGrid w:val="0"/>
          <w:kern w:val="22"/>
          <w:szCs w:val="22"/>
          <w:lang w:val="fr-CA"/>
        </w:rPr>
        <w:t>n de processus préparatoire du C</w:t>
      </w:r>
      <w:r w:rsidRPr="00AE5254">
        <w:rPr>
          <w:snapToGrid w:val="0"/>
          <w:kern w:val="22"/>
          <w:szCs w:val="22"/>
          <w:lang w:val="fr-CA"/>
        </w:rPr>
        <w:t>adre mondial de la biodiversité pour l</w:t>
      </w:r>
      <w:r>
        <w:rPr>
          <w:snapToGrid w:val="0"/>
          <w:kern w:val="22"/>
          <w:szCs w:val="22"/>
          <w:lang w:val="fr-CA"/>
        </w:rPr>
        <w:t>’</w:t>
      </w:r>
      <w:r w:rsidRPr="00AE5254">
        <w:rPr>
          <w:snapToGrid w:val="0"/>
          <w:kern w:val="22"/>
          <w:szCs w:val="22"/>
          <w:lang w:val="fr-CA"/>
        </w:rPr>
        <w:t>après</w:t>
      </w:r>
      <w:r>
        <w:rPr>
          <w:snapToGrid w:val="0"/>
          <w:kern w:val="22"/>
          <w:szCs w:val="22"/>
          <w:lang w:val="fr-CA"/>
        </w:rPr>
        <w:noBreakHyphen/>
      </w:r>
      <w:r w:rsidRPr="00AE5254">
        <w:rPr>
          <w:snapToGrid w:val="0"/>
          <w:kern w:val="22"/>
          <w:szCs w:val="22"/>
          <w:lang w:val="fr-CA"/>
        </w:rPr>
        <w:t>2020 qui donnera suite au Plan stratégique pour la diversité biologique</w:t>
      </w:r>
      <w:r>
        <w:rPr>
          <w:snapToGrid w:val="0"/>
          <w:kern w:val="22"/>
          <w:szCs w:val="22"/>
          <w:lang w:val="fr-CA"/>
        </w:rPr>
        <w:t xml:space="preserve"> 2011-2020</w:t>
      </w:r>
      <w:r w:rsidRPr="00AE5254">
        <w:rPr>
          <w:snapToGrid w:val="0"/>
          <w:kern w:val="22"/>
          <w:szCs w:val="22"/>
          <w:lang w:val="fr-CA"/>
        </w:rPr>
        <w:t xml:space="preserve">, et </w:t>
      </w:r>
      <w:r w:rsidRPr="00AE5254">
        <w:rPr>
          <w:i/>
          <w:iCs/>
          <w:snapToGrid w:val="0"/>
          <w:kern w:val="22"/>
          <w:szCs w:val="22"/>
          <w:lang w:val="fr-CA"/>
        </w:rPr>
        <w:t>accueille avec satisfaction</w:t>
      </w:r>
      <w:r w:rsidRPr="00AE5254">
        <w:rPr>
          <w:snapToGrid w:val="0"/>
          <w:kern w:val="22"/>
          <w:szCs w:val="22"/>
          <w:lang w:val="fr-CA"/>
        </w:rPr>
        <w:t xml:space="preserve"> la décision 14/</w:t>
      </w:r>
      <w:r>
        <w:rPr>
          <w:snapToGrid w:val="0"/>
          <w:kern w:val="22"/>
          <w:szCs w:val="22"/>
          <w:lang w:val="fr-CA"/>
        </w:rPr>
        <w:t>34 de la Conférence des Parties;</w:t>
      </w:r>
    </w:p>
    <w:p w14:paraId="508F4B4F" w14:textId="77777777" w:rsidR="00A77CF6" w:rsidRPr="00AE5254" w:rsidRDefault="00A77CF6" w:rsidP="00A77CF6">
      <w:pPr>
        <w:suppressLineNumbers/>
        <w:suppressAutoHyphens/>
        <w:kinsoku w:val="0"/>
        <w:overflowPunct w:val="0"/>
        <w:autoSpaceDE w:val="0"/>
        <w:autoSpaceDN w:val="0"/>
        <w:adjustRightInd w:val="0"/>
        <w:snapToGrid w:val="0"/>
        <w:spacing w:before="120" w:line="240" w:lineRule="auto"/>
        <w:ind w:firstLine="720"/>
        <w:rPr>
          <w:snapToGrid w:val="0"/>
          <w:kern w:val="22"/>
          <w:szCs w:val="22"/>
          <w:lang w:val="fr-CA"/>
        </w:rPr>
      </w:pPr>
      <w:r w:rsidRPr="00AE5254">
        <w:rPr>
          <w:snapToGrid w:val="0"/>
          <w:kern w:val="22"/>
          <w:szCs w:val="22"/>
          <w:lang w:val="fr-CA"/>
        </w:rPr>
        <w:t>2.</w:t>
      </w:r>
      <w:r w:rsidRPr="00AE5254">
        <w:rPr>
          <w:snapToGrid w:val="0"/>
          <w:kern w:val="22"/>
          <w:szCs w:val="22"/>
          <w:lang w:val="fr-CA"/>
        </w:rPr>
        <w:tab/>
      </w:r>
      <w:r w:rsidRPr="00483F5A">
        <w:rPr>
          <w:i/>
          <w:snapToGrid w:val="0"/>
          <w:kern w:val="22"/>
          <w:szCs w:val="22"/>
          <w:lang w:val="fr-CA"/>
        </w:rPr>
        <w:t>Encourage</w:t>
      </w:r>
      <w:r>
        <w:rPr>
          <w:snapToGrid w:val="0"/>
          <w:kern w:val="22"/>
          <w:szCs w:val="22"/>
          <w:lang w:val="fr-CA"/>
        </w:rPr>
        <w:t xml:space="preserve"> les Parties à prendre des mesures pour améliorer l’application du Protocole de Nagoya sur l’accès et le partage des avantages dans le contexte du Cadre mondial de la biodiversité pour l’après-2020;</w:t>
      </w:r>
    </w:p>
    <w:p w14:paraId="2448F28A" w14:textId="77777777" w:rsidR="00A77CF6" w:rsidRPr="0046456A" w:rsidRDefault="00A77CF6" w:rsidP="00A77CF6">
      <w:pPr>
        <w:suppressLineNumbers/>
        <w:suppressAutoHyphens/>
        <w:kinsoku w:val="0"/>
        <w:overflowPunct w:val="0"/>
        <w:autoSpaceDE w:val="0"/>
        <w:autoSpaceDN w:val="0"/>
        <w:adjustRightInd w:val="0"/>
        <w:snapToGrid w:val="0"/>
        <w:spacing w:before="120" w:line="240" w:lineRule="auto"/>
        <w:ind w:firstLine="720"/>
        <w:rPr>
          <w:snapToGrid w:val="0"/>
          <w:color w:val="000000" w:themeColor="text1"/>
          <w:kern w:val="22"/>
          <w:szCs w:val="22"/>
          <w:lang w:val="fr-CA"/>
        </w:rPr>
      </w:pPr>
      <w:r w:rsidRPr="00AE5254">
        <w:rPr>
          <w:snapToGrid w:val="0"/>
          <w:kern w:val="22"/>
          <w:szCs w:val="22"/>
          <w:lang w:val="fr-CA"/>
        </w:rPr>
        <w:t>3.</w:t>
      </w:r>
      <w:r w:rsidRPr="00AE5254">
        <w:rPr>
          <w:snapToGrid w:val="0"/>
          <w:kern w:val="22"/>
          <w:szCs w:val="22"/>
          <w:lang w:val="fr-CA"/>
        </w:rPr>
        <w:tab/>
      </w:r>
      <w:r w:rsidRPr="00AE5254">
        <w:rPr>
          <w:i/>
          <w:iCs/>
          <w:snapToGrid w:val="0"/>
          <w:kern w:val="22"/>
          <w:szCs w:val="22"/>
          <w:lang w:val="fr-CA"/>
        </w:rPr>
        <w:t>Invite</w:t>
      </w:r>
      <w:r w:rsidRPr="00AE5254">
        <w:rPr>
          <w:snapToGrid w:val="0"/>
          <w:kern w:val="22"/>
          <w:szCs w:val="22"/>
          <w:lang w:val="fr-CA"/>
        </w:rPr>
        <w:t xml:space="preserve"> les Parties à participer au processus d</w:t>
      </w:r>
      <w:r>
        <w:rPr>
          <w:snapToGrid w:val="0"/>
          <w:kern w:val="22"/>
          <w:szCs w:val="22"/>
          <w:lang w:val="fr-CA"/>
        </w:rPr>
        <w:t>’élaboration du C</w:t>
      </w:r>
      <w:r w:rsidRPr="00AE5254">
        <w:rPr>
          <w:snapToGrid w:val="0"/>
          <w:kern w:val="22"/>
          <w:szCs w:val="22"/>
          <w:lang w:val="fr-CA"/>
        </w:rPr>
        <w:t>adre mondial de la biodiversité pour l</w:t>
      </w:r>
      <w:r>
        <w:rPr>
          <w:snapToGrid w:val="0"/>
          <w:kern w:val="22"/>
          <w:szCs w:val="22"/>
          <w:lang w:val="fr-CA"/>
        </w:rPr>
        <w:t>’</w:t>
      </w:r>
      <w:r w:rsidRPr="00AE5254">
        <w:rPr>
          <w:snapToGrid w:val="0"/>
          <w:kern w:val="22"/>
          <w:szCs w:val="22"/>
          <w:lang w:val="fr-CA"/>
        </w:rPr>
        <w:t>après</w:t>
      </w:r>
      <w:r>
        <w:rPr>
          <w:snapToGrid w:val="0"/>
          <w:kern w:val="22"/>
          <w:szCs w:val="22"/>
          <w:lang w:val="fr-CA"/>
        </w:rPr>
        <w:noBreakHyphen/>
      </w:r>
      <w:r w:rsidRPr="00AE5254">
        <w:rPr>
          <w:snapToGrid w:val="0"/>
          <w:kern w:val="22"/>
          <w:szCs w:val="22"/>
          <w:lang w:val="fr-CA"/>
        </w:rPr>
        <w:t>2020</w:t>
      </w:r>
      <w:r>
        <w:rPr>
          <w:snapToGrid w:val="0"/>
          <w:kern w:val="22"/>
          <w:szCs w:val="22"/>
          <w:lang w:val="fr-CA"/>
        </w:rPr>
        <w:t>;</w:t>
      </w:r>
    </w:p>
    <w:p w14:paraId="1D8D4DA2" w14:textId="77777777" w:rsidR="00A77CF6" w:rsidRPr="0046456A" w:rsidRDefault="00A77CF6" w:rsidP="00A77CF6">
      <w:pPr>
        <w:suppressLineNumbers/>
        <w:shd w:val="clear" w:color="auto" w:fill="FFFFFF" w:themeFill="background1"/>
        <w:suppressAutoHyphens/>
        <w:kinsoku w:val="0"/>
        <w:overflowPunct w:val="0"/>
        <w:autoSpaceDE w:val="0"/>
        <w:autoSpaceDN w:val="0"/>
        <w:adjustRightInd w:val="0"/>
        <w:snapToGrid w:val="0"/>
        <w:spacing w:before="120" w:line="240" w:lineRule="auto"/>
        <w:ind w:firstLine="720"/>
        <w:rPr>
          <w:i/>
          <w:snapToGrid w:val="0"/>
          <w:color w:val="000000" w:themeColor="text1"/>
          <w:kern w:val="22"/>
          <w:szCs w:val="22"/>
          <w:lang w:val="fr-CA"/>
        </w:rPr>
      </w:pPr>
      <w:r w:rsidRPr="0046456A">
        <w:rPr>
          <w:snapToGrid w:val="0"/>
          <w:color w:val="000000" w:themeColor="text1"/>
          <w:kern w:val="22"/>
          <w:szCs w:val="22"/>
          <w:lang w:val="fr-CA"/>
        </w:rPr>
        <w:t>4.</w:t>
      </w:r>
      <w:r w:rsidRPr="0046456A">
        <w:rPr>
          <w:i/>
          <w:snapToGrid w:val="0"/>
          <w:color w:val="000000" w:themeColor="text1"/>
          <w:kern w:val="22"/>
          <w:szCs w:val="22"/>
          <w:lang w:val="fr-CA"/>
        </w:rPr>
        <w:tab/>
      </w:r>
      <w:r w:rsidRPr="00AE5254">
        <w:rPr>
          <w:i/>
          <w:snapToGrid w:val="0"/>
          <w:kern w:val="22"/>
          <w:szCs w:val="22"/>
          <w:lang w:val="fr-CA"/>
        </w:rPr>
        <w:t xml:space="preserve">Recommande </w:t>
      </w:r>
      <w:r w:rsidRPr="00AE5254">
        <w:rPr>
          <w:snapToGrid w:val="0"/>
          <w:kern w:val="22"/>
          <w:szCs w:val="22"/>
          <w:lang w:val="fr-CA"/>
        </w:rPr>
        <w:t>que les conclusions sur les questions d</w:t>
      </w:r>
      <w:r>
        <w:rPr>
          <w:snapToGrid w:val="0"/>
          <w:kern w:val="22"/>
          <w:szCs w:val="22"/>
          <w:lang w:val="fr-CA"/>
        </w:rPr>
        <w:t>’</w:t>
      </w:r>
      <w:r w:rsidRPr="00AE5254">
        <w:rPr>
          <w:snapToGrid w:val="0"/>
          <w:kern w:val="22"/>
          <w:szCs w:val="22"/>
          <w:lang w:val="fr-CA"/>
        </w:rPr>
        <w:t>ordre général en matière de conformité</w:t>
      </w:r>
      <w:r w:rsidRPr="00A77CF6">
        <w:rPr>
          <w:rStyle w:val="Appelnotedebasdep"/>
          <w:rFonts w:eastAsiaTheme="majorEastAsia"/>
          <w:snapToGrid w:val="0"/>
          <w:kern w:val="22"/>
          <w:szCs w:val="22"/>
          <w:u w:val="none"/>
          <w:vertAlign w:val="superscript"/>
          <w:lang w:val="fr-CA"/>
        </w:rPr>
        <w:footnoteReference w:id="26"/>
      </w:r>
      <w:r w:rsidRPr="00A77CF6">
        <w:rPr>
          <w:snapToGrid w:val="0"/>
          <w:kern w:val="22"/>
          <w:szCs w:val="22"/>
          <w:vertAlign w:val="superscript"/>
          <w:lang w:val="fr-CA"/>
        </w:rPr>
        <w:t xml:space="preserve"> </w:t>
      </w:r>
      <w:r>
        <w:rPr>
          <w:snapToGrid w:val="0"/>
          <w:kern w:val="22"/>
          <w:szCs w:val="22"/>
          <w:lang w:val="fr-CA"/>
        </w:rPr>
        <w:t>ainsi que les résultats du premier exercice d’évaluation et d’examen de l’efficacité du Protocole, tels que figurant dans la décision </w:t>
      </w:r>
      <w:r w:rsidRPr="0046456A">
        <w:rPr>
          <w:color w:val="000000" w:themeColor="text1"/>
          <w:kern w:val="22"/>
          <w:szCs w:val="22"/>
          <w:lang w:val="fr-CA" w:eastAsia="es-MX"/>
        </w:rPr>
        <w:t>NP</w:t>
      </w:r>
      <w:r>
        <w:rPr>
          <w:color w:val="000000" w:themeColor="text1"/>
          <w:kern w:val="22"/>
          <w:szCs w:val="22"/>
          <w:lang w:val="fr-CA" w:eastAsia="es-MX"/>
        </w:rPr>
        <w:noBreakHyphen/>
      </w:r>
      <w:r w:rsidRPr="0046456A">
        <w:rPr>
          <w:color w:val="000000" w:themeColor="text1"/>
          <w:kern w:val="22"/>
          <w:szCs w:val="22"/>
          <w:lang w:val="fr-CA" w:eastAsia="es-MX"/>
        </w:rPr>
        <w:t>3/</w:t>
      </w:r>
      <w:r>
        <w:rPr>
          <w:color w:val="000000" w:themeColor="text1"/>
          <w:kern w:val="22"/>
          <w:szCs w:val="22"/>
          <w:lang w:val="fr-CA" w:eastAsia="es-MX"/>
        </w:rPr>
        <w:t>1</w:t>
      </w:r>
      <w:r w:rsidRPr="0046456A">
        <w:rPr>
          <w:color w:val="000000" w:themeColor="text1"/>
          <w:kern w:val="22"/>
          <w:szCs w:val="22"/>
          <w:lang w:val="fr-CA" w:eastAsia="es-MX"/>
        </w:rPr>
        <w:t xml:space="preserve">, </w:t>
      </w:r>
      <w:r>
        <w:rPr>
          <w:snapToGrid w:val="0"/>
          <w:kern w:val="22"/>
          <w:szCs w:val="22"/>
          <w:lang w:val="fr-CA"/>
        </w:rPr>
        <w:t>soient pris</w:t>
      </w:r>
      <w:r w:rsidRPr="00AE5254">
        <w:rPr>
          <w:snapToGrid w:val="0"/>
          <w:kern w:val="22"/>
          <w:szCs w:val="22"/>
          <w:lang w:val="fr-CA"/>
        </w:rPr>
        <w:t xml:space="preserve"> en considération dans le contexte du </w:t>
      </w:r>
      <w:r>
        <w:rPr>
          <w:snapToGrid w:val="0"/>
          <w:kern w:val="22"/>
          <w:szCs w:val="22"/>
          <w:lang w:val="fr-CA"/>
        </w:rPr>
        <w:t>Cadre mondial de de la biodiversité pour l’après-2020;</w:t>
      </w:r>
    </w:p>
    <w:p w14:paraId="3C308BD6" w14:textId="50E80DDA" w:rsidR="00682B7B" w:rsidRPr="00A77CF6" w:rsidRDefault="00A77CF6" w:rsidP="00A77CF6">
      <w:pPr>
        <w:suppressLineNumbers/>
        <w:suppressAutoHyphens/>
        <w:kinsoku w:val="0"/>
        <w:overflowPunct w:val="0"/>
        <w:autoSpaceDE w:val="0"/>
        <w:autoSpaceDN w:val="0"/>
        <w:adjustRightInd w:val="0"/>
        <w:snapToGrid w:val="0"/>
        <w:spacing w:before="120" w:line="240" w:lineRule="auto"/>
        <w:ind w:firstLine="720"/>
        <w:rPr>
          <w:color w:val="000000" w:themeColor="text1"/>
          <w:kern w:val="22"/>
          <w:lang w:val="fr-CA"/>
        </w:rPr>
      </w:pPr>
      <w:r w:rsidRPr="0046456A">
        <w:rPr>
          <w:snapToGrid w:val="0"/>
          <w:color w:val="000000" w:themeColor="text1"/>
          <w:kern w:val="22"/>
          <w:szCs w:val="22"/>
          <w:lang w:val="fr-CA"/>
        </w:rPr>
        <w:t>5.</w:t>
      </w:r>
      <w:r w:rsidRPr="0046456A">
        <w:rPr>
          <w:i/>
          <w:snapToGrid w:val="0"/>
          <w:color w:val="000000" w:themeColor="text1"/>
          <w:kern w:val="22"/>
          <w:szCs w:val="22"/>
          <w:lang w:val="fr-CA"/>
        </w:rPr>
        <w:tab/>
      </w:r>
      <w:r w:rsidRPr="00AE5254">
        <w:rPr>
          <w:i/>
          <w:snapToGrid w:val="0"/>
          <w:kern w:val="22"/>
          <w:szCs w:val="22"/>
          <w:lang w:val="fr-CA"/>
        </w:rPr>
        <w:t>Demande</w:t>
      </w:r>
      <w:r w:rsidRPr="00AE5254">
        <w:rPr>
          <w:snapToGrid w:val="0"/>
          <w:kern w:val="22"/>
          <w:szCs w:val="22"/>
          <w:lang w:val="fr-CA"/>
        </w:rPr>
        <w:t xml:space="preserve"> que le Comité de conformité examine, à sa prochaine réunion, des moyens de soutenir et d</w:t>
      </w:r>
      <w:r>
        <w:rPr>
          <w:snapToGrid w:val="0"/>
          <w:kern w:val="22"/>
          <w:szCs w:val="22"/>
          <w:lang w:val="fr-CA"/>
        </w:rPr>
        <w:t>’</w:t>
      </w:r>
      <w:r w:rsidRPr="00AE5254">
        <w:rPr>
          <w:snapToGrid w:val="0"/>
          <w:kern w:val="22"/>
          <w:szCs w:val="22"/>
          <w:lang w:val="fr-CA"/>
        </w:rPr>
        <w:t xml:space="preserve">encourager la conformité au Protocole de Nagoya dans le contexte du </w:t>
      </w:r>
      <w:r>
        <w:rPr>
          <w:snapToGrid w:val="0"/>
          <w:kern w:val="22"/>
          <w:szCs w:val="22"/>
          <w:lang w:val="fr-CA"/>
        </w:rPr>
        <w:t>C</w:t>
      </w:r>
      <w:r w:rsidRPr="00AE5254">
        <w:rPr>
          <w:snapToGrid w:val="0"/>
          <w:kern w:val="22"/>
          <w:szCs w:val="22"/>
          <w:lang w:val="fr-CA"/>
        </w:rPr>
        <w:t>adre mondial de la biodiversité pour l</w:t>
      </w:r>
      <w:r>
        <w:rPr>
          <w:snapToGrid w:val="0"/>
          <w:kern w:val="22"/>
          <w:szCs w:val="22"/>
          <w:lang w:val="fr-CA"/>
        </w:rPr>
        <w:t>’</w:t>
      </w:r>
      <w:r w:rsidRPr="00AE5254">
        <w:rPr>
          <w:snapToGrid w:val="0"/>
          <w:kern w:val="22"/>
          <w:szCs w:val="22"/>
          <w:lang w:val="fr-CA"/>
        </w:rPr>
        <w:t>après</w:t>
      </w:r>
      <w:r>
        <w:rPr>
          <w:snapToGrid w:val="0"/>
          <w:kern w:val="22"/>
          <w:szCs w:val="22"/>
          <w:lang w:val="fr-CA"/>
        </w:rPr>
        <w:noBreakHyphen/>
      </w:r>
      <w:r w:rsidRPr="00AE5254">
        <w:rPr>
          <w:snapToGrid w:val="0"/>
          <w:kern w:val="22"/>
          <w:szCs w:val="22"/>
          <w:lang w:val="fr-CA"/>
        </w:rPr>
        <w:t>2020</w:t>
      </w:r>
      <w:r w:rsidR="00682B7B" w:rsidRPr="00A77CF6">
        <w:rPr>
          <w:snapToGrid w:val="0"/>
          <w:color w:val="000000" w:themeColor="text1"/>
          <w:kern w:val="22"/>
          <w:szCs w:val="22"/>
          <w:lang w:val="fr-CA"/>
        </w:rPr>
        <w:t>.</w:t>
      </w:r>
    </w:p>
    <w:p w14:paraId="2790C1EB" w14:textId="77777777" w:rsidR="00682B7B" w:rsidRPr="00A77CF6" w:rsidRDefault="00682B7B" w:rsidP="000C6220">
      <w:pPr>
        <w:spacing w:before="120" w:line="240" w:lineRule="auto"/>
        <w:jc w:val="left"/>
        <w:rPr>
          <w:rFonts w:ascii="Times New Roman Bold" w:hAnsi="Times New Roman Bold" w:cs="Times New Roman Bold" w:hint="eastAsia"/>
          <w:b/>
          <w:bCs/>
          <w:caps/>
          <w:snapToGrid w:val="0"/>
          <w:kern w:val="22"/>
          <w:szCs w:val="22"/>
          <w:lang w:val="fr-CA"/>
        </w:rPr>
      </w:pPr>
      <w:r w:rsidRPr="00A77CF6">
        <w:rPr>
          <w:rFonts w:hint="eastAsia"/>
          <w:lang w:val="fr-CA"/>
        </w:rPr>
        <w:br w:type="page"/>
      </w:r>
    </w:p>
    <w:p w14:paraId="1F9F53AB" w14:textId="22FDDE78" w:rsidR="00682B7B" w:rsidRPr="00516F46" w:rsidRDefault="00516F46" w:rsidP="000C6220">
      <w:pPr>
        <w:pStyle w:val="recommendationheader"/>
        <w:spacing w:line="240" w:lineRule="auto"/>
        <w:rPr>
          <w:szCs w:val="22"/>
          <w:lang w:val="fr-CA"/>
        </w:rPr>
      </w:pPr>
      <w:bookmarkStart w:id="17" w:name="_Toc256216"/>
      <w:r w:rsidRPr="00852E3F">
        <w:rPr>
          <w:szCs w:val="22"/>
          <w:lang w:val="fr-CA"/>
        </w:rPr>
        <w:lastRenderedPageBreak/>
        <w:t>3/16.</w:t>
      </w:r>
      <w:r w:rsidRPr="00852E3F">
        <w:rPr>
          <w:szCs w:val="22"/>
          <w:lang w:val="fr-CA"/>
        </w:rPr>
        <w:tab/>
      </w:r>
      <w:r w:rsidRPr="00516F46">
        <w:rPr>
          <w:szCs w:val="22"/>
          <w:lang w:val="fr-CA"/>
        </w:rPr>
        <w:t xml:space="preserve">Budget du programme de travail intégré du Secrétariat </w:t>
      </w:r>
      <w:bookmarkEnd w:id="17"/>
    </w:p>
    <w:p w14:paraId="203DCE04" w14:textId="77777777" w:rsidR="00516F46" w:rsidRPr="00D32EC0" w:rsidRDefault="00516F46" w:rsidP="00516F46">
      <w:pPr>
        <w:shd w:val="clear" w:color="auto" w:fill="FFFFFF" w:themeFill="background1"/>
        <w:spacing w:before="120" w:line="240" w:lineRule="auto"/>
        <w:ind w:firstLine="720"/>
        <w:rPr>
          <w:iCs/>
          <w:kern w:val="22"/>
          <w:lang w:val="fr-CA"/>
        </w:rPr>
      </w:pPr>
      <w:r w:rsidRPr="00D32EC0">
        <w:rPr>
          <w:i/>
          <w:kern w:val="22"/>
          <w:szCs w:val="22"/>
          <w:lang w:val="fr-CA"/>
        </w:rPr>
        <w:t>La Conférence des Parties siégeant en tant que réunion des Parties au Protocole de Nagoya sur l'accès et le partage des avantages</w:t>
      </w:r>
      <w:r w:rsidRPr="00D32EC0">
        <w:rPr>
          <w:i/>
          <w:kern w:val="22"/>
          <w:lang w:val="fr-CA"/>
        </w:rPr>
        <w:t>,</w:t>
      </w:r>
    </w:p>
    <w:p w14:paraId="7E15222D" w14:textId="77777777" w:rsidR="00516F46" w:rsidRPr="00AF3EBF" w:rsidRDefault="00516F46" w:rsidP="00516F46">
      <w:pPr>
        <w:shd w:val="clear" w:color="auto" w:fill="FFFFFF" w:themeFill="background1"/>
        <w:spacing w:before="120" w:line="240" w:lineRule="auto"/>
        <w:ind w:firstLine="720"/>
        <w:rPr>
          <w:kern w:val="22"/>
          <w:lang w:val="fr-CA" w:eastAsia="x-none"/>
        </w:rPr>
      </w:pPr>
      <w:r w:rsidRPr="00AF3EBF">
        <w:rPr>
          <w:i/>
          <w:kern w:val="22"/>
          <w:lang w:val="fr-CA" w:eastAsia="x-none"/>
        </w:rPr>
        <w:t xml:space="preserve">Rappelant </w:t>
      </w:r>
      <w:r w:rsidRPr="00AF3EBF">
        <w:rPr>
          <w:kern w:val="22"/>
          <w:lang w:val="fr-CA" w:eastAsia="x-none"/>
        </w:rPr>
        <w:t xml:space="preserve">sa décision </w:t>
      </w:r>
      <w:hyperlink r:id="rId19" w:history="1">
        <w:r w:rsidRPr="00AF3EBF">
          <w:rPr>
            <w:rStyle w:val="Lienhypertexte"/>
            <w:kern w:val="22"/>
            <w:lang w:val="fr-CA" w:eastAsia="x-none"/>
          </w:rPr>
          <w:t>2/13</w:t>
        </w:r>
      </w:hyperlink>
      <w:r w:rsidRPr="00AF3EBF">
        <w:rPr>
          <w:kern w:val="22"/>
          <w:lang w:val="fr-CA" w:eastAsia="x-none"/>
        </w:rPr>
        <w:t xml:space="preserve">, et la décision </w:t>
      </w:r>
      <w:hyperlink r:id="rId20" w:history="1">
        <w:r w:rsidRPr="00AF3EBF">
          <w:rPr>
            <w:rStyle w:val="Lienhypertexte"/>
            <w:kern w:val="22"/>
            <w:lang w:val="fr-CA" w:eastAsia="x-none"/>
          </w:rPr>
          <w:t>XIII/32</w:t>
        </w:r>
      </w:hyperlink>
      <w:r w:rsidRPr="00AF3EBF">
        <w:rPr>
          <w:kern w:val="22"/>
          <w:lang w:val="fr-CA" w:eastAsia="x-none"/>
        </w:rPr>
        <w:t xml:space="preserve"> </w:t>
      </w:r>
      <w:r>
        <w:rPr>
          <w:kern w:val="22"/>
          <w:lang w:val="fr-CA" w:eastAsia="x-none"/>
        </w:rPr>
        <w:t>de la Conférence des Parties à la Convention sur la diversité biologique, ainsi que la décision VIII/7 de la Conférence des Parties siégeant en tant que réunion des Parties à la Convention de Cartagena sur la prévention des risques biotechnologiques</w:t>
      </w:r>
      <w:r w:rsidRPr="00AF3EBF">
        <w:rPr>
          <w:kern w:val="22"/>
          <w:lang w:val="fr-CA" w:eastAsia="x-none"/>
        </w:rPr>
        <w:t>,</w:t>
      </w:r>
    </w:p>
    <w:p w14:paraId="0BCD176E" w14:textId="77777777" w:rsidR="00516F46" w:rsidRPr="00D32EC0" w:rsidRDefault="00516F46" w:rsidP="00516F46">
      <w:pPr>
        <w:suppressLineNumbers/>
        <w:suppressAutoHyphens/>
        <w:spacing w:before="120" w:line="240" w:lineRule="auto"/>
        <w:ind w:firstLine="720"/>
        <w:rPr>
          <w:color w:val="000000"/>
          <w:kern w:val="18"/>
          <w:szCs w:val="22"/>
          <w:lang w:val="fr-CA" w:eastAsia="x-none"/>
        </w:rPr>
      </w:pPr>
      <w:r w:rsidRPr="00D32EC0">
        <w:rPr>
          <w:i/>
          <w:color w:val="000000"/>
          <w:szCs w:val="22"/>
          <w:lang w:val="fr-CA" w:eastAsia="fr-FR"/>
        </w:rPr>
        <w:t>Rappelant également</w:t>
      </w:r>
      <w:r w:rsidRPr="00D32EC0">
        <w:rPr>
          <w:color w:val="000000"/>
          <w:szCs w:val="22"/>
          <w:lang w:val="fr-CA" w:eastAsia="fr-FR"/>
        </w:rPr>
        <w:t xml:space="preserve"> la décision </w:t>
      </w:r>
      <w:hyperlink r:id="rId21" w:history="1">
        <w:r w:rsidRPr="00AF3EBF">
          <w:rPr>
            <w:rStyle w:val="Lienhypertexte"/>
            <w:szCs w:val="22"/>
            <w:lang w:val="fr-CA" w:eastAsia="fr-FR"/>
          </w:rPr>
          <w:t>III/1</w:t>
        </w:r>
      </w:hyperlink>
      <w:r w:rsidRPr="00D32EC0">
        <w:rPr>
          <w:color w:val="000000"/>
          <w:szCs w:val="22"/>
          <w:lang w:val="fr-CA" w:eastAsia="fr-FR"/>
        </w:rPr>
        <w:t>, qui précise que la proposition de budget devrait être distribuée 90 jours avant les réunions de la Conférence des Parties,</w:t>
      </w:r>
    </w:p>
    <w:p w14:paraId="56088CD5" w14:textId="77777777" w:rsidR="00516F46" w:rsidRPr="00D32EC0" w:rsidRDefault="00516F46" w:rsidP="00516F46">
      <w:pPr>
        <w:spacing w:before="120" w:line="240" w:lineRule="auto"/>
        <w:ind w:firstLine="720"/>
        <w:rPr>
          <w:color w:val="000000"/>
          <w:kern w:val="22"/>
          <w:lang w:val="fr-CA" w:eastAsia="x-none"/>
        </w:rPr>
      </w:pPr>
      <w:r w:rsidRPr="00D32EC0">
        <w:rPr>
          <w:i/>
          <w:color w:val="000000"/>
          <w:kern w:val="18"/>
          <w:szCs w:val="22"/>
          <w:lang w:val="fr-CA" w:eastAsia="x-none"/>
        </w:rPr>
        <w:t xml:space="preserve">Rappelant en outre </w:t>
      </w:r>
      <w:r w:rsidRPr="00D32EC0">
        <w:rPr>
          <w:color w:val="000000"/>
          <w:kern w:val="18"/>
          <w:szCs w:val="22"/>
          <w:lang w:val="fr-CA" w:eastAsia="x-none"/>
        </w:rPr>
        <w:t>la résolution 2/18 de l’Assemblée des Nations Unies pour l’environnement sur le rapport entre le Programme des Nations Unies pour l’environnement et les accords multilatéraux sur l’environnement pour lesquels il assure le secrétariat</w:t>
      </w:r>
      <w:r w:rsidRPr="00D32EC0">
        <w:rPr>
          <w:color w:val="000000"/>
          <w:kern w:val="22"/>
          <w:lang w:val="fr-CA" w:eastAsia="x-none"/>
        </w:rPr>
        <w:t>,</w:t>
      </w:r>
    </w:p>
    <w:p w14:paraId="210FB839" w14:textId="77777777" w:rsidR="00516F46" w:rsidRPr="00D32EC0" w:rsidRDefault="00516F46" w:rsidP="00516F46">
      <w:pPr>
        <w:shd w:val="clear" w:color="auto" w:fill="FFFFFF" w:themeFill="background1"/>
        <w:spacing w:before="120" w:line="240" w:lineRule="auto"/>
        <w:ind w:firstLine="720"/>
        <w:rPr>
          <w:iCs/>
          <w:kern w:val="22"/>
          <w:lang w:val="fr-CA" w:eastAsia="ko-KR"/>
        </w:rPr>
      </w:pPr>
      <w:r w:rsidRPr="00D32EC0">
        <w:rPr>
          <w:iCs/>
          <w:kern w:val="22"/>
          <w:lang w:val="fr-CA"/>
        </w:rPr>
        <w:t>1.</w:t>
      </w:r>
      <w:r w:rsidRPr="00D32EC0">
        <w:rPr>
          <w:iCs/>
          <w:kern w:val="22"/>
          <w:lang w:val="fr-CA" w:eastAsia="ko-KR"/>
        </w:rPr>
        <w:tab/>
      </w:r>
      <w:r w:rsidRPr="00D32EC0">
        <w:rPr>
          <w:i/>
          <w:iCs/>
          <w:color w:val="000000"/>
          <w:kern w:val="18"/>
          <w:szCs w:val="22"/>
          <w:lang w:val="fr-CA" w:eastAsia="ko-KR"/>
        </w:rPr>
        <w:t>Décide</w:t>
      </w:r>
      <w:r w:rsidRPr="00D32EC0">
        <w:rPr>
          <w:iCs/>
          <w:color w:val="000000"/>
          <w:kern w:val="18"/>
          <w:szCs w:val="22"/>
          <w:lang w:val="fr-CA" w:eastAsia="ko-KR"/>
        </w:rPr>
        <w:t xml:space="preserve"> d’adopter un programme de travail et un budget intégrés pour la Convention sur la diversité biologique, le Protocole de Cartagena sur la prévention des risques biotechnologiques et le Protocole de Nagoya sur l’accès et le partage des avantages </w:t>
      </w:r>
      <w:r w:rsidRPr="00D32EC0">
        <w:rPr>
          <w:iCs/>
          <w:kern w:val="22"/>
          <w:lang w:val="fr-CA" w:eastAsia="ko-KR"/>
        </w:rPr>
        <w:t>;</w:t>
      </w:r>
    </w:p>
    <w:p w14:paraId="731B2B4F" w14:textId="759F0387" w:rsidR="00516F46" w:rsidRPr="00D32EC0" w:rsidRDefault="00516F46" w:rsidP="00516F46">
      <w:pPr>
        <w:shd w:val="clear" w:color="auto" w:fill="FFFFFF" w:themeFill="background1"/>
        <w:spacing w:before="120" w:line="240" w:lineRule="auto"/>
        <w:ind w:firstLine="720"/>
        <w:rPr>
          <w:kern w:val="22"/>
          <w:lang w:val="fr-CA" w:eastAsia="x-none"/>
        </w:rPr>
      </w:pPr>
      <w:r w:rsidRPr="00D32EC0">
        <w:rPr>
          <w:iCs/>
          <w:kern w:val="22"/>
          <w:lang w:val="fr-CA"/>
        </w:rPr>
        <w:t>2.</w:t>
      </w:r>
      <w:r w:rsidRPr="00D32EC0">
        <w:rPr>
          <w:b/>
          <w:bCs/>
          <w:i/>
          <w:iCs/>
          <w:kern w:val="22"/>
          <w:lang w:val="fr-CA" w:eastAsia="ko-KR"/>
        </w:rPr>
        <w:tab/>
      </w:r>
      <w:r w:rsidRPr="00D32EC0">
        <w:rPr>
          <w:i/>
          <w:iCs/>
          <w:color w:val="000000"/>
          <w:kern w:val="18"/>
          <w:szCs w:val="22"/>
          <w:lang w:val="fr-CA" w:eastAsia="x-none"/>
        </w:rPr>
        <w:t>Décide également</w:t>
      </w:r>
      <w:r w:rsidRPr="00D32EC0">
        <w:rPr>
          <w:iCs/>
          <w:color w:val="000000"/>
          <w:kern w:val="18"/>
          <w:szCs w:val="22"/>
          <w:lang w:val="fr-CA" w:eastAsia="x-none"/>
        </w:rPr>
        <w:t xml:space="preserve"> de répartir l’ensemble des coûts des services de secrétariat entre la Convention, le Protocole de Cartagena et le Protocole de Nagoya selon un ratio de 74:15:11 pour l’exercice biennal 2019-2020</w:t>
      </w:r>
      <w:r>
        <w:rPr>
          <w:iCs/>
          <w:color w:val="000000"/>
          <w:kern w:val="18"/>
          <w:szCs w:val="22"/>
          <w:lang w:val="fr-CA" w:eastAsia="x-none"/>
        </w:rPr>
        <w:t> </w:t>
      </w:r>
      <w:r w:rsidRPr="00D32EC0">
        <w:rPr>
          <w:iCs/>
          <w:kern w:val="22"/>
          <w:lang w:val="fr-CA" w:eastAsia="x-none"/>
        </w:rPr>
        <w:t>;</w:t>
      </w:r>
    </w:p>
    <w:p w14:paraId="74597646" w14:textId="77777777" w:rsidR="00516F46" w:rsidRPr="00D32EC0" w:rsidRDefault="00516F46" w:rsidP="00516F46">
      <w:pPr>
        <w:shd w:val="clear" w:color="auto" w:fill="FFFFFF" w:themeFill="background1"/>
        <w:spacing w:before="120" w:line="240" w:lineRule="auto"/>
        <w:ind w:firstLine="720"/>
        <w:rPr>
          <w:iCs/>
          <w:kern w:val="22"/>
          <w:lang w:val="fr-CA" w:eastAsia="x-none"/>
        </w:rPr>
      </w:pPr>
      <w:r w:rsidRPr="00D32EC0">
        <w:rPr>
          <w:iCs/>
          <w:kern w:val="22"/>
          <w:lang w:val="fr-CA" w:eastAsia="x-none"/>
        </w:rPr>
        <w:t>3.</w:t>
      </w:r>
      <w:r w:rsidRPr="00D32EC0">
        <w:rPr>
          <w:iCs/>
          <w:kern w:val="22"/>
          <w:lang w:val="fr-CA" w:eastAsia="x-none"/>
        </w:rPr>
        <w:tab/>
      </w:r>
      <w:r w:rsidRPr="00D32EC0">
        <w:rPr>
          <w:i/>
          <w:color w:val="0D0D0D"/>
          <w:lang w:val="fr-CA"/>
        </w:rPr>
        <w:t>Approuve</w:t>
      </w:r>
      <w:r w:rsidRPr="00D32EC0">
        <w:rPr>
          <w:color w:val="0D0D0D"/>
          <w:lang w:val="fr-CA"/>
        </w:rPr>
        <w:t xml:space="preserve"> un budget-programme de base (BB) pour le Protocole de Nagoya sur l’accès et le partage des avantages d’un montant de</w:t>
      </w:r>
      <w:r w:rsidRPr="00D32EC0">
        <w:rPr>
          <w:iCs/>
          <w:color w:val="000000"/>
          <w:kern w:val="18"/>
          <w:szCs w:val="22"/>
          <w:lang w:val="fr-CA" w:eastAsia="x-none"/>
        </w:rPr>
        <w:t xml:space="preserve"> 2 084 400 dollars </w:t>
      </w:r>
      <w:r w:rsidRPr="00D32EC0">
        <w:rPr>
          <w:color w:val="0D0D0D"/>
          <w:lang w:val="fr-CA"/>
        </w:rPr>
        <w:t xml:space="preserve">É.-U. pour l’année </w:t>
      </w:r>
      <w:r w:rsidRPr="00D32EC0">
        <w:rPr>
          <w:iCs/>
          <w:color w:val="000000"/>
          <w:kern w:val="18"/>
          <w:szCs w:val="22"/>
          <w:lang w:val="fr-CA" w:eastAsia="x-none"/>
        </w:rPr>
        <w:t xml:space="preserve">2019 et de 2 188 500 dollars </w:t>
      </w:r>
      <w:r w:rsidRPr="00D32EC0">
        <w:rPr>
          <w:color w:val="0D0D0D"/>
          <w:lang w:val="fr-CA"/>
        </w:rPr>
        <w:t>É.-U. pour l’année</w:t>
      </w:r>
      <w:r w:rsidRPr="00D32EC0">
        <w:rPr>
          <w:iCs/>
          <w:color w:val="000000"/>
          <w:kern w:val="18"/>
          <w:szCs w:val="22"/>
          <w:lang w:val="fr-CA" w:eastAsia="x-none"/>
        </w:rPr>
        <w:t xml:space="preserve"> 2020, ce qui représente 11 pour cent du budget intégré qui s’élève à 18 948 900 dollars </w:t>
      </w:r>
      <w:r w:rsidRPr="00D32EC0">
        <w:rPr>
          <w:color w:val="0D0D0D"/>
          <w:lang w:val="fr-CA"/>
        </w:rPr>
        <w:t>É.-U. pour l’année</w:t>
      </w:r>
      <w:r w:rsidRPr="00D32EC0">
        <w:rPr>
          <w:iCs/>
          <w:color w:val="000000"/>
          <w:kern w:val="18"/>
          <w:szCs w:val="22"/>
          <w:lang w:val="fr-CA" w:eastAsia="x-none"/>
        </w:rPr>
        <w:t xml:space="preserve"> 2019 et à 19 895 200 dollars </w:t>
      </w:r>
      <w:r w:rsidRPr="00D32EC0">
        <w:rPr>
          <w:color w:val="0D0D0D"/>
          <w:lang w:val="fr-CA"/>
        </w:rPr>
        <w:t>É.-U. pour l’année</w:t>
      </w:r>
      <w:r w:rsidRPr="00D32EC0">
        <w:rPr>
          <w:iCs/>
          <w:color w:val="000000"/>
          <w:kern w:val="18"/>
          <w:szCs w:val="22"/>
          <w:lang w:val="fr-CA" w:eastAsia="x-none"/>
        </w:rPr>
        <w:t xml:space="preserve"> 2020 pour la Convention et ses Protocoles, afin de répondre aux besoins recensés dans les tableaux 1a et 1b ci-dessous </w:t>
      </w:r>
      <w:r w:rsidRPr="00D32EC0">
        <w:rPr>
          <w:iCs/>
          <w:kern w:val="22"/>
          <w:lang w:val="fr-CA" w:eastAsia="x-none"/>
        </w:rPr>
        <w:t>;</w:t>
      </w:r>
    </w:p>
    <w:p w14:paraId="271B4FF2" w14:textId="77777777" w:rsidR="00516F46" w:rsidRPr="00D32EC0" w:rsidRDefault="00516F46" w:rsidP="00516F46">
      <w:pPr>
        <w:shd w:val="clear" w:color="auto" w:fill="FFFFFF" w:themeFill="background1"/>
        <w:spacing w:before="120" w:line="240" w:lineRule="auto"/>
        <w:ind w:firstLine="720"/>
        <w:rPr>
          <w:iCs/>
          <w:kern w:val="22"/>
          <w:lang w:val="fr-CA" w:eastAsia="x-none"/>
        </w:rPr>
      </w:pPr>
      <w:r w:rsidRPr="00D32EC0">
        <w:rPr>
          <w:iCs/>
          <w:kern w:val="22"/>
          <w:lang w:val="fr-CA" w:eastAsia="x-none"/>
        </w:rPr>
        <w:t>4.</w:t>
      </w:r>
      <w:r w:rsidRPr="00D32EC0">
        <w:rPr>
          <w:iCs/>
          <w:kern w:val="22"/>
          <w:lang w:val="fr-CA" w:eastAsia="x-none"/>
        </w:rPr>
        <w:tab/>
      </w:r>
      <w:r w:rsidRPr="00D32EC0">
        <w:rPr>
          <w:i/>
          <w:color w:val="0D0D0D"/>
          <w:kern w:val="22"/>
          <w:lang w:val="fr-CA"/>
        </w:rPr>
        <w:t xml:space="preserve">Adopte </w:t>
      </w:r>
      <w:r w:rsidRPr="00D32EC0">
        <w:rPr>
          <w:color w:val="0D0D0D"/>
          <w:kern w:val="22"/>
          <w:lang w:val="fr-CA"/>
        </w:rPr>
        <w:t>le barème des quotes-parts pour la répartitio</w:t>
      </w:r>
      <w:r>
        <w:rPr>
          <w:color w:val="0D0D0D"/>
          <w:kern w:val="22"/>
          <w:lang w:val="fr-CA"/>
        </w:rPr>
        <w:t>n des dépenses en 2019 et 2020 qu</w:t>
      </w:r>
      <w:r w:rsidRPr="00D32EC0">
        <w:rPr>
          <w:color w:val="0D0D0D"/>
          <w:kern w:val="22"/>
          <w:lang w:val="fr-CA"/>
        </w:rPr>
        <w:t>i figure dans le tableau 2 ci-dessous</w:t>
      </w:r>
      <w:r w:rsidRPr="00D32EC0">
        <w:rPr>
          <w:iCs/>
          <w:kern w:val="22"/>
          <w:lang w:val="fr-CA" w:eastAsia="x-none"/>
        </w:rPr>
        <w:t>;</w:t>
      </w:r>
      <w:r w:rsidRPr="00516F46">
        <w:rPr>
          <w:rStyle w:val="Appelnotedebasdep"/>
          <w:iCs/>
          <w:kern w:val="22"/>
          <w:u w:val="none"/>
          <w:vertAlign w:val="superscript"/>
          <w:lang w:val="fr-CA" w:eastAsia="x-none"/>
        </w:rPr>
        <w:footnoteReference w:id="27"/>
      </w:r>
    </w:p>
    <w:p w14:paraId="5DD6BBC6" w14:textId="77777777" w:rsidR="00516F46" w:rsidRPr="00D32EC0" w:rsidRDefault="00516F46" w:rsidP="00516F46">
      <w:pPr>
        <w:shd w:val="clear" w:color="auto" w:fill="FFFFFF" w:themeFill="background1"/>
        <w:spacing w:before="120" w:line="240" w:lineRule="auto"/>
        <w:ind w:firstLine="720"/>
        <w:rPr>
          <w:iCs/>
          <w:kern w:val="22"/>
          <w:lang w:val="fr-CA" w:eastAsia="x-none"/>
        </w:rPr>
      </w:pPr>
      <w:r w:rsidRPr="00D32EC0">
        <w:rPr>
          <w:iCs/>
          <w:kern w:val="22"/>
          <w:lang w:val="fr-CA" w:eastAsia="x-none"/>
        </w:rPr>
        <w:t>5.</w:t>
      </w:r>
      <w:r w:rsidRPr="00D32EC0">
        <w:rPr>
          <w:iCs/>
          <w:kern w:val="22"/>
          <w:lang w:val="fr-CA" w:eastAsia="x-none"/>
        </w:rPr>
        <w:tab/>
      </w:r>
      <w:r>
        <w:rPr>
          <w:i/>
          <w:iCs/>
          <w:kern w:val="22"/>
          <w:lang w:val="fr-CA" w:eastAsia="x-none"/>
        </w:rPr>
        <w:t xml:space="preserve">Autorise </w:t>
      </w:r>
      <w:r>
        <w:rPr>
          <w:iCs/>
          <w:kern w:val="22"/>
          <w:lang w:val="fr-CA" w:eastAsia="x-none"/>
        </w:rPr>
        <w:t>la Secrétaire exécutive à amender, à titre exceptionnel, le barème des quotes-parts afin d’y inclure les Parties pour lesquelles le Protocole de Nagoya entre en vigueur le 31 décembre 2018 ou avant</w:t>
      </w:r>
      <w:r w:rsidRPr="00D32EC0">
        <w:rPr>
          <w:iCs/>
          <w:kern w:val="22"/>
          <w:lang w:val="fr-CA" w:eastAsia="x-none"/>
        </w:rPr>
        <w:t>;</w:t>
      </w:r>
    </w:p>
    <w:p w14:paraId="11EE7200" w14:textId="77777777" w:rsidR="00516F46" w:rsidRPr="00D32EC0" w:rsidRDefault="00516F46" w:rsidP="00516F46">
      <w:pPr>
        <w:shd w:val="clear" w:color="auto" w:fill="FFFFFF" w:themeFill="background1"/>
        <w:spacing w:before="120" w:line="240" w:lineRule="auto"/>
        <w:ind w:firstLine="720"/>
        <w:rPr>
          <w:iCs/>
          <w:snapToGrid w:val="0"/>
          <w:kern w:val="22"/>
          <w:lang w:val="fr-CA" w:eastAsia="x-none"/>
        </w:rPr>
      </w:pPr>
      <w:r w:rsidRPr="00D32EC0">
        <w:rPr>
          <w:iCs/>
          <w:snapToGrid w:val="0"/>
          <w:kern w:val="22"/>
          <w:lang w:val="fr-CA" w:eastAsia="x-none"/>
        </w:rPr>
        <w:t>6.</w:t>
      </w:r>
      <w:r w:rsidRPr="00D32EC0">
        <w:rPr>
          <w:iCs/>
          <w:snapToGrid w:val="0"/>
          <w:kern w:val="22"/>
          <w:lang w:val="fr-CA" w:eastAsia="x-none"/>
        </w:rPr>
        <w:tab/>
      </w:r>
      <w:r>
        <w:rPr>
          <w:i/>
          <w:iCs/>
          <w:kern w:val="22"/>
          <w:lang w:val="fr-CA" w:eastAsia="x-none"/>
        </w:rPr>
        <w:t xml:space="preserve">Accueille </w:t>
      </w:r>
      <w:r>
        <w:rPr>
          <w:iCs/>
          <w:kern w:val="22"/>
          <w:lang w:val="fr-CA" w:eastAsia="x-none"/>
        </w:rPr>
        <w:t>les estimations de financement des contributions supplémentaires volontaires en appui aux activités approuvées du Protocole de Nagoya sur l’accès et le partage des avantages pour la période 2019-2020 qui figure au tableau 3 de la décision 14/37 de la Conférence des Parties</w:t>
      </w:r>
      <w:r w:rsidRPr="00D32EC0">
        <w:rPr>
          <w:iCs/>
          <w:kern w:val="22"/>
          <w:lang w:val="fr-CA" w:eastAsia="x-none"/>
        </w:rPr>
        <w:t>;</w:t>
      </w:r>
    </w:p>
    <w:p w14:paraId="4EA4AA6B" w14:textId="03982007" w:rsidR="00DE347C" w:rsidRPr="00516F46" w:rsidRDefault="00516F46" w:rsidP="00516F46">
      <w:pPr>
        <w:shd w:val="clear" w:color="auto" w:fill="FFFFFF" w:themeFill="background1"/>
        <w:spacing w:before="120" w:line="240" w:lineRule="auto"/>
        <w:ind w:firstLine="720"/>
        <w:rPr>
          <w:kern w:val="22"/>
          <w:lang w:val="fr-CA"/>
        </w:rPr>
      </w:pPr>
      <w:r w:rsidRPr="00D32EC0">
        <w:rPr>
          <w:iCs/>
          <w:kern w:val="22"/>
          <w:lang w:val="fr-CA" w:eastAsia="x-none"/>
        </w:rPr>
        <w:t>7.</w:t>
      </w:r>
      <w:r w:rsidRPr="00D32EC0">
        <w:rPr>
          <w:iCs/>
          <w:kern w:val="22"/>
          <w:lang w:val="fr-CA" w:eastAsia="x-none"/>
        </w:rPr>
        <w:tab/>
      </w:r>
      <w:r>
        <w:rPr>
          <w:i/>
          <w:iCs/>
          <w:kern w:val="22"/>
          <w:lang w:val="fr-CA" w:eastAsia="x-none"/>
        </w:rPr>
        <w:t xml:space="preserve">Décide </w:t>
      </w:r>
      <w:r>
        <w:rPr>
          <w:iCs/>
          <w:kern w:val="22"/>
          <w:lang w:val="fr-CA" w:eastAsia="x-none"/>
        </w:rPr>
        <w:t>d’appliquer, avec les adaptations nécessaires, les paragraphes 3 à 5 et 7 à 50 de la décision 14/37 de la Conférence des Parties</w:t>
      </w:r>
      <w:r w:rsidR="00DE347C" w:rsidRPr="00516F46">
        <w:rPr>
          <w:iCs/>
          <w:snapToGrid w:val="0"/>
          <w:kern w:val="22"/>
          <w:szCs w:val="22"/>
          <w:lang w:val="fr-CA" w:eastAsia="x-none"/>
        </w:rPr>
        <w:t>.</w:t>
      </w:r>
    </w:p>
    <w:p w14:paraId="1E2A9D98" w14:textId="77777777" w:rsidR="00DE347C" w:rsidRPr="00516F46" w:rsidRDefault="00DE347C" w:rsidP="000C6220">
      <w:pPr>
        <w:spacing w:before="120" w:line="240" w:lineRule="auto"/>
        <w:jc w:val="left"/>
        <w:rPr>
          <w:kern w:val="22"/>
          <w:lang w:val="fr-CA"/>
        </w:rPr>
      </w:pPr>
      <w:r w:rsidRPr="00516F46">
        <w:rPr>
          <w:kern w:val="22"/>
          <w:lang w:val="fr-CA"/>
        </w:rPr>
        <w:br w:type="page"/>
      </w:r>
    </w:p>
    <w:p w14:paraId="63EC9813" w14:textId="14A68920" w:rsidR="00DE347C" w:rsidRPr="005205A8" w:rsidRDefault="005205A8" w:rsidP="005205A8">
      <w:pPr>
        <w:keepNext/>
        <w:spacing w:before="120" w:line="240" w:lineRule="auto"/>
        <w:ind w:left="1440" w:hanging="1440"/>
        <w:rPr>
          <w:b/>
          <w:bCs/>
          <w:snapToGrid w:val="0"/>
          <w:kern w:val="22"/>
          <w:lang w:val="fr-CA"/>
        </w:rPr>
      </w:pPr>
      <w:r w:rsidRPr="00E211C3">
        <w:rPr>
          <w:b/>
          <w:bCs/>
          <w:szCs w:val="22"/>
          <w:lang w:val="fr-FR"/>
        </w:rPr>
        <w:lastRenderedPageBreak/>
        <w:t>Tableau 1a.</w:t>
      </w:r>
      <w:r>
        <w:rPr>
          <w:b/>
          <w:bCs/>
          <w:szCs w:val="22"/>
          <w:lang w:val="fr-FR"/>
        </w:rPr>
        <w:tab/>
      </w:r>
      <w:r w:rsidRPr="00E211C3">
        <w:rPr>
          <w:b/>
          <w:bCs/>
          <w:szCs w:val="22"/>
          <w:lang w:val="fr-FR"/>
        </w:rPr>
        <w:t>Budget intégré des fonds d’affectation spéciale de la Convention sur la diversité biologique et de ses protocoles pour l’exercice biennal 2019-202</w:t>
      </w:r>
      <w:r w:rsidR="00DE347C" w:rsidRPr="005205A8">
        <w:rPr>
          <w:b/>
          <w:bCs/>
          <w:snapToGrid w:val="0"/>
          <w:kern w:val="22"/>
          <w:lang w:val="fr-CA"/>
        </w:rPr>
        <w:t>0</w:t>
      </w:r>
    </w:p>
    <w:p w14:paraId="0692F22A" w14:textId="77777777" w:rsidR="00DE347C" w:rsidRPr="005205A8" w:rsidRDefault="00DE347C" w:rsidP="000C6220">
      <w:pPr>
        <w:spacing w:after="0" w:line="240" w:lineRule="auto"/>
        <w:jc w:val="left"/>
        <w:rPr>
          <w:kern w:val="22"/>
          <w:lang w:val="fr-CA"/>
        </w:rPr>
      </w:pPr>
    </w:p>
    <w:tbl>
      <w:tblPr>
        <w:tblW w:w="9120" w:type="dxa"/>
        <w:tblInd w:w="93" w:type="dxa"/>
        <w:tblLook w:val="04A0" w:firstRow="1" w:lastRow="0" w:firstColumn="1" w:lastColumn="0" w:noHBand="0" w:noVBand="1"/>
      </w:tblPr>
      <w:tblGrid>
        <w:gridCol w:w="4520"/>
        <w:gridCol w:w="1360"/>
        <w:gridCol w:w="1600"/>
        <w:gridCol w:w="1640"/>
      </w:tblGrid>
      <w:tr w:rsidR="005205A8" w:rsidRPr="00EE0850" w14:paraId="22758E83" w14:textId="77777777" w:rsidTr="00DE347C">
        <w:trPr>
          <w:trHeight w:val="411"/>
        </w:trPr>
        <w:tc>
          <w:tcPr>
            <w:tcW w:w="4520" w:type="dxa"/>
            <w:vMerge w:val="restart"/>
            <w:tcBorders>
              <w:top w:val="single" w:sz="8" w:space="0" w:color="auto"/>
              <w:left w:val="nil"/>
              <w:bottom w:val="single" w:sz="12" w:space="0" w:color="000000"/>
              <w:right w:val="nil"/>
            </w:tcBorders>
            <w:shd w:val="clear" w:color="auto" w:fill="auto"/>
            <w:vAlign w:val="center"/>
            <w:hideMark/>
          </w:tcPr>
          <w:p w14:paraId="4E60DFE4" w14:textId="77777777" w:rsidR="005205A8" w:rsidRPr="005205A8" w:rsidRDefault="005205A8" w:rsidP="005205A8">
            <w:pPr>
              <w:spacing w:after="0" w:line="240" w:lineRule="auto"/>
              <w:jc w:val="left"/>
              <w:rPr>
                <w:i/>
                <w:iCs/>
                <w:color w:val="000000"/>
                <w:kern w:val="22"/>
                <w:sz w:val="15"/>
                <w:szCs w:val="15"/>
                <w:lang w:val="fr-CA" w:eastAsia="en-CA"/>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757A153A" w14:textId="0238B5D6" w:rsidR="005205A8" w:rsidRPr="00DF328C" w:rsidRDefault="005205A8" w:rsidP="005205A8">
            <w:pPr>
              <w:spacing w:after="0" w:line="240" w:lineRule="auto"/>
              <w:jc w:val="center"/>
              <w:rPr>
                <w:i/>
                <w:iCs/>
                <w:color w:val="000000"/>
                <w:kern w:val="22"/>
                <w:sz w:val="15"/>
                <w:szCs w:val="15"/>
                <w:lang w:val="fr-CA" w:eastAsia="en-CA"/>
              </w:rPr>
            </w:pPr>
            <w:r w:rsidRPr="00DF328C">
              <w:rPr>
                <w:i/>
                <w:iCs/>
                <w:color w:val="000000"/>
                <w:sz w:val="15"/>
                <w:szCs w:val="15"/>
                <w:lang w:val="fr-CA"/>
              </w:rPr>
              <w:t>2019                            (milliers de dollars É.-U.)</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678D4562" w14:textId="7F17A7B3" w:rsidR="005205A8" w:rsidRPr="00DF328C" w:rsidRDefault="005205A8" w:rsidP="001D6920">
            <w:pPr>
              <w:spacing w:line="240" w:lineRule="auto"/>
              <w:jc w:val="center"/>
              <w:rPr>
                <w:i/>
                <w:iCs/>
                <w:color w:val="000000"/>
                <w:sz w:val="15"/>
                <w:szCs w:val="15"/>
                <w:lang w:val="fr-CA"/>
              </w:rPr>
            </w:pPr>
            <w:r w:rsidRPr="00DF328C">
              <w:rPr>
                <w:i/>
                <w:iCs/>
                <w:color w:val="000000"/>
                <w:sz w:val="15"/>
                <w:szCs w:val="15"/>
                <w:lang w:val="fr-CA"/>
              </w:rPr>
              <w:t xml:space="preserve">2020                          (milliers de </w:t>
            </w:r>
            <w:r w:rsidR="001D6920" w:rsidRPr="00DF328C">
              <w:rPr>
                <w:i/>
                <w:iCs/>
                <w:color w:val="000000"/>
                <w:sz w:val="15"/>
                <w:szCs w:val="15"/>
                <w:lang w:val="fr-CA"/>
              </w:rPr>
              <w:t xml:space="preserve"> </w:t>
            </w:r>
            <w:r w:rsidR="001D6920" w:rsidRPr="00DF328C">
              <w:rPr>
                <w:i/>
                <w:iCs/>
                <w:color w:val="000000"/>
                <w:sz w:val="15"/>
                <w:szCs w:val="15"/>
                <w:lang w:val="fr-CA"/>
              </w:rPr>
              <w:br/>
            </w:r>
            <w:r w:rsidRPr="00DF328C">
              <w:rPr>
                <w:i/>
                <w:iCs/>
                <w:color w:val="000000"/>
                <w:sz w:val="15"/>
                <w:szCs w:val="15"/>
                <w:lang w:val="fr-CA"/>
              </w:rPr>
              <w:t>dollars É.-U.)</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31ABAF6C" w14:textId="49D4ADAD" w:rsidR="005205A8" w:rsidRPr="00DF328C" w:rsidRDefault="005205A8" w:rsidP="001D6920">
            <w:pPr>
              <w:spacing w:line="240" w:lineRule="auto"/>
              <w:jc w:val="center"/>
              <w:rPr>
                <w:i/>
                <w:iCs/>
                <w:color w:val="000000"/>
                <w:sz w:val="15"/>
                <w:szCs w:val="15"/>
                <w:lang w:val="fr-CA"/>
              </w:rPr>
            </w:pPr>
            <w:r w:rsidRPr="00DF328C">
              <w:rPr>
                <w:i/>
                <w:iCs/>
                <w:color w:val="000000"/>
                <w:sz w:val="15"/>
                <w:szCs w:val="15"/>
                <w:lang w:val="fr-CA"/>
              </w:rPr>
              <w:t xml:space="preserve">Total                            (milliers de </w:t>
            </w:r>
            <w:r w:rsidR="001D6920" w:rsidRPr="00DF328C">
              <w:rPr>
                <w:i/>
                <w:iCs/>
                <w:color w:val="000000"/>
                <w:sz w:val="15"/>
                <w:szCs w:val="15"/>
                <w:lang w:val="fr-CA"/>
              </w:rPr>
              <w:br/>
            </w:r>
            <w:r w:rsidRPr="00DF328C">
              <w:rPr>
                <w:i/>
                <w:iCs/>
                <w:color w:val="000000"/>
                <w:sz w:val="15"/>
                <w:szCs w:val="15"/>
                <w:lang w:val="fr-CA"/>
              </w:rPr>
              <w:t>dollars É.-U.)</w:t>
            </w:r>
          </w:p>
        </w:tc>
      </w:tr>
      <w:tr w:rsidR="00AB0DE7" w:rsidRPr="00EE0850" w14:paraId="5A781887" w14:textId="77777777" w:rsidTr="00DE347C">
        <w:trPr>
          <w:trHeight w:val="411"/>
        </w:trPr>
        <w:tc>
          <w:tcPr>
            <w:tcW w:w="4520" w:type="dxa"/>
            <w:vMerge/>
            <w:tcBorders>
              <w:top w:val="single" w:sz="8" w:space="0" w:color="auto"/>
              <w:left w:val="nil"/>
              <w:bottom w:val="single" w:sz="12" w:space="0" w:color="000000"/>
              <w:right w:val="nil"/>
            </w:tcBorders>
            <w:vAlign w:val="center"/>
            <w:hideMark/>
          </w:tcPr>
          <w:p w14:paraId="12E90DFC" w14:textId="77777777" w:rsidR="00DE347C" w:rsidRPr="00EE0850" w:rsidRDefault="00DE347C" w:rsidP="000C6220">
            <w:pPr>
              <w:spacing w:after="0" w:line="240" w:lineRule="auto"/>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11CA4096" w14:textId="77777777" w:rsidR="00DE347C" w:rsidRPr="00EE0850" w:rsidRDefault="00DE347C" w:rsidP="000C6220">
            <w:pPr>
              <w:spacing w:after="0" w:line="240" w:lineRule="auto"/>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171C6B46" w14:textId="77777777" w:rsidR="00DE347C" w:rsidRPr="00EE0850" w:rsidRDefault="00DE347C" w:rsidP="000C6220">
            <w:pPr>
              <w:spacing w:after="0" w:line="240" w:lineRule="auto"/>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384C196C" w14:textId="77777777" w:rsidR="00DE347C" w:rsidRPr="00EE0850" w:rsidRDefault="00DE347C" w:rsidP="000C6220">
            <w:pPr>
              <w:spacing w:after="0" w:line="240" w:lineRule="auto"/>
              <w:jc w:val="left"/>
              <w:rPr>
                <w:i/>
                <w:iCs/>
                <w:color w:val="000000"/>
                <w:kern w:val="22"/>
                <w:sz w:val="15"/>
                <w:szCs w:val="15"/>
                <w:lang w:eastAsia="en-CA"/>
              </w:rPr>
            </w:pPr>
          </w:p>
        </w:tc>
      </w:tr>
      <w:tr w:rsidR="00AB0DE7" w:rsidRPr="00EE0850" w14:paraId="2B062943" w14:textId="77777777" w:rsidTr="00DE347C">
        <w:trPr>
          <w:trHeight w:val="411"/>
        </w:trPr>
        <w:tc>
          <w:tcPr>
            <w:tcW w:w="4520" w:type="dxa"/>
            <w:vMerge/>
            <w:tcBorders>
              <w:top w:val="single" w:sz="8" w:space="0" w:color="auto"/>
              <w:left w:val="nil"/>
              <w:bottom w:val="single" w:sz="12" w:space="0" w:color="000000"/>
              <w:right w:val="nil"/>
            </w:tcBorders>
            <w:vAlign w:val="center"/>
            <w:hideMark/>
          </w:tcPr>
          <w:p w14:paraId="4C51DA25" w14:textId="77777777" w:rsidR="00DE347C" w:rsidRPr="00EE0850" w:rsidRDefault="00DE347C" w:rsidP="000C6220">
            <w:pPr>
              <w:spacing w:after="0" w:line="240" w:lineRule="auto"/>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7B2A94E1" w14:textId="77777777" w:rsidR="00DE347C" w:rsidRPr="00EE0850" w:rsidRDefault="00DE347C" w:rsidP="000C6220">
            <w:pPr>
              <w:spacing w:after="0" w:line="240" w:lineRule="auto"/>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2B9E7AF8" w14:textId="77777777" w:rsidR="00DE347C" w:rsidRPr="00EE0850" w:rsidRDefault="00DE347C" w:rsidP="000C6220">
            <w:pPr>
              <w:spacing w:after="0" w:line="240" w:lineRule="auto"/>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79E0400D" w14:textId="77777777" w:rsidR="00DE347C" w:rsidRPr="00EE0850" w:rsidRDefault="00DE347C" w:rsidP="000C6220">
            <w:pPr>
              <w:spacing w:after="0" w:line="240" w:lineRule="auto"/>
              <w:jc w:val="left"/>
              <w:rPr>
                <w:i/>
                <w:iCs/>
                <w:color w:val="000000"/>
                <w:kern w:val="22"/>
                <w:sz w:val="15"/>
                <w:szCs w:val="15"/>
                <w:lang w:eastAsia="en-CA"/>
              </w:rPr>
            </w:pPr>
          </w:p>
        </w:tc>
      </w:tr>
      <w:tr w:rsidR="00DE347C" w:rsidRPr="00EE0850" w14:paraId="1B4F1E39" w14:textId="77777777" w:rsidTr="00DE347C">
        <w:trPr>
          <w:trHeight w:val="300"/>
        </w:trPr>
        <w:tc>
          <w:tcPr>
            <w:tcW w:w="4520" w:type="dxa"/>
            <w:tcBorders>
              <w:top w:val="nil"/>
              <w:left w:val="nil"/>
              <w:bottom w:val="nil"/>
              <w:right w:val="nil"/>
            </w:tcBorders>
            <w:shd w:val="clear" w:color="auto" w:fill="auto"/>
            <w:vAlign w:val="center"/>
            <w:hideMark/>
          </w:tcPr>
          <w:p w14:paraId="2669B09B" w14:textId="77777777" w:rsidR="00DE347C" w:rsidRPr="00EE0850" w:rsidRDefault="00DE347C" w:rsidP="000C6220">
            <w:pPr>
              <w:spacing w:after="0" w:line="240" w:lineRule="auto"/>
              <w:jc w:val="left"/>
              <w:rPr>
                <w:color w:val="000000"/>
                <w:kern w:val="22"/>
                <w:sz w:val="17"/>
                <w:szCs w:val="17"/>
                <w:lang w:eastAsia="en-CA"/>
              </w:rPr>
            </w:pPr>
          </w:p>
        </w:tc>
        <w:tc>
          <w:tcPr>
            <w:tcW w:w="1360" w:type="dxa"/>
            <w:tcBorders>
              <w:top w:val="nil"/>
              <w:left w:val="nil"/>
              <w:bottom w:val="nil"/>
              <w:right w:val="nil"/>
            </w:tcBorders>
            <w:shd w:val="clear" w:color="auto" w:fill="auto"/>
            <w:vAlign w:val="center"/>
            <w:hideMark/>
          </w:tcPr>
          <w:p w14:paraId="3FA8E5CD" w14:textId="77777777" w:rsidR="00DE347C" w:rsidRPr="00EE0850" w:rsidRDefault="00DE347C" w:rsidP="000C6220">
            <w:pPr>
              <w:spacing w:after="0" w:line="240" w:lineRule="auto"/>
              <w:jc w:val="left"/>
              <w:rPr>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4D84CBDA" w14:textId="77777777" w:rsidR="00DE347C" w:rsidRPr="00EE0850" w:rsidRDefault="00DE347C" w:rsidP="000C6220">
            <w:pPr>
              <w:spacing w:after="0" w:line="240" w:lineRule="auto"/>
              <w:jc w:val="right"/>
              <w:rPr>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7A8D56FD" w14:textId="77777777" w:rsidR="00DE347C" w:rsidRPr="00EE0850" w:rsidRDefault="00DE347C" w:rsidP="000C6220">
            <w:pPr>
              <w:spacing w:after="0" w:line="240" w:lineRule="auto"/>
              <w:jc w:val="right"/>
              <w:rPr>
                <w:color w:val="000000"/>
                <w:kern w:val="22"/>
                <w:sz w:val="17"/>
                <w:szCs w:val="17"/>
                <w:lang w:eastAsia="en-CA"/>
              </w:rPr>
            </w:pPr>
          </w:p>
        </w:tc>
      </w:tr>
      <w:tr w:rsidR="001D6920" w:rsidRPr="00EE0850" w14:paraId="19B5BB93" w14:textId="77777777" w:rsidTr="00DE347C">
        <w:trPr>
          <w:trHeight w:val="288"/>
        </w:trPr>
        <w:tc>
          <w:tcPr>
            <w:tcW w:w="4520" w:type="dxa"/>
            <w:tcBorders>
              <w:top w:val="nil"/>
              <w:left w:val="nil"/>
              <w:bottom w:val="nil"/>
              <w:right w:val="nil"/>
            </w:tcBorders>
            <w:shd w:val="clear" w:color="auto" w:fill="auto"/>
            <w:hideMark/>
          </w:tcPr>
          <w:p w14:paraId="4547435A" w14:textId="230383D5" w:rsidR="001D6920" w:rsidRPr="001D6920" w:rsidRDefault="001D6920" w:rsidP="001D6920">
            <w:pPr>
              <w:spacing w:after="0" w:line="240" w:lineRule="auto"/>
              <w:jc w:val="left"/>
              <w:rPr>
                <w:color w:val="000000"/>
                <w:kern w:val="22"/>
                <w:sz w:val="17"/>
                <w:szCs w:val="17"/>
                <w:lang w:val="fr-CA" w:eastAsia="en-CA"/>
              </w:rPr>
            </w:pPr>
            <w:r w:rsidRPr="00465B94">
              <w:rPr>
                <w:color w:val="000000"/>
                <w:kern w:val="22"/>
                <w:sz w:val="17"/>
                <w:szCs w:val="17"/>
                <w:lang w:val="fr-CA" w:eastAsia="en-CA"/>
              </w:rPr>
              <w:t xml:space="preserve">A. Organes </w:t>
            </w:r>
            <w:r>
              <w:rPr>
                <w:color w:val="000000"/>
                <w:kern w:val="22"/>
                <w:sz w:val="17"/>
                <w:szCs w:val="17"/>
                <w:lang w:val="fr-CA" w:eastAsia="en-CA"/>
              </w:rPr>
              <w:t>directeurs</w:t>
            </w:r>
            <w:r w:rsidRPr="00465B94">
              <w:rPr>
                <w:color w:val="000000"/>
                <w:kern w:val="22"/>
                <w:sz w:val="17"/>
                <w:szCs w:val="17"/>
                <w:lang w:val="fr-CA" w:eastAsia="en-CA"/>
              </w:rPr>
              <w:t xml:space="preserve"> et subsidiaires</w:t>
            </w:r>
          </w:p>
        </w:tc>
        <w:tc>
          <w:tcPr>
            <w:tcW w:w="1360" w:type="dxa"/>
            <w:tcBorders>
              <w:top w:val="nil"/>
              <w:left w:val="nil"/>
              <w:bottom w:val="nil"/>
              <w:right w:val="nil"/>
            </w:tcBorders>
            <w:shd w:val="clear" w:color="auto" w:fill="auto"/>
            <w:hideMark/>
          </w:tcPr>
          <w:p w14:paraId="59EFBAF2" w14:textId="71B3A627"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1 889</w:t>
            </w:r>
            <w:r>
              <w:rPr>
                <w:color w:val="000000"/>
                <w:kern w:val="22"/>
                <w:sz w:val="17"/>
                <w:szCs w:val="17"/>
                <w:lang w:val="fr-CA" w:eastAsia="en-CA"/>
              </w:rPr>
              <w:t>,</w:t>
            </w:r>
            <w:r w:rsidRPr="00465B94">
              <w:rPr>
                <w:color w:val="000000"/>
                <w:kern w:val="22"/>
                <w:sz w:val="17"/>
                <w:szCs w:val="17"/>
                <w:lang w:val="fr-CA" w:eastAsia="en-CA"/>
              </w:rPr>
              <w:t>0</w:t>
            </w:r>
          </w:p>
        </w:tc>
        <w:tc>
          <w:tcPr>
            <w:tcW w:w="1600" w:type="dxa"/>
            <w:tcBorders>
              <w:top w:val="nil"/>
              <w:left w:val="nil"/>
              <w:bottom w:val="nil"/>
              <w:right w:val="nil"/>
            </w:tcBorders>
            <w:shd w:val="clear" w:color="auto" w:fill="auto"/>
            <w:hideMark/>
          </w:tcPr>
          <w:p w14:paraId="5CE3BB4A" w14:textId="7B51C247"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2 484</w:t>
            </w:r>
            <w:r>
              <w:rPr>
                <w:color w:val="000000"/>
                <w:kern w:val="22"/>
                <w:sz w:val="17"/>
                <w:szCs w:val="17"/>
                <w:lang w:val="fr-CA" w:eastAsia="en-CA"/>
              </w:rPr>
              <w:t>,</w:t>
            </w:r>
            <w:r w:rsidRPr="00465B94">
              <w:rPr>
                <w:color w:val="000000"/>
                <w:kern w:val="22"/>
                <w:sz w:val="17"/>
                <w:szCs w:val="17"/>
                <w:lang w:val="fr-CA" w:eastAsia="en-CA"/>
              </w:rPr>
              <w:t>0</w:t>
            </w:r>
          </w:p>
        </w:tc>
        <w:tc>
          <w:tcPr>
            <w:tcW w:w="1640" w:type="dxa"/>
            <w:tcBorders>
              <w:top w:val="nil"/>
              <w:left w:val="nil"/>
              <w:bottom w:val="nil"/>
              <w:right w:val="nil"/>
            </w:tcBorders>
            <w:shd w:val="clear" w:color="auto" w:fill="auto"/>
            <w:hideMark/>
          </w:tcPr>
          <w:p w14:paraId="2794FCDF" w14:textId="60F981BB"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4 373</w:t>
            </w:r>
            <w:r>
              <w:rPr>
                <w:color w:val="000000"/>
                <w:kern w:val="22"/>
                <w:sz w:val="17"/>
                <w:szCs w:val="17"/>
                <w:lang w:val="fr-CA" w:eastAsia="en-CA"/>
              </w:rPr>
              <w:t>,</w:t>
            </w:r>
            <w:r w:rsidRPr="00465B94">
              <w:rPr>
                <w:color w:val="000000"/>
                <w:kern w:val="22"/>
                <w:sz w:val="17"/>
                <w:szCs w:val="17"/>
                <w:lang w:val="fr-CA" w:eastAsia="en-CA"/>
              </w:rPr>
              <w:t>0</w:t>
            </w:r>
          </w:p>
        </w:tc>
      </w:tr>
      <w:tr w:rsidR="001D6920" w:rsidRPr="00EE0850" w14:paraId="1B117729" w14:textId="77777777" w:rsidTr="00DE347C">
        <w:trPr>
          <w:trHeight w:val="288"/>
        </w:trPr>
        <w:tc>
          <w:tcPr>
            <w:tcW w:w="4520" w:type="dxa"/>
            <w:tcBorders>
              <w:top w:val="nil"/>
              <w:left w:val="nil"/>
              <w:bottom w:val="nil"/>
              <w:right w:val="nil"/>
            </w:tcBorders>
            <w:shd w:val="clear" w:color="auto" w:fill="auto"/>
            <w:hideMark/>
          </w:tcPr>
          <w:p w14:paraId="6BE9B198" w14:textId="24E13FD5" w:rsidR="001D6920" w:rsidRPr="001D6920" w:rsidRDefault="001D6920" w:rsidP="001D6920">
            <w:pPr>
              <w:spacing w:after="0" w:line="240" w:lineRule="auto"/>
              <w:jc w:val="left"/>
              <w:rPr>
                <w:color w:val="000000"/>
                <w:kern w:val="22"/>
                <w:sz w:val="17"/>
                <w:szCs w:val="17"/>
                <w:lang w:val="fr-CA" w:eastAsia="en-CA"/>
              </w:rPr>
            </w:pPr>
            <w:r w:rsidRPr="00465B94">
              <w:rPr>
                <w:color w:val="000000"/>
                <w:kern w:val="22"/>
                <w:sz w:val="17"/>
                <w:szCs w:val="17"/>
                <w:lang w:val="fr-CA" w:eastAsia="en-CA"/>
              </w:rPr>
              <w:t xml:space="preserve">B. </w:t>
            </w:r>
            <w:r>
              <w:rPr>
                <w:color w:val="000000"/>
                <w:kern w:val="22"/>
                <w:sz w:val="17"/>
                <w:szCs w:val="17"/>
                <w:lang w:val="fr-CA" w:eastAsia="en-CA"/>
              </w:rPr>
              <w:t>Direction exécutive et administration</w:t>
            </w:r>
          </w:p>
        </w:tc>
        <w:tc>
          <w:tcPr>
            <w:tcW w:w="1360" w:type="dxa"/>
            <w:tcBorders>
              <w:top w:val="nil"/>
              <w:left w:val="nil"/>
              <w:bottom w:val="nil"/>
              <w:right w:val="nil"/>
            </w:tcBorders>
            <w:shd w:val="clear" w:color="auto" w:fill="auto"/>
            <w:hideMark/>
          </w:tcPr>
          <w:p w14:paraId="7F4F0116" w14:textId="5CE0CCF6"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2 634</w:t>
            </w:r>
            <w:r>
              <w:rPr>
                <w:color w:val="000000"/>
                <w:kern w:val="22"/>
                <w:sz w:val="17"/>
                <w:szCs w:val="17"/>
                <w:lang w:val="fr-CA" w:eastAsia="en-CA"/>
              </w:rPr>
              <w:t>,</w:t>
            </w:r>
            <w:r w:rsidRPr="00465B94">
              <w:rPr>
                <w:color w:val="000000"/>
                <w:kern w:val="22"/>
                <w:sz w:val="17"/>
                <w:szCs w:val="17"/>
                <w:lang w:val="fr-CA" w:eastAsia="en-CA"/>
              </w:rPr>
              <w:t>5</w:t>
            </w:r>
          </w:p>
        </w:tc>
        <w:tc>
          <w:tcPr>
            <w:tcW w:w="1600" w:type="dxa"/>
            <w:tcBorders>
              <w:top w:val="nil"/>
              <w:left w:val="nil"/>
              <w:bottom w:val="nil"/>
              <w:right w:val="nil"/>
            </w:tcBorders>
            <w:shd w:val="clear" w:color="auto" w:fill="auto"/>
            <w:hideMark/>
          </w:tcPr>
          <w:p w14:paraId="14E9A65A" w14:textId="74536AF5"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2 669</w:t>
            </w:r>
            <w:r>
              <w:rPr>
                <w:color w:val="000000"/>
                <w:kern w:val="22"/>
                <w:sz w:val="17"/>
                <w:szCs w:val="17"/>
                <w:lang w:val="fr-CA" w:eastAsia="en-CA"/>
              </w:rPr>
              <w:t>,</w:t>
            </w:r>
            <w:r w:rsidRPr="00465B94">
              <w:rPr>
                <w:color w:val="000000"/>
                <w:kern w:val="22"/>
                <w:sz w:val="17"/>
                <w:szCs w:val="17"/>
                <w:lang w:val="fr-CA" w:eastAsia="en-CA"/>
              </w:rPr>
              <w:t>8</w:t>
            </w:r>
          </w:p>
        </w:tc>
        <w:tc>
          <w:tcPr>
            <w:tcW w:w="1640" w:type="dxa"/>
            <w:tcBorders>
              <w:top w:val="nil"/>
              <w:left w:val="nil"/>
              <w:bottom w:val="nil"/>
              <w:right w:val="nil"/>
            </w:tcBorders>
            <w:shd w:val="clear" w:color="auto" w:fill="auto"/>
            <w:hideMark/>
          </w:tcPr>
          <w:p w14:paraId="629F79D3" w14:textId="5D2E4216"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5 304</w:t>
            </w:r>
            <w:r>
              <w:rPr>
                <w:color w:val="000000"/>
                <w:kern w:val="22"/>
                <w:sz w:val="17"/>
                <w:szCs w:val="17"/>
                <w:lang w:val="fr-CA" w:eastAsia="en-CA"/>
              </w:rPr>
              <w:t>,</w:t>
            </w:r>
            <w:r w:rsidRPr="00465B94">
              <w:rPr>
                <w:color w:val="000000"/>
                <w:kern w:val="22"/>
                <w:sz w:val="17"/>
                <w:szCs w:val="17"/>
                <w:lang w:val="fr-CA" w:eastAsia="en-CA"/>
              </w:rPr>
              <w:t>3</w:t>
            </w:r>
          </w:p>
        </w:tc>
      </w:tr>
      <w:tr w:rsidR="001D6920" w:rsidRPr="00EE0850" w14:paraId="1E129196" w14:textId="77777777" w:rsidTr="00DE347C">
        <w:trPr>
          <w:trHeight w:val="288"/>
        </w:trPr>
        <w:tc>
          <w:tcPr>
            <w:tcW w:w="4520" w:type="dxa"/>
            <w:tcBorders>
              <w:top w:val="nil"/>
              <w:left w:val="nil"/>
              <w:bottom w:val="nil"/>
              <w:right w:val="nil"/>
            </w:tcBorders>
            <w:shd w:val="clear" w:color="auto" w:fill="auto"/>
            <w:hideMark/>
          </w:tcPr>
          <w:p w14:paraId="08151BC4" w14:textId="66BBBBB5" w:rsidR="001D6920" w:rsidRPr="00EE0850" w:rsidRDefault="001D6920" w:rsidP="001D6920">
            <w:pPr>
              <w:spacing w:after="0" w:line="240" w:lineRule="auto"/>
              <w:jc w:val="left"/>
              <w:rPr>
                <w:color w:val="000000"/>
                <w:kern w:val="22"/>
                <w:sz w:val="17"/>
                <w:szCs w:val="17"/>
                <w:lang w:eastAsia="en-CA"/>
              </w:rPr>
            </w:pPr>
            <w:r w:rsidRPr="00465B94">
              <w:rPr>
                <w:color w:val="000000"/>
                <w:kern w:val="22"/>
                <w:sz w:val="17"/>
                <w:szCs w:val="17"/>
                <w:lang w:val="fr-CA" w:eastAsia="en-CA"/>
              </w:rPr>
              <w:t xml:space="preserve">C. </w:t>
            </w:r>
            <w:r>
              <w:rPr>
                <w:color w:val="000000"/>
                <w:kern w:val="22"/>
                <w:sz w:val="17"/>
                <w:szCs w:val="17"/>
                <w:lang w:val="fr-CA" w:eastAsia="en-CA"/>
              </w:rPr>
              <w:t>Programme de travail</w:t>
            </w:r>
          </w:p>
        </w:tc>
        <w:tc>
          <w:tcPr>
            <w:tcW w:w="1360" w:type="dxa"/>
            <w:tcBorders>
              <w:top w:val="nil"/>
              <w:left w:val="nil"/>
              <w:bottom w:val="nil"/>
              <w:right w:val="nil"/>
            </w:tcBorders>
            <w:shd w:val="clear" w:color="auto" w:fill="auto"/>
            <w:hideMark/>
          </w:tcPr>
          <w:p w14:paraId="2CD6E6B3" w14:textId="33B14BBD"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9 309</w:t>
            </w:r>
            <w:r>
              <w:rPr>
                <w:color w:val="000000"/>
                <w:kern w:val="22"/>
                <w:sz w:val="17"/>
                <w:szCs w:val="17"/>
                <w:lang w:val="fr-CA" w:eastAsia="en-CA"/>
              </w:rPr>
              <w:t>,</w:t>
            </w:r>
            <w:r w:rsidRPr="00465B94">
              <w:rPr>
                <w:color w:val="000000"/>
                <w:kern w:val="22"/>
                <w:sz w:val="17"/>
                <w:szCs w:val="17"/>
                <w:lang w:val="fr-CA" w:eastAsia="en-CA"/>
              </w:rPr>
              <w:t>4</w:t>
            </w:r>
          </w:p>
        </w:tc>
        <w:tc>
          <w:tcPr>
            <w:tcW w:w="1600" w:type="dxa"/>
            <w:tcBorders>
              <w:top w:val="nil"/>
              <w:left w:val="nil"/>
              <w:bottom w:val="nil"/>
              <w:right w:val="nil"/>
            </w:tcBorders>
            <w:shd w:val="clear" w:color="auto" w:fill="auto"/>
            <w:hideMark/>
          </w:tcPr>
          <w:p w14:paraId="4B5D3938" w14:textId="044149E9"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9 243</w:t>
            </w:r>
            <w:r>
              <w:rPr>
                <w:color w:val="000000"/>
                <w:kern w:val="22"/>
                <w:sz w:val="17"/>
                <w:szCs w:val="17"/>
                <w:lang w:val="fr-CA" w:eastAsia="en-CA"/>
              </w:rPr>
              <w:t>,</w:t>
            </w:r>
            <w:r w:rsidRPr="00465B94">
              <w:rPr>
                <w:color w:val="000000"/>
                <w:kern w:val="22"/>
                <w:sz w:val="17"/>
                <w:szCs w:val="17"/>
                <w:lang w:val="fr-CA" w:eastAsia="en-CA"/>
              </w:rPr>
              <w:t>1</w:t>
            </w:r>
          </w:p>
        </w:tc>
        <w:tc>
          <w:tcPr>
            <w:tcW w:w="1640" w:type="dxa"/>
            <w:tcBorders>
              <w:top w:val="nil"/>
              <w:left w:val="nil"/>
              <w:bottom w:val="nil"/>
              <w:right w:val="nil"/>
            </w:tcBorders>
            <w:shd w:val="clear" w:color="auto" w:fill="auto"/>
            <w:hideMark/>
          </w:tcPr>
          <w:p w14:paraId="5268EB2A" w14:textId="0D6C5446"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18 552</w:t>
            </w:r>
            <w:r>
              <w:rPr>
                <w:color w:val="000000"/>
                <w:kern w:val="22"/>
                <w:sz w:val="17"/>
                <w:szCs w:val="17"/>
                <w:lang w:val="fr-CA" w:eastAsia="en-CA"/>
              </w:rPr>
              <w:t>,</w:t>
            </w:r>
            <w:r w:rsidRPr="00465B94">
              <w:rPr>
                <w:color w:val="000000"/>
                <w:kern w:val="22"/>
                <w:sz w:val="17"/>
                <w:szCs w:val="17"/>
                <w:lang w:val="fr-CA" w:eastAsia="en-CA"/>
              </w:rPr>
              <w:t>5</w:t>
            </w:r>
          </w:p>
        </w:tc>
      </w:tr>
      <w:tr w:rsidR="001D6920" w:rsidRPr="00EE0850" w14:paraId="5767A74F" w14:textId="77777777" w:rsidTr="00DE347C">
        <w:trPr>
          <w:trHeight w:val="300"/>
        </w:trPr>
        <w:tc>
          <w:tcPr>
            <w:tcW w:w="4520" w:type="dxa"/>
            <w:tcBorders>
              <w:top w:val="nil"/>
              <w:left w:val="nil"/>
              <w:bottom w:val="single" w:sz="8" w:space="0" w:color="auto"/>
              <w:right w:val="nil"/>
            </w:tcBorders>
            <w:shd w:val="clear" w:color="auto" w:fill="auto"/>
            <w:hideMark/>
          </w:tcPr>
          <w:p w14:paraId="4967ED7A" w14:textId="1540C946" w:rsidR="001D6920" w:rsidRPr="00EE0850" w:rsidRDefault="001D6920" w:rsidP="001D6920">
            <w:pPr>
              <w:spacing w:after="0" w:line="240" w:lineRule="auto"/>
              <w:jc w:val="left"/>
              <w:rPr>
                <w:color w:val="000000"/>
                <w:kern w:val="22"/>
                <w:sz w:val="17"/>
                <w:szCs w:val="17"/>
                <w:lang w:eastAsia="en-CA"/>
              </w:rPr>
            </w:pPr>
            <w:r w:rsidRPr="00465B94">
              <w:rPr>
                <w:color w:val="000000"/>
                <w:kern w:val="22"/>
                <w:sz w:val="17"/>
                <w:szCs w:val="17"/>
                <w:lang w:val="fr-CA" w:eastAsia="en-CA"/>
              </w:rPr>
              <w:t xml:space="preserve">D. </w:t>
            </w:r>
            <w:r>
              <w:rPr>
                <w:color w:val="000000"/>
                <w:kern w:val="22"/>
                <w:sz w:val="17"/>
                <w:szCs w:val="17"/>
                <w:lang w:val="fr-CA" w:eastAsia="en-CA"/>
              </w:rPr>
              <w:t>Soutien administratif</w:t>
            </w:r>
          </w:p>
        </w:tc>
        <w:tc>
          <w:tcPr>
            <w:tcW w:w="1360" w:type="dxa"/>
            <w:tcBorders>
              <w:top w:val="nil"/>
              <w:left w:val="nil"/>
              <w:bottom w:val="single" w:sz="8" w:space="0" w:color="auto"/>
              <w:right w:val="nil"/>
            </w:tcBorders>
            <w:shd w:val="clear" w:color="auto" w:fill="auto"/>
            <w:hideMark/>
          </w:tcPr>
          <w:p w14:paraId="330E2DD3" w14:textId="5FBF6E49"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2 886</w:t>
            </w:r>
            <w:r>
              <w:rPr>
                <w:color w:val="000000"/>
                <w:kern w:val="22"/>
                <w:sz w:val="17"/>
                <w:szCs w:val="17"/>
                <w:lang w:val="fr-CA" w:eastAsia="en-CA"/>
              </w:rPr>
              <w:t>,</w:t>
            </w:r>
            <w:r w:rsidRPr="00465B94">
              <w:rPr>
                <w:color w:val="000000"/>
                <w:kern w:val="22"/>
                <w:sz w:val="17"/>
                <w:szCs w:val="17"/>
                <w:lang w:val="fr-CA" w:eastAsia="en-CA"/>
              </w:rPr>
              <w:t>0</w:t>
            </w:r>
          </w:p>
        </w:tc>
        <w:tc>
          <w:tcPr>
            <w:tcW w:w="1600" w:type="dxa"/>
            <w:tcBorders>
              <w:top w:val="nil"/>
              <w:left w:val="nil"/>
              <w:bottom w:val="single" w:sz="8" w:space="0" w:color="auto"/>
              <w:right w:val="nil"/>
            </w:tcBorders>
            <w:shd w:val="clear" w:color="auto" w:fill="auto"/>
            <w:hideMark/>
          </w:tcPr>
          <w:p w14:paraId="4200BC96" w14:textId="12CD6697"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3 093</w:t>
            </w:r>
            <w:r>
              <w:rPr>
                <w:color w:val="000000"/>
                <w:kern w:val="22"/>
                <w:sz w:val="17"/>
                <w:szCs w:val="17"/>
                <w:lang w:val="fr-CA" w:eastAsia="en-CA"/>
              </w:rPr>
              <w:t>,</w:t>
            </w:r>
            <w:r w:rsidRPr="00465B94">
              <w:rPr>
                <w:color w:val="000000"/>
                <w:kern w:val="22"/>
                <w:sz w:val="17"/>
                <w:szCs w:val="17"/>
                <w:lang w:val="fr-CA" w:eastAsia="en-CA"/>
              </w:rPr>
              <w:t>7</w:t>
            </w:r>
          </w:p>
        </w:tc>
        <w:tc>
          <w:tcPr>
            <w:tcW w:w="1640" w:type="dxa"/>
            <w:tcBorders>
              <w:top w:val="nil"/>
              <w:left w:val="nil"/>
              <w:bottom w:val="single" w:sz="8" w:space="0" w:color="auto"/>
              <w:right w:val="nil"/>
            </w:tcBorders>
            <w:shd w:val="clear" w:color="auto" w:fill="auto"/>
            <w:hideMark/>
          </w:tcPr>
          <w:p w14:paraId="314FA487" w14:textId="39220FB9"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5 979</w:t>
            </w:r>
            <w:r>
              <w:rPr>
                <w:color w:val="000000"/>
                <w:kern w:val="22"/>
                <w:sz w:val="17"/>
                <w:szCs w:val="17"/>
                <w:lang w:val="fr-CA" w:eastAsia="en-CA"/>
              </w:rPr>
              <w:t>,</w:t>
            </w:r>
            <w:r w:rsidRPr="00465B94">
              <w:rPr>
                <w:color w:val="000000"/>
                <w:kern w:val="22"/>
                <w:sz w:val="17"/>
                <w:szCs w:val="17"/>
                <w:lang w:val="fr-CA" w:eastAsia="en-CA"/>
              </w:rPr>
              <w:t>7</w:t>
            </w:r>
          </w:p>
        </w:tc>
      </w:tr>
      <w:tr w:rsidR="001D6920" w:rsidRPr="00EE0850" w14:paraId="2391C933" w14:textId="77777777" w:rsidTr="00DE347C">
        <w:trPr>
          <w:trHeight w:val="300"/>
        </w:trPr>
        <w:tc>
          <w:tcPr>
            <w:tcW w:w="4520" w:type="dxa"/>
            <w:tcBorders>
              <w:top w:val="nil"/>
              <w:left w:val="nil"/>
              <w:bottom w:val="single" w:sz="12" w:space="0" w:color="auto"/>
              <w:right w:val="nil"/>
            </w:tcBorders>
            <w:shd w:val="clear" w:color="auto" w:fill="auto"/>
            <w:hideMark/>
          </w:tcPr>
          <w:p w14:paraId="3E8A5A7D" w14:textId="2CCB75EF" w:rsidR="001D6920" w:rsidRPr="00EE0850" w:rsidRDefault="001D6920" w:rsidP="001D6920">
            <w:pPr>
              <w:spacing w:after="0" w:line="240" w:lineRule="auto"/>
              <w:jc w:val="left"/>
              <w:rPr>
                <w:b/>
                <w:bCs/>
                <w:color w:val="000000"/>
                <w:kern w:val="22"/>
                <w:sz w:val="17"/>
                <w:szCs w:val="17"/>
                <w:lang w:eastAsia="en-CA"/>
              </w:rPr>
            </w:pPr>
            <w:r>
              <w:rPr>
                <w:b/>
                <w:bCs/>
                <w:color w:val="000000"/>
                <w:kern w:val="22"/>
                <w:sz w:val="17"/>
                <w:szCs w:val="17"/>
                <w:lang w:val="fr-CA" w:eastAsia="en-CA"/>
              </w:rPr>
              <w:t>Sous-total</w:t>
            </w:r>
          </w:p>
        </w:tc>
        <w:tc>
          <w:tcPr>
            <w:tcW w:w="1360" w:type="dxa"/>
            <w:tcBorders>
              <w:top w:val="nil"/>
              <w:left w:val="nil"/>
              <w:bottom w:val="single" w:sz="12" w:space="0" w:color="auto"/>
              <w:right w:val="nil"/>
            </w:tcBorders>
            <w:shd w:val="clear" w:color="auto" w:fill="auto"/>
            <w:hideMark/>
          </w:tcPr>
          <w:p w14:paraId="5CBE509D" w14:textId="5FFF3823" w:rsidR="001D6920" w:rsidRPr="00EE0850" w:rsidRDefault="001D6920" w:rsidP="001D6920">
            <w:pPr>
              <w:spacing w:after="0" w:line="240" w:lineRule="auto"/>
              <w:jc w:val="right"/>
              <w:rPr>
                <w:b/>
                <w:bCs/>
                <w:color w:val="000000"/>
                <w:kern w:val="22"/>
                <w:sz w:val="17"/>
                <w:szCs w:val="17"/>
                <w:lang w:eastAsia="en-CA"/>
              </w:rPr>
            </w:pPr>
            <w:r w:rsidRPr="00465B94">
              <w:rPr>
                <w:b/>
                <w:bCs/>
                <w:color w:val="000000"/>
                <w:kern w:val="22"/>
                <w:sz w:val="17"/>
                <w:szCs w:val="17"/>
                <w:lang w:val="fr-CA" w:eastAsia="en-CA"/>
              </w:rPr>
              <w:t>16 718</w:t>
            </w:r>
            <w:r>
              <w:rPr>
                <w:b/>
                <w:bCs/>
                <w:color w:val="000000"/>
                <w:kern w:val="22"/>
                <w:sz w:val="17"/>
                <w:szCs w:val="17"/>
                <w:lang w:val="fr-CA" w:eastAsia="en-CA"/>
              </w:rPr>
              <w:t>,</w:t>
            </w:r>
            <w:r w:rsidRPr="00465B94">
              <w:rPr>
                <w:b/>
                <w:bCs/>
                <w:color w:val="000000"/>
                <w:kern w:val="22"/>
                <w:sz w:val="17"/>
                <w:szCs w:val="17"/>
                <w:lang w:val="fr-CA" w:eastAsia="en-CA"/>
              </w:rPr>
              <w:t>9</w:t>
            </w:r>
          </w:p>
        </w:tc>
        <w:tc>
          <w:tcPr>
            <w:tcW w:w="1600" w:type="dxa"/>
            <w:tcBorders>
              <w:top w:val="nil"/>
              <w:left w:val="nil"/>
              <w:bottom w:val="single" w:sz="12" w:space="0" w:color="auto"/>
              <w:right w:val="nil"/>
            </w:tcBorders>
            <w:shd w:val="clear" w:color="auto" w:fill="auto"/>
            <w:hideMark/>
          </w:tcPr>
          <w:p w14:paraId="0C2783C2" w14:textId="3627B06E" w:rsidR="001D6920" w:rsidRPr="00EE0850" w:rsidRDefault="001D6920" w:rsidP="001D6920">
            <w:pPr>
              <w:spacing w:after="0" w:line="240" w:lineRule="auto"/>
              <w:jc w:val="right"/>
              <w:rPr>
                <w:b/>
                <w:bCs/>
                <w:color w:val="000000"/>
                <w:kern w:val="22"/>
                <w:sz w:val="17"/>
                <w:szCs w:val="17"/>
                <w:lang w:eastAsia="en-CA"/>
              </w:rPr>
            </w:pPr>
            <w:r w:rsidRPr="00465B94">
              <w:rPr>
                <w:b/>
                <w:bCs/>
                <w:color w:val="000000"/>
                <w:kern w:val="22"/>
                <w:sz w:val="17"/>
                <w:szCs w:val="17"/>
                <w:lang w:val="fr-CA" w:eastAsia="en-CA"/>
              </w:rPr>
              <w:t>17 490</w:t>
            </w:r>
            <w:r>
              <w:rPr>
                <w:b/>
                <w:bCs/>
                <w:color w:val="000000"/>
                <w:kern w:val="22"/>
                <w:sz w:val="17"/>
                <w:szCs w:val="17"/>
                <w:lang w:val="fr-CA" w:eastAsia="en-CA"/>
              </w:rPr>
              <w:t>,</w:t>
            </w:r>
            <w:r w:rsidRPr="00465B94">
              <w:rPr>
                <w:b/>
                <w:bCs/>
                <w:color w:val="000000"/>
                <w:kern w:val="22"/>
                <w:sz w:val="17"/>
                <w:szCs w:val="17"/>
                <w:lang w:val="fr-CA" w:eastAsia="en-CA"/>
              </w:rPr>
              <w:t>6</w:t>
            </w:r>
          </w:p>
        </w:tc>
        <w:tc>
          <w:tcPr>
            <w:tcW w:w="1640" w:type="dxa"/>
            <w:tcBorders>
              <w:top w:val="nil"/>
              <w:left w:val="nil"/>
              <w:bottom w:val="single" w:sz="12" w:space="0" w:color="auto"/>
              <w:right w:val="nil"/>
            </w:tcBorders>
            <w:shd w:val="clear" w:color="auto" w:fill="auto"/>
            <w:hideMark/>
          </w:tcPr>
          <w:p w14:paraId="62F67274" w14:textId="6DE1854D" w:rsidR="001D6920" w:rsidRPr="00EE0850" w:rsidRDefault="001D6920" w:rsidP="001D6920">
            <w:pPr>
              <w:spacing w:after="0" w:line="240" w:lineRule="auto"/>
              <w:jc w:val="right"/>
              <w:rPr>
                <w:b/>
                <w:bCs/>
                <w:color w:val="000000"/>
                <w:kern w:val="22"/>
                <w:sz w:val="17"/>
                <w:szCs w:val="17"/>
                <w:lang w:eastAsia="en-CA"/>
              </w:rPr>
            </w:pPr>
            <w:r w:rsidRPr="00465B94">
              <w:rPr>
                <w:b/>
                <w:bCs/>
                <w:color w:val="000000"/>
                <w:kern w:val="22"/>
                <w:sz w:val="17"/>
                <w:szCs w:val="17"/>
                <w:lang w:val="fr-CA" w:eastAsia="en-CA"/>
              </w:rPr>
              <w:t>34 209</w:t>
            </w:r>
            <w:r>
              <w:rPr>
                <w:b/>
                <w:bCs/>
                <w:color w:val="000000"/>
                <w:kern w:val="22"/>
                <w:sz w:val="17"/>
                <w:szCs w:val="17"/>
                <w:lang w:val="fr-CA" w:eastAsia="en-CA"/>
              </w:rPr>
              <w:t>,</w:t>
            </w:r>
            <w:r w:rsidRPr="00465B94">
              <w:rPr>
                <w:b/>
                <w:bCs/>
                <w:color w:val="000000"/>
                <w:kern w:val="22"/>
                <w:sz w:val="17"/>
                <w:szCs w:val="17"/>
                <w:lang w:val="fr-CA" w:eastAsia="en-CA"/>
              </w:rPr>
              <w:t>5</w:t>
            </w:r>
          </w:p>
        </w:tc>
      </w:tr>
      <w:tr w:rsidR="001D6920" w:rsidRPr="00EE0850" w14:paraId="38758838" w14:textId="77777777" w:rsidTr="00DE347C">
        <w:trPr>
          <w:trHeight w:val="300"/>
        </w:trPr>
        <w:tc>
          <w:tcPr>
            <w:tcW w:w="4520" w:type="dxa"/>
            <w:tcBorders>
              <w:top w:val="nil"/>
              <w:left w:val="nil"/>
              <w:bottom w:val="nil"/>
              <w:right w:val="nil"/>
            </w:tcBorders>
            <w:shd w:val="clear" w:color="auto" w:fill="auto"/>
            <w:hideMark/>
          </w:tcPr>
          <w:p w14:paraId="2AE06313" w14:textId="17C79E94" w:rsidR="001D6920" w:rsidRPr="00EE0850" w:rsidRDefault="001D6920" w:rsidP="001D6920">
            <w:pPr>
              <w:spacing w:after="0" w:line="240" w:lineRule="auto"/>
              <w:jc w:val="left"/>
              <w:rPr>
                <w:color w:val="000000"/>
                <w:kern w:val="22"/>
                <w:sz w:val="17"/>
                <w:szCs w:val="17"/>
                <w:lang w:eastAsia="en-CA"/>
              </w:rPr>
            </w:pPr>
            <w:r>
              <w:rPr>
                <w:color w:val="000000"/>
                <w:kern w:val="22"/>
                <w:sz w:val="17"/>
                <w:szCs w:val="17"/>
                <w:lang w:val="fr-CA" w:eastAsia="en-CA"/>
              </w:rPr>
              <w:t>Coûts d’appui au programme</w:t>
            </w:r>
          </w:p>
        </w:tc>
        <w:tc>
          <w:tcPr>
            <w:tcW w:w="1360" w:type="dxa"/>
            <w:tcBorders>
              <w:top w:val="nil"/>
              <w:left w:val="nil"/>
              <w:bottom w:val="nil"/>
              <w:right w:val="nil"/>
            </w:tcBorders>
            <w:shd w:val="clear" w:color="auto" w:fill="auto"/>
            <w:noWrap/>
            <w:hideMark/>
          </w:tcPr>
          <w:p w14:paraId="7D45968E" w14:textId="15CD360E"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2 173</w:t>
            </w:r>
            <w:r>
              <w:rPr>
                <w:color w:val="000000"/>
                <w:kern w:val="22"/>
                <w:sz w:val="17"/>
                <w:szCs w:val="17"/>
                <w:lang w:val="fr-CA" w:eastAsia="en-CA"/>
              </w:rPr>
              <w:t>,</w:t>
            </w:r>
            <w:r w:rsidRPr="00465B94">
              <w:rPr>
                <w:color w:val="000000"/>
                <w:kern w:val="22"/>
                <w:sz w:val="17"/>
                <w:szCs w:val="17"/>
                <w:lang w:val="fr-CA" w:eastAsia="en-CA"/>
              </w:rPr>
              <w:t>5</w:t>
            </w:r>
          </w:p>
        </w:tc>
        <w:tc>
          <w:tcPr>
            <w:tcW w:w="1600" w:type="dxa"/>
            <w:tcBorders>
              <w:top w:val="nil"/>
              <w:left w:val="nil"/>
              <w:bottom w:val="nil"/>
              <w:right w:val="nil"/>
            </w:tcBorders>
            <w:shd w:val="clear" w:color="auto" w:fill="auto"/>
            <w:hideMark/>
          </w:tcPr>
          <w:p w14:paraId="71ADD0CD" w14:textId="0BBF1CDE"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2 273</w:t>
            </w:r>
            <w:r>
              <w:rPr>
                <w:color w:val="000000"/>
                <w:kern w:val="22"/>
                <w:sz w:val="17"/>
                <w:szCs w:val="17"/>
                <w:lang w:val="fr-CA" w:eastAsia="en-CA"/>
              </w:rPr>
              <w:t>,</w:t>
            </w:r>
            <w:r w:rsidRPr="00465B94">
              <w:rPr>
                <w:color w:val="000000"/>
                <w:kern w:val="22"/>
                <w:sz w:val="17"/>
                <w:szCs w:val="17"/>
                <w:lang w:val="fr-CA" w:eastAsia="en-CA"/>
              </w:rPr>
              <w:t>8</w:t>
            </w:r>
          </w:p>
        </w:tc>
        <w:tc>
          <w:tcPr>
            <w:tcW w:w="1640" w:type="dxa"/>
            <w:tcBorders>
              <w:top w:val="nil"/>
              <w:left w:val="nil"/>
              <w:bottom w:val="nil"/>
              <w:right w:val="nil"/>
            </w:tcBorders>
            <w:shd w:val="clear" w:color="auto" w:fill="auto"/>
            <w:hideMark/>
          </w:tcPr>
          <w:p w14:paraId="34303532" w14:textId="00DDC1DB"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4 447</w:t>
            </w:r>
            <w:r>
              <w:rPr>
                <w:color w:val="000000"/>
                <w:kern w:val="22"/>
                <w:sz w:val="17"/>
                <w:szCs w:val="17"/>
                <w:lang w:val="fr-CA" w:eastAsia="en-CA"/>
              </w:rPr>
              <w:t>,</w:t>
            </w:r>
            <w:r w:rsidRPr="00465B94">
              <w:rPr>
                <w:color w:val="000000"/>
                <w:kern w:val="22"/>
                <w:sz w:val="17"/>
                <w:szCs w:val="17"/>
                <w:lang w:val="fr-CA" w:eastAsia="en-CA"/>
              </w:rPr>
              <w:t>2</w:t>
            </w:r>
          </w:p>
        </w:tc>
      </w:tr>
      <w:tr w:rsidR="001D6920" w:rsidRPr="00EE0850" w14:paraId="64CACBE3" w14:textId="77777777" w:rsidTr="00DE347C">
        <w:trPr>
          <w:trHeight w:val="300"/>
        </w:trPr>
        <w:tc>
          <w:tcPr>
            <w:tcW w:w="4520" w:type="dxa"/>
            <w:tcBorders>
              <w:top w:val="nil"/>
              <w:left w:val="nil"/>
              <w:bottom w:val="single" w:sz="8" w:space="0" w:color="auto"/>
              <w:right w:val="nil"/>
            </w:tcBorders>
            <w:shd w:val="clear" w:color="auto" w:fill="auto"/>
            <w:hideMark/>
          </w:tcPr>
          <w:p w14:paraId="0FF7AA02" w14:textId="1F6DD646" w:rsidR="001D6920" w:rsidRPr="001D6920" w:rsidRDefault="001D6920" w:rsidP="001D6920">
            <w:pPr>
              <w:spacing w:after="0" w:line="240" w:lineRule="auto"/>
              <w:jc w:val="left"/>
              <w:rPr>
                <w:color w:val="000000"/>
                <w:kern w:val="22"/>
                <w:sz w:val="17"/>
                <w:szCs w:val="17"/>
                <w:lang w:val="fr-CA" w:eastAsia="en-CA"/>
              </w:rPr>
            </w:pPr>
            <w:r>
              <w:rPr>
                <w:color w:val="000000"/>
                <w:kern w:val="22"/>
                <w:sz w:val="17"/>
                <w:szCs w:val="17"/>
                <w:lang w:val="fr-CA" w:eastAsia="en-CA"/>
              </w:rPr>
              <w:t>Réserve du fonds de roulement</w:t>
            </w:r>
          </w:p>
        </w:tc>
        <w:tc>
          <w:tcPr>
            <w:tcW w:w="1360" w:type="dxa"/>
            <w:tcBorders>
              <w:top w:val="nil"/>
              <w:left w:val="nil"/>
              <w:bottom w:val="single" w:sz="8" w:space="0" w:color="auto"/>
              <w:right w:val="nil"/>
            </w:tcBorders>
            <w:shd w:val="clear" w:color="auto" w:fill="auto"/>
            <w:noWrap/>
            <w:hideMark/>
          </w:tcPr>
          <w:p w14:paraId="2B41C427" w14:textId="55E23ED1"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56</w:t>
            </w:r>
            <w:r>
              <w:rPr>
                <w:color w:val="000000"/>
                <w:kern w:val="22"/>
                <w:sz w:val="17"/>
                <w:szCs w:val="17"/>
                <w:lang w:val="fr-CA" w:eastAsia="en-CA"/>
              </w:rPr>
              <w:t>,</w:t>
            </w:r>
            <w:r w:rsidRPr="00465B94">
              <w:rPr>
                <w:color w:val="000000"/>
                <w:kern w:val="22"/>
                <w:sz w:val="17"/>
                <w:szCs w:val="17"/>
                <w:lang w:val="fr-CA" w:eastAsia="en-CA"/>
              </w:rPr>
              <w:t>6</w:t>
            </w:r>
          </w:p>
        </w:tc>
        <w:tc>
          <w:tcPr>
            <w:tcW w:w="1600" w:type="dxa"/>
            <w:tcBorders>
              <w:top w:val="nil"/>
              <w:left w:val="nil"/>
              <w:bottom w:val="single" w:sz="8" w:space="0" w:color="auto"/>
              <w:right w:val="nil"/>
            </w:tcBorders>
            <w:shd w:val="clear" w:color="auto" w:fill="auto"/>
            <w:noWrap/>
            <w:hideMark/>
          </w:tcPr>
          <w:p w14:paraId="150ED334" w14:textId="43DD7CE6"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130</w:t>
            </w:r>
            <w:r>
              <w:rPr>
                <w:color w:val="000000"/>
                <w:kern w:val="22"/>
                <w:sz w:val="17"/>
                <w:szCs w:val="17"/>
                <w:lang w:val="fr-CA" w:eastAsia="en-CA"/>
              </w:rPr>
              <w:t>,</w:t>
            </w:r>
            <w:r w:rsidRPr="00465B94">
              <w:rPr>
                <w:color w:val="000000"/>
                <w:kern w:val="22"/>
                <w:sz w:val="17"/>
                <w:szCs w:val="17"/>
                <w:lang w:val="fr-CA" w:eastAsia="en-CA"/>
              </w:rPr>
              <w:t>7</w:t>
            </w:r>
          </w:p>
        </w:tc>
        <w:tc>
          <w:tcPr>
            <w:tcW w:w="1640" w:type="dxa"/>
            <w:tcBorders>
              <w:top w:val="nil"/>
              <w:left w:val="nil"/>
              <w:bottom w:val="single" w:sz="8" w:space="0" w:color="auto"/>
              <w:right w:val="nil"/>
            </w:tcBorders>
            <w:shd w:val="clear" w:color="auto" w:fill="auto"/>
            <w:hideMark/>
          </w:tcPr>
          <w:p w14:paraId="74C92CDB" w14:textId="5071B822"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187</w:t>
            </w:r>
            <w:r>
              <w:rPr>
                <w:color w:val="000000"/>
                <w:kern w:val="22"/>
                <w:sz w:val="17"/>
                <w:szCs w:val="17"/>
                <w:lang w:val="fr-CA" w:eastAsia="en-CA"/>
              </w:rPr>
              <w:t>,</w:t>
            </w:r>
            <w:r w:rsidRPr="00465B94">
              <w:rPr>
                <w:color w:val="000000"/>
                <w:kern w:val="22"/>
                <w:sz w:val="17"/>
                <w:szCs w:val="17"/>
                <w:lang w:val="fr-CA" w:eastAsia="en-CA"/>
              </w:rPr>
              <w:t>4</w:t>
            </w:r>
          </w:p>
        </w:tc>
      </w:tr>
      <w:tr w:rsidR="001D6920" w:rsidRPr="00EE0850" w14:paraId="7506CC9B" w14:textId="77777777" w:rsidTr="00DE347C">
        <w:trPr>
          <w:trHeight w:val="300"/>
        </w:trPr>
        <w:tc>
          <w:tcPr>
            <w:tcW w:w="4520" w:type="dxa"/>
            <w:tcBorders>
              <w:top w:val="nil"/>
              <w:left w:val="nil"/>
              <w:bottom w:val="single" w:sz="8" w:space="0" w:color="auto"/>
              <w:right w:val="nil"/>
            </w:tcBorders>
            <w:shd w:val="clear" w:color="auto" w:fill="auto"/>
            <w:hideMark/>
          </w:tcPr>
          <w:p w14:paraId="52FCA6E5" w14:textId="01F11C9B" w:rsidR="001D6920" w:rsidRPr="00EE0850" w:rsidRDefault="001D6920" w:rsidP="001D6920">
            <w:pPr>
              <w:spacing w:after="0" w:line="240" w:lineRule="auto"/>
              <w:jc w:val="left"/>
              <w:rPr>
                <w:b/>
                <w:bCs/>
                <w:color w:val="000000"/>
                <w:kern w:val="22"/>
                <w:sz w:val="17"/>
                <w:szCs w:val="17"/>
                <w:lang w:eastAsia="en-CA"/>
              </w:rPr>
            </w:pPr>
            <w:r w:rsidRPr="00465B94">
              <w:rPr>
                <w:b/>
                <w:bCs/>
                <w:color w:val="000000"/>
                <w:kern w:val="22"/>
                <w:sz w:val="17"/>
                <w:szCs w:val="17"/>
                <w:lang w:val="fr-CA" w:eastAsia="en-CA"/>
              </w:rPr>
              <w:t>Total</w:t>
            </w:r>
          </w:p>
        </w:tc>
        <w:tc>
          <w:tcPr>
            <w:tcW w:w="1360" w:type="dxa"/>
            <w:tcBorders>
              <w:top w:val="nil"/>
              <w:left w:val="nil"/>
              <w:bottom w:val="single" w:sz="8" w:space="0" w:color="auto"/>
              <w:right w:val="nil"/>
            </w:tcBorders>
            <w:shd w:val="clear" w:color="auto" w:fill="auto"/>
            <w:noWrap/>
            <w:hideMark/>
          </w:tcPr>
          <w:p w14:paraId="419B7A74" w14:textId="36477DE1" w:rsidR="001D6920" w:rsidRPr="00EE0850" w:rsidRDefault="001D6920" w:rsidP="001D6920">
            <w:pPr>
              <w:spacing w:after="0" w:line="240" w:lineRule="auto"/>
              <w:jc w:val="right"/>
              <w:rPr>
                <w:b/>
                <w:bCs/>
                <w:color w:val="000000"/>
                <w:kern w:val="22"/>
                <w:sz w:val="17"/>
                <w:szCs w:val="17"/>
                <w:lang w:eastAsia="en-CA"/>
              </w:rPr>
            </w:pPr>
            <w:r w:rsidRPr="00465B94">
              <w:rPr>
                <w:b/>
                <w:bCs/>
                <w:color w:val="000000"/>
                <w:kern w:val="22"/>
                <w:sz w:val="17"/>
                <w:szCs w:val="17"/>
                <w:lang w:val="fr-CA" w:eastAsia="en-CA"/>
              </w:rPr>
              <w:t>18 949</w:t>
            </w:r>
            <w:r>
              <w:rPr>
                <w:b/>
                <w:bCs/>
                <w:color w:val="000000"/>
                <w:kern w:val="22"/>
                <w:sz w:val="17"/>
                <w:szCs w:val="17"/>
                <w:lang w:val="fr-CA" w:eastAsia="en-CA"/>
              </w:rPr>
              <w:t>,</w:t>
            </w:r>
            <w:r w:rsidRPr="00465B94">
              <w:rPr>
                <w:b/>
                <w:bCs/>
                <w:color w:val="000000"/>
                <w:kern w:val="22"/>
                <w:sz w:val="17"/>
                <w:szCs w:val="17"/>
                <w:lang w:val="fr-CA" w:eastAsia="en-CA"/>
              </w:rPr>
              <w:t>0</w:t>
            </w:r>
          </w:p>
        </w:tc>
        <w:tc>
          <w:tcPr>
            <w:tcW w:w="1600" w:type="dxa"/>
            <w:tcBorders>
              <w:top w:val="nil"/>
              <w:left w:val="nil"/>
              <w:bottom w:val="single" w:sz="8" w:space="0" w:color="auto"/>
              <w:right w:val="nil"/>
            </w:tcBorders>
            <w:shd w:val="clear" w:color="auto" w:fill="auto"/>
            <w:noWrap/>
            <w:hideMark/>
          </w:tcPr>
          <w:p w14:paraId="04B59720" w14:textId="0B20A6E9" w:rsidR="001D6920" w:rsidRPr="00EE0850" w:rsidRDefault="001D6920" w:rsidP="001D6920">
            <w:pPr>
              <w:spacing w:after="0" w:line="240" w:lineRule="auto"/>
              <w:jc w:val="right"/>
              <w:rPr>
                <w:b/>
                <w:bCs/>
                <w:color w:val="000000"/>
                <w:kern w:val="22"/>
                <w:sz w:val="17"/>
                <w:szCs w:val="17"/>
                <w:lang w:eastAsia="en-CA"/>
              </w:rPr>
            </w:pPr>
            <w:r w:rsidRPr="00465B94">
              <w:rPr>
                <w:b/>
                <w:bCs/>
                <w:color w:val="000000"/>
                <w:kern w:val="22"/>
                <w:sz w:val="17"/>
                <w:szCs w:val="17"/>
                <w:lang w:val="fr-CA" w:eastAsia="en-CA"/>
              </w:rPr>
              <w:t>19 895</w:t>
            </w:r>
            <w:r>
              <w:rPr>
                <w:b/>
                <w:bCs/>
                <w:color w:val="000000"/>
                <w:kern w:val="22"/>
                <w:sz w:val="17"/>
                <w:szCs w:val="17"/>
                <w:lang w:val="fr-CA" w:eastAsia="en-CA"/>
              </w:rPr>
              <w:t>,</w:t>
            </w:r>
            <w:r w:rsidRPr="00465B94">
              <w:rPr>
                <w:b/>
                <w:bCs/>
                <w:color w:val="000000"/>
                <w:kern w:val="22"/>
                <w:sz w:val="17"/>
                <w:szCs w:val="17"/>
                <w:lang w:val="fr-CA" w:eastAsia="en-CA"/>
              </w:rPr>
              <w:t>1</w:t>
            </w:r>
          </w:p>
        </w:tc>
        <w:tc>
          <w:tcPr>
            <w:tcW w:w="1640" w:type="dxa"/>
            <w:tcBorders>
              <w:top w:val="nil"/>
              <w:left w:val="nil"/>
              <w:bottom w:val="single" w:sz="8" w:space="0" w:color="auto"/>
              <w:right w:val="nil"/>
            </w:tcBorders>
            <w:shd w:val="clear" w:color="auto" w:fill="auto"/>
            <w:noWrap/>
            <w:hideMark/>
          </w:tcPr>
          <w:p w14:paraId="45735814" w14:textId="3CF9BED5" w:rsidR="001D6920" w:rsidRPr="00EE0850" w:rsidRDefault="001D6920" w:rsidP="001D6920">
            <w:pPr>
              <w:spacing w:after="0" w:line="240" w:lineRule="auto"/>
              <w:jc w:val="right"/>
              <w:rPr>
                <w:b/>
                <w:bCs/>
                <w:color w:val="000000"/>
                <w:kern w:val="22"/>
                <w:sz w:val="17"/>
                <w:szCs w:val="17"/>
                <w:lang w:eastAsia="en-CA"/>
              </w:rPr>
            </w:pPr>
            <w:r w:rsidRPr="00465B94">
              <w:rPr>
                <w:b/>
                <w:bCs/>
                <w:color w:val="000000"/>
                <w:kern w:val="22"/>
                <w:sz w:val="17"/>
                <w:szCs w:val="17"/>
                <w:lang w:val="fr-CA" w:eastAsia="en-CA"/>
              </w:rPr>
              <w:t>38 844</w:t>
            </w:r>
            <w:r>
              <w:rPr>
                <w:b/>
                <w:bCs/>
                <w:color w:val="000000"/>
                <w:kern w:val="22"/>
                <w:sz w:val="17"/>
                <w:szCs w:val="17"/>
                <w:lang w:val="fr-CA" w:eastAsia="en-CA"/>
              </w:rPr>
              <w:t>,</w:t>
            </w:r>
            <w:r w:rsidRPr="00465B94">
              <w:rPr>
                <w:b/>
                <w:bCs/>
                <w:color w:val="000000"/>
                <w:kern w:val="22"/>
                <w:sz w:val="17"/>
                <w:szCs w:val="17"/>
                <w:lang w:val="fr-CA" w:eastAsia="en-CA"/>
              </w:rPr>
              <w:t>1</w:t>
            </w:r>
          </w:p>
        </w:tc>
      </w:tr>
      <w:tr w:rsidR="001D6920" w:rsidRPr="00EE0850" w14:paraId="403C10C3" w14:textId="77777777" w:rsidTr="00DE347C">
        <w:trPr>
          <w:trHeight w:val="288"/>
        </w:trPr>
        <w:tc>
          <w:tcPr>
            <w:tcW w:w="4520" w:type="dxa"/>
            <w:tcBorders>
              <w:top w:val="nil"/>
              <w:left w:val="nil"/>
              <w:bottom w:val="single" w:sz="4" w:space="0" w:color="auto"/>
              <w:right w:val="nil"/>
            </w:tcBorders>
            <w:shd w:val="clear" w:color="auto" w:fill="auto"/>
            <w:vAlign w:val="center"/>
            <w:hideMark/>
          </w:tcPr>
          <w:p w14:paraId="20E4523E" w14:textId="223AFD4B" w:rsidR="001D6920" w:rsidRPr="001D6920" w:rsidRDefault="001D6920" w:rsidP="001D6920">
            <w:pPr>
              <w:spacing w:after="0" w:line="240" w:lineRule="auto"/>
              <w:jc w:val="left"/>
              <w:rPr>
                <w:kern w:val="22"/>
                <w:sz w:val="17"/>
                <w:szCs w:val="17"/>
                <w:lang w:val="fr-CA" w:eastAsia="en-CA"/>
              </w:rPr>
            </w:pPr>
            <w:r>
              <w:rPr>
                <w:kern w:val="22"/>
                <w:sz w:val="17"/>
                <w:szCs w:val="17"/>
                <w:lang w:val="fr-CA" w:eastAsia="en-CA"/>
              </w:rPr>
              <w:t>Part du Protocole de Nagoya du budget intégré</w:t>
            </w:r>
            <w:r w:rsidRPr="00E02578">
              <w:rPr>
                <w:kern w:val="22"/>
                <w:sz w:val="17"/>
                <w:szCs w:val="17"/>
                <w:lang w:val="fr-CA" w:eastAsia="en-CA"/>
              </w:rPr>
              <w:t xml:space="preserve"> </w:t>
            </w:r>
            <w:r w:rsidRPr="00465B94">
              <w:rPr>
                <w:kern w:val="22"/>
                <w:sz w:val="17"/>
                <w:szCs w:val="17"/>
                <w:lang w:val="fr-CA" w:eastAsia="en-CA"/>
              </w:rPr>
              <w:t>(11</w:t>
            </w:r>
            <w:r>
              <w:rPr>
                <w:kern w:val="22"/>
                <w:sz w:val="17"/>
                <w:szCs w:val="17"/>
                <w:lang w:val="fr-CA" w:eastAsia="en-CA"/>
              </w:rPr>
              <w:t xml:space="preserve"> </w:t>
            </w:r>
            <w:r w:rsidRPr="00465B94">
              <w:rPr>
                <w:kern w:val="22"/>
                <w:sz w:val="17"/>
                <w:szCs w:val="17"/>
                <w:lang w:val="fr-CA" w:eastAsia="en-CA"/>
              </w:rPr>
              <w:t>%)</w:t>
            </w:r>
          </w:p>
        </w:tc>
        <w:tc>
          <w:tcPr>
            <w:tcW w:w="1360" w:type="dxa"/>
            <w:tcBorders>
              <w:top w:val="nil"/>
              <w:left w:val="nil"/>
              <w:bottom w:val="single" w:sz="4" w:space="0" w:color="auto"/>
              <w:right w:val="nil"/>
            </w:tcBorders>
            <w:shd w:val="clear" w:color="auto" w:fill="auto"/>
            <w:vAlign w:val="center"/>
            <w:hideMark/>
          </w:tcPr>
          <w:p w14:paraId="7233D8C8" w14:textId="358AE6B8"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2 084</w:t>
            </w:r>
            <w:r>
              <w:rPr>
                <w:kern w:val="22"/>
                <w:sz w:val="17"/>
                <w:szCs w:val="17"/>
                <w:lang w:val="fr-CA" w:eastAsia="en-CA"/>
              </w:rPr>
              <w:t>,</w:t>
            </w:r>
            <w:r w:rsidRPr="00465B94">
              <w:rPr>
                <w:kern w:val="22"/>
                <w:sz w:val="17"/>
                <w:szCs w:val="17"/>
                <w:lang w:val="fr-CA" w:eastAsia="en-CA"/>
              </w:rPr>
              <w:t>4</w:t>
            </w:r>
          </w:p>
        </w:tc>
        <w:tc>
          <w:tcPr>
            <w:tcW w:w="1600" w:type="dxa"/>
            <w:tcBorders>
              <w:top w:val="nil"/>
              <w:left w:val="nil"/>
              <w:bottom w:val="single" w:sz="4" w:space="0" w:color="auto"/>
              <w:right w:val="nil"/>
            </w:tcBorders>
            <w:shd w:val="clear" w:color="auto" w:fill="auto"/>
            <w:vAlign w:val="center"/>
            <w:hideMark/>
          </w:tcPr>
          <w:p w14:paraId="4A105CB4" w14:textId="25E67DD7"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2 188</w:t>
            </w:r>
            <w:r>
              <w:rPr>
                <w:kern w:val="22"/>
                <w:sz w:val="17"/>
                <w:szCs w:val="17"/>
                <w:lang w:val="fr-CA" w:eastAsia="en-CA"/>
              </w:rPr>
              <w:t>,</w:t>
            </w:r>
            <w:r w:rsidRPr="00465B94">
              <w:rPr>
                <w:kern w:val="22"/>
                <w:sz w:val="17"/>
                <w:szCs w:val="17"/>
                <w:lang w:val="fr-CA" w:eastAsia="en-CA"/>
              </w:rPr>
              <w:t>5</w:t>
            </w:r>
          </w:p>
        </w:tc>
        <w:tc>
          <w:tcPr>
            <w:tcW w:w="1640" w:type="dxa"/>
            <w:tcBorders>
              <w:top w:val="nil"/>
              <w:left w:val="nil"/>
              <w:bottom w:val="single" w:sz="4" w:space="0" w:color="auto"/>
              <w:right w:val="nil"/>
            </w:tcBorders>
            <w:shd w:val="clear" w:color="auto" w:fill="auto"/>
            <w:vAlign w:val="center"/>
            <w:hideMark/>
          </w:tcPr>
          <w:p w14:paraId="70C13C88" w14:textId="54EDE5EC"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4 272</w:t>
            </w:r>
            <w:r>
              <w:rPr>
                <w:kern w:val="22"/>
                <w:sz w:val="17"/>
                <w:szCs w:val="17"/>
                <w:lang w:val="fr-CA" w:eastAsia="en-CA"/>
              </w:rPr>
              <w:t>,</w:t>
            </w:r>
            <w:r w:rsidRPr="00465B94">
              <w:rPr>
                <w:kern w:val="22"/>
                <w:sz w:val="17"/>
                <w:szCs w:val="17"/>
                <w:lang w:val="fr-CA" w:eastAsia="en-CA"/>
              </w:rPr>
              <w:t>9</w:t>
            </w:r>
          </w:p>
        </w:tc>
      </w:tr>
      <w:tr w:rsidR="001D6920" w:rsidRPr="00EE0850" w14:paraId="4E12AE0E" w14:textId="77777777" w:rsidTr="00DE347C">
        <w:trPr>
          <w:trHeight w:val="288"/>
        </w:trPr>
        <w:tc>
          <w:tcPr>
            <w:tcW w:w="4520" w:type="dxa"/>
            <w:tcBorders>
              <w:top w:val="nil"/>
              <w:left w:val="nil"/>
              <w:bottom w:val="nil"/>
              <w:right w:val="nil"/>
            </w:tcBorders>
            <w:shd w:val="clear" w:color="auto" w:fill="auto"/>
            <w:hideMark/>
          </w:tcPr>
          <w:p w14:paraId="5B5BDD48" w14:textId="4E51B098" w:rsidR="001D6920" w:rsidRPr="001D6920" w:rsidRDefault="001D6920" w:rsidP="001D6920">
            <w:pPr>
              <w:spacing w:after="0" w:line="240" w:lineRule="auto"/>
              <w:jc w:val="left"/>
              <w:rPr>
                <w:color w:val="000000"/>
                <w:kern w:val="22"/>
                <w:sz w:val="17"/>
                <w:szCs w:val="17"/>
                <w:lang w:val="fr-CA" w:eastAsia="en-CA"/>
              </w:rPr>
            </w:pPr>
            <w:r w:rsidRPr="00F24602">
              <w:rPr>
                <w:color w:val="000000"/>
                <w:kern w:val="22"/>
                <w:sz w:val="17"/>
                <w:szCs w:val="17"/>
                <w:u w:val="single"/>
                <w:lang w:val="fr-CA" w:eastAsia="en-CA"/>
              </w:rPr>
              <w:t xml:space="preserve">Moins </w:t>
            </w:r>
            <w:r w:rsidRPr="00F24602">
              <w:rPr>
                <w:color w:val="000000"/>
                <w:kern w:val="22"/>
                <w:sz w:val="17"/>
                <w:szCs w:val="17"/>
                <w:lang w:val="fr-CA" w:eastAsia="en-CA"/>
              </w:rPr>
              <w:t>:  Contribution du pays h</w:t>
            </w:r>
            <w:r>
              <w:rPr>
                <w:color w:val="000000"/>
                <w:kern w:val="22"/>
                <w:sz w:val="17"/>
                <w:szCs w:val="17"/>
                <w:lang w:val="fr-CA" w:eastAsia="en-CA"/>
              </w:rPr>
              <w:t>ôte</w:t>
            </w:r>
          </w:p>
        </w:tc>
        <w:tc>
          <w:tcPr>
            <w:tcW w:w="1360" w:type="dxa"/>
            <w:tcBorders>
              <w:top w:val="nil"/>
              <w:left w:val="nil"/>
              <w:bottom w:val="nil"/>
              <w:right w:val="nil"/>
            </w:tcBorders>
            <w:shd w:val="clear" w:color="auto" w:fill="auto"/>
            <w:vAlign w:val="center"/>
            <w:hideMark/>
          </w:tcPr>
          <w:p w14:paraId="6E450831" w14:textId="5D478623"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(135</w:t>
            </w:r>
            <w:r>
              <w:rPr>
                <w:kern w:val="22"/>
                <w:sz w:val="17"/>
                <w:szCs w:val="17"/>
                <w:lang w:val="fr-CA" w:eastAsia="en-CA"/>
              </w:rPr>
              <w:t>,</w:t>
            </w:r>
            <w:r w:rsidRPr="00465B94">
              <w:rPr>
                <w:kern w:val="22"/>
                <w:sz w:val="17"/>
                <w:szCs w:val="17"/>
                <w:lang w:val="fr-CA" w:eastAsia="en-CA"/>
              </w:rPr>
              <w:t>2)</w:t>
            </w:r>
          </w:p>
        </w:tc>
        <w:tc>
          <w:tcPr>
            <w:tcW w:w="1600" w:type="dxa"/>
            <w:tcBorders>
              <w:top w:val="nil"/>
              <w:left w:val="nil"/>
              <w:bottom w:val="nil"/>
              <w:right w:val="nil"/>
            </w:tcBorders>
            <w:shd w:val="clear" w:color="auto" w:fill="auto"/>
            <w:vAlign w:val="center"/>
            <w:hideMark/>
          </w:tcPr>
          <w:p w14:paraId="6958355C" w14:textId="29155C53"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(156</w:t>
            </w:r>
            <w:r>
              <w:rPr>
                <w:kern w:val="22"/>
                <w:sz w:val="17"/>
                <w:szCs w:val="17"/>
                <w:lang w:val="fr-CA" w:eastAsia="en-CA"/>
              </w:rPr>
              <w:t>,</w:t>
            </w:r>
            <w:r w:rsidRPr="00465B94">
              <w:rPr>
                <w:kern w:val="22"/>
                <w:sz w:val="17"/>
                <w:szCs w:val="17"/>
                <w:lang w:val="fr-CA" w:eastAsia="en-CA"/>
              </w:rPr>
              <w:t>6)</w:t>
            </w:r>
          </w:p>
        </w:tc>
        <w:tc>
          <w:tcPr>
            <w:tcW w:w="1640" w:type="dxa"/>
            <w:tcBorders>
              <w:top w:val="nil"/>
              <w:left w:val="nil"/>
              <w:bottom w:val="nil"/>
              <w:right w:val="nil"/>
            </w:tcBorders>
            <w:shd w:val="clear" w:color="auto" w:fill="auto"/>
            <w:vAlign w:val="center"/>
            <w:hideMark/>
          </w:tcPr>
          <w:p w14:paraId="78040A79" w14:textId="5B070FB1"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(291</w:t>
            </w:r>
            <w:r>
              <w:rPr>
                <w:kern w:val="22"/>
                <w:sz w:val="17"/>
                <w:szCs w:val="17"/>
                <w:lang w:val="fr-CA" w:eastAsia="en-CA"/>
              </w:rPr>
              <w:t>,</w:t>
            </w:r>
            <w:r w:rsidRPr="00465B94">
              <w:rPr>
                <w:kern w:val="22"/>
                <w:sz w:val="17"/>
                <w:szCs w:val="17"/>
                <w:lang w:val="fr-CA" w:eastAsia="en-CA"/>
              </w:rPr>
              <w:t>8)</w:t>
            </w:r>
          </w:p>
        </w:tc>
      </w:tr>
      <w:tr w:rsidR="001D6920" w:rsidRPr="00EE0850" w14:paraId="3BD09190" w14:textId="77777777" w:rsidTr="00DE347C">
        <w:trPr>
          <w:trHeight w:val="288"/>
        </w:trPr>
        <w:tc>
          <w:tcPr>
            <w:tcW w:w="4520" w:type="dxa"/>
            <w:tcBorders>
              <w:top w:val="nil"/>
              <w:left w:val="nil"/>
              <w:bottom w:val="nil"/>
              <w:right w:val="nil"/>
            </w:tcBorders>
            <w:shd w:val="clear" w:color="auto" w:fill="auto"/>
            <w:hideMark/>
          </w:tcPr>
          <w:p w14:paraId="3DAC30B8" w14:textId="3123D368" w:rsidR="001D6920" w:rsidRPr="001D6920" w:rsidRDefault="001D6920" w:rsidP="001D6920">
            <w:pPr>
              <w:spacing w:after="0" w:line="240" w:lineRule="auto"/>
              <w:jc w:val="left"/>
              <w:rPr>
                <w:color w:val="000000"/>
                <w:kern w:val="22"/>
                <w:sz w:val="17"/>
                <w:szCs w:val="17"/>
                <w:lang w:val="fr-CA" w:eastAsia="en-CA"/>
              </w:rPr>
            </w:pPr>
            <w:r w:rsidRPr="00F24602">
              <w:rPr>
                <w:color w:val="000000"/>
                <w:kern w:val="22"/>
                <w:sz w:val="17"/>
                <w:szCs w:val="17"/>
                <w:u w:val="single"/>
                <w:lang w:val="fr-CA" w:eastAsia="en-CA"/>
              </w:rPr>
              <w:t xml:space="preserve">Moins </w:t>
            </w:r>
            <w:r w:rsidRPr="00F24602">
              <w:rPr>
                <w:color w:val="000000"/>
                <w:kern w:val="22"/>
                <w:sz w:val="17"/>
                <w:szCs w:val="17"/>
                <w:lang w:val="fr-CA" w:eastAsia="en-CA"/>
              </w:rPr>
              <w:t xml:space="preserve">:  Utilisation des </w:t>
            </w:r>
            <w:r>
              <w:rPr>
                <w:color w:val="000000"/>
                <w:kern w:val="22"/>
                <w:sz w:val="17"/>
                <w:szCs w:val="17"/>
                <w:lang w:val="fr-CA" w:eastAsia="en-CA"/>
              </w:rPr>
              <w:t>ré</w:t>
            </w:r>
            <w:r w:rsidRPr="00F24602">
              <w:rPr>
                <w:color w:val="000000"/>
                <w:kern w:val="22"/>
                <w:sz w:val="17"/>
                <w:szCs w:val="17"/>
                <w:lang w:val="fr-CA" w:eastAsia="en-CA"/>
              </w:rPr>
              <w:t>serves pour les ré</w:t>
            </w:r>
            <w:r>
              <w:rPr>
                <w:color w:val="000000"/>
                <w:kern w:val="22"/>
                <w:sz w:val="17"/>
                <w:szCs w:val="17"/>
                <w:lang w:val="fr-CA" w:eastAsia="en-CA"/>
              </w:rPr>
              <w:t>unions extraordinaires</w:t>
            </w:r>
          </w:p>
        </w:tc>
        <w:tc>
          <w:tcPr>
            <w:tcW w:w="1360" w:type="dxa"/>
            <w:tcBorders>
              <w:top w:val="nil"/>
              <w:left w:val="nil"/>
              <w:bottom w:val="nil"/>
              <w:right w:val="nil"/>
            </w:tcBorders>
            <w:shd w:val="clear" w:color="auto" w:fill="auto"/>
            <w:vAlign w:val="center"/>
            <w:hideMark/>
          </w:tcPr>
          <w:p w14:paraId="11D5D053" w14:textId="1E5F8B87"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(93</w:t>
            </w:r>
            <w:r>
              <w:rPr>
                <w:kern w:val="22"/>
                <w:sz w:val="17"/>
                <w:szCs w:val="17"/>
                <w:lang w:val="fr-CA" w:eastAsia="en-CA"/>
              </w:rPr>
              <w:t>,</w:t>
            </w:r>
            <w:r w:rsidRPr="00465B94">
              <w:rPr>
                <w:kern w:val="22"/>
                <w:sz w:val="17"/>
                <w:szCs w:val="17"/>
                <w:lang w:val="fr-CA" w:eastAsia="en-CA"/>
              </w:rPr>
              <w:t>2)</w:t>
            </w:r>
          </w:p>
        </w:tc>
        <w:tc>
          <w:tcPr>
            <w:tcW w:w="1600" w:type="dxa"/>
            <w:tcBorders>
              <w:top w:val="nil"/>
              <w:left w:val="nil"/>
              <w:bottom w:val="nil"/>
              <w:right w:val="nil"/>
            </w:tcBorders>
            <w:shd w:val="clear" w:color="auto" w:fill="auto"/>
            <w:vAlign w:val="center"/>
            <w:hideMark/>
          </w:tcPr>
          <w:p w14:paraId="52A5AC96" w14:textId="72B7C5D8"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(69</w:t>
            </w:r>
            <w:r>
              <w:rPr>
                <w:kern w:val="22"/>
                <w:sz w:val="17"/>
                <w:szCs w:val="17"/>
                <w:lang w:val="fr-CA" w:eastAsia="en-CA"/>
              </w:rPr>
              <w:t>,</w:t>
            </w:r>
            <w:r w:rsidRPr="00465B94">
              <w:rPr>
                <w:kern w:val="22"/>
                <w:sz w:val="17"/>
                <w:szCs w:val="17"/>
                <w:lang w:val="fr-CA" w:eastAsia="en-CA"/>
              </w:rPr>
              <w:t>6)</w:t>
            </w:r>
          </w:p>
        </w:tc>
        <w:tc>
          <w:tcPr>
            <w:tcW w:w="1640" w:type="dxa"/>
            <w:tcBorders>
              <w:top w:val="nil"/>
              <w:left w:val="nil"/>
              <w:bottom w:val="nil"/>
              <w:right w:val="nil"/>
            </w:tcBorders>
            <w:shd w:val="clear" w:color="auto" w:fill="auto"/>
            <w:vAlign w:val="center"/>
            <w:hideMark/>
          </w:tcPr>
          <w:p w14:paraId="38DAC551" w14:textId="70D4A548"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(162</w:t>
            </w:r>
            <w:r>
              <w:rPr>
                <w:kern w:val="22"/>
                <w:sz w:val="17"/>
                <w:szCs w:val="17"/>
                <w:lang w:val="fr-CA" w:eastAsia="en-CA"/>
              </w:rPr>
              <w:t>,</w:t>
            </w:r>
            <w:r w:rsidRPr="00465B94">
              <w:rPr>
                <w:kern w:val="22"/>
                <w:sz w:val="17"/>
                <w:szCs w:val="17"/>
                <w:lang w:val="fr-CA" w:eastAsia="en-CA"/>
              </w:rPr>
              <w:t>8)</w:t>
            </w:r>
          </w:p>
        </w:tc>
      </w:tr>
      <w:tr w:rsidR="001D6920" w:rsidRPr="00EE0850" w14:paraId="4DB519EA" w14:textId="77777777" w:rsidTr="00DE347C">
        <w:trPr>
          <w:trHeight w:val="288"/>
        </w:trPr>
        <w:tc>
          <w:tcPr>
            <w:tcW w:w="4520" w:type="dxa"/>
            <w:tcBorders>
              <w:top w:val="nil"/>
              <w:left w:val="nil"/>
              <w:bottom w:val="nil"/>
              <w:right w:val="nil"/>
            </w:tcBorders>
            <w:shd w:val="clear" w:color="auto" w:fill="auto"/>
            <w:hideMark/>
          </w:tcPr>
          <w:p w14:paraId="4B6D12AF" w14:textId="26121D2E" w:rsidR="001D6920" w:rsidRPr="001D6920" w:rsidRDefault="001D6920" w:rsidP="001D6920">
            <w:pPr>
              <w:spacing w:after="0" w:line="240" w:lineRule="auto"/>
              <w:jc w:val="left"/>
              <w:rPr>
                <w:color w:val="000000"/>
                <w:kern w:val="22"/>
                <w:sz w:val="17"/>
                <w:szCs w:val="17"/>
                <w:lang w:val="fr-CA" w:eastAsia="en-CA"/>
              </w:rPr>
            </w:pPr>
            <w:r w:rsidRPr="00F24602">
              <w:rPr>
                <w:color w:val="000000"/>
                <w:kern w:val="22"/>
                <w:sz w:val="17"/>
                <w:szCs w:val="17"/>
                <w:u w:val="single"/>
                <w:lang w:val="fr-CA" w:eastAsia="en-CA"/>
              </w:rPr>
              <w:t xml:space="preserve">Moins </w:t>
            </w:r>
            <w:r w:rsidRPr="00F24602">
              <w:rPr>
                <w:color w:val="000000"/>
                <w:kern w:val="22"/>
                <w:sz w:val="17"/>
                <w:szCs w:val="17"/>
                <w:lang w:val="fr-CA" w:eastAsia="en-CA"/>
              </w:rPr>
              <w:t xml:space="preserve">:  Utilisation des </w:t>
            </w:r>
            <w:r>
              <w:rPr>
                <w:color w:val="000000"/>
                <w:kern w:val="22"/>
                <w:sz w:val="17"/>
                <w:szCs w:val="17"/>
                <w:lang w:val="fr-CA" w:eastAsia="en-CA"/>
              </w:rPr>
              <w:t>ré</w:t>
            </w:r>
            <w:r w:rsidRPr="00F24602">
              <w:rPr>
                <w:color w:val="000000"/>
                <w:kern w:val="22"/>
                <w:sz w:val="17"/>
                <w:szCs w:val="17"/>
                <w:lang w:val="fr-CA" w:eastAsia="en-CA"/>
              </w:rPr>
              <w:t xml:space="preserve">serves des années </w:t>
            </w:r>
            <w:r>
              <w:rPr>
                <w:color w:val="000000"/>
                <w:kern w:val="22"/>
                <w:sz w:val="17"/>
                <w:szCs w:val="17"/>
                <w:lang w:val="fr-CA" w:eastAsia="en-CA"/>
              </w:rPr>
              <w:t>précédentes</w:t>
            </w:r>
          </w:p>
        </w:tc>
        <w:tc>
          <w:tcPr>
            <w:tcW w:w="1360" w:type="dxa"/>
            <w:tcBorders>
              <w:top w:val="nil"/>
              <w:left w:val="nil"/>
              <w:bottom w:val="nil"/>
              <w:right w:val="nil"/>
            </w:tcBorders>
            <w:shd w:val="clear" w:color="auto" w:fill="auto"/>
            <w:vAlign w:val="center"/>
            <w:hideMark/>
          </w:tcPr>
          <w:p w14:paraId="3272A774" w14:textId="42CE044E"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(94</w:t>
            </w:r>
            <w:r>
              <w:rPr>
                <w:kern w:val="22"/>
                <w:sz w:val="17"/>
                <w:szCs w:val="17"/>
                <w:lang w:val="fr-CA" w:eastAsia="en-CA"/>
              </w:rPr>
              <w:t>,</w:t>
            </w:r>
            <w:r w:rsidRPr="00465B94">
              <w:rPr>
                <w:kern w:val="22"/>
                <w:sz w:val="17"/>
                <w:szCs w:val="17"/>
                <w:lang w:val="fr-CA" w:eastAsia="en-CA"/>
              </w:rPr>
              <w:t>9)</w:t>
            </w:r>
          </w:p>
        </w:tc>
        <w:tc>
          <w:tcPr>
            <w:tcW w:w="1600" w:type="dxa"/>
            <w:tcBorders>
              <w:top w:val="nil"/>
              <w:left w:val="nil"/>
              <w:bottom w:val="nil"/>
              <w:right w:val="nil"/>
            </w:tcBorders>
            <w:shd w:val="clear" w:color="auto" w:fill="auto"/>
            <w:vAlign w:val="center"/>
            <w:hideMark/>
          </w:tcPr>
          <w:p w14:paraId="738EEBD9" w14:textId="1F90BD22"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(94</w:t>
            </w:r>
            <w:r>
              <w:rPr>
                <w:kern w:val="22"/>
                <w:sz w:val="17"/>
                <w:szCs w:val="17"/>
                <w:lang w:val="fr-CA" w:eastAsia="en-CA"/>
              </w:rPr>
              <w:t>,</w:t>
            </w:r>
            <w:r w:rsidRPr="00465B94">
              <w:rPr>
                <w:kern w:val="22"/>
                <w:sz w:val="17"/>
                <w:szCs w:val="17"/>
                <w:lang w:val="fr-CA" w:eastAsia="en-CA"/>
              </w:rPr>
              <w:t>9)</w:t>
            </w:r>
          </w:p>
        </w:tc>
        <w:tc>
          <w:tcPr>
            <w:tcW w:w="1640" w:type="dxa"/>
            <w:tcBorders>
              <w:top w:val="nil"/>
              <w:left w:val="nil"/>
              <w:bottom w:val="nil"/>
              <w:right w:val="nil"/>
            </w:tcBorders>
            <w:shd w:val="clear" w:color="auto" w:fill="auto"/>
            <w:vAlign w:val="center"/>
            <w:hideMark/>
          </w:tcPr>
          <w:p w14:paraId="4CFAD473" w14:textId="411CFF33"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(189</w:t>
            </w:r>
            <w:r>
              <w:rPr>
                <w:kern w:val="22"/>
                <w:sz w:val="17"/>
                <w:szCs w:val="17"/>
                <w:lang w:val="fr-CA" w:eastAsia="en-CA"/>
              </w:rPr>
              <w:t>,</w:t>
            </w:r>
            <w:r w:rsidRPr="00465B94">
              <w:rPr>
                <w:kern w:val="22"/>
                <w:sz w:val="17"/>
                <w:szCs w:val="17"/>
                <w:lang w:val="fr-CA" w:eastAsia="en-CA"/>
              </w:rPr>
              <w:t>8)</w:t>
            </w:r>
          </w:p>
        </w:tc>
      </w:tr>
      <w:tr w:rsidR="001D6920" w:rsidRPr="00EE0850" w14:paraId="75D1BFE7" w14:textId="77777777" w:rsidTr="00DE347C">
        <w:trPr>
          <w:trHeight w:val="300"/>
        </w:trPr>
        <w:tc>
          <w:tcPr>
            <w:tcW w:w="4520" w:type="dxa"/>
            <w:tcBorders>
              <w:top w:val="single" w:sz="4" w:space="0" w:color="auto"/>
              <w:left w:val="nil"/>
              <w:bottom w:val="single" w:sz="8" w:space="0" w:color="auto"/>
              <w:right w:val="nil"/>
            </w:tcBorders>
            <w:shd w:val="clear" w:color="auto" w:fill="auto"/>
            <w:hideMark/>
          </w:tcPr>
          <w:p w14:paraId="37B0138E" w14:textId="42D54103" w:rsidR="001D6920" w:rsidRPr="001D6920" w:rsidRDefault="001D6920" w:rsidP="001D6920">
            <w:pPr>
              <w:spacing w:after="0" w:line="240" w:lineRule="auto"/>
              <w:jc w:val="left"/>
              <w:rPr>
                <w:color w:val="000000"/>
                <w:kern w:val="22"/>
                <w:sz w:val="17"/>
                <w:szCs w:val="17"/>
                <w:lang w:val="fr-CA" w:eastAsia="en-CA"/>
              </w:rPr>
            </w:pPr>
            <w:r>
              <w:rPr>
                <w:color w:val="000000"/>
                <w:kern w:val="22"/>
                <w:sz w:val="17"/>
                <w:szCs w:val="17"/>
                <w:lang w:val="fr-CA" w:eastAsia="en-CA"/>
              </w:rPr>
              <w:t>Total net (montant à répartir entre les Parties</w:t>
            </w:r>
            <w:r w:rsidRPr="00465B94">
              <w:rPr>
                <w:color w:val="000000"/>
                <w:kern w:val="22"/>
                <w:sz w:val="17"/>
                <w:szCs w:val="17"/>
                <w:lang w:val="fr-CA" w:eastAsia="en-CA"/>
              </w:rPr>
              <w:t>)</w:t>
            </w:r>
          </w:p>
        </w:tc>
        <w:tc>
          <w:tcPr>
            <w:tcW w:w="1360" w:type="dxa"/>
            <w:tcBorders>
              <w:top w:val="single" w:sz="4" w:space="0" w:color="auto"/>
              <w:left w:val="nil"/>
              <w:bottom w:val="single" w:sz="8" w:space="0" w:color="auto"/>
              <w:right w:val="nil"/>
            </w:tcBorders>
            <w:shd w:val="clear" w:color="auto" w:fill="auto"/>
            <w:hideMark/>
          </w:tcPr>
          <w:p w14:paraId="78EAF77D" w14:textId="5410063B"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1 761</w:t>
            </w:r>
            <w:r>
              <w:rPr>
                <w:color w:val="000000"/>
                <w:kern w:val="22"/>
                <w:sz w:val="17"/>
                <w:szCs w:val="17"/>
                <w:lang w:val="fr-CA" w:eastAsia="en-CA"/>
              </w:rPr>
              <w:t>,</w:t>
            </w:r>
            <w:r w:rsidRPr="00465B94">
              <w:rPr>
                <w:color w:val="000000"/>
                <w:kern w:val="22"/>
                <w:sz w:val="17"/>
                <w:szCs w:val="17"/>
                <w:lang w:val="fr-CA" w:eastAsia="en-CA"/>
              </w:rPr>
              <w:t>1</w:t>
            </w:r>
          </w:p>
        </w:tc>
        <w:tc>
          <w:tcPr>
            <w:tcW w:w="1600" w:type="dxa"/>
            <w:tcBorders>
              <w:top w:val="single" w:sz="4" w:space="0" w:color="auto"/>
              <w:left w:val="nil"/>
              <w:bottom w:val="single" w:sz="8" w:space="0" w:color="auto"/>
              <w:right w:val="nil"/>
            </w:tcBorders>
            <w:shd w:val="clear" w:color="auto" w:fill="auto"/>
            <w:hideMark/>
          </w:tcPr>
          <w:p w14:paraId="69256C7F" w14:textId="7CF5E76C"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1 867</w:t>
            </w:r>
            <w:r>
              <w:rPr>
                <w:color w:val="000000"/>
                <w:kern w:val="22"/>
                <w:sz w:val="17"/>
                <w:szCs w:val="17"/>
                <w:lang w:val="fr-CA" w:eastAsia="en-CA"/>
              </w:rPr>
              <w:t>,</w:t>
            </w:r>
            <w:r w:rsidRPr="00465B94">
              <w:rPr>
                <w:color w:val="000000"/>
                <w:kern w:val="22"/>
                <w:sz w:val="17"/>
                <w:szCs w:val="17"/>
                <w:lang w:val="fr-CA" w:eastAsia="en-CA"/>
              </w:rPr>
              <w:t>4</w:t>
            </w:r>
          </w:p>
        </w:tc>
        <w:tc>
          <w:tcPr>
            <w:tcW w:w="1640" w:type="dxa"/>
            <w:tcBorders>
              <w:top w:val="single" w:sz="4" w:space="0" w:color="auto"/>
              <w:left w:val="nil"/>
              <w:bottom w:val="single" w:sz="8" w:space="0" w:color="auto"/>
              <w:right w:val="nil"/>
            </w:tcBorders>
            <w:shd w:val="clear" w:color="auto" w:fill="auto"/>
            <w:hideMark/>
          </w:tcPr>
          <w:p w14:paraId="5BC0282A" w14:textId="48A8AAF4"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3 628</w:t>
            </w:r>
            <w:r>
              <w:rPr>
                <w:color w:val="000000"/>
                <w:kern w:val="22"/>
                <w:sz w:val="17"/>
                <w:szCs w:val="17"/>
                <w:lang w:val="fr-CA" w:eastAsia="en-CA"/>
              </w:rPr>
              <w:t>,</w:t>
            </w:r>
            <w:r w:rsidRPr="00465B94">
              <w:rPr>
                <w:color w:val="000000"/>
                <w:kern w:val="22"/>
                <w:sz w:val="17"/>
                <w:szCs w:val="17"/>
                <w:lang w:val="fr-CA" w:eastAsia="en-CA"/>
              </w:rPr>
              <w:t>5</w:t>
            </w:r>
          </w:p>
        </w:tc>
      </w:tr>
      <w:tr w:rsidR="00DE347C" w:rsidRPr="00EE0850" w14:paraId="6B257ADE" w14:textId="77777777" w:rsidTr="00DE347C">
        <w:tc>
          <w:tcPr>
            <w:tcW w:w="4520" w:type="dxa"/>
            <w:tcBorders>
              <w:top w:val="nil"/>
              <w:left w:val="nil"/>
              <w:bottom w:val="nil"/>
              <w:right w:val="nil"/>
            </w:tcBorders>
            <w:shd w:val="clear" w:color="auto" w:fill="auto"/>
            <w:noWrap/>
            <w:vAlign w:val="bottom"/>
            <w:hideMark/>
          </w:tcPr>
          <w:p w14:paraId="0ABBE94C" w14:textId="77777777" w:rsidR="00DE347C" w:rsidRPr="00EE0850" w:rsidRDefault="00DE347C" w:rsidP="000C6220">
            <w:pPr>
              <w:spacing w:after="0" w:line="240" w:lineRule="auto"/>
              <w:jc w:val="left"/>
              <w:rPr>
                <w:color w:val="000000"/>
                <w:kern w:val="22"/>
                <w:sz w:val="17"/>
                <w:szCs w:val="17"/>
                <w:lang w:eastAsia="en-CA"/>
              </w:rPr>
            </w:pPr>
          </w:p>
        </w:tc>
        <w:tc>
          <w:tcPr>
            <w:tcW w:w="1360" w:type="dxa"/>
            <w:tcBorders>
              <w:top w:val="nil"/>
              <w:left w:val="nil"/>
              <w:bottom w:val="nil"/>
              <w:right w:val="nil"/>
            </w:tcBorders>
            <w:shd w:val="clear" w:color="auto" w:fill="auto"/>
            <w:noWrap/>
            <w:vAlign w:val="bottom"/>
            <w:hideMark/>
          </w:tcPr>
          <w:p w14:paraId="65F1BD22" w14:textId="77777777" w:rsidR="00DE347C" w:rsidRPr="00EE0850" w:rsidRDefault="00DE347C" w:rsidP="000C6220">
            <w:pPr>
              <w:spacing w:after="0" w:line="240" w:lineRule="auto"/>
              <w:jc w:val="left"/>
              <w:rPr>
                <w:color w:val="000000"/>
                <w:kern w:val="22"/>
                <w:sz w:val="17"/>
                <w:szCs w:val="17"/>
                <w:lang w:eastAsia="en-CA"/>
              </w:rPr>
            </w:pPr>
          </w:p>
        </w:tc>
        <w:tc>
          <w:tcPr>
            <w:tcW w:w="1600" w:type="dxa"/>
            <w:tcBorders>
              <w:top w:val="nil"/>
              <w:left w:val="nil"/>
              <w:bottom w:val="nil"/>
              <w:right w:val="nil"/>
            </w:tcBorders>
            <w:shd w:val="clear" w:color="auto" w:fill="auto"/>
            <w:noWrap/>
            <w:vAlign w:val="bottom"/>
            <w:hideMark/>
          </w:tcPr>
          <w:p w14:paraId="05F1A7DB" w14:textId="77777777" w:rsidR="00DE347C" w:rsidRPr="00EE0850" w:rsidRDefault="00DE347C" w:rsidP="000C6220">
            <w:pPr>
              <w:spacing w:after="0" w:line="240" w:lineRule="auto"/>
              <w:jc w:val="left"/>
              <w:rPr>
                <w:color w:val="000000"/>
                <w:kern w:val="22"/>
                <w:sz w:val="17"/>
                <w:szCs w:val="17"/>
                <w:lang w:eastAsia="en-CA"/>
              </w:rPr>
            </w:pPr>
          </w:p>
        </w:tc>
        <w:tc>
          <w:tcPr>
            <w:tcW w:w="1640" w:type="dxa"/>
            <w:tcBorders>
              <w:top w:val="nil"/>
              <w:left w:val="nil"/>
              <w:bottom w:val="nil"/>
              <w:right w:val="nil"/>
            </w:tcBorders>
            <w:shd w:val="clear" w:color="auto" w:fill="auto"/>
            <w:noWrap/>
            <w:vAlign w:val="bottom"/>
            <w:hideMark/>
          </w:tcPr>
          <w:p w14:paraId="22C1429E" w14:textId="77777777" w:rsidR="00DE347C" w:rsidRPr="00EE0850" w:rsidRDefault="00DE347C" w:rsidP="000C6220">
            <w:pPr>
              <w:spacing w:after="0" w:line="240" w:lineRule="auto"/>
              <w:jc w:val="left"/>
              <w:rPr>
                <w:color w:val="000000"/>
                <w:kern w:val="22"/>
                <w:sz w:val="17"/>
                <w:szCs w:val="17"/>
                <w:lang w:eastAsia="en-CA"/>
              </w:rPr>
            </w:pPr>
          </w:p>
        </w:tc>
      </w:tr>
      <w:tr w:rsidR="001D6920" w:rsidRPr="00EE0850" w14:paraId="769772D9" w14:textId="77777777" w:rsidTr="00DE347C">
        <w:trPr>
          <w:trHeight w:val="411"/>
        </w:trPr>
        <w:tc>
          <w:tcPr>
            <w:tcW w:w="4520" w:type="dxa"/>
            <w:vMerge w:val="restart"/>
            <w:tcBorders>
              <w:top w:val="single" w:sz="8" w:space="0" w:color="auto"/>
              <w:left w:val="nil"/>
              <w:bottom w:val="single" w:sz="12" w:space="0" w:color="000000"/>
              <w:right w:val="nil"/>
            </w:tcBorders>
            <w:shd w:val="clear" w:color="auto" w:fill="auto"/>
            <w:vAlign w:val="center"/>
            <w:hideMark/>
          </w:tcPr>
          <w:p w14:paraId="17E77DD4" w14:textId="29C4939B" w:rsidR="001D6920" w:rsidRPr="00EE0850" w:rsidRDefault="001D6920" w:rsidP="001D6920">
            <w:pPr>
              <w:spacing w:after="0" w:line="240" w:lineRule="auto"/>
              <w:jc w:val="left"/>
              <w:rPr>
                <w:i/>
                <w:iCs/>
                <w:color w:val="000000"/>
                <w:kern w:val="22"/>
                <w:sz w:val="15"/>
                <w:szCs w:val="15"/>
                <w:lang w:eastAsia="en-CA"/>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26D2E624" w14:textId="1A8AB314" w:rsidR="001D6920" w:rsidRPr="00DF328C" w:rsidRDefault="001D6920" w:rsidP="001D6920">
            <w:pPr>
              <w:spacing w:after="0" w:line="240" w:lineRule="auto"/>
              <w:jc w:val="center"/>
              <w:rPr>
                <w:i/>
                <w:iCs/>
                <w:color w:val="000000"/>
                <w:kern w:val="22"/>
                <w:sz w:val="15"/>
                <w:szCs w:val="15"/>
                <w:lang w:val="fr-CA" w:eastAsia="en-CA"/>
              </w:rPr>
            </w:pPr>
            <w:r w:rsidRPr="00DF328C">
              <w:rPr>
                <w:i/>
                <w:iCs/>
                <w:color w:val="000000"/>
                <w:sz w:val="15"/>
                <w:szCs w:val="15"/>
                <w:lang w:val="fr-CA"/>
              </w:rPr>
              <w:t>2019                            (milliers de dollars É.-U.)</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69F14406" w14:textId="10E5E236" w:rsidR="001D6920" w:rsidRPr="00DF328C" w:rsidRDefault="001D6920" w:rsidP="001D6920">
            <w:pPr>
              <w:spacing w:after="0" w:line="240" w:lineRule="auto"/>
              <w:jc w:val="center"/>
              <w:rPr>
                <w:i/>
                <w:iCs/>
                <w:color w:val="000000"/>
                <w:kern w:val="22"/>
                <w:sz w:val="15"/>
                <w:szCs w:val="15"/>
                <w:lang w:val="fr-CA" w:eastAsia="en-CA"/>
              </w:rPr>
            </w:pPr>
            <w:r w:rsidRPr="00DF328C">
              <w:rPr>
                <w:i/>
                <w:iCs/>
                <w:color w:val="000000"/>
                <w:sz w:val="15"/>
                <w:szCs w:val="15"/>
                <w:lang w:val="fr-CA"/>
              </w:rPr>
              <w:t xml:space="preserve">2020                          (milliers de  </w:t>
            </w:r>
            <w:r w:rsidRPr="00DF328C">
              <w:rPr>
                <w:i/>
                <w:iCs/>
                <w:color w:val="000000"/>
                <w:sz w:val="15"/>
                <w:szCs w:val="15"/>
                <w:lang w:val="fr-CA"/>
              </w:rPr>
              <w:br/>
              <w:t>dollars É.-U.)</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04EC4172" w14:textId="24F2BA8B" w:rsidR="001D6920" w:rsidRPr="00DF328C" w:rsidRDefault="001D6920" w:rsidP="001D6920">
            <w:pPr>
              <w:spacing w:after="0" w:line="240" w:lineRule="auto"/>
              <w:jc w:val="center"/>
              <w:rPr>
                <w:i/>
                <w:iCs/>
                <w:color w:val="000000"/>
                <w:kern w:val="22"/>
                <w:sz w:val="15"/>
                <w:szCs w:val="15"/>
                <w:lang w:val="fr-CA" w:eastAsia="en-CA"/>
              </w:rPr>
            </w:pPr>
            <w:r w:rsidRPr="00DF328C">
              <w:rPr>
                <w:i/>
                <w:iCs/>
                <w:color w:val="000000"/>
                <w:sz w:val="15"/>
                <w:szCs w:val="15"/>
                <w:lang w:val="fr-CA"/>
              </w:rPr>
              <w:t xml:space="preserve">Total                            (milliers de </w:t>
            </w:r>
            <w:r w:rsidRPr="00DF328C">
              <w:rPr>
                <w:i/>
                <w:iCs/>
                <w:color w:val="000000"/>
                <w:sz w:val="15"/>
                <w:szCs w:val="15"/>
                <w:lang w:val="fr-CA"/>
              </w:rPr>
              <w:br/>
              <w:t>dollars É.-U.)</w:t>
            </w:r>
          </w:p>
        </w:tc>
      </w:tr>
      <w:tr w:rsidR="00AB0DE7" w:rsidRPr="00EE0850" w14:paraId="6BB84019" w14:textId="77777777" w:rsidTr="00DE347C">
        <w:trPr>
          <w:trHeight w:val="411"/>
        </w:trPr>
        <w:tc>
          <w:tcPr>
            <w:tcW w:w="4520" w:type="dxa"/>
            <w:vMerge/>
            <w:tcBorders>
              <w:top w:val="single" w:sz="8" w:space="0" w:color="auto"/>
              <w:left w:val="nil"/>
              <w:bottom w:val="single" w:sz="12" w:space="0" w:color="000000"/>
              <w:right w:val="nil"/>
            </w:tcBorders>
            <w:vAlign w:val="center"/>
            <w:hideMark/>
          </w:tcPr>
          <w:p w14:paraId="2B1DF721" w14:textId="77777777" w:rsidR="00DE347C" w:rsidRPr="00EE0850" w:rsidRDefault="00DE347C" w:rsidP="000C6220">
            <w:pPr>
              <w:spacing w:after="0" w:line="240" w:lineRule="auto"/>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379E700D" w14:textId="77777777" w:rsidR="00DE347C" w:rsidRPr="00EE0850" w:rsidRDefault="00DE347C" w:rsidP="000C6220">
            <w:pPr>
              <w:spacing w:after="0" w:line="240" w:lineRule="auto"/>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543D6C00" w14:textId="77777777" w:rsidR="00DE347C" w:rsidRPr="00EE0850" w:rsidRDefault="00DE347C" w:rsidP="000C6220">
            <w:pPr>
              <w:spacing w:after="0" w:line="240" w:lineRule="auto"/>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53652E91" w14:textId="77777777" w:rsidR="00DE347C" w:rsidRPr="00EE0850" w:rsidRDefault="00DE347C" w:rsidP="000C6220">
            <w:pPr>
              <w:spacing w:after="0" w:line="240" w:lineRule="auto"/>
              <w:jc w:val="left"/>
              <w:rPr>
                <w:i/>
                <w:iCs/>
                <w:color w:val="000000"/>
                <w:kern w:val="22"/>
                <w:sz w:val="15"/>
                <w:szCs w:val="15"/>
                <w:lang w:eastAsia="en-CA"/>
              </w:rPr>
            </w:pPr>
          </w:p>
        </w:tc>
      </w:tr>
      <w:tr w:rsidR="00AB0DE7" w:rsidRPr="00EE0850" w14:paraId="4B2FDD6A" w14:textId="77777777" w:rsidTr="00DE347C">
        <w:trPr>
          <w:trHeight w:val="411"/>
        </w:trPr>
        <w:tc>
          <w:tcPr>
            <w:tcW w:w="4520" w:type="dxa"/>
            <w:vMerge/>
            <w:tcBorders>
              <w:top w:val="single" w:sz="8" w:space="0" w:color="auto"/>
              <w:left w:val="nil"/>
              <w:bottom w:val="single" w:sz="12" w:space="0" w:color="000000"/>
              <w:right w:val="nil"/>
            </w:tcBorders>
            <w:vAlign w:val="center"/>
            <w:hideMark/>
          </w:tcPr>
          <w:p w14:paraId="167FED9B" w14:textId="77777777" w:rsidR="00DE347C" w:rsidRPr="00EE0850" w:rsidRDefault="00DE347C" w:rsidP="000C6220">
            <w:pPr>
              <w:spacing w:after="0" w:line="240" w:lineRule="auto"/>
              <w:jc w:val="left"/>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44CB03CA" w14:textId="77777777" w:rsidR="00DE347C" w:rsidRPr="00EE0850" w:rsidRDefault="00DE347C" w:rsidP="000C6220">
            <w:pPr>
              <w:spacing w:after="0" w:line="240" w:lineRule="auto"/>
              <w:jc w:val="left"/>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3B5D23DD" w14:textId="77777777" w:rsidR="00DE347C" w:rsidRPr="00EE0850" w:rsidRDefault="00DE347C" w:rsidP="000C6220">
            <w:pPr>
              <w:spacing w:after="0" w:line="240" w:lineRule="auto"/>
              <w:jc w:val="left"/>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7F35BA0F" w14:textId="77777777" w:rsidR="00DE347C" w:rsidRPr="00EE0850" w:rsidRDefault="00DE347C" w:rsidP="000C6220">
            <w:pPr>
              <w:spacing w:after="0" w:line="240" w:lineRule="auto"/>
              <w:jc w:val="left"/>
              <w:rPr>
                <w:i/>
                <w:iCs/>
                <w:color w:val="000000"/>
                <w:kern w:val="22"/>
                <w:sz w:val="15"/>
                <w:szCs w:val="15"/>
                <w:lang w:eastAsia="en-CA"/>
              </w:rPr>
            </w:pPr>
          </w:p>
        </w:tc>
      </w:tr>
      <w:tr w:rsidR="001D6920" w:rsidRPr="00EE0850" w14:paraId="63D398CA" w14:textId="77777777" w:rsidTr="00DE347C">
        <w:tc>
          <w:tcPr>
            <w:tcW w:w="4520" w:type="dxa"/>
            <w:tcBorders>
              <w:top w:val="nil"/>
              <w:left w:val="nil"/>
              <w:bottom w:val="nil"/>
              <w:right w:val="nil"/>
            </w:tcBorders>
            <w:shd w:val="clear" w:color="auto" w:fill="auto"/>
            <w:hideMark/>
          </w:tcPr>
          <w:p w14:paraId="064E110A" w14:textId="393634AD" w:rsidR="001D6920" w:rsidRPr="00EE0850" w:rsidRDefault="001D6920" w:rsidP="001D6920">
            <w:pPr>
              <w:spacing w:after="0" w:line="240" w:lineRule="auto"/>
              <w:jc w:val="left"/>
              <w:rPr>
                <w:b/>
                <w:bCs/>
                <w:color w:val="000000"/>
                <w:kern w:val="22"/>
                <w:sz w:val="17"/>
                <w:szCs w:val="17"/>
                <w:lang w:eastAsia="en-CA"/>
              </w:rPr>
            </w:pPr>
            <w:r w:rsidRPr="00465B94">
              <w:rPr>
                <w:b/>
                <w:bCs/>
                <w:color w:val="000000"/>
                <w:kern w:val="22"/>
                <w:sz w:val="17"/>
                <w:szCs w:val="17"/>
                <w:lang w:val="fr-CA" w:eastAsia="en-CA"/>
              </w:rPr>
              <w:t>I. Programmes:</w:t>
            </w:r>
          </w:p>
        </w:tc>
        <w:tc>
          <w:tcPr>
            <w:tcW w:w="1360" w:type="dxa"/>
            <w:tcBorders>
              <w:top w:val="nil"/>
              <w:left w:val="nil"/>
              <w:bottom w:val="nil"/>
              <w:right w:val="nil"/>
            </w:tcBorders>
            <w:shd w:val="clear" w:color="auto" w:fill="auto"/>
            <w:vAlign w:val="center"/>
            <w:hideMark/>
          </w:tcPr>
          <w:p w14:paraId="7BF064D3" w14:textId="77777777" w:rsidR="001D6920" w:rsidRPr="00EE0850" w:rsidRDefault="001D6920" w:rsidP="001D6920">
            <w:pPr>
              <w:spacing w:after="0" w:line="240" w:lineRule="auto"/>
              <w:jc w:val="left"/>
              <w:rPr>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5058FBB2" w14:textId="77777777" w:rsidR="001D6920" w:rsidRPr="00EE0850" w:rsidRDefault="001D6920" w:rsidP="001D6920">
            <w:pPr>
              <w:spacing w:after="0" w:line="240" w:lineRule="auto"/>
              <w:jc w:val="right"/>
              <w:rPr>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00BCBE0D" w14:textId="77777777" w:rsidR="001D6920" w:rsidRPr="00EE0850" w:rsidRDefault="001D6920" w:rsidP="001D6920">
            <w:pPr>
              <w:spacing w:after="0" w:line="240" w:lineRule="auto"/>
              <w:jc w:val="right"/>
              <w:rPr>
                <w:color w:val="000000"/>
                <w:kern w:val="22"/>
                <w:sz w:val="17"/>
                <w:szCs w:val="17"/>
                <w:lang w:eastAsia="en-CA"/>
              </w:rPr>
            </w:pPr>
          </w:p>
        </w:tc>
      </w:tr>
      <w:tr w:rsidR="001D6920" w:rsidRPr="00EE0850" w14:paraId="71981279" w14:textId="77777777" w:rsidTr="00DE347C">
        <w:trPr>
          <w:trHeight w:val="288"/>
        </w:trPr>
        <w:tc>
          <w:tcPr>
            <w:tcW w:w="4520" w:type="dxa"/>
            <w:tcBorders>
              <w:top w:val="nil"/>
              <w:left w:val="nil"/>
              <w:bottom w:val="nil"/>
              <w:right w:val="nil"/>
            </w:tcBorders>
            <w:shd w:val="clear" w:color="auto" w:fill="auto"/>
            <w:hideMark/>
          </w:tcPr>
          <w:p w14:paraId="479973B2" w14:textId="75887420" w:rsidR="001D6920" w:rsidRPr="001D6920" w:rsidRDefault="001D6920" w:rsidP="001D6920">
            <w:pPr>
              <w:spacing w:after="0" w:line="240" w:lineRule="auto"/>
              <w:jc w:val="left"/>
              <w:rPr>
                <w:color w:val="000000"/>
                <w:kern w:val="22"/>
                <w:sz w:val="17"/>
                <w:szCs w:val="17"/>
                <w:lang w:val="fr-CA" w:eastAsia="en-CA"/>
              </w:rPr>
            </w:pPr>
            <w:r w:rsidRPr="00465B94">
              <w:rPr>
                <w:color w:val="000000"/>
                <w:kern w:val="22"/>
                <w:sz w:val="17"/>
                <w:szCs w:val="17"/>
                <w:lang w:val="fr-CA" w:eastAsia="en-CA"/>
              </w:rPr>
              <w:t xml:space="preserve">  </w:t>
            </w:r>
            <w:r>
              <w:rPr>
                <w:color w:val="000000"/>
                <w:kern w:val="22"/>
                <w:sz w:val="17"/>
                <w:szCs w:val="17"/>
                <w:lang w:val="fr-CA" w:eastAsia="en-CA"/>
              </w:rPr>
              <w:t>Bureau de la Secrétaire exécutive</w:t>
            </w:r>
          </w:p>
        </w:tc>
        <w:tc>
          <w:tcPr>
            <w:tcW w:w="1360" w:type="dxa"/>
            <w:tcBorders>
              <w:top w:val="nil"/>
              <w:left w:val="nil"/>
              <w:bottom w:val="nil"/>
              <w:right w:val="nil"/>
            </w:tcBorders>
            <w:shd w:val="clear" w:color="auto" w:fill="auto"/>
            <w:hideMark/>
          </w:tcPr>
          <w:p w14:paraId="64F851B2" w14:textId="2339900C"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3 534</w:t>
            </w:r>
            <w:r>
              <w:rPr>
                <w:color w:val="000000"/>
                <w:kern w:val="22"/>
                <w:sz w:val="17"/>
                <w:szCs w:val="17"/>
                <w:lang w:val="fr-CA" w:eastAsia="en-CA"/>
              </w:rPr>
              <w:t>,</w:t>
            </w:r>
            <w:r w:rsidRPr="00465B94">
              <w:rPr>
                <w:color w:val="000000"/>
                <w:kern w:val="22"/>
                <w:sz w:val="17"/>
                <w:szCs w:val="17"/>
                <w:lang w:val="fr-CA" w:eastAsia="en-CA"/>
              </w:rPr>
              <w:t>0</w:t>
            </w:r>
          </w:p>
        </w:tc>
        <w:tc>
          <w:tcPr>
            <w:tcW w:w="1600" w:type="dxa"/>
            <w:tcBorders>
              <w:top w:val="nil"/>
              <w:left w:val="nil"/>
              <w:bottom w:val="nil"/>
              <w:right w:val="nil"/>
            </w:tcBorders>
            <w:shd w:val="clear" w:color="auto" w:fill="auto"/>
            <w:hideMark/>
          </w:tcPr>
          <w:p w14:paraId="2563184B" w14:textId="2D9C389D"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3 444</w:t>
            </w:r>
            <w:r>
              <w:rPr>
                <w:color w:val="000000"/>
                <w:kern w:val="22"/>
                <w:sz w:val="17"/>
                <w:szCs w:val="17"/>
                <w:lang w:val="fr-CA" w:eastAsia="en-CA"/>
              </w:rPr>
              <w:t>,</w:t>
            </w:r>
            <w:r w:rsidRPr="00465B94">
              <w:rPr>
                <w:color w:val="000000"/>
                <w:kern w:val="22"/>
                <w:sz w:val="17"/>
                <w:szCs w:val="17"/>
                <w:lang w:val="fr-CA" w:eastAsia="en-CA"/>
              </w:rPr>
              <w:t>8</w:t>
            </w:r>
          </w:p>
        </w:tc>
        <w:tc>
          <w:tcPr>
            <w:tcW w:w="1640" w:type="dxa"/>
            <w:tcBorders>
              <w:top w:val="nil"/>
              <w:left w:val="nil"/>
              <w:bottom w:val="nil"/>
              <w:right w:val="nil"/>
            </w:tcBorders>
            <w:shd w:val="clear" w:color="auto" w:fill="auto"/>
            <w:hideMark/>
          </w:tcPr>
          <w:p w14:paraId="65A7CE09" w14:textId="49970734"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6 978</w:t>
            </w:r>
            <w:r>
              <w:rPr>
                <w:color w:val="000000"/>
                <w:kern w:val="22"/>
                <w:sz w:val="17"/>
                <w:szCs w:val="17"/>
                <w:lang w:val="fr-CA" w:eastAsia="en-CA"/>
              </w:rPr>
              <w:t>,</w:t>
            </w:r>
            <w:r w:rsidRPr="00465B94">
              <w:rPr>
                <w:color w:val="000000"/>
                <w:kern w:val="22"/>
                <w:sz w:val="17"/>
                <w:szCs w:val="17"/>
                <w:lang w:val="fr-CA" w:eastAsia="en-CA"/>
              </w:rPr>
              <w:t>8</w:t>
            </w:r>
          </w:p>
        </w:tc>
      </w:tr>
      <w:tr w:rsidR="001D6920" w:rsidRPr="00EE0850" w14:paraId="46593932" w14:textId="77777777" w:rsidTr="00DE347C">
        <w:trPr>
          <w:trHeight w:val="288"/>
        </w:trPr>
        <w:tc>
          <w:tcPr>
            <w:tcW w:w="4520" w:type="dxa"/>
            <w:tcBorders>
              <w:top w:val="nil"/>
              <w:left w:val="nil"/>
              <w:bottom w:val="nil"/>
              <w:right w:val="nil"/>
            </w:tcBorders>
            <w:shd w:val="clear" w:color="auto" w:fill="auto"/>
            <w:hideMark/>
          </w:tcPr>
          <w:p w14:paraId="720998AD" w14:textId="033E64EB" w:rsidR="001D6920" w:rsidRPr="001D6920" w:rsidRDefault="001D6920" w:rsidP="001D6920">
            <w:pPr>
              <w:spacing w:after="0" w:line="240" w:lineRule="auto"/>
              <w:jc w:val="left"/>
              <w:rPr>
                <w:color w:val="000000"/>
                <w:kern w:val="22"/>
                <w:sz w:val="17"/>
                <w:szCs w:val="17"/>
                <w:lang w:val="fr-CA" w:eastAsia="en-CA"/>
              </w:rPr>
            </w:pPr>
            <w:r w:rsidRPr="00465B94">
              <w:rPr>
                <w:color w:val="000000"/>
                <w:kern w:val="22"/>
                <w:sz w:val="17"/>
                <w:szCs w:val="17"/>
                <w:lang w:val="fr-CA" w:eastAsia="en-CA"/>
              </w:rPr>
              <w:t xml:space="preserve">  </w:t>
            </w:r>
            <w:r>
              <w:rPr>
                <w:color w:val="000000"/>
                <w:kern w:val="22"/>
                <w:sz w:val="17"/>
                <w:szCs w:val="17"/>
                <w:lang w:val="fr-CA" w:eastAsia="en-CA"/>
              </w:rPr>
              <w:t>Protocoles sur l’accès et le partage des avantages et la prévention des risques biotechnologiques</w:t>
            </w:r>
          </w:p>
        </w:tc>
        <w:tc>
          <w:tcPr>
            <w:tcW w:w="1360" w:type="dxa"/>
            <w:tcBorders>
              <w:top w:val="nil"/>
              <w:left w:val="nil"/>
              <w:bottom w:val="nil"/>
              <w:right w:val="nil"/>
            </w:tcBorders>
            <w:shd w:val="clear" w:color="auto" w:fill="auto"/>
            <w:hideMark/>
          </w:tcPr>
          <w:p w14:paraId="75331443" w14:textId="51A30B2D"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2 322</w:t>
            </w:r>
            <w:r>
              <w:rPr>
                <w:color w:val="000000"/>
                <w:kern w:val="22"/>
                <w:sz w:val="17"/>
                <w:szCs w:val="17"/>
                <w:lang w:val="fr-CA" w:eastAsia="en-CA"/>
              </w:rPr>
              <w:t>,</w:t>
            </w:r>
            <w:r w:rsidRPr="00465B94">
              <w:rPr>
                <w:color w:val="000000"/>
                <w:kern w:val="22"/>
                <w:sz w:val="17"/>
                <w:szCs w:val="17"/>
                <w:lang w:val="fr-CA" w:eastAsia="en-CA"/>
              </w:rPr>
              <w:t>6</w:t>
            </w:r>
          </w:p>
        </w:tc>
        <w:tc>
          <w:tcPr>
            <w:tcW w:w="1600" w:type="dxa"/>
            <w:tcBorders>
              <w:top w:val="nil"/>
              <w:left w:val="nil"/>
              <w:bottom w:val="nil"/>
              <w:right w:val="nil"/>
            </w:tcBorders>
            <w:shd w:val="clear" w:color="auto" w:fill="auto"/>
            <w:hideMark/>
          </w:tcPr>
          <w:p w14:paraId="439D5270" w14:textId="0801154C"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2 375</w:t>
            </w:r>
            <w:r>
              <w:rPr>
                <w:color w:val="000000"/>
                <w:kern w:val="22"/>
                <w:sz w:val="17"/>
                <w:szCs w:val="17"/>
                <w:lang w:val="fr-CA" w:eastAsia="en-CA"/>
              </w:rPr>
              <w:t>,</w:t>
            </w:r>
            <w:r w:rsidRPr="00465B94">
              <w:rPr>
                <w:color w:val="000000"/>
                <w:kern w:val="22"/>
                <w:sz w:val="17"/>
                <w:szCs w:val="17"/>
                <w:lang w:val="fr-CA" w:eastAsia="en-CA"/>
              </w:rPr>
              <w:t>9</w:t>
            </w:r>
          </w:p>
        </w:tc>
        <w:tc>
          <w:tcPr>
            <w:tcW w:w="1640" w:type="dxa"/>
            <w:tcBorders>
              <w:top w:val="nil"/>
              <w:left w:val="nil"/>
              <w:bottom w:val="nil"/>
              <w:right w:val="nil"/>
            </w:tcBorders>
            <w:shd w:val="clear" w:color="auto" w:fill="auto"/>
            <w:hideMark/>
          </w:tcPr>
          <w:p w14:paraId="05707586" w14:textId="484FA1BF"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4 698</w:t>
            </w:r>
            <w:r>
              <w:rPr>
                <w:color w:val="000000"/>
                <w:kern w:val="22"/>
                <w:sz w:val="17"/>
                <w:szCs w:val="17"/>
                <w:lang w:val="fr-CA" w:eastAsia="en-CA"/>
              </w:rPr>
              <w:t>,</w:t>
            </w:r>
            <w:r w:rsidRPr="00465B94">
              <w:rPr>
                <w:color w:val="000000"/>
                <w:kern w:val="22"/>
                <w:sz w:val="17"/>
                <w:szCs w:val="17"/>
                <w:lang w:val="fr-CA" w:eastAsia="en-CA"/>
              </w:rPr>
              <w:t>5</w:t>
            </w:r>
          </w:p>
        </w:tc>
      </w:tr>
      <w:tr w:rsidR="001D6920" w:rsidRPr="00EE0850" w14:paraId="33D863F7" w14:textId="77777777" w:rsidTr="00DE347C">
        <w:trPr>
          <w:trHeight w:val="288"/>
        </w:trPr>
        <w:tc>
          <w:tcPr>
            <w:tcW w:w="4520" w:type="dxa"/>
            <w:tcBorders>
              <w:top w:val="nil"/>
              <w:left w:val="nil"/>
              <w:bottom w:val="nil"/>
              <w:right w:val="nil"/>
            </w:tcBorders>
            <w:shd w:val="clear" w:color="auto" w:fill="auto"/>
            <w:hideMark/>
          </w:tcPr>
          <w:p w14:paraId="67F410BF" w14:textId="530E4341" w:rsidR="001D6920" w:rsidRPr="001D6920" w:rsidRDefault="001D6920" w:rsidP="001D6920">
            <w:pPr>
              <w:spacing w:after="0" w:line="240" w:lineRule="auto"/>
              <w:jc w:val="left"/>
              <w:rPr>
                <w:color w:val="000000"/>
                <w:kern w:val="22"/>
                <w:sz w:val="17"/>
                <w:szCs w:val="17"/>
                <w:lang w:val="fr-CA" w:eastAsia="en-CA"/>
              </w:rPr>
            </w:pPr>
            <w:r w:rsidRPr="00465B94">
              <w:rPr>
                <w:color w:val="000000"/>
                <w:kern w:val="22"/>
                <w:sz w:val="17"/>
                <w:szCs w:val="17"/>
                <w:lang w:val="fr-CA" w:eastAsia="en-CA"/>
              </w:rPr>
              <w:t xml:space="preserve">  </w:t>
            </w:r>
            <w:r>
              <w:rPr>
                <w:color w:val="000000"/>
                <w:kern w:val="22"/>
                <w:sz w:val="17"/>
                <w:szCs w:val="17"/>
                <w:lang w:val="fr-CA" w:eastAsia="en-CA"/>
              </w:rPr>
              <w:t>Division de la science, de la société et de l’avenir durable</w:t>
            </w:r>
          </w:p>
        </w:tc>
        <w:tc>
          <w:tcPr>
            <w:tcW w:w="1360" w:type="dxa"/>
            <w:tcBorders>
              <w:top w:val="nil"/>
              <w:left w:val="nil"/>
              <w:bottom w:val="nil"/>
              <w:right w:val="nil"/>
            </w:tcBorders>
            <w:shd w:val="clear" w:color="auto" w:fill="auto"/>
            <w:hideMark/>
          </w:tcPr>
          <w:p w14:paraId="19336A92" w14:textId="0A40C8F8"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3 912</w:t>
            </w:r>
            <w:r>
              <w:rPr>
                <w:color w:val="000000"/>
                <w:kern w:val="22"/>
                <w:sz w:val="17"/>
                <w:szCs w:val="17"/>
                <w:lang w:val="fr-CA" w:eastAsia="en-CA"/>
              </w:rPr>
              <w:t>,</w:t>
            </w:r>
            <w:r w:rsidRPr="00465B94">
              <w:rPr>
                <w:color w:val="000000"/>
                <w:kern w:val="22"/>
                <w:sz w:val="17"/>
                <w:szCs w:val="17"/>
                <w:lang w:val="fr-CA" w:eastAsia="en-CA"/>
              </w:rPr>
              <w:t>3</w:t>
            </w:r>
          </w:p>
        </w:tc>
        <w:tc>
          <w:tcPr>
            <w:tcW w:w="1600" w:type="dxa"/>
            <w:tcBorders>
              <w:top w:val="nil"/>
              <w:left w:val="nil"/>
              <w:bottom w:val="nil"/>
              <w:right w:val="nil"/>
            </w:tcBorders>
            <w:shd w:val="clear" w:color="auto" w:fill="auto"/>
            <w:hideMark/>
          </w:tcPr>
          <w:p w14:paraId="648C2E31" w14:textId="79DE175E"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3 909</w:t>
            </w:r>
            <w:r>
              <w:rPr>
                <w:color w:val="000000"/>
                <w:kern w:val="22"/>
                <w:sz w:val="17"/>
                <w:szCs w:val="17"/>
                <w:lang w:val="fr-CA" w:eastAsia="en-CA"/>
              </w:rPr>
              <w:t>,</w:t>
            </w:r>
            <w:r w:rsidRPr="00465B94">
              <w:rPr>
                <w:color w:val="000000"/>
                <w:kern w:val="22"/>
                <w:sz w:val="17"/>
                <w:szCs w:val="17"/>
                <w:lang w:val="fr-CA" w:eastAsia="en-CA"/>
              </w:rPr>
              <w:t>0</w:t>
            </w:r>
          </w:p>
        </w:tc>
        <w:tc>
          <w:tcPr>
            <w:tcW w:w="1640" w:type="dxa"/>
            <w:tcBorders>
              <w:top w:val="nil"/>
              <w:left w:val="nil"/>
              <w:bottom w:val="nil"/>
              <w:right w:val="nil"/>
            </w:tcBorders>
            <w:shd w:val="clear" w:color="auto" w:fill="auto"/>
            <w:hideMark/>
          </w:tcPr>
          <w:p w14:paraId="70D4EEC1" w14:textId="44A80873"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7 821</w:t>
            </w:r>
            <w:r>
              <w:rPr>
                <w:color w:val="000000"/>
                <w:kern w:val="22"/>
                <w:sz w:val="17"/>
                <w:szCs w:val="17"/>
                <w:lang w:val="fr-CA" w:eastAsia="en-CA"/>
              </w:rPr>
              <w:t>,</w:t>
            </w:r>
            <w:r w:rsidRPr="00465B94">
              <w:rPr>
                <w:color w:val="000000"/>
                <w:kern w:val="22"/>
                <w:sz w:val="17"/>
                <w:szCs w:val="17"/>
                <w:lang w:val="fr-CA" w:eastAsia="en-CA"/>
              </w:rPr>
              <w:t>3</w:t>
            </w:r>
          </w:p>
        </w:tc>
      </w:tr>
      <w:tr w:rsidR="001D6920" w:rsidRPr="00EE0850" w14:paraId="685B0D74" w14:textId="77777777" w:rsidTr="00DE347C">
        <w:trPr>
          <w:trHeight w:val="300"/>
        </w:trPr>
        <w:tc>
          <w:tcPr>
            <w:tcW w:w="4520" w:type="dxa"/>
            <w:tcBorders>
              <w:top w:val="nil"/>
              <w:left w:val="nil"/>
              <w:bottom w:val="single" w:sz="8" w:space="0" w:color="auto"/>
              <w:right w:val="nil"/>
            </w:tcBorders>
            <w:shd w:val="clear" w:color="auto" w:fill="auto"/>
            <w:hideMark/>
          </w:tcPr>
          <w:p w14:paraId="0F7FCC55" w14:textId="577425AF" w:rsidR="001D6920" w:rsidRPr="001D6920" w:rsidRDefault="001D6920" w:rsidP="001D6920">
            <w:pPr>
              <w:spacing w:after="0" w:line="240" w:lineRule="auto"/>
              <w:jc w:val="left"/>
              <w:rPr>
                <w:color w:val="000000"/>
                <w:kern w:val="22"/>
                <w:sz w:val="17"/>
                <w:szCs w:val="17"/>
                <w:lang w:val="fr-CA" w:eastAsia="en-CA"/>
              </w:rPr>
            </w:pPr>
            <w:r w:rsidRPr="00465B94">
              <w:rPr>
                <w:color w:val="000000"/>
                <w:kern w:val="22"/>
                <w:sz w:val="17"/>
                <w:szCs w:val="17"/>
                <w:lang w:val="fr-CA" w:eastAsia="en-CA"/>
              </w:rPr>
              <w:t xml:space="preserve">  </w:t>
            </w:r>
            <w:r>
              <w:rPr>
                <w:color w:val="000000"/>
                <w:kern w:val="22"/>
                <w:sz w:val="17"/>
                <w:szCs w:val="17"/>
                <w:lang w:val="fr-CA" w:eastAsia="en-CA"/>
              </w:rPr>
              <w:t>Division de l’appui à l’exécution des projets</w:t>
            </w:r>
          </w:p>
        </w:tc>
        <w:tc>
          <w:tcPr>
            <w:tcW w:w="1360" w:type="dxa"/>
            <w:tcBorders>
              <w:top w:val="nil"/>
              <w:left w:val="nil"/>
              <w:bottom w:val="single" w:sz="8" w:space="0" w:color="auto"/>
              <w:right w:val="nil"/>
            </w:tcBorders>
            <w:shd w:val="clear" w:color="auto" w:fill="auto"/>
            <w:hideMark/>
          </w:tcPr>
          <w:p w14:paraId="34CE84F0" w14:textId="4D06C11F"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3 105</w:t>
            </w:r>
            <w:r>
              <w:rPr>
                <w:color w:val="000000"/>
                <w:kern w:val="22"/>
                <w:sz w:val="17"/>
                <w:szCs w:val="17"/>
                <w:lang w:val="fr-CA" w:eastAsia="en-CA"/>
              </w:rPr>
              <w:t>,</w:t>
            </w:r>
            <w:r w:rsidRPr="00465B94">
              <w:rPr>
                <w:color w:val="000000"/>
                <w:kern w:val="22"/>
                <w:sz w:val="17"/>
                <w:szCs w:val="17"/>
                <w:lang w:val="fr-CA" w:eastAsia="en-CA"/>
              </w:rPr>
              <w:t>0</w:t>
            </w:r>
          </w:p>
        </w:tc>
        <w:tc>
          <w:tcPr>
            <w:tcW w:w="1600" w:type="dxa"/>
            <w:tcBorders>
              <w:top w:val="nil"/>
              <w:left w:val="nil"/>
              <w:bottom w:val="single" w:sz="8" w:space="0" w:color="auto"/>
              <w:right w:val="nil"/>
            </w:tcBorders>
            <w:shd w:val="clear" w:color="auto" w:fill="auto"/>
            <w:hideMark/>
          </w:tcPr>
          <w:p w14:paraId="71CEBD88" w14:textId="02353EE9"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3 708</w:t>
            </w:r>
            <w:r>
              <w:rPr>
                <w:color w:val="000000"/>
                <w:kern w:val="22"/>
                <w:sz w:val="17"/>
                <w:szCs w:val="17"/>
                <w:lang w:val="fr-CA" w:eastAsia="en-CA"/>
              </w:rPr>
              <w:t>,</w:t>
            </w:r>
            <w:r w:rsidRPr="00465B94">
              <w:rPr>
                <w:color w:val="000000"/>
                <w:kern w:val="22"/>
                <w:sz w:val="17"/>
                <w:szCs w:val="17"/>
                <w:lang w:val="fr-CA" w:eastAsia="en-CA"/>
              </w:rPr>
              <w:t>2</w:t>
            </w:r>
          </w:p>
        </w:tc>
        <w:tc>
          <w:tcPr>
            <w:tcW w:w="1640" w:type="dxa"/>
            <w:tcBorders>
              <w:top w:val="nil"/>
              <w:left w:val="nil"/>
              <w:bottom w:val="single" w:sz="8" w:space="0" w:color="auto"/>
              <w:right w:val="nil"/>
            </w:tcBorders>
            <w:shd w:val="clear" w:color="auto" w:fill="auto"/>
            <w:hideMark/>
          </w:tcPr>
          <w:p w14:paraId="2349FC26" w14:textId="58E150E2"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6 813</w:t>
            </w:r>
            <w:r>
              <w:rPr>
                <w:color w:val="000000"/>
                <w:kern w:val="22"/>
                <w:sz w:val="17"/>
                <w:szCs w:val="17"/>
                <w:lang w:val="fr-CA" w:eastAsia="en-CA"/>
              </w:rPr>
              <w:t>,</w:t>
            </w:r>
            <w:r w:rsidRPr="00465B94">
              <w:rPr>
                <w:color w:val="000000"/>
                <w:kern w:val="22"/>
                <w:sz w:val="17"/>
                <w:szCs w:val="17"/>
                <w:lang w:val="fr-CA" w:eastAsia="en-CA"/>
              </w:rPr>
              <w:t>2</w:t>
            </w:r>
          </w:p>
        </w:tc>
      </w:tr>
      <w:tr w:rsidR="001D6920" w:rsidRPr="00EE0850" w14:paraId="5FE0797C" w14:textId="77777777" w:rsidTr="00DE347C">
        <w:trPr>
          <w:trHeight w:val="300"/>
        </w:trPr>
        <w:tc>
          <w:tcPr>
            <w:tcW w:w="4520" w:type="dxa"/>
            <w:tcBorders>
              <w:top w:val="nil"/>
              <w:left w:val="nil"/>
              <w:bottom w:val="single" w:sz="8" w:space="0" w:color="auto"/>
              <w:right w:val="nil"/>
            </w:tcBorders>
            <w:shd w:val="clear" w:color="auto" w:fill="auto"/>
            <w:hideMark/>
          </w:tcPr>
          <w:p w14:paraId="081FF835" w14:textId="3E56372D" w:rsidR="001D6920" w:rsidRPr="001D6920" w:rsidRDefault="001D6920" w:rsidP="001D6920">
            <w:pPr>
              <w:spacing w:after="0" w:line="240" w:lineRule="auto"/>
              <w:jc w:val="left"/>
              <w:rPr>
                <w:b/>
                <w:bCs/>
                <w:color w:val="000000"/>
                <w:kern w:val="22"/>
                <w:sz w:val="17"/>
                <w:szCs w:val="17"/>
                <w:lang w:val="fr-CA" w:eastAsia="en-CA"/>
              </w:rPr>
            </w:pPr>
            <w:r w:rsidRPr="00465B94">
              <w:rPr>
                <w:b/>
                <w:bCs/>
                <w:color w:val="000000"/>
                <w:kern w:val="22"/>
                <w:sz w:val="17"/>
                <w:szCs w:val="17"/>
                <w:lang w:val="fr-CA" w:eastAsia="en-CA"/>
              </w:rPr>
              <w:t xml:space="preserve">II. </w:t>
            </w:r>
            <w:r>
              <w:rPr>
                <w:b/>
                <w:bCs/>
                <w:color w:val="000000"/>
                <w:kern w:val="22"/>
                <w:sz w:val="17"/>
                <w:szCs w:val="17"/>
                <w:lang w:val="fr-CA" w:eastAsia="en-CA"/>
              </w:rPr>
              <w:t>Administration, finances et services de conférence</w:t>
            </w:r>
          </w:p>
        </w:tc>
        <w:tc>
          <w:tcPr>
            <w:tcW w:w="1360" w:type="dxa"/>
            <w:tcBorders>
              <w:top w:val="nil"/>
              <w:left w:val="nil"/>
              <w:bottom w:val="single" w:sz="8" w:space="0" w:color="auto"/>
              <w:right w:val="nil"/>
            </w:tcBorders>
            <w:shd w:val="clear" w:color="auto" w:fill="auto"/>
            <w:hideMark/>
          </w:tcPr>
          <w:p w14:paraId="4D81AD4B" w14:textId="7A595241"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3 845</w:t>
            </w:r>
            <w:r>
              <w:rPr>
                <w:color w:val="000000"/>
                <w:kern w:val="22"/>
                <w:sz w:val="17"/>
                <w:szCs w:val="17"/>
                <w:lang w:val="fr-CA" w:eastAsia="en-CA"/>
              </w:rPr>
              <w:t>,</w:t>
            </w:r>
            <w:r w:rsidRPr="00465B94">
              <w:rPr>
                <w:color w:val="000000"/>
                <w:kern w:val="22"/>
                <w:sz w:val="17"/>
                <w:szCs w:val="17"/>
                <w:lang w:val="fr-CA" w:eastAsia="en-CA"/>
              </w:rPr>
              <w:t>0</w:t>
            </w:r>
          </w:p>
        </w:tc>
        <w:tc>
          <w:tcPr>
            <w:tcW w:w="1600" w:type="dxa"/>
            <w:tcBorders>
              <w:top w:val="nil"/>
              <w:left w:val="nil"/>
              <w:bottom w:val="single" w:sz="8" w:space="0" w:color="auto"/>
              <w:right w:val="nil"/>
            </w:tcBorders>
            <w:shd w:val="clear" w:color="auto" w:fill="auto"/>
            <w:hideMark/>
          </w:tcPr>
          <w:p w14:paraId="02E1FE40" w14:textId="00C0DEEB"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4 052</w:t>
            </w:r>
            <w:r>
              <w:rPr>
                <w:color w:val="000000"/>
                <w:kern w:val="22"/>
                <w:sz w:val="17"/>
                <w:szCs w:val="17"/>
                <w:lang w:val="fr-CA" w:eastAsia="en-CA"/>
              </w:rPr>
              <w:t>,</w:t>
            </w:r>
            <w:r w:rsidRPr="00465B94">
              <w:rPr>
                <w:color w:val="000000"/>
                <w:kern w:val="22"/>
                <w:sz w:val="17"/>
                <w:szCs w:val="17"/>
                <w:lang w:val="fr-CA" w:eastAsia="en-CA"/>
              </w:rPr>
              <w:t>6</w:t>
            </w:r>
          </w:p>
        </w:tc>
        <w:tc>
          <w:tcPr>
            <w:tcW w:w="1640" w:type="dxa"/>
            <w:tcBorders>
              <w:top w:val="nil"/>
              <w:left w:val="nil"/>
              <w:bottom w:val="single" w:sz="8" w:space="0" w:color="auto"/>
              <w:right w:val="nil"/>
            </w:tcBorders>
            <w:shd w:val="clear" w:color="auto" w:fill="auto"/>
            <w:hideMark/>
          </w:tcPr>
          <w:p w14:paraId="32E39539" w14:textId="3460D51F"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7 897</w:t>
            </w:r>
            <w:r>
              <w:rPr>
                <w:color w:val="000000"/>
                <w:kern w:val="22"/>
                <w:sz w:val="17"/>
                <w:szCs w:val="17"/>
                <w:lang w:val="fr-CA" w:eastAsia="en-CA"/>
              </w:rPr>
              <w:t>,</w:t>
            </w:r>
            <w:r w:rsidRPr="00465B94">
              <w:rPr>
                <w:color w:val="000000"/>
                <w:kern w:val="22"/>
                <w:sz w:val="17"/>
                <w:szCs w:val="17"/>
                <w:lang w:val="fr-CA" w:eastAsia="en-CA"/>
              </w:rPr>
              <w:t>6</w:t>
            </w:r>
          </w:p>
        </w:tc>
      </w:tr>
      <w:tr w:rsidR="001D6920" w:rsidRPr="00EE0850" w14:paraId="3E049A09" w14:textId="77777777" w:rsidTr="00DE347C">
        <w:trPr>
          <w:trHeight w:val="300"/>
        </w:trPr>
        <w:tc>
          <w:tcPr>
            <w:tcW w:w="4520" w:type="dxa"/>
            <w:tcBorders>
              <w:top w:val="nil"/>
              <w:left w:val="nil"/>
              <w:bottom w:val="single" w:sz="12" w:space="0" w:color="auto"/>
              <w:right w:val="nil"/>
            </w:tcBorders>
            <w:shd w:val="clear" w:color="auto" w:fill="auto"/>
            <w:hideMark/>
          </w:tcPr>
          <w:p w14:paraId="41A1695B" w14:textId="0E425613" w:rsidR="001D6920" w:rsidRPr="00EE0850" w:rsidRDefault="001D6920" w:rsidP="001D6920">
            <w:pPr>
              <w:spacing w:after="0" w:line="240" w:lineRule="auto"/>
              <w:jc w:val="left"/>
              <w:rPr>
                <w:b/>
                <w:bCs/>
                <w:color w:val="000000"/>
                <w:kern w:val="22"/>
                <w:sz w:val="17"/>
                <w:szCs w:val="17"/>
                <w:lang w:eastAsia="en-CA"/>
              </w:rPr>
            </w:pPr>
            <w:r>
              <w:rPr>
                <w:b/>
                <w:bCs/>
                <w:color w:val="000000"/>
                <w:kern w:val="22"/>
                <w:sz w:val="17"/>
                <w:szCs w:val="17"/>
                <w:lang w:val="fr-CA" w:eastAsia="en-CA"/>
              </w:rPr>
              <w:t>Sous-total</w:t>
            </w:r>
          </w:p>
        </w:tc>
        <w:tc>
          <w:tcPr>
            <w:tcW w:w="1360" w:type="dxa"/>
            <w:tcBorders>
              <w:top w:val="nil"/>
              <w:left w:val="nil"/>
              <w:bottom w:val="single" w:sz="12" w:space="0" w:color="auto"/>
              <w:right w:val="nil"/>
            </w:tcBorders>
            <w:shd w:val="clear" w:color="auto" w:fill="auto"/>
            <w:hideMark/>
          </w:tcPr>
          <w:p w14:paraId="6853A3B2" w14:textId="1591132B" w:rsidR="001D6920" w:rsidRPr="00EE0850" w:rsidRDefault="001D6920" w:rsidP="001D6920">
            <w:pPr>
              <w:spacing w:after="0" w:line="240" w:lineRule="auto"/>
              <w:jc w:val="right"/>
              <w:rPr>
                <w:b/>
                <w:bCs/>
                <w:color w:val="000000"/>
                <w:kern w:val="22"/>
                <w:sz w:val="17"/>
                <w:szCs w:val="17"/>
                <w:lang w:eastAsia="en-CA"/>
              </w:rPr>
            </w:pPr>
            <w:r w:rsidRPr="00465B94">
              <w:rPr>
                <w:b/>
                <w:bCs/>
                <w:color w:val="000000"/>
                <w:kern w:val="22"/>
                <w:sz w:val="17"/>
                <w:szCs w:val="17"/>
                <w:lang w:val="fr-CA" w:eastAsia="en-CA"/>
              </w:rPr>
              <w:t>16 718</w:t>
            </w:r>
            <w:r>
              <w:rPr>
                <w:b/>
                <w:bCs/>
                <w:color w:val="000000"/>
                <w:kern w:val="22"/>
                <w:sz w:val="17"/>
                <w:szCs w:val="17"/>
                <w:lang w:val="fr-CA" w:eastAsia="en-CA"/>
              </w:rPr>
              <w:t>,</w:t>
            </w:r>
            <w:r w:rsidRPr="00465B94">
              <w:rPr>
                <w:b/>
                <w:bCs/>
                <w:color w:val="000000"/>
                <w:kern w:val="22"/>
                <w:sz w:val="17"/>
                <w:szCs w:val="17"/>
                <w:lang w:val="fr-CA" w:eastAsia="en-CA"/>
              </w:rPr>
              <w:t>9</w:t>
            </w:r>
          </w:p>
        </w:tc>
        <w:tc>
          <w:tcPr>
            <w:tcW w:w="1600" w:type="dxa"/>
            <w:tcBorders>
              <w:top w:val="nil"/>
              <w:left w:val="nil"/>
              <w:bottom w:val="single" w:sz="12" w:space="0" w:color="auto"/>
              <w:right w:val="nil"/>
            </w:tcBorders>
            <w:shd w:val="clear" w:color="auto" w:fill="auto"/>
            <w:hideMark/>
          </w:tcPr>
          <w:p w14:paraId="6BBBC31F" w14:textId="01678631" w:rsidR="001D6920" w:rsidRPr="00EE0850" w:rsidRDefault="001D6920" w:rsidP="001D6920">
            <w:pPr>
              <w:spacing w:after="0" w:line="240" w:lineRule="auto"/>
              <w:jc w:val="right"/>
              <w:rPr>
                <w:b/>
                <w:bCs/>
                <w:color w:val="000000"/>
                <w:kern w:val="22"/>
                <w:sz w:val="17"/>
                <w:szCs w:val="17"/>
                <w:lang w:eastAsia="en-CA"/>
              </w:rPr>
            </w:pPr>
            <w:r w:rsidRPr="00465B94">
              <w:rPr>
                <w:b/>
                <w:bCs/>
                <w:color w:val="000000"/>
                <w:kern w:val="22"/>
                <w:sz w:val="17"/>
                <w:szCs w:val="17"/>
                <w:lang w:val="fr-CA" w:eastAsia="en-CA"/>
              </w:rPr>
              <w:t>17 490</w:t>
            </w:r>
            <w:r>
              <w:rPr>
                <w:b/>
                <w:bCs/>
                <w:color w:val="000000"/>
                <w:kern w:val="22"/>
                <w:sz w:val="17"/>
                <w:szCs w:val="17"/>
                <w:lang w:val="fr-CA" w:eastAsia="en-CA"/>
              </w:rPr>
              <w:t>,</w:t>
            </w:r>
            <w:r w:rsidRPr="00465B94">
              <w:rPr>
                <w:b/>
                <w:bCs/>
                <w:color w:val="000000"/>
                <w:kern w:val="22"/>
                <w:sz w:val="17"/>
                <w:szCs w:val="17"/>
                <w:lang w:val="fr-CA" w:eastAsia="en-CA"/>
              </w:rPr>
              <w:t>5</w:t>
            </w:r>
          </w:p>
        </w:tc>
        <w:tc>
          <w:tcPr>
            <w:tcW w:w="1640" w:type="dxa"/>
            <w:tcBorders>
              <w:top w:val="nil"/>
              <w:left w:val="nil"/>
              <w:bottom w:val="single" w:sz="12" w:space="0" w:color="auto"/>
              <w:right w:val="nil"/>
            </w:tcBorders>
            <w:shd w:val="clear" w:color="auto" w:fill="auto"/>
            <w:hideMark/>
          </w:tcPr>
          <w:p w14:paraId="1D3965D7" w14:textId="6BC1FB47" w:rsidR="001D6920" w:rsidRPr="00EE0850" w:rsidRDefault="001D6920" w:rsidP="001D6920">
            <w:pPr>
              <w:spacing w:after="0" w:line="240" w:lineRule="auto"/>
              <w:jc w:val="right"/>
              <w:rPr>
                <w:b/>
                <w:bCs/>
                <w:color w:val="000000"/>
                <w:kern w:val="22"/>
                <w:sz w:val="17"/>
                <w:szCs w:val="17"/>
                <w:lang w:eastAsia="en-CA"/>
              </w:rPr>
            </w:pPr>
            <w:r w:rsidRPr="00465B94">
              <w:rPr>
                <w:b/>
                <w:bCs/>
                <w:color w:val="000000"/>
                <w:kern w:val="22"/>
                <w:sz w:val="17"/>
                <w:szCs w:val="17"/>
                <w:lang w:val="fr-CA" w:eastAsia="en-CA"/>
              </w:rPr>
              <w:t>34 209</w:t>
            </w:r>
            <w:r>
              <w:rPr>
                <w:b/>
                <w:bCs/>
                <w:color w:val="000000"/>
                <w:kern w:val="22"/>
                <w:sz w:val="17"/>
                <w:szCs w:val="17"/>
                <w:lang w:val="fr-CA" w:eastAsia="en-CA"/>
              </w:rPr>
              <w:t>,</w:t>
            </w:r>
            <w:r w:rsidRPr="00465B94">
              <w:rPr>
                <w:b/>
                <w:bCs/>
                <w:color w:val="000000"/>
                <w:kern w:val="22"/>
                <w:sz w:val="17"/>
                <w:szCs w:val="17"/>
                <w:lang w:val="fr-CA" w:eastAsia="en-CA"/>
              </w:rPr>
              <w:t>4</w:t>
            </w:r>
          </w:p>
        </w:tc>
      </w:tr>
      <w:tr w:rsidR="001D6920" w:rsidRPr="00EE0850" w14:paraId="4F4F7420" w14:textId="77777777" w:rsidTr="00DE347C">
        <w:trPr>
          <w:trHeight w:val="300"/>
        </w:trPr>
        <w:tc>
          <w:tcPr>
            <w:tcW w:w="4520" w:type="dxa"/>
            <w:tcBorders>
              <w:top w:val="nil"/>
              <w:left w:val="nil"/>
              <w:bottom w:val="nil"/>
              <w:right w:val="nil"/>
            </w:tcBorders>
            <w:shd w:val="clear" w:color="auto" w:fill="auto"/>
            <w:hideMark/>
          </w:tcPr>
          <w:p w14:paraId="51961632" w14:textId="074E43CA" w:rsidR="001D6920" w:rsidRPr="00EE0850" w:rsidRDefault="001D6920" w:rsidP="001D6920">
            <w:pPr>
              <w:spacing w:after="0" w:line="240" w:lineRule="auto"/>
              <w:jc w:val="left"/>
              <w:rPr>
                <w:color w:val="000000"/>
                <w:kern w:val="22"/>
                <w:sz w:val="17"/>
                <w:szCs w:val="17"/>
                <w:lang w:eastAsia="en-CA"/>
              </w:rPr>
            </w:pPr>
            <w:r>
              <w:rPr>
                <w:color w:val="000000"/>
                <w:kern w:val="22"/>
                <w:sz w:val="17"/>
                <w:szCs w:val="17"/>
                <w:lang w:val="fr-CA" w:eastAsia="en-CA"/>
              </w:rPr>
              <w:t>Coûts d’appui au programme</w:t>
            </w:r>
          </w:p>
        </w:tc>
        <w:tc>
          <w:tcPr>
            <w:tcW w:w="1360" w:type="dxa"/>
            <w:tcBorders>
              <w:top w:val="nil"/>
              <w:left w:val="nil"/>
              <w:bottom w:val="nil"/>
              <w:right w:val="nil"/>
            </w:tcBorders>
            <w:shd w:val="clear" w:color="auto" w:fill="auto"/>
            <w:noWrap/>
            <w:hideMark/>
          </w:tcPr>
          <w:p w14:paraId="05DE6E95" w14:textId="5CB14F03"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2 173</w:t>
            </w:r>
            <w:r>
              <w:rPr>
                <w:color w:val="000000"/>
                <w:kern w:val="22"/>
                <w:sz w:val="17"/>
                <w:szCs w:val="17"/>
                <w:lang w:val="fr-CA" w:eastAsia="en-CA"/>
              </w:rPr>
              <w:t>,</w:t>
            </w:r>
            <w:r w:rsidRPr="00465B94">
              <w:rPr>
                <w:color w:val="000000"/>
                <w:kern w:val="22"/>
                <w:sz w:val="17"/>
                <w:szCs w:val="17"/>
                <w:lang w:val="fr-CA" w:eastAsia="en-CA"/>
              </w:rPr>
              <w:t>4</w:t>
            </w:r>
          </w:p>
        </w:tc>
        <w:tc>
          <w:tcPr>
            <w:tcW w:w="1600" w:type="dxa"/>
            <w:tcBorders>
              <w:top w:val="nil"/>
              <w:left w:val="nil"/>
              <w:bottom w:val="nil"/>
              <w:right w:val="nil"/>
            </w:tcBorders>
            <w:shd w:val="clear" w:color="auto" w:fill="auto"/>
            <w:noWrap/>
            <w:hideMark/>
          </w:tcPr>
          <w:p w14:paraId="41450B9E" w14:textId="0BEA9031"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2 273</w:t>
            </w:r>
            <w:r>
              <w:rPr>
                <w:color w:val="000000"/>
                <w:kern w:val="22"/>
                <w:sz w:val="17"/>
                <w:szCs w:val="17"/>
                <w:lang w:val="fr-CA" w:eastAsia="en-CA"/>
              </w:rPr>
              <w:t>,</w:t>
            </w:r>
            <w:r w:rsidRPr="00465B94">
              <w:rPr>
                <w:color w:val="000000"/>
                <w:kern w:val="22"/>
                <w:sz w:val="17"/>
                <w:szCs w:val="17"/>
                <w:lang w:val="fr-CA" w:eastAsia="en-CA"/>
              </w:rPr>
              <w:t>9</w:t>
            </w:r>
          </w:p>
        </w:tc>
        <w:tc>
          <w:tcPr>
            <w:tcW w:w="1640" w:type="dxa"/>
            <w:tcBorders>
              <w:top w:val="nil"/>
              <w:left w:val="nil"/>
              <w:bottom w:val="nil"/>
              <w:right w:val="nil"/>
            </w:tcBorders>
            <w:shd w:val="clear" w:color="auto" w:fill="auto"/>
            <w:hideMark/>
          </w:tcPr>
          <w:p w14:paraId="10DB7CCD" w14:textId="6273E4DA"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4 447</w:t>
            </w:r>
            <w:r>
              <w:rPr>
                <w:color w:val="000000"/>
                <w:kern w:val="22"/>
                <w:sz w:val="17"/>
                <w:szCs w:val="17"/>
                <w:lang w:val="fr-CA" w:eastAsia="en-CA"/>
              </w:rPr>
              <w:t>,</w:t>
            </w:r>
            <w:r w:rsidRPr="00465B94">
              <w:rPr>
                <w:color w:val="000000"/>
                <w:kern w:val="22"/>
                <w:sz w:val="17"/>
                <w:szCs w:val="17"/>
                <w:lang w:val="fr-CA" w:eastAsia="en-CA"/>
              </w:rPr>
              <w:t>2</w:t>
            </w:r>
          </w:p>
        </w:tc>
      </w:tr>
      <w:tr w:rsidR="001D6920" w:rsidRPr="00EE0850" w14:paraId="73CF20BD" w14:textId="77777777" w:rsidTr="00DE347C">
        <w:trPr>
          <w:trHeight w:val="300"/>
        </w:trPr>
        <w:tc>
          <w:tcPr>
            <w:tcW w:w="4520" w:type="dxa"/>
            <w:tcBorders>
              <w:top w:val="nil"/>
              <w:left w:val="nil"/>
              <w:bottom w:val="single" w:sz="8" w:space="0" w:color="auto"/>
              <w:right w:val="nil"/>
            </w:tcBorders>
            <w:shd w:val="clear" w:color="auto" w:fill="auto"/>
            <w:hideMark/>
          </w:tcPr>
          <w:p w14:paraId="3626DD8C" w14:textId="36708B61" w:rsidR="001D6920" w:rsidRPr="001D6920" w:rsidRDefault="001D6920" w:rsidP="001D6920">
            <w:pPr>
              <w:spacing w:after="0" w:line="240" w:lineRule="auto"/>
              <w:jc w:val="left"/>
              <w:rPr>
                <w:b/>
                <w:bCs/>
                <w:color w:val="000000"/>
                <w:kern w:val="22"/>
                <w:sz w:val="17"/>
                <w:szCs w:val="17"/>
                <w:lang w:val="fr-CA" w:eastAsia="en-CA"/>
              </w:rPr>
            </w:pPr>
            <w:r w:rsidRPr="00465B94">
              <w:rPr>
                <w:b/>
                <w:bCs/>
                <w:color w:val="000000"/>
                <w:kern w:val="22"/>
                <w:sz w:val="17"/>
                <w:szCs w:val="17"/>
                <w:lang w:val="fr-CA" w:eastAsia="en-CA"/>
              </w:rPr>
              <w:t xml:space="preserve">III. </w:t>
            </w:r>
            <w:r>
              <w:rPr>
                <w:b/>
                <w:bCs/>
                <w:color w:val="000000"/>
                <w:kern w:val="22"/>
                <w:sz w:val="17"/>
                <w:szCs w:val="17"/>
                <w:lang w:val="fr-CA" w:eastAsia="en-CA"/>
              </w:rPr>
              <w:t>Réserve du fonds de roulement</w:t>
            </w:r>
          </w:p>
        </w:tc>
        <w:tc>
          <w:tcPr>
            <w:tcW w:w="1360" w:type="dxa"/>
            <w:tcBorders>
              <w:top w:val="nil"/>
              <w:left w:val="nil"/>
              <w:bottom w:val="single" w:sz="8" w:space="0" w:color="auto"/>
              <w:right w:val="nil"/>
            </w:tcBorders>
            <w:shd w:val="clear" w:color="auto" w:fill="auto"/>
            <w:noWrap/>
            <w:hideMark/>
          </w:tcPr>
          <w:p w14:paraId="0C0E093F" w14:textId="0E29D105"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56</w:t>
            </w:r>
            <w:r>
              <w:rPr>
                <w:color w:val="000000"/>
                <w:kern w:val="22"/>
                <w:sz w:val="17"/>
                <w:szCs w:val="17"/>
                <w:lang w:val="fr-CA" w:eastAsia="en-CA"/>
              </w:rPr>
              <w:t>,</w:t>
            </w:r>
            <w:r w:rsidRPr="00465B94">
              <w:rPr>
                <w:color w:val="000000"/>
                <w:kern w:val="22"/>
                <w:sz w:val="17"/>
                <w:szCs w:val="17"/>
                <w:lang w:val="fr-CA" w:eastAsia="en-CA"/>
              </w:rPr>
              <w:t>6</w:t>
            </w:r>
          </w:p>
        </w:tc>
        <w:tc>
          <w:tcPr>
            <w:tcW w:w="1600" w:type="dxa"/>
            <w:tcBorders>
              <w:top w:val="nil"/>
              <w:left w:val="nil"/>
              <w:bottom w:val="single" w:sz="8" w:space="0" w:color="auto"/>
              <w:right w:val="nil"/>
            </w:tcBorders>
            <w:shd w:val="clear" w:color="auto" w:fill="auto"/>
            <w:noWrap/>
            <w:hideMark/>
          </w:tcPr>
          <w:p w14:paraId="11857102" w14:textId="5B658C76"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130</w:t>
            </w:r>
            <w:r>
              <w:rPr>
                <w:color w:val="000000"/>
                <w:kern w:val="22"/>
                <w:sz w:val="17"/>
                <w:szCs w:val="17"/>
                <w:lang w:val="fr-CA" w:eastAsia="en-CA"/>
              </w:rPr>
              <w:t>,</w:t>
            </w:r>
            <w:r w:rsidRPr="00465B94">
              <w:rPr>
                <w:color w:val="000000"/>
                <w:kern w:val="22"/>
                <w:sz w:val="17"/>
                <w:szCs w:val="17"/>
                <w:lang w:val="fr-CA" w:eastAsia="en-CA"/>
              </w:rPr>
              <w:t>8</w:t>
            </w:r>
          </w:p>
        </w:tc>
        <w:tc>
          <w:tcPr>
            <w:tcW w:w="1640" w:type="dxa"/>
            <w:tcBorders>
              <w:top w:val="nil"/>
              <w:left w:val="nil"/>
              <w:bottom w:val="single" w:sz="8" w:space="0" w:color="auto"/>
              <w:right w:val="nil"/>
            </w:tcBorders>
            <w:shd w:val="clear" w:color="auto" w:fill="auto"/>
            <w:hideMark/>
          </w:tcPr>
          <w:p w14:paraId="474D1944" w14:textId="2C3B88CA"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187</w:t>
            </w:r>
            <w:r>
              <w:rPr>
                <w:color w:val="000000"/>
                <w:kern w:val="22"/>
                <w:sz w:val="17"/>
                <w:szCs w:val="17"/>
                <w:lang w:val="fr-CA" w:eastAsia="en-CA"/>
              </w:rPr>
              <w:t>,</w:t>
            </w:r>
            <w:r w:rsidRPr="00465B94">
              <w:rPr>
                <w:color w:val="000000"/>
                <w:kern w:val="22"/>
                <w:sz w:val="17"/>
                <w:szCs w:val="17"/>
                <w:lang w:val="fr-CA" w:eastAsia="en-CA"/>
              </w:rPr>
              <w:t>5</w:t>
            </w:r>
          </w:p>
        </w:tc>
      </w:tr>
      <w:tr w:rsidR="001D6920" w:rsidRPr="00EE0850" w14:paraId="6603757C" w14:textId="77777777" w:rsidTr="00DE347C">
        <w:trPr>
          <w:trHeight w:val="300"/>
        </w:trPr>
        <w:tc>
          <w:tcPr>
            <w:tcW w:w="4520" w:type="dxa"/>
            <w:tcBorders>
              <w:top w:val="nil"/>
              <w:left w:val="nil"/>
              <w:bottom w:val="single" w:sz="8" w:space="0" w:color="auto"/>
              <w:right w:val="nil"/>
            </w:tcBorders>
            <w:shd w:val="clear" w:color="auto" w:fill="auto"/>
            <w:hideMark/>
          </w:tcPr>
          <w:p w14:paraId="6C27E719" w14:textId="053D75DE" w:rsidR="001D6920" w:rsidRPr="00EE0850" w:rsidRDefault="001D6920" w:rsidP="001D6920">
            <w:pPr>
              <w:spacing w:after="0" w:line="240" w:lineRule="auto"/>
              <w:jc w:val="left"/>
              <w:rPr>
                <w:b/>
                <w:bCs/>
                <w:color w:val="000000"/>
                <w:kern w:val="22"/>
                <w:sz w:val="17"/>
                <w:szCs w:val="17"/>
                <w:lang w:eastAsia="en-CA"/>
              </w:rPr>
            </w:pPr>
            <w:r w:rsidRPr="00465B94">
              <w:rPr>
                <w:b/>
                <w:bCs/>
                <w:color w:val="000000"/>
                <w:kern w:val="22"/>
                <w:sz w:val="17"/>
                <w:szCs w:val="17"/>
                <w:lang w:val="fr-CA" w:eastAsia="en-CA"/>
              </w:rPr>
              <w:t>Total</w:t>
            </w:r>
          </w:p>
        </w:tc>
        <w:tc>
          <w:tcPr>
            <w:tcW w:w="1360" w:type="dxa"/>
            <w:tcBorders>
              <w:top w:val="nil"/>
              <w:left w:val="nil"/>
              <w:bottom w:val="single" w:sz="8" w:space="0" w:color="auto"/>
              <w:right w:val="nil"/>
            </w:tcBorders>
            <w:shd w:val="clear" w:color="auto" w:fill="auto"/>
            <w:noWrap/>
            <w:hideMark/>
          </w:tcPr>
          <w:p w14:paraId="51D98E69" w14:textId="15536800" w:rsidR="001D6920" w:rsidRPr="00EE0850" w:rsidRDefault="001D6920" w:rsidP="001D6920">
            <w:pPr>
              <w:spacing w:after="0" w:line="240" w:lineRule="auto"/>
              <w:jc w:val="right"/>
              <w:rPr>
                <w:b/>
                <w:bCs/>
                <w:color w:val="000000"/>
                <w:kern w:val="22"/>
                <w:sz w:val="17"/>
                <w:szCs w:val="17"/>
                <w:lang w:eastAsia="en-CA"/>
              </w:rPr>
            </w:pPr>
            <w:r w:rsidRPr="00465B94">
              <w:rPr>
                <w:b/>
                <w:bCs/>
                <w:color w:val="000000"/>
                <w:kern w:val="22"/>
                <w:sz w:val="17"/>
                <w:szCs w:val="17"/>
                <w:lang w:val="fr-CA" w:eastAsia="en-CA"/>
              </w:rPr>
              <w:t>18 948</w:t>
            </w:r>
            <w:r>
              <w:rPr>
                <w:b/>
                <w:bCs/>
                <w:color w:val="000000"/>
                <w:kern w:val="22"/>
                <w:sz w:val="17"/>
                <w:szCs w:val="17"/>
                <w:lang w:val="fr-CA" w:eastAsia="en-CA"/>
              </w:rPr>
              <w:t>,</w:t>
            </w:r>
            <w:r w:rsidRPr="00465B94">
              <w:rPr>
                <w:b/>
                <w:bCs/>
                <w:color w:val="000000"/>
                <w:kern w:val="22"/>
                <w:sz w:val="17"/>
                <w:szCs w:val="17"/>
                <w:lang w:val="fr-CA" w:eastAsia="en-CA"/>
              </w:rPr>
              <w:t>9</w:t>
            </w:r>
          </w:p>
        </w:tc>
        <w:tc>
          <w:tcPr>
            <w:tcW w:w="1600" w:type="dxa"/>
            <w:tcBorders>
              <w:top w:val="nil"/>
              <w:left w:val="nil"/>
              <w:bottom w:val="single" w:sz="8" w:space="0" w:color="auto"/>
              <w:right w:val="nil"/>
            </w:tcBorders>
            <w:shd w:val="clear" w:color="auto" w:fill="auto"/>
            <w:noWrap/>
            <w:hideMark/>
          </w:tcPr>
          <w:p w14:paraId="22393461" w14:textId="3D2F466F" w:rsidR="001D6920" w:rsidRPr="00EE0850" w:rsidRDefault="001D6920" w:rsidP="001D6920">
            <w:pPr>
              <w:spacing w:after="0" w:line="240" w:lineRule="auto"/>
              <w:jc w:val="right"/>
              <w:rPr>
                <w:b/>
                <w:bCs/>
                <w:color w:val="000000"/>
                <w:kern w:val="22"/>
                <w:sz w:val="17"/>
                <w:szCs w:val="17"/>
                <w:lang w:eastAsia="en-CA"/>
              </w:rPr>
            </w:pPr>
            <w:r w:rsidRPr="00465B94">
              <w:rPr>
                <w:b/>
                <w:bCs/>
                <w:color w:val="000000"/>
                <w:kern w:val="22"/>
                <w:sz w:val="17"/>
                <w:szCs w:val="17"/>
                <w:lang w:val="fr-CA" w:eastAsia="en-CA"/>
              </w:rPr>
              <w:t>19 895</w:t>
            </w:r>
            <w:r>
              <w:rPr>
                <w:b/>
                <w:bCs/>
                <w:color w:val="000000"/>
                <w:kern w:val="22"/>
                <w:sz w:val="17"/>
                <w:szCs w:val="17"/>
                <w:lang w:val="fr-CA" w:eastAsia="en-CA"/>
              </w:rPr>
              <w:t>,</w:t>
            </w:r>
            <w:r w:rsidRPr="00465B94">
              <w:rPr>
                <w:b/>
                <w:bCs/>
                <w:color w:val="000000"/>
                <w:kern w:val="22"/>
                <w:sz w:val="17"/>
                <w:szCs w:val="17"/>
                <w:lang w:val="fr-CA" w:eastAsia="en-CA"/>
              </w:rPr>
              <w:t>2</w:t>
            </w:r>
          </w:p>
        </w:tc>
        <w:tc>
          <w:tcPr>
            <w:tcW w:w="1640" w:type="dxa"/>
            <w:tcBorders>
              <w:top w:val="nil"/>
              <w:left w:val="nil"/>
              <w:bottom w:val="single" w:sz="8" w:space="0" w:color="auto"/>
              <w:right w:val="nil"/>
            </w:tcBorders>
            <w:shd w:val="clear" w:color="auto" w:fill="auto"/>
            <w:hideMark/>
          </w:tcPr>
          <w:p w14:paraId="079B25BD" w14:textId="00677A26" w:rsidR="001D6920" w:rsidRPr="00EE0850" w:rsidRDefault="001D6920" w:rsidP="001D6920">
            <w:pPr>
              <w:spacing w:after="0" w:line="240" w:lineRule="auto"/>
              <w:jc w:val="right"/>
              <w:rPr>
                <w:b/>
                <w:bCs/>
                <w:color w:val="000000"/>
                <w:kern w:val="22"/>
                <w:sz w:val="17"/>
                <w:szCs w:val="17"/>
                <w:lang w:eastAsia="en-CA"/>
              </w:rPr>
            </w:pPr>
            <w:r w:rsidRPr="00465B94">
              <w:rPr>
                <w:b/>
                <w:bCs/>
                <w:color w:val="000000"/>
                <w:kern w:val="22"/>
                <w:sz w:val="17"/>
                <w:szCs w:val="17"/>
                <w:lang w:val="fr-CA" w:eastAsia="en-CA"/>
              </w:rPr>
              <w:t>38 844</w:t>
            </w:r>
            <w:r>
              <w:rPr>
                <w:b/>
                <w:bCs/>
                <w:color w:val="000000"/>
                <w:kern w:val="22"/>
                <w:sz w:val="17"/>
                <w:szCs w:val="17"/>
                <w:lang w:val="fr-CA" w:eastAsia="en-CA"/>
              </w:rPr>
              <w:t>,</w:t>
            </w:r>
            <w:r w:rsidRPr="00465B94">
              <w:rPr>
                <w:b/>
                <w:bCs/>
                <w:color w:val="000000"/>
                <w:kern w:val="22"/>
                <w:sz w:val="17"/>
                <w:szCs w:val="17"/>
                <w:lang w:val="fr-CA" w:eastAsia="en-CA"/>
              </w:rPr>
              <w:t>1</w:t>
            </w:r>
          </w:p>
        </w:tc>
      </w:tr>
      <w:tr w:rsidR="001D6920" w:rsidRPr="00EE0850" w14:paraId="7E0F3476" w14:textId="77777777" w:rsidTr="00DE347C">
        <w:trPr>
          <w:trHeight w:val="288"/>
        </w:trPr>
        <w:tc>
          <w:tcPr>
            <w:tcW w:w="4520" w:type="dxa"/>
            <w:tcBorders>
              <w:top w:val="nil"/>
              <w:left w:val="nil"/>
              <w:bottom w:val="single" w:sz="4" w:space="0" w:color="auto"/>
              <w:right w:val="nil"/>
            </w:tcBorders>
            <w:shd w:val="clear" w:color="auto" w:fill="auto"/>
            <w:vAlign w:val="center"/>
            <w:hideMark/>
          </w:tcPr>
          <w:p w14:paraId="2DBF0E3C" w14:textId="682935EC" w:rsidR="001D6920" w:rsidRPr="001D6920" w:rsidRDefault="001D6920" w:rsidP="001D6920">
            <w:pPr>
              <w:spacing w:after="0" w:line="240" w:lineRule="auto"/>
              <w:jc w:val="left"/>
              <w:rPr>
                <w:kern w:val="22"/>
                <w:sz w:val="17"/>
                <w:szCs w:val="17"/>
                <w:lang w:val="fr-CA" w:eastAsia="en-CA"/>
              </w:rPr>
            </w:pPr>
            <w:r>
              <w:rPr>
                <w:kern w:val="22"/>
                <w:sz w:val="17"/>
                <w:szCs w:val="17"/>
                <w:lang w:val="fr-CA" w:eastAsia="en-CA"/>
              </w:rPr>
              <w:t>Part du Protocole de Nagoya du budget intégré</w:t>
            </w:r>
            <w:r w:rsidRPr="00E02578">
              <w:rPr>
                <w:kern w:val="22"/>
                <w:sz w:val="17"/>
                <w:szCs w:val="17"/>
                <w:lang w:val="fr-CA" w:eastAsia="en-CA"/>
              </w:rPr>
              <w:t xml:space="preserve"> </w:t>
            </w:r>
            <w:r w:rsidRPr="00465B94">
              <w:rPr>
                <w:kern w:val="22"/>
                <w:sz w:val="17"/>
                <w:szCs w:val="17"/>
                <w:lang w:val="fr-CA" w:eastAsia="en-CA"/>
              </w:rPr>
              <w:t>(11</w:t>
            </w:r>
            <w:r>
              <w:rPr>
                <w:kern w:val="22"/>
                <w:sz w:val="17"/>
                <w:szCs w:val="17"/>
                <w:lang w:val="fr-CA" w:eastAsia="en-CA"/>
              </w:rPr>
              <w:t xml:space="preserve"> </w:t>
            </w:r>
            <w:r w:rsidRPr="00465B94">
              <w:rPr>
                <w:kern w:val="22"/>
                <w:sz w:val="17"/>
                <w:szCs w:val="17"/>
                <w:lang w:val="fr-CA" w:eastAsia="en-CA"/>
              </w:rPr>
              <w:t>%)</w:t>
            </w:r>
          </w:p>
        </w:tc>
        <w:tc>
          <w:tcPr>
            <w:tcW w:w="1360" w:type="dxa"/>
            <w:tcBorders>
              <w:top w:val="nil"/>
              <w:left w:val="nil"/>
              <w:bottom w:val="single" w:sz="4" w:space="0" w:color="auto"/>
              <w:right w:val="nil"/>
            </w:tcBorders>
            <w:shd w:val="clear" w:color="auto" w:fill="auto"/>
            <w:vAlign w:val="center"/>
            <w:hideMark/>
          </w:tcPr>
          <w:p w14:paraId="1591D4C3" w14:textId="66D02898"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2 084</w:t>
            </w:r>
            <w:r>
              <w:rPr>
                <w:kern w:val="22"/>
                <w:sz w:val="17"/>
                <w:szCs w:val="17"/>
                <w:lang w:val="fr-CA" w:eastAsia="en-CA"/>
              </w:rPr>
              <w:t>,</w:t>
            </w:r>
            <w:r w:rsidRPr="00465B94">
              <w:rPr>
                <w:kern w:val="22"/>
                <w:sz w:val="17"/>
                <w:szCs w:val="17"/>
                <w:lang w:val="fr-CA" w:eastAsia="en-CA"/>
              </w:rPr>
              <w:t>4</w:t>
            </w:r>
          </w:p>
        </w:tc>
        <w:tc>
          <w:tcPr>
            <w:tcW w:w="1600" w:type="dxa"/>
            <w:tcBorders>
              <w:top w:val="nil"/>
              <w:left w:val="nil"/>
              <w:bottom w:val="single" w:sz="4" w:space="0" w:color="auto"/>
              <w:right w:val="nil"/>
            </w:tcBorders>
            <w:shd w:val="clear" w:color="auto" w:fill="auto"/>
            <w:vAlign w:val="center"/>
            <w:hideMark/>
          </w:tcPr>
          <w:p w14:paraId="169C02D3" w14:textId="01F77DF1"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2 188</w:t>
            </w:r>
            <w:r>
              <w:rPr>
                <w:kern w:val="22"/>
                <w:sz w:val="17"/>
                <w:szCs w:val="17"/>
                <w:lang w:val="fr-CA" w:eastAsia="en-CA"/>
              </w:rPr>
              <w:t>,</w:t>
            </w:r>
            <w:r w:rsidRPr="00465B94">
              <w:rPr>
                <w:kern w:val="22"/>
                <w:sz w:val="17"/>
                <w:szCs w:val="17"/>
                <w:lang w:val="fr-CA" w:eastAsia="en-CA"/>
              </w:rPr>
              <w:t>5</w:t>
            </w:r>
          </w:p>
        </w:tc>
        <w:tc>
          <w:tcPr>
            <w:tcW w:w="1640" w:type="dxa"/>
            <w:tcBorders>
              <w:top w:val="nil"/>
              <w:left w:val="nil"/>
              <w:bottom w:val="single" w:sz="4" w:space="0" w:color="auto"/>
              <w:right w:val="nil"/>
            </w:tcBorders>
            <w:shd w:val="clear" w:color="auto" w:fill="auto"/>
            <w:vAlign w:val="center"/>
            <w:hideMark/>
          </w:tcPr>
          <w:p w14:paraId="7A252527" w14:textId="3FD756D0"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4 272</w:t>
            </w:r>
            <w:r>
              <w:rPr>
                <w:kern w:val="22"/>
                <w:sz w:val="17"/>
                <w:szCs w:val="17"/>
                <w:lang w:val="fr-CA" w:eastAsia="en-CA"/>
              </w:rPr>
              <w:t>,</w:t>
            </w:r>
            <w:r w:rsidRPr="00465B94">
              <w:rPr>
                <w:kern w:val="22"/>
                <w:sz w:val="17"/>
                <w:szCs w:val="17"/>
                <w:lang w:val="fr-CA" w:eastAsia="en-CA"/>
              </w:rPr>
              <w:t>9</w:t>
            </w:r>
          </w:p>
        </w:tc>
      </w:tr>
      <w:tr w:rsidR="001D6920" w:rsidRPr="00EE0850" w14:paraId="64D02243" w14:textId="77777777" w:rsidTr="00DE347C">
        <w:trPr>
          <w:trHeight w:val="288"/>
        </w:trPr>
        <w:tc>
          <w:tcPr>
            <w:tcW w:w="4520" w:type="dxa"/>
            <w:tcBorders>
              <w:top w:val="nil"/>
              <w:left w:val="nil"/>
              <w:bottom w:val="nil"/>
              <w:right w:val="nil"/>
            </w:tcBorders>
            <w:shd w:val="clear" w:color="auto" w:fill="auto"/>
            <w:hideMark/>
          </w:tcPr>
          <w:p w14:paraId="285C9744" w14:textId="47CA53B1" w:rsidR="001D6920" w:rsidRPr="001D6920" w:rsidRDefault="001D6920" w:rsidP="001D6920">
            <w:pPr>
              <w:spacing w:after="0" w:line="240" w:lineRule="auto"/>
              <w:jc w:val="left"/>
              <w:rPr>
                <w:color w:val="000000"/>
                <w:kern w:val="22"/>
                <w:sz w:val="17"/>
                <w:szCs w:val="17"/>
                <w:lang w:val="fr-CA" w:eastAsia="en-CA"/>
              </w:rPr>
            </w:pPr>
            <w:r w:rsidRPr="00F24602">
              <w:rPr>
                <w:color w:val="000000"/>
                <w:kern w:val="22"/>
                <w:sz w:val="17"/>
                <w:szCs w:val="17"/>
                <w:u w:val="single"/>
                <w:lang w:val="fr-CA" w:eastAsia="en-CA"/>
              </w:rPr>
              <w:t xml:space="preserve">Moins </w:t>
            </w:r>
            <w:r w:rsidRPr="00F24602">
              <w:rPr>
                <w:color w:val="000000"/>
                <w:kern w:val="22"/>
                <w:sz w:val="17"/>
                <w:szCs w:val="17"/>
                <w:lang w:val="fr-CA" w:eastAsia="en-CA"/>
              </w:rPr>
              <w:t>:  Contribution du pays h</w:t>
            </w:r>
            <w:r>
              <w:rPr>
                <w:color w:val="000000"/>
                <w:kern w:val="22"/>
                <w:sz w:val="17"/>
                <w:szCs w:val="17"/>
                <w:lang w:val="fr-CA" w:eastAsia="en-CA"/>
              </w:rPr>
              <w:t>ôte</w:t>
            </w:r>
          </w:p>
        </w:tc>
        <w:tc>
          <w:tcPr>
            <w:tcW w:w="1360" w:type="dxa"/>
            <w:tcBorders>
              <w:top w:val="nil"/>
              <w:left w:val="nil"/>
              <w:bottom w:val="nil"/>
              <w:right w:val="nil"/>
            </w:tcBorders>
            <w:shd w:val="clear" w:color="auto" w:fill="auto"/>
            <w:vAlign w:val="center"/>
            <w:hideMark/>
          </w:tcPr>
          <w:p w14:paraId="0323E40C" w14:textId="7CB0AB81"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(135</w:t>
            </w:r>
            <w:r>
              <w:rPr>
                <w:kern w:val="22"/>
                <w:sz w:val="17"/>
                <w:szCs w:val="17"/>
                <w:lang w:val="fr-CA" w:eastAsia="en-CA"/>
              </w:rPr>
              <w:t>,</w:t>
            </w:r>
            <w:r w:rsidRPr="00465B94">
              <w:rPr>
                <w:kern w:val="22"/>
                <w:sz w:val="17"/>
                <w:szCs w:val="17"/>
                <w:lang w:val="fr-CA" w:eastAsia="en-CA"/>
              </w:rPr>
              <w:t>2)</w:t>
            </w:r>
          </w:p>
        </w:tc>
        <w:tc>
          <w:tcPr>
            <w:tcW w:w="1600" w:type="dxa"/>
            <w:tcBorders>
              <w:top w:val="nil"/>
              <w:left w:val="nil"/>
              <w:bottom w:val="nil"/>
              <w:right w:val="nil"/>
            </w:tcBorders>
            <w:shd w:val="clear" w:color="auto" w:fill="auto"/>
            <w:vAlign w:val="center"/>
            <w:hideMark/>
          </w:tcPr>
          <w:p w14:paraId="12F059C2" w14:textId="2992E241"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(156</w:t>
            </w:r>
            <w:r>
              <w:rPr>
                <w:kern w:val="22"/>
                <w:sz w:val="17"/>
                <w:szCs w:val="17"/>
                <w:lang w:val="fr-CA" w:eastAsia="en-CA"/>
              </w:rPr>
              <w:t>,</w:t>
            </w:r>
            <w:r w:rsidRPr="00465B94">
              <w:rPr>
                <w:kern w:val="22"/>
                <w:sz w:val="17"/>
                <w:szCs w:val="17"/>
                <w:lang w:val="fr-CA" w:eastAsia="en-CA"/>
              </w:rPr>
              <w:t>6)</w:t>
            </w:r>
          </w:p>
        </w:tc>
        <w:tc>
          <w:tcPr>
            <w:tcW w:w="1640" w:type="dxa"/>
            <w:tcBorders>
              <w:top w:val="nil"/>
              <w:left w:val="nil"/>
              <w:bottom w:val="nil"/>
              <w:right w:val="nil"/>
            </w:tcBorders>
            <w:shd w:val="clear" w:color="auto" w:fill="auto"/>
            <w:vAlign w:val="center"/>
            <w:hideMark/>
          </w:tcPr>
          <w:p w14:paraId="29B02034" w14:textId="000FDF23"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(291</w:t>
            </w:r>
            <w:r>
              <w:rPr>
                <w:kern w:val="22"/>
                <w:sz w:val="17"/>
                <w:szCs w:val="17"/>
                <w:lang w:val="fr-CA" w:eastAsia="en-CA"/>
              </w:rPr>
              <w:t>,</w:t>
            </w:r>
            <w:r w:rsidRPr="00465B94">
              <w:rPr>
                <w:kern w:val="22"/>
                <w:sz w:val="17"/>
                <w:szCs w:val="17"/>
                <w:lang w:val="fr-CA" w:eastAsia="en-CA"/>
              </w:rPr>
              <w:t>8)</w:t>
            </w:r>
          </w:p>
        </w:tc>
      </w:tr>
      <w:tr w:rsidR="001D6920" w:rsidRPr="00EE0850" w14:paraId="3EFEB12A" w14:textId="77777777" w:rsidTr="00DE347C">
        <w:trPr>
          <w:trHeight w:val="288"/>
        </w:trPr>
        <w:tc>
          <w:tcPr>
            <w:tcW w:w="4520" w:type="dxa"/>
            <w:tcBorders>
              <w:top w:val="nil"/>
              <w:left w:val="nil"/>
              <w:bottom w:val="nil"/>
              <w:right w:val="nil"/>
            </w:tcBorders>
            <w:shd w:val="clear" w:color="auto" w:fill="auto"/>
            <w:hideMark/>
          </w:tcPr>
          <w:p w14:paraId="1FBF4719" w14:textId="3D457C80" w:rsidR="001D6920" w:rsidRPr="001D6920" w:rsidRDefault="001D6920" w:rsidP="001D6920">
            <w:pPr>
              <w:spacing w:after="0" w:line="240" w:lineRule="auto"/>
              <w:jc w:val="left"/>
              <w:rPr>
                <w:color w:val="000000"/>
                <w:kern w:val="22"/>
                <w:sz w:val="17"/>
                <w:szCs w:val="17"/>
                <w:lang w:val="fr-CA" w:eastAsia="en-CA"/>
              </w:rPr>
            </w:pPr>
            <w:r w:rsidRPr="00F24602">
              <w:rPr>
                <w:color w:val="000000"/>
                <w:kern w:val="22"/>
                <w:sz w:val="17"/>
                <w:szCs w:val="17"/>
                <w:u w:val="single"/>
                <w:lang w:val="fr-CA" w:eastAsia="en-CA"/>
              </w:rPr>
              <w:t xml:space="preserve">Moins </w:t>
            </w:r>
            <w:r w:rsidRPr="00F24602">
              <w:rPr>
                <w:color w:val="000000"/>
                <w:kern w:val="22"/>
                <w:sz w:val="17"/>
                <w:szCs w:val="17"/>
                <w:lang w:val="fr-CA" w:eastAsia="en-CA"/>
              </w:rPr>
              <w:t xml:space="preserve">:  Utilisation des </w:t>
            </w:r>
            <w:r>
              <w:rPr>
                <w:color w:val="000000"/>
                <w:kern w:val="22"/>
                <w:sz w:val="17"/>
                <w:szCs w:val="17"/>
                <w:lang w:val="fr-CA" w:eastAsia="en-CA"/>
              </w:rPr>
              <w:t>ré</w:t>
            </w:r>
            <w:r w:rsidRPr="00F24602">
              <w:rPr>
                <w:color w:val="000000"/>
                <w:kern w:val="22"/>
                <w:sz w:val="17"/>
                <w:szCs w:val="17"/>
                <w:lang w:val="fr-CA" w:eastAsia="en-CA"/>
              </w:rPr>
              <w:t>serves pour les ré</w:t>
            </w:r>
            <w:r>
              <w:rPr>
                <w:color w:val="000000"/>
                <w:kern w:val="22"/>
                <w:sz w:val="17"/>
                <w:szCs w:val="17"/>
                <w:lang w:val="fr-CA" w:eastAsia="en-CA"/>
              </w:rPr>
              <w:t>unions extraordinaires</w:t>
            </w:r>
          </w:p>
        </w:tc>
        <w:tc>
          <w:tcPr>
            <w:tcW w:w="1360" w:type="dxa"/>
            <w:tcBorders>
              <w:top w:val="nil"/>
              <w:left w:val="nil"/>
              <w:bottom w:val="nil"/>
              <w:right w:val="nil"/>
            </w:tcBorders>
            <w:shd w:val="clear" w:color="auto" w:fill="auto"/>
            <w:vAlign w:val="center"/>
            <w:hideMark/>
          </w:tcPr>
          <w:p w14:paraId="08174CFF" w14:textId="21A86F0F"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(93</w:t>
            </w:r>
            <w:r>
              <w:rPr>
                <w:kern w:val="22"/>
                <w:sz w:val="17"/>
                <w:szCs w:val="17"/>
                <w:lang w:val="fr-CA" w:eastAsia="en-CA"/>
              </w:rPr>
              <w:t>,</w:t>
            </w:r>
            <w:r w:rsidRPr="00465B94">
              <w:rPr>
                <w:kern w:val="22"/>
                <w:sz w:val="17"/>
                <w:szCs w:val="17"/>
                <w:lang w:val="fr-CA" w:eastAsia="en-CA"/>
              </w:rPr>
              <w:t>2)</w:t>
            </w:r>
          </w:p>
        </w:tc>
        <w:tc>
          <w:tcPr>
            <w:tcW w:w="1600" w:type="dxa"/>
            <w:tcBorders>
              <w:top w:val="nil"/>
              <w:left w:val="nil"/>
              <w:bottom w:val="nil"/>
              <w:right w:val="nil"/>
            </w:tcBorders>
            <w:shd w:val="clear" w:color="auto" w:fill="auto"/>
            <w:vAlign w:val="center"/>
            <w:hideMark/>
          </w:tcPr>
          <w:p w14:paraId="00F18DFC" w14:textId="40466090"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(69</w:t>
            </w:r>
            <w:r>
              <w:rPr>
                <w:kern w:val="22"/>
                <w:sz w:val="17"/>
                <w:szCs w:val="17"/>
                <w:lang w:val="fr-CA" w:eastAsia="en-CA"/>
              </w:rPr>
              <w:t>,</w:t>
            </w:r>
            <w:r w:rsidRPr="00465B94">
              <w:rPr>
                <w:kern w:val="22"/>
                <w:sz w:val="17"/>
                <w:szCs w:val="17"/>
                <w:lang w:val="fr-CA" w:eastAsia="en-CA"/>
              </w:rPr>
              <w:t>6)</w:t>
            </w:r>
          </w:p>
        </w:tc>
        <w:tc>
          <w:tcPr>
            <w:tcW w:w="1640" w:type="dxa"/>
            <w:tcBorders>
              <w:top w:val="nil"/>
              <w:left w:val="nil"/>
              <w:bottom w:val="nil"/>
              <w:right w:val="nil"/>
            </w:tcBorders>
            <w:shd w:val="clear" w:color="auto" w:fill="auto"/>
            <w:vAlign w:val="center"/>
            <w:hideMark/>
          </w:tcPr>
          <w:p w14:paraId="4DE0AAA1" w14:textId="1E12CAF7"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(162</w:t>
            </w:r>
            <w:r>
              <w:rPr>
                <w:kern w:val="22"/>
                <w:sz w:val="17"/>
                <w:szCs w:val="17"/>
                <w:lang w:val="fr-CA" w:eastAsia="en-CA"/>
              </w:rPr>
              <w:t>,</w:t>
            </w:r>
            <w:r w:rsidRPr="00465B94">
              <w:rPr>
                <w:kern w:val="22"/>
                <w:sz w:val="17"/>
                <w:szCs w:val="17"/>
                <w:lang w:val="fr-CA" w:eastAsia="en-CA"/>
              </w:rPr>
              <w:t>8)</w:t>
            </w:r>
          </w:p>
        </w:tc>
      </w:tr>
      <w:tr w:rsidR="001D6920" w:rsidRPr="00EE0850" w14:paraId="6931C52A" w14:textId="77777777" w:rsidTr="00DE347C">
        <w:trPr>
          <w:trHeight w:val="288"/>
        </w:trPr>
        <w:tc>
          <w:tcPr>
            <w:tcW w:w="4520" w:type="dxa"/>
            <w:tcBorders>
              <w:top w:val="nil"/>
              <w:left w:val="nil"/>
              <w:bottom w:val="nil"/>
              <w:right w:val="nil"/>
            </w:tcBorders>
            <w:shd w:val="clear" w:color="auto" w:fill="auto"/>
            <w:hideMark/>
          </w:tcPr>
          <w:p w14:paraId="4BDF72EC" w14:textId="107E48ED" w:rsidR="001D6920" w:rsidRPr="001D6920" w:rsidRDefault="001D6920" w:rsidP="001D6920">
            <w:pPr>
              <w:spacing w:after="0" w:line="240" w:lineRule="auto"/>
              <w:jc w:val="left"/>
              <w:rPr>
                <w:color w:val="000000"/>
                <w:kern w:val="22"/>
                <w:sz w:val="17"/>
                <w:szCs w:val="17"/>
                <w:lang w:val="fr-CA" w:eastAsia="en-CA"/>
              </w:rPr>
            </w:pPr>
            <w:r w:rsidRPr="00F24602">
              <w:rPr>
                <w:color w:val="000000"/>
                <w:kern w:val="22"/>
                <w:sz w:val="17"/>
                <w:szCs w:val="17"/>
                <w:u w:val="single"/>
                <w:lang w:val="fr-CA" w:eastAsia="en-CA"/>
              </w:rPr>
              <w:t xml:space="preserve">Moins </w:t>
            </w:r>
            <w:r w:rsidRPr="00F24602">
              <w:rPr>
                <w:color w:val="000000"/>
                <w:kern w:val="22"/>
                <w:sz w:val="17"/>
                <w:szCs w:val="17"/>
                <w:lang w:val="fr-CA" w:eastAsia="en-CA"/>
              </w:rPr>
              <w:t xml:space="preserve">:  Utilisation des </w:t>
            </w:r>
            <w:r>
              <w:rPr>
                <w:color w:val="000000"/>
                <w:kern w:val="22"/>
                <w:sz w:val="17"/>
                <w:szCs w:val="17"/>
                <w:lang w:val="fr-CA" w:eastAsia="en-CA"/>
              </w:rPr>
              <w:t>ré</w:t>
            </w:r>
            <w:r w:rsidRPr="00F24602">
              <w:rPr>
                <w:color w:val="000000"/>
                <w:kern w:val="22"/>
                <w:sz w:val="17"/>
                <w:szCs w:val="17"/>
                <w:lang w:val="fr-CA" w:eastAsia="en-CA"/>
              </w:rPr>
              <w:t xml:space="preserve">serves des années </w:t>
            </w:r>
            <w:r>
              <w:rPr>
                <w:color w:val="000000"/>
                <w:kern w:val="22"/>
                <w:sz w:val="17"/>
                <w:szCs w:val="17"/>
                <w:lang w:val="fr-CA" w:eastAsia="en-CA"/>
              </w:rPr>
              <w:t>précédentes</w:t>
            </w:r>
          </w:p>
        </w:tc>
        <w:tc>
          <w:tcPr>
            <w:tcW w:w="1360" w:type="dxa"/>
            <w:tcBorders>
              <w:top w:val="nil"/>
              <w:left w:val="nil"/>
              <w:bottom w:val="nil"/>
              <w:right w:val="nil"/>
            </w:tcBorders>
            <w:shd w:val="clear" w:color="auto" w:fill="auto"/>
            <w:vAlign w:val="center"/>
            <w:hideMark/>
          </w:tcPr>
          <w:p w14:paraId="56489955" w14:textId="0D277929"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(94</w:t>
            </w:r>
            <w:r>
              <w:rPr>
                <w:kern w:val="22"/>
                <w:sz w:val="17"/>
                <w:szCs w:val="17"/>
                <w:lang w:val="fr-CA" w:eastAsia="en-CA"/>
              </w:rPr>
              <w:t>,</w:t>
            </w:r>
            <w:r w:rsidRPr="00465B94">
              <w:rPr>
                <w:kern w:val="22"/>
                <w:sz w:val="17"/>
                <w:szCs w:val="17"/>
                <w:lang w:val="fr-CA" w:eastAsia="en-CA"/>
              </w:rPr>
              <w:t>9)</w:t>
            </w:r>
          </w:p>
        </w:tc>
        <w:tc>
          <w:tcPr>
            <w:tcW w:w="1600" w:type="dxa"/>
            <w:tcBorders>
              <w:top w:val="nil"/>
              <w:left w:val="nil"/>
              <w:bottom w:val="nil"/>
              <w:right w:val="nil"/>
            </w:tcBorders>
            <w:shd w:val="clear" w:color="auto" w:fill="auto"/>
            <w:vAlign w:val="center"/>
            <w:hideMark/>
          </w:tcPr>
          <w:p w14:paraId="3A2F244D" w14:textId="7C3F8837"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(94</w:t>
            </w:r>
            <w:r>
              <w:rPr>
                <w:kern w:val="22"/>
                <w:sz w:val="17"/>
                <w:szCs w:val="17"/>
                <w:lang w:val="fr-CA" w:eastAsia="en-CA"/>
              </w:rPr>
              <w:t>,</w:t>
            </w:r>
            <w:r w:rsidRPr="00465B94">
              <w:rPr>
                <w:kern w:val="22"/>
                <w:sz w:val="17"/>
                <w:szCs w:val="17"/>
                <w:lang w:val="fr-CA" w:eastAsia="en-CA"/>
              </w:rPr>
              <w:t>9)</w:t>
            </w:r>
          </w:p>
        </w:tc>
        <w:tc>
          <w:tcPr>
            <w:tcW w:w="1640" w:type="dxa"/>
            <w:tcBorders>
              <w:top w:val="nil"/>
              <w:left w:val="nil"/>
              <w:bottom w:val="nil"/>
              <w:right w:val="nil"/>
            </w:tcBorders>
            <w:shd w:val="clear" w:color="auto" w:fill="auto"/>
            <w:vAlign w:val="center"/>
            <w:hideMark/>
          </w:tcPr>
          <w:p w14:paraId="3D907052" w14:textId="0568F4EA" w:rsidR="001D6920" w:rsidRPr="00EE0850" w:rsidRDefault="001D6920" w:rsidP="001D6920">
            <w:pPr>
              <w:spacing w:after="0" w:line="240" w:lineRule="auto"/>
              <w:jc w:val="right"/>
              <w:rPr>
                <w:kern w:val="22"/>
                <w:sz w:val="17"/>
                <w:szCs w:val="17"/>
                <w:lang w:eastAsia="en-CA"/>
              </w:rPr>
            </w:pPr>
            <w:r w:rsidRPr="00465B94">
              <w:rPr>
                <w:kern w:val="22"/>
                <w:sz w:val="17"/>
                <w:szCs w:val="17"/>
                <w:lang w:val="fr-CA" w:eastAsia="en-CA"/>
              </w:rPr>
              <w:t>(189</w:t>
            </w:r>
            <w:r>
              <w:rPr>
                <w:kern w:val="22"/>
                <w:sz w:val="17"/>
                <w:szCs w:val="17"/>
                <w:lang w:val="fr-CA" w:eastAsia="en-CA"/>
              </w:rPr>
              <w:t>,</w:t>
            </w:r>
            <w:r w:rsidRPr="00465B94">
              <w:rPr>
                <w:kern w:val="22"/>
                <w:sz w:val="17"/>
                <w:szCs w:val="17"/>
                <w:lang w:val="fr-CA" w:eastAsia="en-CA"/>
              </w:rPr>
              <w:t>8)</w:t>
            </w:r>
          </w:p>
        </w:tc>
      </w:tr>
      <w:tr w:rsidR="001D6920" w:rsidRPr="00EE0850" w14:paraId="7B3CAC1C" w14:textId="77777777" w:rsidTr="00DE347C">
        <w:trPr>
          <w:trHeight w:val="300"/>
        </w:trPr>
        <w:tc>
          <w:tcPr>
            <w:tcW w:w="4520" w:type="dxa"/>
            <w:tcBorders>
              <w:top w:val="single" w:sz="4" w:space="0" w:color="auto"/>
              <w:left w:val="nil"/>
              <w:bottom w:val="single" w:sz="8" w:space="0" w:color="auto"/>
              <w:right w:val="nil"/>
            </w:tcBorders>
            <w:shd w:val="clear" w:color="auto" w:fill="auto"/>
            <w:hideMark/>
          </w:tcPr>
          <w:p w14:paraId="3565D21F" w14:textId="57852C98" w:rsidR="001D6920" w:rsidRPr="001D6920" w:rsidRDefault="001D6920" w:rsidP="001D6920">
            <w:pPr>
              <w:spacing w:after="0" w:line="240" w:lineRule="auto"/>
              <w:jc w:val="left"/>
              <w:rPr>
                <w:color w:val="000000"/>
                <w:kern w:val="22"/>
                <w:sz w:val="17"/>
                <w:szCs w:val="17"/>
                <w:lang w:val="fr-CA" w:eastAsia="en-CA"/>
              </w:rPr>
            </w:pPr>
            <w:r>
              <w:rPr>
                <w:color w:val="000000"/>
                <w:kern w:val="22"/>
                <w:sz w:val="17"/>
                <w:szCs w:val="17"/>
                <w:lang w:val="fr-CA" w:eastAsia="en-CA"/>
              </w:rPr>
              <w:t>Total net (montant à répartir entre les Parties</w:t>
            </w:r>
            <w:r w:rsidRPr="00465B94">
              <w:rPr>
                <w:color w:val="000000"/>
                <w:kern w:val="22"/>
                <w:sz w:val="17"/>
                <w:szCs w:val="17"/>
                <w:lang w:val="fr-CA" w:eastAsia="en-CA"/>
              </w:rPr>
              <w:t>)</w:t>
            </w:r>
          </w:p>
        </w:tc>
        <w:tc>
          <w:tcPr>
            <w:tcW w:w="1360" w:type="dxa"/>
            <w:tcBorders>
              <w:top w:val="single" w:sz="4" w:space="0" w:color="auto"/>
              <w:left w:val="nil"/>
              <w:bottom w:val="single" w:sz="8" w:space="0" w:color="auto"/>
              <w:right w:val="nil"/>
            </w:tcBorders>
            <w:shd w:val="clear" w:color="auto" w:fill="auto"/>
            <w:hideMark/>
          </w:tcPr>
          <w:p w14:paraId="1E3ABE63" w14:textId="1CCFC72F"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1 761</w:t>
            </w:r>
            <w:r>
              <w:rPr>
                <w:color w:val="000000"/>
                <w:kern w:val="22"/>
                <w:sz w:val="17"/>
                <w:szCs w:val="17"/>
                <w:lang w:val="fr-CA" w:eastAsia="en-CA"/>
              </w:rPr>
              <w:t>,</w:t>
            </w:r>
            <w:r w:rsidRPr="00465B94">
              <w:rPr>
                <w:color w:val="000000"/>
                <w:kern w:val="22"/>
                <w:sz w:val="17"/>
                <w:szCs w:val="17"/>
                <w:lang w:val="fr-CA" w:eastAsia="en-CA"/>
              </w:rPr>
              <w:t>1</w:t>
            </w:r>
          </w:p>
        </w:tc>
        <w:tc>
          <w:tcPr>
            <w:tcW w:w="1600" w:type="dxa"/>
            <w:tcBorders>
              <w:top w:val="single" w:sz="4" w:space="0" w:color="auto"/>
              <w:left w:val="nil"/>
              <w:bottom w:val="single" w:sz="8" w:space="0" w:color="auto"/>
              <w:right w:val="nil"/>
            </w:tcBorders>
            <w:shd w:val="clear" w:color="auto" w:fill="auto"/>
            <w:hideMark/>
          </w:tcPr>
          <w:p w14:paraId="4EA6AE9C" w14:textId="62616069"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1 867</w:t>
            </w:r>
            <w:r>
              <w:rPr>
                <w:color w:val="000000"/>
                <w:kern w:val="22"/>
                <w:sz w:val="17"/>
                <w:szCs w:val="17"/>
                <w:lang w:val="fr-CA" w:eastAsia="en-CA"/>
              </w:rPr>
              <w:t>,</w:t>
            </w:r>
            <w:r w:rsidRPr="00465B94">
              <w:rPr>
                <w:color w:val="000000"/>
                <w:kern w:val="22"/>
                <w:sz w:val="17"/>
                <w:szCs w:val="17"/>
                <w:lang w:val="fr-CA" w:eastAsia="en-CA"/>
              </w:rPr>
              <w:t>4</w:t>
            </w:r>
          </w:p>
        </w:tc>
        <w:tc>
          <w:tcPr>
            <w:tcW w:w="1640" w:type="dxa"/>
            <w:tcBorders>
              <w:top w:val="single" w:sz="4" w:space="0" w:color="auto"/>
              <w:left w:val="nil"/>
              <w:bottom w:val="single" w:sz="8" w:space="0" w:color="auto"/>
              <w:right w:val="nil"/>
            </w:tcBorders>
            <w:shd w:val="clear" w:color="auto" w:fill="auto"/>
            <w:hideMark/>
          </w:tcPr>
          <w:p w14:paraId="6B857DEC" w14:textId="7A39FA56" w:rsidR="001D6920" w:rsidRPr="00EE0850" w:rsidRDefault="001D6920" w:rsidP="001D6920">
            <w:pPr>
              <w:spacing w:after="0" w:line="240" w:lineRule="auto"/>
              <w:jc w:val="right"/>
              <w:rPr>
                <w:color w:val="000000"/>
                <w:kern w:val="22"/>
                <w:sz w:val="17"/>
                <w:szCs w:val="17"/>
                <w:lang w:eastAsia="en-CA"/>
              </w:rPr>
            </w:pPr>
            <w:r w:rsidRPr="00465B94">
              <w:rPr>
                <w:color w:val="000000"/>
                <w:kern w:val="22"/>
                <w:sz w:val="17"/>
                <w:szCs w:val="17"/>
                <w:lang w:val="fr-CA" w:eastAsia="en-CA"/>
              </w:rPr>
              <w:t>3 628</w:t>
            </w:r>
            <w:r>
              <w:rPr>
                <w:color w:val="000000"/>
                <w:kern w:val="22"/>
                <w:sz w:val="17"/>
                <w:szCs w:val="17"/>
                <w:lang w:val="fr-CA" w:eastAsia="en-CA"/>
              </w:rPr>
              <w:t>,</w:t>
            </w:r>
            <w:r w:rsidRPr="00465B94">
              <w:rPr>
                <w:color w:val="000000"/>
                <w:kern w:val="22"/>
                <w:sz w:val="17"/>
                <w:szCs w:val="17"/>
                <w:lang w:val="fr-CA" w:eastAsia="en-CA"/>
              </w:rPr>
              <w:t>5</w:t>
            </w:r>
          </w:p>
        </w:tc>
      </w:tr>
    </w:tbl>
    <w:p w14:paraId="61A3A53B" w14:textId="77777777" w:rsidR="00DE347C" w:rsidRPr="00EE0850" w:rsidRDefault="00DE347C" w:rsidP="000C6220">
      <w:pPr>
        <w:spacing w:before="120" w:line="240" w:lineRule="auto"/>
        <w:jc w:val="left"/>
        <w:rPr>
          <w:kern w:val="22"/>
        </w:rPr>
      </w:pPr>
    </w:p>
    <w:p w14:paraId="5E06BA66" w14:textId="77777777" w:rsidR="00DE347C" w:rsidRPr="00EE0850" w:rsidRDefault="00DE347C" w:rsidP="000C6220">
      <w:pPr>
        <w:spacing w:before="120" w:line="240" w:lineRule="auto"/>
        <w:jc w:val="left"/>
        <w:rPr>
          <w:kern w:val="22"/>
        </w:rPr>
      </w:pPr>
      <w:r w:rsidRPr="00EE0850">
        <w:rPr>
          <w:kern w:val="22"/>
        </w:rPr>
        <w:br w:type="page"/>
      </w:r>
    </w:p>
    <w:p w14:paraId="4329BF75" w14:textId="740E8946" w:rsidR="00DE347C" w:rsidRPr="001D6920" w:rsidRDefault="001D6920" w:rsidP="001D6920">
      <w:pPr>
        <w:keepNext/>
        <w:spacing w:before="120" w:line="240" w:lineRule="auto"/>
        <w:ind w:left="1260" w:hanging="1260"/>
        <w:rPr>
          <w:b/>
          <w:bCs/>
          <w:snapToGrid w:val="0"/>
          <w:kern w:val="22"/>
          <w:lang w:val="fr-CA"/>
        </w:rPr>
      </w:pPr>
      <w:r w:rsidRPr="00E02578">
        <w:rPr>
          <w:b/>
          <w:bCs/>
          <w:iCs/>
          <w:snapToGrid w:val="0"/>
          <w:kern w:val="22"/>
          <w:lang w:val="fr-CA" w:eastAsia="x-none"/>
        </w:rPr>
        <w:lastRenderedPageBreak/>
        <w:t>Tableau 1b.</w:t>
      </w:r>
      <w:r w:rsidRPr="00E02578">
        <w:rPr>
          <w:b/>
          <w:bCs/>
          <w:iCs/>
          <w:snapToGrid w:val="0"/>
          <w:kern w:val="22"/>
          <w:lang w:val="fr-CA" w:eastAsia="x-none"/>
        </w:rPr>
        <w:tab/>
        <w:t>Budget biennal intégré des fonds d’affectation spéciale de la Convention sur la diversité biologique et de ses protocoles pour la période 2019-2020 (par poste de dépense</w:t>
      </w:r>
      <w:r w:rsidR="00DE347C" w:rsidRPr="001D6920">
        <w:rPr>
          <w:b/>
          <w:bCs/>
          <w:snapToGrid w:val="0"/>
          <w:kern w:val="22"/>
          <w:lang w:val="fr-CA"/>
        </w:rPr>
        <w:t>)</w:t>
      </w:r>
    </w:p>
    <w:tbl>
      <w:tblPr>
        <w:tblW w:w="0" w:type="auto"/>
        <w:jc w:val="center"/>
        <w:tblLayout w:type="fixed"/>
        <w:tblLook w:val="04A0" w:firstRow="1" w:lastRow="0" w:firstColumn="1" w:lastColumn="0" w:noHBand="0" w:noVBand="1"/>
      </w:tblPr>
      <w:tblGrid>
        <w:gridCol w:w="450"/>
        <w:gridCol w:w="3133"/>
        <w:gridCol w:w="2855"/>
        <w:gridCol w:w="1176"/>
        <w:gridCol w:w="1176"/>
        <w:gridCol w:w="1176"/>
      </w:tblGrid>
      <w:tr w:rsidR="001D6920" w:rsidRPr="00EE0850" w14:paraId="5F469876" w14:textId="77777777" w:rsidTr="001D6920">
        <w:trPr>
          <w:trHeight w:val="261"/>
          <w:jc w:val="center"/>
        </w:trPr>
        <w:tc>
          <w:tcPr>
            <w:tcW w:w="450" w:type="dxa"/>
            <w:tcBorders>
              <w:top w:val="nil"/>
              <w:left w:val="nil"/>
              <w:bottom w:val="nil"/>
              <w:right w:val="nil"/>
            </w:tcBorders>
            <w:shd w:val="clear" w:color="auto" w:fill="auto"/>
            <w:noWrap/>
            <w:vAlign w:val="center"/>
            <w:hideMark/>
          </w:tcPr>
          <w:p w14:paraId="33A2D4A1" w14:textId="77777777" w:rsidR="001D6920" w:rsidRPr="001D6920" w:rsidRDefault="001D6920" w:rsidP="001D6920">
            <w:pPr>
              <w:spacing w:after="0" w:line="240" w:lineRule="auto"/>
              <w:jc w:val="right"/>
              <w:rPr>
                <w:color w:val="000000"/>
                <w:kern w:val="22"/>
                <w:sz w:val="17"/>
                <w:szCs w:val="17"/>
                <w:lang w:val="fr-CA" w:eastAsia="en-CA"/>
              </w:rPr>
            </w:pPr>
          </w:p>
        </w:tc>
        <w:tc>
          <w:tcPr>
            <w:tcW w:w="5988" w:type="dxa"/>
            <w:gridSpan w:val="2"/>
            <w:vMerge w:val="restart"/>
            <w:tcBorders>
              <w:top w:val="single" w:sz="8" w:space="0" w:color="auto"/>
              <w:left w:val="nil"/>
              <w:bottom w:val="single" w:sz="8" w:space="0" w:color="000000"/>
              <w:right w:val="nil"/>
            </w:tcBorders>
            <w:shd w:val="clear" w:color="auto" w:fill="auto"/>
            <w:vAlign w:val="center"/>
            <w:hideMark/>
          </w:tcPr>
          <w:p w14:paraId="08C3F843" w14:textId="721B670D" w:rsidR="001D6920" w:rsidRPr="00EE0850" w:rsidRDefault="001D6920" w:rsidP="001D6920">
            <w:pPr>
              <w:spacing w:after="0" w:line="240" w:lineRule="auto"/>
              <w:jc w:val="center"/>
              <w:rPr>
                <w:bCs/>
                <w:i/>
                <w:color w:val="000000"/>
                <w:kern w:val="22"/>
                <w:sz w:val="16"/>
                <w:szCs w:val="16"/>
                <w:lang w:eastAsia="en-CA"/>
              </w:rPr>
            </w:pPr>
            <w:r w:rsidRPr="00E02578">
              <w:rPr>
                <w:bCs/>
                <w:i/>
                <w:color w:val="000000"/>
                <w:kern w:val="22"/>
                <w:sz w:val="16"/>
                <w:szCs w:val="16"/>
                <w:lang w:val="fr-CA" w:eastAsia="en-CA"/>
              </w:rPr>
              <w:t>Poste de dépense</w:t>
            </w:r>
          </w:p>
        </w:tc>
        <w:tc>
          <w:tcPr>
            <w:tcW w:w="1176" w:type="dxa"/>
            <w:tcBorders>
              <w:top w:val="single" w:sz="8" w:space="0" w:color="auto"/>
              <w:left w:val="nil"/>
              <w:bottom w:val="nil"/>
              <w:right w:val="nil"/>
            </w:tcBorders>
            <w:shd w:val="clear" w:color="auto" w:fill="auto"/>
            <w:vAlign w:val="center"/>
            <w:hideMark/>
          </w:tcPr>
          <w:p w14:paraId="6117D8A9" w14:textId="4FC37391" w:rsidR="001D6920" w:rsidRPr="00EE0850" w:rsidRDefault="001D6920" w:rsidP="001D6920">
            <w:pPr>
              <w:spacing w:after="0" w:line="240" w:lineRule="auto"/>
              <w:jc w:val="center"/>
              <w:rPr>
                <w:bCs/>
                <w:i/>
                <w:color w:val="000000"/>
                <w:kern w:val="22"/>
                <w:sz w:val="16"/>
                <w:szCs w:val="16"/>
                <w:lang w:eastAsia="en-CA"/>
              </w:rPr>
            </w:pPr>
            <w:r w:rsidRPr="00E02578">
              <w:rPr>
                <w:bCs/>
                <w:i/>
                <w:color w:val="000000"/>
                <w:kern w:val="22"/>
                <w:sz w:val="16"/>
                <w:szCs w:val="16"/>
                <w:lang w:val="fr-CA" w:eastAsia="en-CA"/>
              </w:rPr>
              <w:t>2019</w:t>
            </w:r>
          </w:p>
        </w:tc>
        <w:tc>
          <w:tcPr>
            <w:tcW w:w="1176" w:type="dxa"/>
            <w:tcBorders>
              <w:top w:val="single" w:sz="8" w:space="0" w:color="auto"/>
              <w:left w:val="nil"/>
              <w:bottom w:val="nil"/>
              <w:right w:val="nil"/>
            </w:tcBorders>
            <w:shd w:val="clear" w:color="auto" w:fill="auto"/>
            <w:vAlign w:val="center"/>
            <w:hideMark/>
          </w:tcPr>
          <w:p w14:paraId="6ADFBFAE" w14:textId="50AE9804" w:rsidR="001D6920" w:rsidRPr="00EE0850" w:rsidRDefault="001D6920" w:rsidP="001D6920">
            <w:pPr>
              <w:spacing w:after="0" w:line="240" w:lineRule="auto"/>
              <w:jc w:val="center"/>
              <w:rPr>
                <w:bCs/>
                <w:i/>
                <w:color w:val="000000"/>
                <w:kern w:val="22"/>
                <w:sz w:val="16"/>
                <w:szCs w:val="16"/>
                <w:lang w:eastAsia="en-CA"/>
              </w:rPr>
            </w:pPr>
            <w:r w:rsidRPr="00E02578">
              <w:rPr>
                <w:bCs/>
                <w:i/>
                <w:color w:val="000000"/>
                <w:kern w:val="22"/>
                <w:sz w:val="16"/>
                <w:szCs w:val="16"/>
                <w:lang w:val="fr-CA" w:eastAsia="en-CA"/>
              </w:rPr>
              <w:t>2020</w:t>
            </w:r>
          </w:p>
        </w:tc>
        <w:tc>
          <w:tcPr>
            <w:tcW w:w="1176" w:type="dxa"/>
            <w:tcBorders>
              <w:top w:val="single" w:sz="8" w:space="0" w:color="auto"/>
              <w:left w:val="nil"/>
              <w:bottom w:val="nil"/>
              <w:right w:val="nil"/>
            </w:tcBorders>
            <w:shd w:val="clear" w:color="auto" w:fill="auto"/>
            <w:vAlign w:val="center"/>
            <w:hideMark/>
          </w:tcPr>
          <w:p w14:paraId="24C972D2" w14:textId="1409DD0D" w:rsidR="001D6920" w:rsidRPr="00EE0850" w:rsidRDefault="001D6920" w:rsidP="001D6920">
            <w:pPr>
              <w:spacing w:after="0" w:line="240" w:lineRule="auto"/>
              <w:jc w:val="center"/>
              <w:rPr>
                <w:bCs/>
                <w:i/>
                <w:color w:val="000000"/>
                <w:kern w:val="22"/>
                <w:sz w:val="16"/>
                <w:szCs w:val="16"/>
                <w:lang w:eastAsia="en-CA"/>
              </w:rPr>
            </w:pPr>
            <w:r w:rsidRPr="00E02578">
              <w:rPr>
                <w:bCs/>
                <w:i/>
                <w:color w:val="000000"/>
                <w:kern w:val="22"/>
                <w:sz w:val="16"/>
                <w:szCs w:val="16"/>
                <w:lang w:val="fr-CA" w:eastAsia="en-CA"/>
              </w:rPr>
              <w:t>Total</w:t>
            </w:r>
          </w:p>
        </w:tc>
      </w:tr>
      <w:tr w:rsidR="001D6920" w:rsidRPr="00AB4311" w14:paraId="3854B900" w14:textId="77777777" w:rsidTr="001D6920">
        <w:trPr>
          <w:trHeight w:val="261"/>
          <w:jc w:val="center"/>
        </w:trPr>
        <w:tc>
          <w:tcPr>
            <w:tcW w:w="450" w:type="dxa"/>
            <w:tcBorders>
              <w:top w:val="nil"/>
              <w:left w:val="nil"/>
              <w:bottom w:val="nil"/>
              <w:right w:val="nil"/>
            </w:tcBorders>
            <w:shd w:val="clear" w:color="auto" w:fill="auto"/>
            <w:noWrap/>
            <w:vAlign w:val="center"/>
            <w:hideMark/>
          </w:tcPr>
          <w:p w14:paraId="3253CD38" w14:textId="77777777" w:rsidR="001D6920" w:rsidRPr="00EE0850" w:rsidRDefault="001D6920" w:rsidP="001D6920">
            <w:pPr>
              <w:spacing w:after="0" w:line="240" w:lineRule="auto"/>
              <w:jc w:val="right"/>
              <w:rPr>
                <w:color w:val="000000"/>
                <w:kern w:val="22"/>
                <w:sz w:val="17"/>
                <w:szCs w:val="17"/>
                <w:lang w:eastAsia="en-CA"/>
              </w:rPr>
            </w:pPr>
          </w:p>
        </w:tc>
        <w:tc>
          <w:tcPr>
            <w:tcW w:w="5988" w:type="dxa"/>
            <w:gridSpan w:val="2"/>
            <w:vMerge/>
            <w:tcBorders>
              <w:top w:val="nil"/>
              <w:left w:val="nil"/>
              <w:bottom w:val="nil"/>
              <w:right w:val="nil"/>
            </w:tcBorders>
            <w:vAlign w:val="center"/>
            <w:hideMark/>
          </w:tcPr>
          <w:p w14:paraId="53F4BBD4" w14:textId="77777777" w:rsidR="001D6920" w:rsidRPr="00EE0850" w:rsidRDefault="001D6920" w:rsidP="001D6920">
            <w:pPr>
              <w:spacing w:after="0" w:line="240" w:lineRule="auto"/>
              <w:rPr>
                <w:bCs/>
                <w:i/>
                <w:color w:val="000000"/>
                <w:kern w:val="22"/>
                <w:sz w:val="16"/>
                <w:szCs w:val="16"/>
                <w:lang w:eastAsia="en-CA"/>
              </w:rPr>
            </w:pPr>
          </w:p>
        </w:tc>
        <w:tc>
          <w:tcPr>
            <w:tcW w:w="3528" w:type="dxa"/>
            <w:gridSpan w:val="3"/>
            <w:tcBorders>
              <w:top w:val="nil"/>
              <w:left w:val="nil"/>
              <w:bottom w:val="nil"/>
              <w:right w:val="nil"/>
            </w:tcBorders>
            <w:shd w:val="clear" w:color="auto" w:fill="auto"/>
            <w:vAlign w:val="center"/>
            <w:hideMark/>
          </w:tcPr>
          <w:p w14:paraId="6ED68FBA" w14:textId="06258458" w:rsidR="001D6920" w:rsidRPr="001D6920" w:rsidRDefault="001D6920" w:rsidP="001D6920">
            <w:pPr>
              <w:spacing w:after="0" w:line="240" w:lineRule="auto"/>
              <w:jc w:val="center"/>
              <w:rPr>
                <w:i/>
                <w:iCs/>
                <w:color w:val="000000"/>
                <w:kern w:val="22"/>
                <w:sz w:val="16"/>
                <w:szCs w:val="16"/>
                <w:lang w:val="fr-CA" w:eastAsia="en-CA"/>
              </w:rPr>
            </w:pPr>
            <w:r w:rsidRPr="00E02578">
              <w:rPr>
                <w:i/>
                <w:iCs/>
                <w:color w:val="000000"/>
                <w:kern w:val="22"/>
                <w:sz w:val="16"/>
                <w:szCs w:val="16"/>
                <w:lang w:val="fr-CA" w:eastAsia="en-CA"/>
              </w:rPr>
              <w:t>(milliers de dollars É.-U.)</w:t>
            </w:r>
          </w:p>
        </w:tc>
      </w:tr>
      <w:tr w:rsidR="00DE347C" w:rsidRPr="00AB4311" w14:paraId="44BE8B5B" w14:textId="77777777" w:rsidTr="001D6920">
        <w:trPr>
          <w:trHeight w:val="48"/>
          <w:jc w:val="center"/>
        </w:trPr>
        <w:tc>
          <w:tcPr>
            <w:tcW w:w="450" w:type="dxa"/>
            <w:tcBorders>
              <w:top w:val="nil"/>
              <w:left w:val="nil"/>
              <w:bottom w:val="nil"/>
              <w:right w:val="nil"/>
            </w:tcBorders>
            <w:shd w:val="clear" w:color="auto" w:fill="auto"/>
            <w:noWrap/>
            <w:vAlign w:val="center"/>
            <w:hideMark/>
          </w:tcPr>
          <w:p w14:paraId="2549F42B" w14:textId="77777777" w:rsidR="00DE347C" w:rsidRPr="001D6920" w:rsidRDefault="00DE347C" w:rsidP="000C6220">
            <w:pPr>
              <w:spacing w:after="0" w:line="240" w:lineRule="auto"/>
              <w:jc w:val="right"/>
              <w:rPr>
                <w:color w:val="000000"/>
                <w:kern w:val="22"/>
                <w:sz w:val="17"/>
                <w:szCs w:val="17"/>
                <w:lang w:val="fr-CA" w:eastAsia="en-CA"/>
              </w:rPr>
            </w:pPr>
          </w:p>
        </w:tc>
        <w:tc>
          <w:tcPr>
            <w:tcW w:w="5988" w:type="dxa"/>
            <w:gridSpan w:val="2"/>
            <w:vMerge/>
            <w:tcBorders>
              <w:top w:val="nil"/>
              <w:left w:val="nil"/>
              <w:bottom w:val="nil"/>
              <w:right w:val="nil"/>
            </w:tcBorders>
            <w:vAlign w:val="center"/>
            <w:hideMark/>
          </w:tcPr>
          <w:p w14:paraId="2128CDD2" w14:textId="77777777" w:rsidR="00DE347C" w:rsidRPr="001D6920" w:rsidRDefault="00DE347C" w:rsidP="000C6220">
            <w:pPr>
              <w:spacing w:after="0" w:line="240" w:lineRule="auto"/>
              <w:rPr>
                <w:b/>
                <w:bCs/>
                <w:color w:val="000000"/>
                <w:kern w:val="22"/>
                <w:sz w:val="16"/>
                <w:szCs w:val="16"/>
                <w:lang w:val="fr-CA" w:eastAsia="en-CA"/>
              </w:rPr>
            </w:pPr>
          </w:p>
        </w:tc>
        <w:tc>
          <w:tcPr>
            <w:tcW w:w="1176" w:type="dxa"/>
            <w:tcBorders>
              <w:top w:val="nil"/>
              <w:left w:val="nil"/>
              <w:bottom w:val="single" w:sz="8" w:space="0" w:color="auto"/>
              <w:right w:val="nil"/>
            </w:tcBorders>
            <w:shd w:val="clear" w:color="auto" w:fill="auto"/>
            <w:vAlign w:val="center"/>
            <w:hideMark/>
          </w:tcPr>
          <w:p w14:paraId="356CAD9B" w14:textId="77777777" w:rsidR="00DE347C" w:rsidRPr="001D6920" w:rsidRDefault="00DE347C" w:rsidP="000C6220">
            <w:pPr>
              <w:spacing w:after="0" w:line="240" w:lineRule="auto"/>
              <w:jc w:val="center"/>
              <w:rPr>
                <w:b/>
                <w:bCs/>
                <w:color w:val="000000"/>
                <w:kern w:val="22"/>
                <w:sz w:val="16"/>
                <w:szCs w:val="16"/>
                <w:lang w:val="fr-CA" w:eastAsia="en-CA"/>
              </w:rPr>
            </w:pPr>
          </w:p>
        </w:tc>
        <w:tc>
          <w:tcPr>
            <w:tcW w:w="1176" w:type="dxa"/>
            <w:tcBorders>
              <w:top w:val="nil"/>
              <w:left w:val="nil"/>
              <w:bottom w:val="single" w:sz="8" w:space="0" w:color="auto"/>
              <w:right w:val="nil"/>
            </w:tcBorders>
            <w:shd w:val="clear" w:color="auto" w:fill="auto"/>
            <w:vAlign w:val="center"/>
            <w:hideMark/>
          </w:tcPr>
          <w:p w14:paraId="254CF59E" w14:textId="77777777" w:rsidR="00DE347C" w:rsidRPr="001D6920" w:rsidRDefault="00DE347C" w:rsidP="000C6220">
            <w:pPr>
              <w:spacing w:after="0" w:line="240" w:lineRule="auto"/>
              <w:jc w:val="center"/>
              <w:rPr>
                <w:b/>
                <w:bCs/>
                <w:color w:val="000000"/>
                <w:kern w:val="22"/>
                <w:sz w:val="16"/>
                <w:szCs w:val="16"/>
                <w:lang w:val="fr-CA" w:eastAsia="en-CA"/>
              </w:rPr>
            </w:pPr>
          </w:p>
        </w:tc>
        <w:tc>
          <w:tcPr>
            <w:tcW w:w="1176" w:type="dxa"/>
            <w:tcBorders>
              <w:top w:val="nil"/>
              <w:left w:val="nil"/>
              <w:bottom w:val="single" w:sz="8" w:space="0" w:color="auto"/>
              <w:right w:val="nil"/>
            </w:tcBorders>
            <w:shd w:val="clear" w:color="auto" w:fill="auto"/>
            <w:vAlign w:val="center"/>
            <w:hideMark/>
          </w:tcPr>
          <w:p w14:paraId="14776DDE" w14:textId="77777777" w:rsidR="00DE347C" w:rsidRPr="001D6920" w:rsidRDefault="00DE347C" w:rsidP="000C6220">
            <w:pPr>
              <w:spacing w:after="0" w:line="240" w:lineRule="auto"/>
              <w:jc w:val="center"/>
              <w:rPr>
                <w:b/>
                <w:bCs/>
                <w:color w:val="000000"/>
                <w:kern w:val="22"/>
                <w:sz w:val="16"/>
                <w:szCs w:val="16"/>
                <w:lang w:val="fr-CA" w:eastAsia="en-CA"/>
              </w:rPr>
            </w:pPr>
          </w:p>
        </w:tc>
      </w:tr>
      <w:tr w:rsidR="001D6920" w:rsidRPr="00EE0850" w14:paraId="18BB687B" w14:textId="77777777" w:rsidTr="001D6920">
        <w:trPr>
          <w:trHeight w:val="261"/>
          <w:jc w:val="center"/>
        </w:trPr>
        <w:tc>
          <w:tcPr>
            <w:tcW w:w="450" w:type="dxa"/>
            <w:tcBorders>
              <w:top w:val="nil"/>
              <w:left w:val="nil"/>
              <w:bottom w:val="nil"/>
              <w:right w:val="nil"/>
            </w:tcBorders>
            <w:shd w:val="clear" w:color="auto" w:fill="auto"/>
            <w:noWrap/>
            <w:vAlign w:val="center"/>
          </w:tcPr>
          <w:p w14:paraId="5CF4F441" w14:textId="77777777" w:rsidR="001D6920" w:rsidRPr="001D6920" w:rsidRDefault="001D6920" w:rsidP="001D6920">
            <w:pPr>
              <w:spacing w:after="0" w:line="240" w:lineRule="auto"/>
              <w:jc w:val="right"/>
              <w:rPr>
                <w:color w:val="000000"/>
                <w:kern w:val="22"/>
                <w:sz w:val="17"/>
                <w:szCs w:val="17"/>
                <w:lang w:val="fr-CA" w:eastAsia="en-CA"/>
              </w:rPr>
            </w:pPr>
          </w:p>
        </w:tc>
        <w:tc>
          <w:tcPr>
            <w:tcW w:w="5988" w:type="dxa"/>
            <w:gridSpan w:val="2"/>
            <w:tcBorders>
              <w:top w:val="single" w:sz="8" w:space="0" w:color="auto"/>
              <w:left w:val="nil"/>
              <w:bottom w:val="nil"/>
              <w:right w:val="nil"/>
            </w:tcBorders>
            <w:shd w:val="clear" w:color="auto" w:fill="auto"/>
            <w:vAlign w:val="center"/>
            <w:hideMark/>
          </w:tcPr>
          <w:p w14:paraId="3C4B456B" w14:textId="796216E3" w:rsidR="001D6920" w:rsidRPr="00EE0850" w:rsidRDefault="001D6920" w:rsidP="001D6920">
            <w:pPr>
              <w:spacing w:after="0" w:line="240" w:lineRule="auto"/>
              <w:rPr>
                <w:color w:val="000000"/>
                <w:kern w:val="22"/>
                <w:sz w:val="17"/>
                <w:szCs w:val="17"/>
                <w:lang w:eastAsia="en-CA"/>
              </w:rPr>
            </w:pPr>
            <w:r w:rsidRPr="00E02578">
              <w:rPr>
                <w:color w:val="000000"/>
                <w:kern w:val="22"/>
                <w:sz w:val="17"/>
                <w:szCs w:val="17"/>
                <w:lang w:val="fr-CA" w:eastAsia="en-CA"/>
              </w:rPr>
              <w:t xml:space="preserve">A. </w:t>
            </w:r>
            <w:r>
              <w:rPr>
                <w:color w:val="000000"/>
                <w:kern w:val="22"/>
                <w:sz w:val="17"/>
                <w:szCs w:val="17"/>
                <w:lang w:val="fr-CA" w:eastAsia="en-CA"/>
              </w:rPr>
              <w:t>Dépenses de personnel</w:t>
            </w:r>
          </w:p>
        </w:tc>
        <w:tc>
          <w:tcPr>
            <w:tcW w:w="1176" w:type="dxa"/>
            <w:tcBorders>
              <w:top w:val="nil"/>
              <w:left w:val="nil"/>
              <w:bottom w:val="nil"/>
              <w:right w:val="nil"/>
            </w:tcBorders>
            <w:shd w:val="clear" w:color="auto" w:fill="auto"/>
            <w:vAlign w:val="center"/>
            <w:hideMark/>
          </w:tcPr>
          <w:p w14:paraId="2EB2F19D" w14:textId="15F37457"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11 453</w:t>
            </w:r>
            <w:r>
              <w:rPr>
                <w:color w:val="000000"/>
                <w:kern w:val="22"/>
                <w:sz w:val="17"/>
                <w:szCs w:val="17"/>
                <w:lang w:val="fr-CA" w:eastAsia="en-CA"/>
              </w:rPr>
              <w:t>,</w:t>
            </w:r>
            <w:r w:rsidRPr="00E02578">
              <w:rPr>
                <w:color w:val="000000"/>
                <w:kern w:val="22"/>
                <w:sz w:val="17"/>
                <w:szCs w:val="17"/>
                <w:lang w:val="fr-CA" w:eastAsia="en-CA"/>
              </w:rPr>
              <w:t>9</w:t>
            </w:r>
          </w:p>
        </w:tc>
        <w:tc>
          <w:tcPr>
            <w:tcW w:w="1176" w:type="dxa"/>
            <w:tcBorders>
              <w:top w:val="nil"/>
              <w:left w:val="nil"/>
              <w:bottom w:val="nil"/>
              <w:right w:val="nil"/>
            </w:tcBorders>
            <w:shd w:val="clear" w:color="auto" w:fill="auto"/>
            <w:vAlign w:val="center"/>
            <w:hideMark/>
          </w:tcPr>
          <w:p w14:paraId="21EBE26A" w14:textId="4CC2B776"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11 626</w:t>
            </w:r>
            <w:r>
              <w:rPr>
                <w:color w:val="000000"/>
                <w:kern w:val="22"/>
                <w:sz w:val="17"/>
                <w:szCs w:val="17"/>
                <w:lang w:val="fr-CA" w:eastAsia="en-CA"/>
              </w:rPr>
              <w:t>,</w:t>
            </w:r>
            <w:r w:rsidRPr="00E02578">
              <w:rPr>
                <w:color w:val="000000"/>
                <w:kern w:val="22"/>
                <w:sz w:val="17"/>
                <w:szCs w:val="17"/>
                <w:lang w:val="fr-CA" w:eastAsia="en-CA"/>
              </w:rPr>
              <w:t>6</w:t>
            </w:r>
          </w:p>
        </w:tc>
        <w:tc>
          <w:tcPr>
            <w:tcW w:w="1176" w:type="dxa"/>
            <w:tcBorders>
              <w:top w:val="nil"/>
              <w:left w:val="nil"/>
              <w:bottom w:val="nil"/>
              <w:right w:val="nil"/>
            </w:tcBorders>
            <w:shd w:val="clear" w:color="auto" w:fill="auto"/>
            <w:vAlign w:val="center"/>
            <w:hideMark/>
          </w:tcPr>
          <w:p w14:paraId="7159AFD5" w14:textId="0C9CE63B"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23 080</w:t>
            </w:r>
            <w:r>
              <w:rPr>
                <w:color w:val="000000"/>
                <w:kern w:val="22"/>
                <w:sz w:val="17"/>
                <w:szCs w:val="17"/>
                <w:lang w:val="fr-CA" w:eastAsia="en-CA"/>
              </w:rPr>
              <w:t>,</w:t>
            </w:r>
            <w:r w:rsidRPr="00E02578">
              <w:rPr>
                <w:color w:val="000000"/>
                <w:kern w:val="22"/>
                <w:sz w:val="17"/>
                <w:szCs w:val="17"/>
                <w:lang w:val="fr-CA" w:eastAsia="en-CA"/>
              </w:rPr>
              <w:t>5</w:t>
            </w:r>
          </w:p>
        </w:tc>
      </w:tr>
      <w:tr w:rsidR="001D6920" w:rsidRPr="00EE0850" w14:paraId="05C17120" w14:textId="77777777" w:rsidTr="001D6920">
        <w:trPr>
          <w:trHeight w:val="261"/>
          <w:jc w:val="center"/>
        </w:trPr>
        <w:tc>
          <w:tcPr>
            <w:tcW w:w="450" w:type="dxa"/>
            <w:tcBorders>
              <w:top w:val="nil"/>
              <w:left w:val="nil"/>
              <w:bottom w:val="nil"/>
              <w:right w:val="nil"/>
            </w:tcBorders>
            <w:shd w:val="clear" w:color="auto" w:fill="auto"/>
            <w:noWrap/>
            <w:vAlign w:val="center"/>
          </w:tcPr>
          <w:p w14:paraId="68A3F1F3" w14:textId="77777777" w:rsidR="001D6920" w:rsidRPr="00EE0850" w:rsidRDefault="001D6920" w:rsidP="001D6920">
            <w:pPr>
              <w:spacing w:after="0" w:line="240" w:lineRule="auto"/>
              <w:jc w:val="right"/>
              <w:rPr>
                <w:color w:val="000000"/>
                <w:kern w:val="22"/>
                <w:sz w:val="17"/>
                <w:szCs w:val="17"/>
                <w:lang w:eastAsia="en-CA"/>
              </w:rPr>
            </w:pPr>
          </w:p>
        </w:tc>
        <w:tc>
          <w:tcPr>
            <w:tcW w:w="5988" w:type="dxa"/>
            <w:gridSpan w:val="2"/>
            <w:tcBorders>
              <w:top w:val="nil"/>
              <w:left w:val="nil"/>
              <w:bottom w:val="nil"/>
              <w:right w:val="nil"/>
            </w:tcBorders>
            <w:shd w:val="clear" w:color="auto" w:fill="auto"/>
            <w:vAlign w:val="center"/>
            <w:hideMark/>
          </w:tcPr>
          <w:p w14:paraId="7485EB1D" w14:textId="7C6C0994" w:rsidR="001D6920" w:rsidRPr="00EE0850" w:rsidRDefault="001D6920" w:rsidP="001D6920">
            <w:pPr>
              <w:spacing w:after="0" w:line="240" w:lineRule="auto"/>
              <w:rPr>
                <w:color w:val="000000"/>
                <w:kern w:val="22"/>
                <w:sz w:val="17"/>
                <w:szCs w:val="17"/>
                <w:lang w:eastAsia="en-CA"/>
              </w:rPr>
            </w:pPr>
            <w:r w:rsidRPr="00E02578">
              <w:rPr>
                <w:color w:val="000000"/>
                <w:kern w:val="22"/>
                <w:sz w:val="17"/>
                <w:szCs w:val="17"/>
                <w:lang w:val="fr-CA" w:eastAsia="en-CA"/>
              </w:rPr>
              <w:t xml:space="preserve">B. </w:t>
            </w:r>
            <w:r>
              <w:rPr>
                <w:color w:val="000000"/>
                <w:kern w:val="22"/>
                <w:sz w:val="17"/>
                <w:szCs w:val="17"/>
                <w:lang w:val="fr-CA" w:eastAsia="en-CA"/>
              </w:rPr>
              <w:t>Réunions du Bureau</w:t>
            </w:r>
          </w:p>
        </w:tc>
        <w:tc>
          <w:tcPr>
            <w:tcW w:w="1176" w:type="dxa"/>
            <w:tcBorders>
              <w:top w:val="nil"/>
              <w:left w:val="nil"/>
              <w:bottom w:val="nil"/>
              <w:right w:val="nil"/>
            </w:tcBorders>
            <w:shd w:val="clear" w:color="auto" w:fill="auto"/>
            <w:vAlign w:val="center"/>
            <w:hideMark/>
          </w:tcPr>
          <w:p w14:paraId="5099B0B2" w14:textId="5A8CA0ED"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150</w:t>
            </w:r>
            <w:r>
              <w:rPr>
                <w:color w:val="000000"/>
                <w:kern w:val="22"/>
                <w:sz w:val="17"/>
                <w:szCs w:val="17"/>
                <w:lang w:val="fr-CA" w:eastAsia="en-CA"/>
              </w:rPr>
              <w:t>,</w:t>
            </w:r>
            <w:r w:rsidRPr="00E02578">
              <w:rPr>
                <w:color w:val="000000"/>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331C6B91" w14:textId="749B8C09"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215</w:t>
            </w:r>
            <w:r>
              <w:rPr>
                <w:color w:val="000000"/>
                <w:kern w:val="22"/>
                <w:sz w:val="17"/>
                <w:szCs w:val="17"/>
                <w:lang w:val="fr-CA" w:eastAsia="en-CA"/>
              </w:rPr>
              <w:t>,</w:t>
            </w:r>
            <w:r w:rsidRPr="00E02578">
              <w:rPr>
                <w:color w:val="000000"/>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6457576A" w14:textId="69EB4A8F"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365</w:t>
            </w:r>
            <w:r>
              <w:rPr>
                <w:color w:val="000000"/>
                <w:kern w:val="22"/>
                <w:sz w:val="17"/>
                <w:szCs w:val="17"/>
                <w:lang w:val="fr-CA" w:eastAsia="en-CA"/>
              </w:rPr>
              <w:t>,</w:t>
            </w:r>
            <w:r w:rsidRPr="00E02578">
              <w:rPr>
                <w:color w:val="000000"/>
                <w:kern w:val="22"/>
                <w:sz w:val="17"/>
                <w:szCs w:val="17"/>
                <w:lang w:val="fr-CA" w:eastAsia="en-CA"/>
              </w:rPr>
              <w:t>0</w:t>
            </w:r>
          </w:p>
        </w:tc>
      </w:tr>
      <w:tr w:rsidR="001D6920" w:rsidRPr="00EE0850" w14:paraId="03CC1539" w14:textId="77777777" w:rsidTr="001D6920">
        <w:trPr>
          <w:trHeight w:val="261"/>
          <w:jc w:val="center"/>
        </w:trPr>
        <w:tc>
          <w:tcPr>
            <w:tcW w:w="450" w:type="dxa"/>
            <w:tcBorders>
              <w:top w:val="nil"/>
              <w:left w:val="nil"/>
              <w:bottom w:val="nil"/>
              <w:right w:val="nil"/>
            </w:tcBorders>
            <w:shd w:val="clear" w:color="auto" w:fill="auto"/>
            <w:noWrap/>
            <w:vAlign w:val="center"/>
          </w:tcPr>
          <w:p w14:paraId="691D9683" w14:textId="77777777" w:rsidR="001D6920" w:rsidRPr="00EE0850" w:rsidRDefault="001D6920" w:rsidP="001D6920">
            <w:pPr>
              <w:spacing w:after="0" w:line="240" w:lineRule="auto"/>
              <w:jc w:val="right"/>
              <w:rPr>
                <w:color w:val="000000"/>
                <w:kern w:val="22"/>
                <w:sz w:val="17"/>
                <w:szCs w:val="17"/>
                <w:lang w:eastAsia="en-CA"/>
              </w:rPr>
            </w:pPr>
          </w:p>
        </w:tc>
        <w:tc>
          <w:tcPr>
            <w:tcW w:w="5988" w:type="dxa"/>
            <w:gridSpan w:val="2"/>
            <w:tcBorders>
              <w:top w:val="nil"/>
              <w:left w:val="nil"/>
              <w:bottom w:val="nil"/>
              <w:right w:val="nil"/>
            </w:tcBorders>
            <w:shd w:val="clear" w:color="auto" w:fill="auto"/>
            <w:vAlign w:val="center"/>
            <w:hideMark/>
          </w:tcPr>
          <w:p w14:paraId="2F242124" w14:textId="278162C4" w:rsidR="001D6920" w:rsidRPr="00EE0850" w:rsidRDefault="001D6920" w:rsidP="001D6920">
            <w:pPr>
              <w:spacing w:after="0" w:line="240" w:lineRule="auto"/>
              <w:rPr>
                <w:color w:val="000000"/>
                <w:kern w:val="22"/>
                <w:sz w:val="17"/>
                <w:szCs w:val="17"/>
                <w:lang w:eastAsia="en-CA"/>
              </w:rPr>
            </w:pPr>
            <w:r w:rsidRPr="00E02578">
              <w:rPr>
                <w:color w:val="000000"/>
                <w:kern w:val="22"/>
                <w:sz w:val="17"/>
                <w:szCs w:val="17"/>
                <w:lang w:val="fr-CA" w:eastAsia="en-CA"/>
              </w:rPr>
              <w:t xml:space="preserve">C. </w:t>
            </w:r>
            <w:r>
              <w:rPr>
                <w:color w:val="000000"/>
                <w:kern w:val="22"/>
                <w:sz w:val="17"/>
                <w:szCs w:val="17"/>
                <w:lang w:val="fr-CA" w:eastAsia="en-CA"/>
              </w:rPr>
              <w:t>Voyages en mission</w:t>
            </w:r>
          </w:p>
        </w:tc>
        <w:tc>
          <w:tcPr>
            <w:tcW w:w="1176" w:type="dxa"/>
            <w:tcBorders>
              <w:top w:val="nil"/>
              <w:left w:val="nil"/>
              <w:bottom w:val="nil"/>
              <w:right w:val="nil"/>
            </w:tcBorders>
            <w:shd w:val="clear" w:color="auto" w:fill="auto"/>
            <w:vAlign w:val="center"/>
            <w:hideMark/>
          </w:tcPr>
          <w:p w14:paraId="18183E18" w14:textId="6258BD5F"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400</w:t>
            </w:r>
            <w:r>
              <w:rPr>
                <w:color w:val="000000"/>
                <w:kern w:val="22"/>
                <w:sz w:val="17"/>
                <w:szCs w:val="17"/>
                <w:lang w:val="fr-CA" w:eastAsia="en-CA"/>
              </w:rPr>
              <w:t>,</w:t>
            </w:r>
            <w:r w:rsidRPr="00E02578">
              <w:rPr>
                <w:color w:val="000000"/>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7512D44A" w14:textId="3B9DC100"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400</w:t>
            </w:r>
            <w:r>
              <w:rPr>
                <w:color w:val="000000"/>
                <w:kern w:val="22"/>
                <w:sz w:val="17"/>
                <w:szCs w:val="17"/>
                <w:lang w:val="fr-CA" w:eastAsia="en-CA"/>
              </w:rPr>
              <w:t>,</w:t>
            </w:r>
            <w:r w:rsidRPr="00E02578">
              <w:rPr>
                <w:color w:val="000000"/>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6E671636" w14:textId="1B537FA9"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800</w:t>
            </w:r>
            <w:r>
              <w:rPr>
                <w:color w:val="000000"/>
                <w:kern w:val="22"/>
                <w:sz w:val="17"/>
                <w:szCs w:val="17"/>
                <w:lang w:val="fr-CA" w:eastAsia="en-CA"/>
              </w:rPr>
              <w:t>,</w:t>
            </w:r>
            <w:r w:rsidRPr="00E02578">
              <w:rPr>
                <w:color w:val="000000"/>
                <w:kern w:val="22"/>
                <w:sz w:val="17"/>
                <w:szCs w:val="17"/>
                <w:lang w:val="fr-CA" w:eastAsia="en-CA"/>
              </w:rPr>
              <w:t>0</w:t>
            </w:r>
          </w:p>
        </w:tc>
      </w:tr>
      <w:tr w:rsidR="001D6920" w:rsidRPr="00EE0850" w14:paraId="689C8C64" w14:textId="77777777" w:rsidTr="001D6920">
        <w:trPr>
          <w:trHeight w:val="261"/>
          <w:jc w:val="center"/>
        </w:trPr>
        <w:tc>
          <w:tcPr>
            <w:tcW w:w="450" w:type="dxa"/>
            <w:tcBorders>
              <w:top w:val="nil"/>
              <w:left w:val="nil"/>
              <w:bottom w:val="nil"/>
              <w:right w:val="nil"/>
            </w:tcBorders>
            <w:shd w:val="clear" w:color="auto" w:fill="auto"/>
            <w:noWrap/>
            <w:vAlign w:val="center"/>
          </w:tcPr>
          <w:p w14:paraId="4756EC12" w14:textId="77777777" w:rsidR="001D6920" w:rsidRPr="00EE0850" w:rsidRDefault="001D6920" w:rsidP="001D6920">
            <w:pPr>
              <w:spacing w:after="0" w:line="240" w:lineRule="auto"/>
              <w:jc w:val="right"/>
              <w:rPr>
                <w:color w:val="000000"/>
                <w:kern w:val="22"/>
                <w:sz w:val="17"/>
                <w:szCs w:val="17"/>
                <w:lang w:eastAsia="en-CA"/>
              </w:rPr>
            </w:pPr>
          </w:p>
        </w:tc>
        <w:tc>
          <w:tcPr>
            <w:tcW w:w="5988" w:type="dxa"/>
            <w:gridSpan w:val="2"/>
            <w:tcBorders>
              <w:top w:val="nil"/>
              <w:left w:val="nil"/>
              <w:bottom w:val="nil"/>
              <w:right w:val="nil"/>
            </w:tcBorders>
            <w:shd w:val="clear" w:color="auto" w:fill="auto"/>
            <w:vAlign w:val="center"/>
            <w:hideMark/>
          </w:tcPr>
          <w:p w14:paraId="6CAB4980" w14:textId="77BB3B9A" w:rsidR="001D6920" w:rsidRPr="00EE0850" w:rsidRDefault="001D6920" w:rsidP="001D6920">
            <w:pPr>
              <w:spacing w:after="0" w:line="240" w:lineRule="auto"/>
              <w:rPr>
                <w:kern w:val="22"/>
                <w:sz w:val="17"/>
                <w:szCs w:val="17"/>
                <w:lang w:eastAsia="en-CA"/>
              </w:rPr>
            </w:pPr>
            <w:r w:rsidRPr="00E02578">
              <w:rPr>
                <w:kern w:val="22"/>
                <w:sz w:val="17"/>
                <w:szCs w:val="17"/>
                <w:lang w:val="fr-CA" w:eastAsia="en-CA"/>
              </w:rPr>
              <w:t xml:space="preserve">D. </w:t>
            </w:r>
            <w:r>
              <w:rPr>
                <w:kern w:val="22"/>
                <w:sz w:val="17"/>
                <w:szCs w:val="17"/>
                <w:lang w:val="fr-CA" w:eastAsia="en-CA"/>
              </w:rPr>
              <w:t>Consultants/sous-traitance</w:t>
            </w:r>
          </w:p>
        </w:tc>
        <w:tc>
          <w:tcPr>
            <w:tcW w:w="1176" w:type="dxa"/>
            <w:tcBorders>
              <w:top w:val="nil"/>
              <w:left w:val="nil"/>
              <w:bottom w:val="nil"/>
              <w:right w:val="nil"/>
            </w:tcBorders>
            <w:shd w:val="clear" w:color="auto" w:fill="auto"/>
            <w:vAlign w:val="center"/>
            <w:hideMark/>
          </w:tcPr>
          <w:p w14:paraId="022FA0F9" w14:textId="135FDE6F" w:rsidR="001D6920" w:rsidRPr="00EE0850" w:rsidRDefault="001D6920" w:rsidP="001D6920">
            <w:pPr>
              <w:spacing w:after="0" w:line="240" w:lineRule="auto"/>
              <w:jc w:val="right"/>
              <w:rPr>
                <w:kern w:val="22"/>
                <w:sz w:val="17"/>
                <w:szCs w:val="17"/>
                <w:lang w:eastAsia="en-CA"/>
              </w:rPr>
            </w:pPr>
            <w:r w:rsidRPr="00E02578">
              <w:rPr>
                <w:kern w:val="22"/>
                <w:sz w:val="17"/>
                <w:szCs w:val="17"/>
                <w:lang w:val="fr-CA" w:eastAsia="en-CA"/>
              </w:rPr>
              <w:t>50</w:t>
            </w:r>
            <w:r>
              <w:rPr>
                <w:kern w:val="22"/>
                <w:sz w:val="17"/>
                <w:szCs w:val="17"/>
                <w:lang w:val="fr-CA" w:eastAsia="en-CA"/>
              </w:rPr>
              <w:t>,</w:t>
            </w:r>
            <w:r w:rsidRPr="00E02578">
              <w:rPr>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783F3277" w14:textId="70DE7F26" w:rsidR="001D6920" w:rsidRPr="00EE0850" w:rsidRDefault="001D6920" w:rsidP="001D6920">
            <w:pPr>
              <w:spacing w:after="0" w:line="240" w:lineRule="auto"/>
              <w:jc w:val="right"/>
              <w:rPr>
                <w:kern w:val="22"/>
                <w:sz w:val="17"/>
                <w:szCs w:val="17"/>
                <w:lang w:eastAsia="en-CA"/>
              </w:rPr>
            </w:pPr>
            <w:r w:rsidRPr="00E02578">
              <w:rPr>
                <w:kern w:val="22"/>
                <w:sz w:val="17"/>
                <w:szCs w:val="17"/>
                <w:lang w:val="fr-CA" w:eastAsia="en-CA"/>
              </w:rPr>
              <w:t>50</w:t>
            </w:r>
            <w:r>
              <w:rPr>
                <w:kern w:val="22"/>
                <w:sz w:val="17"/>
                <w:szCs w:val="17"/>
                <w:lang w:val="fr-CA" w:eastAsia="en-CA"/>
              </w:rPr>
              <w:t>,</w:t>
            </w:r>
            <w:r w:rsidRPr="00E02578">
              <w:rPr>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2B800069" w14:textId="57404782"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100</w:t>
            </w:r>
            <w:r>
              <w:rPr>
                <w:color w:val="000000"/>
                <w:kern w:val="22"/>
                <w:sz w:val="17"/>
                <w:szCs w:val="17"/>
                <w:lang w:val="fr-CA" w:eastAsia="en-CA"/>
              </w:rPr>
              <w:t>,</w:t>
            </w:r>
            <w:r w:rsidRPr="00E02578">
              <w:rPr>
                <w:color w:val="000000"/>
                <w:kern w:val="22"/>
                <w:sz w:val="17"/>
                <w:szCs w:val="17"/>
                <w:lang w:val="fr-CA" w:eastAsia="en-CA"/>
              </w:rPr>
              <w:t>0</w:t>
            </w:r>
          </w:p>
        </w:tc>
      </w:tr>
      <w:tr w:rsidR="001D6920" w:rsidRPr="00EE0850" w14:paraId="4E8939F4" w14:textId="77777777" w:rsidTr="001D6920">
        <w:trPr>
          <w:trHeight w:val="261"/>
          <w:jc w:val="center"/>
        </w:trPr>
        <w:tc>
          <w:tcPr>
            <w:tcW w:w="450" w:type="dxa"/>
            <w:tcBorders>
              <w:top w:val="nil"/>
              <w:left w:val="nil"/>
              <w:bottom w:val="nil"/>
              <w:right w:val="nil"/>
            </w:tcBorders>
            <w:shd w:val="clear" w:color="auto" w:fill="auto"/>
            <w:noWrap/>
            <w:vAlign w:val="center"/>
          </w:tcPr>
          <w:p w14:paraId="58C2C6C5" w14:textId="77777777" w:rsidR="001D6920" w:rsidRPr="00EE0850" w:rsidRDefault="001D6920" w:rsidP="001D6920">
            <w:pPr>
              <w:spacing w:after="0" w:line="240" w:lineRule="auto"/>
              <w:jc w:val="right"/>
              <w:rPr>
                <w:color w:val="000000"/>
                <w:kern w:val="22"/>
                <w:sz w:val="17"/>
                <w:szCs w:val="17"/>
                <w:lang w:eastAsia="en-CA"/>
              </w:rPr>
            </w:pPr>
          </w:p>
        </w:tc>
        <w:tc>
          <w:tcPr>
            <w:tcW w:w="5988" w:type="dxa"/>
            <w:gridSpan w:val="2"/>
            <w:tcBorders>
              <w:top w:val="nil"/>
              <w:left w:val="nil"/>
              <w:bottom w:val="nil"/>
              <w:right w:val="nil"/>
            </w:tcBorders>
            <w:shd w:val="clear" w:color="auto" w:fill="auto"/>
            <w:vAlign w:val="center"/>
            <w:hideMark/>
          </w:tcPr>
          <w:p w14:paraId="435069BA" w14:textId="3470F9C4" w:rsidR="001D6920" w:rsidRPr="001D6920" w:rsidRDefault="001D6920" w:rsidP="001D6920">
            <w:pPr>
              <w:spacing w:after="0" w:line="240" w:lineRule="auto"/>
              <w:rPr>
                <w:kern w:val="22"/>
                <w:sz w:val="17"/>
                <w:szCs w:val="17"/>
                <w:lang w:val="fr-CA" w:eastAsia="en-CA"/>
              </w:rPr>
            </w:pPr>
            <w:r w:rsidRPr="00E02578">
              <w:rPr>
                <w:kern w:val="22"/>
                <w:sz w:val="17"/>
                <w:szCs w:val="17"/>
                <w:lang w:val="fr-CA" w:eastAsia="en-CA"/>
              </w:rPr>
              <w:t xml:space="preserve">E. </w:t>
            </w:r>
            <w:r>
              <w:rPr>
                <w:kern w:val="22"/>
                <w:sz w:val="17"/>
                <w:szCs w:val="17"/>
                <w:lang w:val="fr-CA" w:eastAsia="en-CA"/>
              </w:rPr>
              <w:t>Matériel de sensibilisation du public/communication</w:t>
            </w:r>
          </w:p>
        </w:tc>
        <w:tc>
          <w:tcPr>
            <w:tcW w:w="1176" w:type="dxa"/>
            <w:tcBorders>
              <w:top w:val="nil"/>
              <w:left w:val="nil"/>
              <w:bottom w:val="nil"/>
              <w:right w:val="nil"/>
            </w:tcBorders>
            <w:shd w:val="clear" w:color="auto" w:fill="auto"/>
            <w:vAlign w:val="center"/>
            <w:hideMark/>
          </w:tcPr>
          <w:p w14:paraId="7EF4EF90" w14:textId="197D8C82" w:rsidR="001D6920" w:rsidRPr="00EE0850" w:rsidRDefault="001D6920" w:rsidP="001D6920">
            <w:pPr>
              <w:spacing w:after="0" w:line="240" w:lineRule="auto"/>
              <w:jc w:val="right"/>
              <w:rPr>
                <w:kern w:val="22"/>
                <w:sz w:val="17"/>
                <w:szCs w:val="17"/>
                <w:lang w:eastAsia="en-CA"/>
              </w:rPr>
            </w:pPr>
            <w:r w:rsidRPr="00E02578">
              <w:rPr>
                <w:kern w:val="22"/>
                <w:sz w:val="17"/>
                <w:szCs w:val="17"/>
                <w:lang w:val="fr-CA" w:eastAsia="en-CA"/>
              </w:rPr>
              <w:t>50</w:t>
            </w:r>
            <w:r>
              <w:rPr>
                <w:kern w:val="22"/>
                <w:sz w:val="17"/>
                <w:szCs w:val="17"/>
                <w:lang w:val="fr-CA" w:eastAsia="en-CA"/>
              </w:rPr>
              <w:t>,</w:t>
            </w:r>
            <w:r w:rsidRPr="00E02578">
              <w:rPr>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15977634" w14:textId="64BDEB82" w:rsidR="001D6920" w:rsidRPr="00EE0850" w:rsidRDefault="001D6920" w:rsidP="001D6920">
            <w:pPr>
              <w:spacing w:after="0" w:line="240" w:lineRule="auto"/>
              <w:jc w:val="right"/>
              <w:rPr>
                <w:kern w:val="22"/>
                <w:sz w:val="17"/>
                <w:szCs w:val="17"/>
                <w:lang w:eastAsia="en-CA"/>
              </w:rPr>
            </w:pPr>
            <w:r w:rsidRPr="00E02578">
              <w:rPr>
                <w:kern w:val="22"/>
                <w:sz w:val="17"/>
                <w:szCs w:val="17"/>
                <w:lang w:val="fr-CA" w:eastAsia="en-CA"/>
              </w:rPr>
              <w:t>50</w:t>
            </w:r>
            <w:r>
              <w:rPr>
                <w:kern w:val="22"/>
                <w:sz w:val="17"/>
                <w:szCs w:val="17"/>
                <w:lang w:val="fr-CA" w:eastAsia="en-CA"/>
              </w:rPr>
              <w:t>,</w:t>
            </w:r>
            <w:r w:rsidRPr="00E02578">
              <w:rPr>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6E9E6B59" w14:textId="6B0DDF03"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100</w:t>
            </w:r>
            <w:r>
              <w:rPr>
                <w:color w:val="000000"/>
                <w:kern w:val="22"/>
                <w:sz w:val="17"/>
                <w:szCs w:val="17"/>
                <w:lang w:val="fr-CA" w:eastAsia="en-CA"/>
              </w:rPr>
              <w:t>,</w:t>
            </w:r>
            <w:r w:rsidRPr="00E02578">
              <w:rPr>
                <w:color w:val="000000"/>
                <w:kern w:val="22"/>
                <w:sz w:val="17"/>
                <w:szCs w:val="17"/>
                <w:lang w:val="fr-CA" w:eastAsia="en-CA"/>
              </w:rPr>
              <w:t>0</w:t>
            </w:r>
          </w:p>
        </w:tc>
      </w:tr>
      <w:tr w:rsidR="001D6920" w:rsidRPr="00EE0850" w14:paraId="258FAAD3" w14:textId="77777777" w:rsidTr="001D6920">
        <w:trPr>
          <w:trHeight w:val="261"/>
          <w:jc w:val="center"/>
        </w:trPr>
        <w:tc>
          <w:tcPr>
            <w:tcW w:w="450" w:type="dxa"/>
            <w:tcBorders>
              <w:top w:val="nil"/>
              <w:left w:val="nil"/>
              <w:bottom w:val="nil"/>
              <w:right w:val="nil"/>
            </w:tcBorders>
            <w:shd w:val="clear" w:color="auto" w:fill="auto"/>
            <w:noWrap/>
            <w:vAlign w:val="center"/>
          </w:tcPr>
          <w:p w14:paraId="018132F7" w14:textId="77777777" w:rsidR="001D6920" w:rsidRPr="00EE0850" w:rsidRDefault="001D6920" w:rsidP="001D6920">
            <w:pPr>
              <w:spacing w:after="0" w:line="240" w:lineRule="auto"/>
              <w:jc w:val="right"/>
              <w:rPr>
                <w:color w:val="000000"/>
                <w:kern w:val="22"/>
                <w:sz w:val="17"/>
                <w:szCs w:val="17"/>
                <w:lang w:eastAsia="en-CA"/>
              </w:rPr>
            </w:pPr>
          </w:p>
        </w:tc>
        <w:tc>
          <w:tcPr>
            <w:tcW w:w="5988" w:type="dxa"/>
            <w:gridSpan w:val="2"/>
            <w:tcBorders>
              <w:top w:val="nil"/>
              <w:left w:val="nil"/>
              <w:bottom w:val="nil"/>
              <w:right w:val="nil"/>
            </w:tcBorders>
            <w:shd w:val="clear" w:color="auto" w:fill="auto"/>
            <w:vAlign w:val="center"/>
            <w:hideMark/>
          </w:tcPr>
          <w:p w14:paraId="548CE1BB" w14:textId="16AE79CC" w:rsidR="001D6920" w:rsidRPr="001D6920" w:rsidRDefault="001D6920" w:rsidP="001D6920">
            <w:pPr>
              <w:spacing w:after="0" w:line="240" w:lineRule="auto"/>
              <w:rPr>
                <w:color w:val="000000"/>
                <w:kern w:val="22"/>
                <w:sz w:val="17"/>
                <w:szCs w:val="17"/>
                <w:lang w:val="fr-CA" w:eastAsia="en-CA"/>
              </w:rPr>
            </w:pPr>
            <w:r w:rsidRPr="00E02578">
              <w:rPr>
                <w:color w:val="000000"/>
                <w:kern w:val="22"/>
                <w:sz w:val="17"/>
                <w:szCs w:val="17"/>
                <w:lang w:val="fr-CA" w:eastAsia="en-CA"/>
              </w:rPr>
              <w:t xml:space="preserve">F. </w:t>
            </w:r>
            <w:r>
              <w:rPr>
                <w:color w:val="000000"/>
                <w:kern w:val="22"/>
                <w:sz w:val="17"/>
                <w:szCs w:val="17"/>
                <w:lang w:val="fr-CA" w:eastAsia="en-CA"/>
              </w:rPr>
              <w:t>Assistance temporaire/heures supplémentaires</w:t>
            </w:r>
          </w:p>
        </w:tc>
        <w:tc>
          <w:tcPr>
            <w:tcW w:w="1176" w:type="dxa"/>
            <w:tcBorders>
              <w:top w:val="nil"/>
              <w:left w:val="nil"/>
              <w:bottom w:val="nil"/>
              <w:right w:val="nil"/>
            </w:tcBorders>
            <w:shd w:val="clear" w:color="auto" w:fill="auto"/>
            <w:vAlign w:val="center"/>
            <w:hideMark/>
          </w:tcPr>
          <w:p w14:paraId="3BBC9F06" w14:textId="4CEF6CB4"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100</w:t>
            </w:r>
            <w:r>
              <w:rPr>
                <w:color w:val="000000"/>
                <w:kern w:val="22"/>
                <w:sz w:val="17"/>
                <w:szCs w:val="17"/>
                <w:lang w:val="fr-CA" w:eastAsia="en-CA"/>
              </w:rPr>
              <w:t>,</w:t>
            </w:r>
            <w:r w:rsidRPr="00E02578">
              <w:rPr>
                <w:color w:val="000000"/>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4E2D712F" w14:textId="2362DBE8"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100</w:t>
            </w:r>
            <w:r>
              <w:rPr>
                <w:color w:val="000000"/>
                <w:kern w:val="22"/>
                <w:sz w:val="17"/>
                <w:szCs w:val="17"/>
                <w:lang w:val="fr-CA" w:eastAsia="en-CA"/>
              </w:rPr>
              <w:t>,</w:t>
            </w:r>
            <w:r w:rsidRPr="00E02578">
              <w:rPr>
                <w:color w:val="000000"/>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405C0745" w14:textId="31C0A23E"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200</w:t>
            </w:r>
            <w:r>
              <w:rPr>
                <w:color w:val="000000"/>
                <w:kern w:val="22"/>
                <w:sz w:val="17"/>
                <w:szCs w:val="17"/>
                <w:lang w:val="fr-CA" w:eastAsia="en-CA"/>
              </w:rPr>
              <w:t>,</w:t>
            </w:r>
            <w:r w:rsidRPr="00E02578">
              <w:rPr>
                <w:color w:val="000000"/>
                <w:kern w:val="22"/>
                <w:sz w:val="17"/>
                <w:szCs w:val="17"/>
                <w:lang w:val="fr-CA" w:eastAsia="en-CA"/>
              </w:rPr>
              <w:t>0</w:t>
            </w:r>
          </w:p>
        </w:tc>
      </w:tr>
      <w:tr w:rsidR="001D6920" w:rsidRPr="00EE0850" w14:paraId="0095BEB1" w14:textId="77777777" w:rsidTr="001D6920">
        <w:trPr>
          <w:trHeight w:val="261"/>
          <w:jc w:val="center"/>
        </w:trPr>
        <w:tc>
          <w:tcPr>
            <w:tcW w:w="450" w:type="dxa"/>
            <w:tcBorders>
              <w:top w:val="nil"/>
              <w:left w:val="nil"/>
              <w:bottom w:val="nil"/>
              <w:right w:val="nil"/>
            </w:tcBorders>
            <w:shd w:val="clear" w:color="auto" w:fill="auto"/>
            <w:noWrap/>
            <w:vAlign w:val="center"/>
          </w:tcPr>
          <w:p w14:paraId="13992271" w14:textId="77777777" w:rsidR="001D6920" w:rsidRPr="00EE0850" w:rsidRDefault="001D6920" w:rsidP="001D6920">
            <w:pPr>
              <w:spacing w:after="0" w:line="240" w:lineRule="auto"/>
              <w:jc w:val="right"/>
              <w:rPr>
                <w:color w:val="000000"/>
                <w:kern w:val="22"/>
                <w:sz w:val="17"/>
                <w:szCs w:val="17"/>
                <w:lang w:eastAsia="en-CA"/>
              </w:rPr>
            </w:pPr>
          </w:p>
        </w:tc>
        <w:tc>
          <w:tcPr>
            <w:tcW w:w="5988" w:type="dxa"/>
            <w:gridSpan w:val="2"/>
            <w:tcBorders>
              <w:top w:val="nil"/>
              <w:left w:val="nil"/>
              <w:bottom w:val="nil"/>
              <w:right w:val="nil"/>
            </w:tcBorders>
            <w:shd w:val="clear" w:color="auto" w:fill="auto"/>
            <w:vAlign w:val="center"/>
            <w:hideMark/>
          </w:tcPr>
          <w:p w14:paraId="74CB0EF5" w14:textId="600C7654" w:rsidR="001D6920" w:rsidRPr="00EE0850" w:rsidRDefault="001D6920" w:rsidP="001D6920">
            <w:pPr>
              <w:spacing w:after="0" w:line="240" w:lineRule="auto"/>
              <w:rPr>
                <w:color w:val="000000"/>
                <w:kern w:val="22"/>
                <w:sz w:val="17"/>
                <w:szCs w:val="17"/>
                <w:lang w:eastAsia="en-CA"/>
              </w:rPr>
            </w:pPr>
            <w:r w:rsidRPr="00E02578">
              <w:rPr>
                <w:color w:val="000000"/>
                <w:kern w:val="22"/>
                <w:sz w:val="17"/>
                <w:szCs w:val="17"/>
                <w:lang w:val="fr-CA" w:eastAsia="en-CA"/>
              </w:rPr>
              <w:t xml:space="preserve">G. </w:t>
            </w:r>
            <w:r>
              <w:rPr>
                <w:color w:val="000000"/>
                <w:kern w:val="22"/>
                <w:sz w:val="17"/>
                <w:szCs w:val="17"/>
                <w:lang w:val="fr-CA" w:eastAsia="en-CA"/>
              </w:rPr>
              <w:t>Formation</w:t>
            </w:r>
          </w:p>
        </w:tc>
        <w:tc>
          <w:tcPr>
            <w:tcW w:w="1176" w:type="dxa"/>
            <w:tcBorders>
              <w:top w:val="nil"/>
              <w:left w:val="nil"/>
              <w:bottom w:val="nil"/>
              <w:right w:val="nil"/>
            </w:tcBorders>
            <w:shd w:val="clear" w:color="auto" w:fill="auto"/>
            <w:vAlign w:val="center"/>
            <w:hideMark/>
          </w:tcPr>
          <w:p w14:paraId="2D09B8E7" w14:textId="62D5D419"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5</w:t>
            </w:r>
            <w:r>
              <w:rPr>
                <w:color w:val="000000"/>
                <w:kern w:val="22"/>
                <w:sz w:val="17"/>
                <w:szCs w:val="17"/>
                <w:lang w:val="fr-CA" w:eastAsia="en-CA"/>
              </w:rPr>
              <w:t>,</w:t>
            </w:r>
            <w:r w:rsidRPr="00E02578">
              <w:rPr>
                <w:color w:val="000000"/>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69073EF9" w14:textId="0B45AEDD"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5</w:t>
            </w:r>
            <w:r>
              <w:rPr>
                <w:color w:val="000000"/>
                <w:kern w:val="22"/>
                <w:sz w:val="17"/>
                <w:szCs w:val="17"/>
                <w:lang w:val="fr-CA" w:eastAsia="en-CA"/>
              </w:rPr>
              <w:t>,</w:t>
            </w:r>
            <w:r w:rsidRPr="00E02578">
              <w:rPr>
                <w:color w:val="000000"/>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5607B41E" w14:textId="68450FE0"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10</w:t>
            </w:r>
            <w:r>
              <w:rPr>
                <w:color w:val="000000"/>
                <w:kern w:val="22"/>
                <w:sz w:val="17"/>
                <w:szCs w:val="17"/>
                <w:lang w:val="fr-CA" w:eastAsia="en-CA"/>
              </w:rPr>
              <w:t>,</w:t>
            </w:r>
            <w:r w:rsidRPr="00E02578">
              <w:rPr>
                <w:color w:val="000000"/>
                <w:kern w:val="22"/>
                <w:sz w:val="17"/>
                <w:szCs w:val="17"/>
                <w:lang w:val="fr-CA" w:eastAsia="en-CA"/>
              </w:rPr>
              <w:t>0</w:t>
            </w:r>
          </w:p>
        </w:tc>
      </w:tr>
      <w:tr w:rsidR="001D6920" w:rsidRPr="00EE0850" w14:paraId="485AA1CE" w14:textId="77777777" w:rsidTr="001D6920">
        <w:trPr>
          <w:trHeight w:val="261"/>
          <w:jc w:val="center"/>
        </w:trPr>
        <w:tc>
          <w:tcPr>
            <w:tcW w:w="450" w:type="dxa"/>
            <w:tcBorders>
              <w:top w:val="nil"/>
              <w:left w:val="nil"/>
              <w:bottom w:val="nil"/>
              <w:right w:val="nil"/>
            </w:tcBorders>
            <w:shd w:val="clear" w:color="auto" w:fill="auto"/>
            <w:noWrap/>
            <w:vAlign w:val="center"/>
          </w:tcPr>
          <w:p w14:paraId="0BC12CF9" w14:textId="77777777" w:rsidR="001D6920" w:rsidRPr="00EE0850" w:rsidRDefault="001D6920" w:rsidP="001D6920">
            <w:pPr>
              <w:spacing w:after="0" w:line="240" w:lineRule="auto"/>
              <w:jc w:val="right"/>
              <w:rPr>
                <w:color w:val="000000"/>
                <w:kern w:val="22"/>
                <w:sz w:val="17"/>
                <w:szCs w:val="17"/>
                <w:lang w:eastAsia="en-CA"/>
              </w:rPr>
            </w:pPr>
          </w:p>
        </w:tc>
        <w:tc>
          <w:tcPr>
            <w:tcW w:w="5988" w:type="dxa"/>
            <w:gridSpan w:val="2"/>
            <w:tcBorders>
              <w:top w:val="nil"/>
              <w:left w:val="nil"/>
              <w:bottom w:val="nil"/>
              <w:right w:val="nil"/>
            </w:tcBorders>
            <w:shd w:val="clear" w:color="auto" w:fill="auto"/>
            <w:vAlign w:val="center"/>
            <w:hideMark/>
          </w:tcPr>
          <w:p w14:paraId="0CE7076E" w14:textId="6E4FE569" w:rsidR="001D6920" w:rsidRPr="001D6920" w:rsidRDefault="001D6920" w:rsidP="001D6920">
            <w:pPr>
              <w:spacing w:after="0" w:line="240" w:lineRule="auto"/>
              <w:rPr>
                <w:color w:val="000000"/>
                <w:kern w:val="22"/>
                <w:sz w:val="17"/>
                <w:szCs w:val="17"/>
                <w:lang w:val="fr-CA" w:eastAsia="en-CA"/>
              </w:rPr>
            </w:pPr>
            <w:r w:rsidRPr="00E02578">
              <w:rPr>
                <w:color w:val="000000"/>
                <w:kern w:val="22"/>
                <w:sz w:val="17"/>
                <w:szCs w:val="17"/>
                <w:lang w:val="fr-CA" w:eastAsia="en-CA"/>
              </w:rPr>
              <w:t xml:space="preserve">H. </w:t>
            </w:r>
            <w:r>
              <w:rPr>
                <w:color w:val="000000"/>
                <w:kern w:val="22"/>
                <w:sz w:val="17"/>
                <w:szCs w:val="17"/>
                <w:lang w:val="fr-CA" w:eastAsia="en-CA"/>
              </w:rPr>
              <w:t>Traduction du site/projets Web du mécanisme de centre d’échange</w:t>
            </w:r>
          </w:p>
        </w:tc>
        <w:tc>
          <w:tcPr>
            <w:tcW w:w="1176" w:type="dxa"/>
            <w:tcBorders>
              <w:top w:val="nil"/>
              <w:left w:val="nil"/>
              <w:bottom w:val="nil"/>
              <w:right w:val="nil"/>
            </w:tcBorders>
            <w:shd w:val="clear" w:color="auto" w:fill="auto"/>
            <w:vAlign w:val="center"/>
            <w:hideMark/>
          </w:tcPr>
          <w:p w14:paraId="1614C411" w14:textId="2BC86675"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65</w:t>
            </w:r>
            <w:r>
              <w:rPr>
                <w:color w:val="000000"/>
                <w:kern w:val="22"/>
                <w:sz w:val="17"/>
                <w:szCs w:val="17"/>
                <w:lang w:val="fr-CA" w:eastAsia="en-CA"/>
              </w:rPr>
              <w:t>,</w:t>
            </w:r>
            <w:r w:rsidRPr="00E02578">
              <w:rPr>
                <w:color w:val="000000"/>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35B28BBE" w14:textId="63EE61CE"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65</w:t>
            </w:r>
            <w:r>
              <w:rPr>
                <w:color w:val="000000"/>
                <w:kern w:val="22"/>
                <w:sz w:val="17"/>
                <w:szCs w:val="17"/>
                <w:lang w:val="fr-CA" w:eastAsia="en-CA"/>
              </w:rPr>
              <w:t>,</w:t>
            </w:r>
            <w:r w:rsidRPr="00E02578">
              <w:rPr>
                <w:color w:val="000000"/>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1DA7C5C4" w14:textId="4C8403F9"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130</w:t>
            </w:r>
            <w:r>
              <w:rPr>
                <w:color w:val="000000"/>
                <w:kern w:val="22"/>
                <w:sz w:val="17"/>
                <w:szCs w:val="17"/>
                <w:lang w:val="fr-CA" w:eastAsia="en-CA"/>
              </w:rPr>
              <w:t>,</w:t>
            </w:r>
            <w:r w:rsidRPr="00E02578">
              <w:rPr>
                <w:color w:val="000000"/>
                <w:kern w:val="22"/>
                <w:sz w:val="17"/>
                <w:szCs w:val="17"/>
                <w:lang w:val="fr-CA" w:eastAsia="en-CA"/>
              </w:rPr>
              <w:t>0</w:t>
            </w:r>
          </w:p>
        </w:tc>
      </w:tr>
      <w:tr w:rsidR="001D6920" w:rsidRPr="00EE0850" w14:paraId="0E09A061" w14:textId="77777777" w:rsidTr="001D6920">
        <w:trPr>
          <w:trHeight w:val="261"/>
          <w:jc w:val="center"/>
        </w:trPr>
        <w:tc>
          <w:tcPr>
            <w:tcW w:w="450" w:type="dxa"/>
            <w:tcBorders>
              <w:top w:val="nil"/>
              <w:left w:val="nil"/>
              <w:bottom w:val="nil"/>
              <w:right w:val="nil"/>
            </w:tcBorders>
            <w:shd w:val="clear" w:color="auto" w:fill="auto"/>
            <w:noWrap/>
            <w:vAlign w:val="center"/>
          </w:tcPr>
          <w:p w14:paraId="57FE3F1D" w14:textId="77777777" w:rsidR="001D6920" w:rsidRPr="00EE0850" w:rsidRDefault="001D6920" w:rsidP="001D6920">
            <w:pPr>
              <w:spacing w:after="0" w:line="240" w:lineRule="auto"/>
              <w:jc w:val="right"/>
              <w:rPr>
                <w:color w:val="000000"/>
                <w:kern w:val="22"/>
                <w:sz w:val="17"/>
                <w:szCs w:val="17"/>
                <w:lang w:eastAsia="en-CA"/>
              </w:rPr>
            </w:pPr>
          </w:p>
        </w:tc>
        <w:tc>
          <w:tcPr>
            <w:tcW w:w="5988" w:type="dxa"/>
            <w:gridSpan w:val="2"/>
            <w:tcBorders>
              <w:top w:val="nil"/>
              <w:left w:val="nil"/>
              <w:bottom w:val="nil"/>
              <w:right w:val="nil"/>
            </w:tcBorders>
            <w:shd w:val="clear" w:color="auto" w:fill="auto"/>
            <w:vAlign w:val="center"/>
            <w:hideMark/>
          </w:tcPr>
          <w:p w14:paraId="4FC82F39" w14:textId="3608EB2B" w:rsidR="001D6920" w:rsidRPr="00EE0850" w:rsidRDefault="001D6920" w:rsidP="001D6920">
            <w:pPr>
              <w:spacing w:after="0" w:line="240" w:lineRule="auto"/>
              <w:rPr>
                <w:color w:val="000000"/>
                <w:kern w:val="22"/>
                <w:sz w:val="17"/>
                <w:szCs w:val="17"/>
                <w:lang w:eastAsia="en-CA"/>
              </w:rPr>
            </w:pPr>
            <w:r w:rsidRPr="00E02578">
              <w:rPr>
                <w:color w:val="000000"/>
                <w:kern w:val="22"/>
                <w:sz w:val="17"/>
                <w:szCs w:val="17"/>
                <w:lang w:val="fr-CA" w:eastAsia="en-CA"/>
              </w:rPr>
              <w:t xml:space="preserve">I. </w:t>
            </w:r>
            <w:r>
              <w:rPr>
                <w:color w:val="000000"/>
                <w:kern w:val="22"/>
                <w:sz w:val="17"/>
                <w:szCs w:val="17"/>
                <w:lang w:val="fr-CA" w:eastAsia="en-CA"/>
              </w:rPr>
              <w:t>Réunions</w:t>
            </w:r>
            <w:r w:rsidRPr="00043F0D">
              <w:rPr>
                <w:color w:val="000000"/>
                <w:kern w:val="22"/>
                <w:sz w:val="17"/>
                <w:szCs w:val="17"/>
                <w:vertAlign w:val="superscript"/>
                <w:lang w:val="fr-CA" w:eastAsia="en-CA"/>
              </w:rPr>
              <w:t>1</w:t>
            </w:r>
            <w:r w:rsidRPr="00E02578">
              <w:rPr>
                <w:color w:val="000000"/>
                <w:kern w:val="22"/>
                <w:sz w:val="17"/>
                <w:szCs w:val="17"/>
                <w:vertAlign w:val="superscript"/>
                <w:lang w:val="fr-CA" w:eastAsia="en-CA"/>
              </w:rPr>
              <w:t>/2/3</w:t>
            </w:r>
          </w:p>
        </w:tc>
        <w:tc>
          <w:tcPr>
            <w:tcW w:w="1176" w:type="dxa"/>
            <w:tcBorders>
              <w:top w:val="nil"/>
              <w:left w:val="nil"/>
              <w:bottom w:val="nil"/>
              <w:right w:val="nil"/>
            </w:tcBorders>
            <w:shd w:val="clear" w:color="auto" w:fill="auto"/>
            <w:vAlign w:val="center"/>
            <w:hideMark/>
          </w:tcPr>
          <w:p w14:paraId="4DC888EE" w14:textId="263AFD1C"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1 569</w:t>
            </w:r>
            <w:r>
              <w:rPr>
                <w:color w:val="000000"/>
                <w:kern w:val="22"/>
                <w:sz w:val="17"/>
                <w:szCs w:val="17"/>
                <w:lang w:val="fr-CA" w:eastAsia="en-CA"/>
              </w:rPr>
              <w:t>,</w:t>
            </w:r>
            <w:r w:rsidRPr="00E02578">
              <w:rPr>
                <w:color w:val="000000"/>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2139E988" w14:textId="491DE86C"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2 119</w:t>
            </w:r>
            <w:r>
              <w:rPr>
                <w:color w:val="000000"/>
                <w:kern w:val="22"/>
                <w:sz w:val="17"/>
                <w:szCs w:val="17"/>
                <w:lang w:val="fr-CA" w:eastAsia="en-CA"/>
              </w:rPr>
              <w:t>,</w:t>
            </w:r>
            <w:r w:rsidRPr="00E02578">
              <w:rPr>
                <w:color w:val="000000"/>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45C0BC6E" w14:textId="576D6651"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3 688</w:t>
            </w:r>
            <w:r>
              <w:rPr>
                <w:color w:val="000000"/>
                <w:kern w:val="22"/>
                <w:sz w:val="17"/>
                <w:szCs w:val="17"/>
                <w:lang w:val="fr-CA" w:eastAsia="en-CA"/>
              </w:rPr>
              <w:t>,</w:t>
            </w:r>
            <w:r w:rsidRPr="00E02578">
              <w:rPr>
                <w:color w:val="000000"/>
                <w:kern w:val="22"/>
                <w:sz w:val="17"/>
                <w:szCs w:val="17"/>
                <w:lang w:val="fr-CA" w:eastAsia="en-CA"/>
              </w:rPr>
              <w:t>0</w:t>
            </w:r>
          </w:p>
        </w:tc>
      </w:tr>
      <w:tr w:rsidR="001D6920" w:rsidRPr="00EE0850" w14:paraId="28E8EE8C" w14:textId="77777777" w:rsidTr="001D6920">
        <w:trPr>
          <w:trHeight w:val="261"/>
          <w:jc w:val="center"/>
        </w:trPr>
        <w:tc>
          <w:tcPr>
            <w:tcW w:w="450" w:type="dxa"/>
            <w:tcBorders>
              <w:top w:val="nil"/>
              <w:left w:val="nil"/>
              <w:bottom w:val="nil"/>
              <w:right w:val="nil"/>
            </w:tcBorders>
            <w:shd w:val="clear" w:color="auto" w:fill="auto"/>
            <w:noWrap/>
            <w:vAlign w:val="center"/>
          </w:tcPr>
          <w:p w14:paraId="225A699B" w14:textId="77777777" w:rsidR="001D6920" w:rsidRPr="00EE0850" w:rsidRDefault="001D6920" w:rsidP="001D6920">
            <w:pPr>
              <w:spacing w:after="0" w:line="240" w:lineRule="auto"/>
              <w:jc w:val="right"/>
              <w:rPr>
                <w:color w:val="000000"/>
                <w:kern w:val="22"/>
                <w:sz w:val="17"/>
                <w:szCs w:val="17"/>
                <w:lang w:eastAsia="en-CA"/>
              </w:rPr>
            </w:pPr>
          </w:p>
        </w:tc>
        <w:tc>
          <w:tcPr>
            <w:tcW w:w="5988" w:type="dxa"/>
            <w:gridSpan w:val="2"/>
            <w:tcBorders>
              <w:top w:val="nil"/>
              <w:left w:val="nil"/>
              <w:bottom w:val="nil"/>
              <w:right w:val="nil"/>
            </w:tcBorders>
            <w:shd w:val="clear" w:color="auto" w:fill="auto"/>
            <w:vAlign w:val="center"/>
            <w:hideMark/>
          </w:tcPr>
          <w:p w14:paraId="019213EA" w14:textId="2D44F1DB" w:rsidR="001D6920" w:rsidRPr="00EE0850" w:rsidRDefault="001D6920" w:rsidP="001D6920">
            <w:pPr>
              <w:spacing w:after="0" w:line="240" w:lineRule="auto"/>
              <w:rPr>
                <w:color w:val="000000"/>
                <w:kern w:val="22"/>
                <w:sz w:val="17"/>
                <w:szCs w:val="17"/>
                <w:lang w:eastAsia="en-CA"/>
              </w:rPr>
            </w:pPr>
            <w:r w:rsidRPr="00E02578">
              <w:rPr>
                <w:color w:val="000000"/>
                <w:kern w:val="22"/>
                <w:sz w:val="17"/>
                <w:szCs w:val="17"/>
                <w:lang w:val="fr-CA" w:eastAsia="en-CA"/>
              </w:rPr>
              <w:t xml:space="preserve">J. </w:t>
            </w:r>
            <w:r>
              <w:rPr>
                <w:color w:val="000000"/>
                <w:kern w:val="22"/>
                <w:sz w:val="17"/>
                <w:szCs w:val="17"/>
                <w:lang w:val="fr-CA" w:eastAsia="en-CA"/>
              </w:rPr>
              <w:t>Réunions d’experts</w:t>
            </w:r>
          </w:p>
        </w:tc>
        <w:tc>
          <w:tcPr>
            <w:tcW w:w="1176" w:type="dxa"/>
            <w:tcBorders>
              <w:top w:val="nil"/>
              <w:left w:val="nil"/>
              <w:bottom w:val="nil"/>
              <w:right w:val="nil"/>
            </w:tcBorders>
            <w:shd w:val="clear" w:color="auto" w:fill="auto"/>
            <w:vAlign w:val="center"/>
            <w:hideMark/>
          </w:tcPr>
          <w:p w14:paraId="5C1298C0" w14:textId="02B32C44"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170</w:t>
            </w:r>
            <w:r>
              <w:rPr>
                <w:color w:val="000000"/>
                <w:kern w:val="22"/>
                <w:sz w:val="17"/>
                <w:szCs w:val="17"/>
                <w:lang w:val="fr-CA" w:eastAsia="en-CA"/>
              </w:rPr>
              <w:t>,</w:t>
            </w:r>
            <w:r w:rsidRPr="00E02578">
              <w:rPr>
                <w:color w:val="000000"/>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507AE60D" w14:textId="1032AFBC"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150</w:t>
            </w:r>
            <w:r>
              <w:rPr>
                <w:color w:val="000000"/>
                <w:kern w:val="22"/>
                <w:sz w:val="17"/>
                <w:szCs w:val="17"/>
                <w:lang w:val="fr-CA" w:eastAsia="en-CA"/>
              </w:rPr>
              <w:t>,</w:t>
            </w:r>
            <w:r w:rsidRPr="00E02578">
              <w:rPr>
                <w:color w:val="000000"/>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15D86009" w14:textId="41CD9D0E"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320</w:t>
            </w:r>
            <w:r>
              <w:rPr>
                <w:color w:val="000000"/>
                <w:kern w:val="22"/>
                <w:sz w:val="17"/>
                <w:szCs w:val="17"/>
                <w:lang w:val="fr-CA" w:eastAsia="en-CA"/>
              </w:rPr>
              <w:t>,</w:t>
            </w:r>
            <w:r w:rsidRPr="00E02578">
              <w:rPr>
                <w:color w:val="000000"/>
                <w:kern w:val="22"/>
                <w:sz w:val="17"/>
                <w:szCs w:val="17"/>
                <w:lang w:val="fr-CA" w:eastAsia="en-CA"/>
              </w:rPr>
              <w:t>0</w:t>
            </w:r>
          </w:p>
        </w:tc>
      </w:tr>
      <w:tr w:rsidR="001D6920" w:rsidRPr="00EE0850" w14:paraId="281A68FE" w14:textId="77777777" w:rsidTr="001D6920">
        <w:trPr>
          <w:trHeight w:val="261"/>
          <w:jc w:val="center"/>
        </w:trPr>
        <w:tc>
          <w:tcPr>
            <w:tcW w:w="450" w:type="dxa"/>
            <w:tcBorders>
              <w:top w:val="nil"/>
              <w:left w:val="nil"/>
              <w:bottom w:val="nil"/>
              <w:right w:val="nil"/>
            </w:tcBorders>
            <w:shd w:val="clear" w:color="auto" w:fill="auto"/>
            <w:noWrap/>
            <w:vAlign w:val="center"/>
          </w:tcPr>
          <w:p w14:paraId="0B1429F5" w14:textId="77777777" w:rsidR="001D6920" w:rsidRPr="00EE0850" w:rsidRDefault="001D6920" w:rsidP="001D6920">
            <w:pPr>
              <w:spacing w:after="0" w:line="240" w:lineRule="auto"/>
              <w:jc w:val="right"/>
              <w:rPr>
                <w:color w:val="000000"/>
                <w:kern w:val="22"/>
                <w:sz w:val="17"/>
                <w:szCs w:val="17"/>
                <w:lang w:eastAsia="en-CA"/>
              </w:rPr>
            </w:pPr>
          </w:p>
        </w:tc>
        <w:tc>
          <w:tcPr>
            <w:tcW w:w="5988" w:type="dxa"/>
            <w:gridSpan w:val="2"/>
            <w:tcBorders>
              <w:top w:val="nil"/>
              <w:left w:val="nil"/>
              <w:bottom w:val="nil"/>
              <w:right w:val="nil"/>
            </w:tcBorders>
            <w:shd w:val="clear" w:color="auto" w:fill="auto"/>
            <w:vAlign w:val="center"/>
            <w:hideMark/>
          </w:tcPr>
          <w:p w14:paraId="1F9A5F38" w14:textId="3FDB3C2E" w:rsidR="001D6920" w:rsidRPr="001D6920" w:rsidRDefault="001D6920" w:rsidP="001D6920">
            <w:pPr>
              <w:spacing w:after="0" w:line="240" w:lineRule="auto"/>
              <w:rPr>
                <w:color w:val="000000"/>
                <w:kern w:val="22"/>
                <w:sz w:val="17"/>
                <w:szCs w:val="17"/>
                <w:lang w:val="fr-CA" w:eastAsia="en-CA"/>
              </w:rPr>
            </w:pPr>
            <w:r w:rsidRPr="00E02578">
              <w:rPr>
                <w:color w:val="000000"/>
                <w:kern w:val="22"/>
                <w:sz w:val="17"/>
                <w:szCs w:val="17"/>
                <w:lang w:val="fr-CA" w:eastAsia="en-CA"/>
              </w:rPr>
              <w:t xml:space="preserve">K. </w:t>
            </w:r>
            <w:r>
              <w:rPr>
                <w:color w:val="000000"/>
                <w:kern w:val="22"/>
                <w:sz w:val="17"/>
                <w:szCs w:val="17"/>
                <w:lang w:val="fr-CA" w:eastAsia="en-CA"/>
              </w:rPr>
              <w:t>Réunions d’experts sur l’après-</w:t>
            </w:r>
            <w:r w:rsidRPr="00E02578">
              <w:rPr>
                <w:color w:val="000000"/>
                <w:kern w:val="22"/>
                <w:sz w:val="17"/>
                <w:szCs w:val="17"/>
                <w:lang w:val="fr-CA" w:eastAsia="en-CA"/>
              </w:rPr>
              <w:t>2020</w:t>
            </w:r>
            <w:r w:rsidRPr="00E02578">
              <w:rPr>
                <w:color w:val="000000"/>
                <w:kern w:val="22"/>
                <w:sz w:val="17"/>
                <w:szCs w:val="17"/>
                <w:vertAlign w:val="superscript"/>
                <w:lang w:val="fr-CA" w:eastAsia="en-CA"/>
              </w:rPr>
              <w:t>4/</w:t>
            </w:r>
          </w:p>
        </w:tc>
        <w:tc>
          <w:tcPr>
            <w:tcW w:w="1176" w:type="dxa"/>
            <w:tcBorders>
              <w:top w:val="nil"/>
              <w:left w:val="nil"/>
              <w:bottom w:val="nil"/>
              <w:right w:val="nil"/>
            </w:tcBorders>
            <w:shd w:val="clear" w:color="auto" w:fill="auto"/>
            <w:vAlign w:val="center"/>
            <w:hideMark/>
          </w:tcPr>
          <w:p w14:paraId="00439834" w14:textId="1EAB9A88" w:rsidR="001D6920" w:rsidRPr="00EE0850" w:rsidRDefault="001D6920" w:rsidP="001D6920">
            <w:pPr>
              <w:spacing w:after="0" w:line="240" w:lineRule="auto"/>
              <w:jc w:val="right"/>
              <w:rPr>
                <w:kern w:val="22"/>
                <w:sz w:val="17"/>
                <w:szCs w:val="17"/>
                <w:lang w:eastAsia="en-CA"/>
              </w:rPr>
            </w:pPr>
            <w:r w:rsidRPr="00E02578">
              <w:rPr>
                <w:kern w:val="22"/>
                <w:sz w:val="17"/>
                <w:szCs w:val="17"/>
                <w:lang w:val="fr-CA" w:eastAsia="en-CA"/>
              </w:rPr>
              <w:t>750</w:t>
            </w:r>
            <w:r>
              <w:rPr>
                <w:kern w:val="22"/>
                <w:sz w:val="17"/>
                <w:szCs w:val="17"/>
                <w:lang w:val="fr-CA" w:eastAsia="en-CA"/>
              </w:rPr>
              <w:t>,</w:t>
            </w:r>
            <w:r w:rsidRPr="00E02578">
              <w:rPr>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3C32A07D" w14:textId="0C05ED5A" w:rsidR="001D6920" w:rsidRPr="00EE0850" w:rsidRDefault="001D6920" w:rsidP="001D6920">
            <w:pPr>
              <w:spacing w:after="0" w:line="240" w:lineRule="auto"/>
              <w:jc w:val="right"/>
              <w:rPr>
                <w:kern w:val="22"/>
                <w:sz w:val="17"/>
                <w:szCs w:val="17"/>
                <w:lang w:eastAsia="en-CA"/>
              </w:rPr>
            </w:pPr>
            <w:r w:rsidRPr="00E02578">
              <w:rPr>
                <w:kern w:val="22"/>
                <w:sz w:val="17"/>
                <w:szCs w:val="17"/>
                <w:lang w:val="fr-CA" w:eastAsia="en-CA"/>
              </w:rPr>
              <w:t>560</w:t>
            </w:r>
            <w:r>
              <w:rPr>
                <w:kern w:val="22"/>
                <w:sz w:val="17"/>
                <w:szCs w:val="17"/>
                <w:lang w:val="fr-CA" w:eastAsia="en-CA"/>
              </w:rPr>
              <w:t>,</w:t>
            </w:r>
            <w:r w:rsidRPr="00E02578">
              <w:rPr>
                <w:kern w:val="22"/>
                <w:sz w:val="17"/>
                <w:szCs w:val="17"/>
                <w:lang w:val="fr-CA" w:eastAsia="en-CA"/>
              </w:rPr>
              <w:t>0</w:t>
            </w:r>
          </w:p>
        </w:tc>
        <w:tc>
          <w:tcPr>
            <w:tcW w:w="1176" w:type="dxa"/>
            <w:tcBorders>
              <w:top w:val="nil"/>
              <w:left w:val="nil"/>
              <w:bottom w:val="nil"/>
              <w:right w:val="nil"/>
            </w:tcBorders>
            <w:shd w:val="clear" w:color="auto" w:fill="auto"/>
            <w:vAlign w:val="center"/>
            <w:hideMark/>
          </w:tcPr>
          <w:p w14:paraId="7D43AB95" w14:textId="7C53B7C3"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1 310</w:t>
            </w:r>
            <w:r>
              <w:rPr>
                <w:color w:val="000000"/>
                <w:kern w:val="22"/>
                <w:sz w:val="17"/>
                <w:szCs w:val="17"/>
                <w:lang w:val="fr-CA" w:eastAsia="en-CA"/>
              </w:rPr>
              <w:t>,</w:t>
            </w:r>
            <w:r w:rsidRPr="00E02578">
              <w:rPr>
                <w:color w:val="000000"/>
                <w:kern w:val="22"/>
                <w:sz w:val="17"/>
                <w:szCs w:val="17"/>
                <w:lang w:val="fr-CA" w:eastAsia="en-CA"/>
              </w:rPr>
              <w:t>0</w:t>
            </w:r>
          </w:p>
        </w:tc>
      </w:tr>
      <w:tr w:rsidR="001D6920" w:rsidRPr="00EE0850" w14:paraId="2A82C8E2" w14:textId="77777777" w:rsidTr="001D6920">
        <w:trPr>
          <w:trHeight w:val="261"/>
          <w:jc w:val="center"/>
        </w:trPr>
        <w:tc>
          <w:tcPr>
            <w:tcW w:w="450" w:type="dxa"/>
            <w:tcBorders>
              <w:top w:val="nil"/>
              <w:left w:val="nil"/>
              <w:bottom w:val="nil"/>
              <w:right w:val="nil"/>
            </w:tcBorders>
            <w:shd w:val="clear" w:color="auto" w:fill="auto"/>
            <w:noWrap/>
            <w:vAlign w:val="center"/>
          </w:tcPr>
          <w:p w14:paraId="183AA77A" w14:textId="77777777" w:rsidR="001D6920" w:rsidRPr="00EE0850" w:rsidRDefault="001D6920" w:rsidP="001D6920">
            <w:pPr>
              <w:spacing w:after="0" w:line="240" w:lineRule="auto"/>
              <w:jc w:val="right"/>
              <w:rPr>
                <w:color w:val="000000"/>
                <w:kern w:val="22"/>
                <w:sz w:val="17"/>
                <w:szCs w:val="17"/>
                <w:lang w:eastAsia="en-CA"/>
              </w:rPr>
            </w:pPr>
          </w:p>
        </w:tc>
        <w:tc>
          <w:tcPr>
            <w:tcW w:w="5988" w:type="dxa"/>
            <w:gridSpan w:val="2"/>
            <w:tcBorders>
              <w:top w:val="nil"/>
              <w:left w:val="nil"/>
              <w:bottom w:val="nil"/>
              <w:right w:val="nil"/>
            </w:tcBorders>
            <w:shd w:val="clear" w:color="auto" w:fill="auto"/>
            <w:vAlign w:val="center"/>
            <w:hideMark/>
          </w:tcPr>
          <w:p w14:paraId="1D37A693" w14:textId="328B7D80" w:rsidR="001D6920" w:rsidRPr="001D6920" w:rsidRDefault="001D6920" w:rsidP="001D6920">
            <w:pPr>
              <w:spacing w:after="0" w:line="240" w:lineRule="auto"/>
              <w:rPr>
                <w:color w:val="000000"/>
                <w:kern w:val="22"/>
                <w:sz w:val="17"/>
                <w:szCs w:val="17"/>
                <w:lang w:val="fr-CA" w:eastAsia="en-CA"/>
              </w:rPr>
            </w:pPr>
            <w:r w:rsidRPr="00E02578">
              <w:rPr>
                <w:color w:val="000000"/>
                <w:kern w:val="22"/>
                <w:sz w:val="17"/>
                <w:szCs w:val="17"/>
                <w:lang w:val="fr-CA" w:eastAsia="en-CA"/>
              </w:rPr>
              <w:t xml:space="preserve">L. </w:t>
            </w:r>
            <w:r>
              <w:rPr>
                <w:color w:val="000000"/>
                <w:kern w:val="22"/>
                <w:sz w:val="17"/>
                <w:szCs w:val="17"/>
                <w:lang w:val="fr-CA" w:eastAsia="en-CA"/>
              </w:rPr>
              <w:t>Loyer et coûts connexes</w:t>
            </w:r>
            <w:r w:rsidRPr="00E02578">
              <w:rPr>
                <w:color w:val="000000"/>
                <w:kern w:val="22"/>
                <w:sz w:val="17"/>
                <w:szCs w:val="17"/>
                <w:vertAlign w:val="superscript"/>
                <w:lang w:val="fr-CA" w:eastAsia="en-CA"/>
              </w:rPr>
              <w:t>5/</w:t>
            </w:r>
          </w:p>
        </w:tc>
        <w:tc>
          <w:tcPr>
            <w:tcW w:w="1176" w:type="dxa"/>
            <w:tcBorders>
              <w:top w:val="nil"/>
              <w:left w:val="nil"/>
              <w:bottom w:val="nil"/>
              <w:right w:val="nil"/>
            </w:tcBorders>
            <w:shd w:val="clear" w:color="auto" w:fill="auto"/>
            <w:vAlign w:val="center"/>
            <w:hideMark/>
          </w:tcPr>
          <w:p w14:paraId="7AFE122A" w14:textId="234818F6"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1 229</w:t>
            </w:r>
            <w:r>
              <w:rPr>
                <w:color w:val="000000"/>
                <w:kern w:val="22"/>
                <w:sz w:val="17"/>
                <w:szCs w:val="17"/>
                <w:lang w:val="fr-CA" w:eastAsia="en-CA"/>
              </w:rPr>
              <w:t>,</w:t>
            </w:r>
            <w:r w:rsidRPr="00E02578">
              <w:rPr>
                <w:color w:val="000000"/>
                <w:kern w:val="22"/>
                <w:sz w:val="17"/>
                <w:szCs w:val="17"/>
                <w:lang w:val="fr-CA" w:eastAsia="en-CA"/>
              </w:rPr>
              <w:t>5</w:t>
            </w:r>
          </w:p>
        </w:tc>
        <w:tc>
          <w:tcPr>
            <w:tcW w:w="1176" w:type="dxa"/>
            <w:tcBorders>
              <w:top w:val="nil"/>
              <w:left w:val="nil"/>
              <w:bottom w:val="nil"/>
              <w:right w:val="nil"/>
            </w:tcBorders>
            <w:shd w:val="clear" w:color="auto" w:fill="auto"/>
            <w:vAlign w:val="center"/>
            <w:hideMark/>
          </w:tcPr>
          <w:p w14:paraId="000BE161" w14:textId="31BE0025"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1 423</w:t>
            </w:r>
            <w:r>
              <w:rPr>
                <w:color w:val="000000"/>
                <w:kern w:val="22"/>
                <w:sz w:val="17"/>
                <w:szCs w:val="17"/>
                <w:lang w:val="fr-CA" w:eastAsia="en-CA"/>
              </w:rPr>
              <w:t>,</w:t>
            </w:r>
            <w:r w:rsidRPr="00E02578">
              <w:rPr>
                <w:color w:val="000000"/>
                <w:kern w:val="22"/>
                <w:sz w:val="17"/>
                <w:szCs w:val="17"/>
                <w:lang w:val="fr-CA" w:eastAsia="en-CA"/>
              </w:rPr>
              <w:t>4</w:t>
            </w:r>
          </w:p>
        </w:tc>
        <w:tc>
          <w:tcPr>
            <w:tcW w:w="1176" w:type="dxa"/>
            <w:tcBorders>
              <w:top w:val="nil"/>
              <w:left w:val="nil"/>
              <w:bottom w:val="nil"/>
              <w:right w:val="nil"/>
            </w:tcBorders>
            <w:shd w:val="clear" w:color="auto" w:fill="auto"/>
            <w:vAlign w:val="center"/>
            <w:hideMark/>
          </w:tcPr>
          <w:p w14:paraId="62D1ED20" w14:textId="7CED0F9D"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2 652</w:t>
            </w:r>
            <w:r>
              <w:rPr>
                <w:color w:val="000000"/>
                <w:kern w:val="22"/>
                <w:sz w:val="17"/>
                <w:szCs w:val="17"/>
                <w:lang w:val="fr-CA" w:eastAsia="en-CA"/>
              </w:rPr>
              <w:t>,</w:t>
            </w:r>
            <w:r w:rsidRPr="00E02578">
              <w:rPr>
                <w:color w:val="000000"/>
                <w:kern w:val="22"/>
                <w:sz w:val="17"/>
                <w:szCs w:val="17"/>
                <w:lang w:val="fr-CA" w:eastAsia="en-CA"/>
              </w:rPr>
              <w:t>9</w:t>
            </w:r>
          </w:p>
        </w:tc>
      </w:tr>
      <w:tr w:rsidR="001D6920" w:rsidRPr="00EE0850" w14:paraId="28BBD8B7" w14:textId="77777777" w:rsidTr="001D6920">
        <w:trPr>
          <w:trHeight w:val="261"/>
          <w:jc w:val="center"/>
        </w:trPr>
        <w:tc>
          <w:tcPr>
            <w:tcW w:w="450" w:type="dxa"/>
            <w:tcBorders>
              <w:top w:val="nil"/>
              <w:left w:val="nil"/>
              <w:bottom w:val="nil"/>
              <w:right w:val="nil"/>
            </w:tcBorders>
            <w:shd w:val="clear" w:color="auto" w:fill="auto"/>
            <w:noWrap/>
            <w:vAlign w:val="center"/>
          </w:tcPr>
          <w:p w14:paraId="7661488F" w14:textId="77777777" w:rsidR="001D6920" w:rsidRPr="00EE0850" w:rsidRDefault="001D6920" w:rsidP="001D6920">
            <w:pPr>
              <w:spacing w:after="0" w:line="240" w:lineRule="auto"/>
              <w:jc w:val="right"/>
              <w:rPr>
                <w:color w:val="000000"/>
                <w:kern w:val="22"/>
                <w:sz w:val="17"/>
                <w:szCs w:val="17"/>
                <w:lang w:eastAsia="en-CA"/>
              </w:rPr>
            </w:pPr>
          </w:p>
        </w:tc>
        <w:tc>
          <w:tcPr>
            <w:tcW w:w="5988" w:type="dxa"/>
            <w:gridSpan w:val="2"/>
            <w:tcBorders>
              <w:top w:val="nil"/>
              <w:left w:val="nil"/>
              <w:bottom w:val="single" w:sz="4" w:space="0" w:color="auto"/>
              <w:right w:val="nil"/>
            </w:tcBorders>
            <w:shd w:val="clear" w:color="auto" w:fill="auto"/>
            <w:vAlign w:val="center"/>
            <w:hideMark/>
          </w:tcPr>
          <w:p w14:paraId="0D299A93" w14:textId="2DEF2F77" w:rsidR="001D6920" w:rsidRPr="00EE0850" w:rsidRDefault="001D6920" w:rsidP="001D6920">
            <w:pPr>
              <w:spacing w:after="0" w:line="240" w:lineRule="auto"/>
              <w:rPr>
                <w:color w:val="000000"/>
                <w:kern w:val="22"/>
                <w:sz w:val="17"/>
                <w:szCs w:val="17"/>
                <w:lang w:eastAsia="en-CA"/>
              </w:rPr>
            </w:pPr>
            <w:r w:rsidRPr="00E02578">
              <w:rPr>
                <w:color w:val="000000"/>
                <w:kern w:val="22"/>
                <w:sz w:val="17"/>
                <w:szCs w:val="17"/>
                <w:lang w:val="fr-CA" w:eastAsia="en-CA"/>
              </w:rPr>
              <w:t xml:space="preserve">M. </w:t>
            </w:r>
            <w:r>
              <w:rPr>
                <w:color w:val="000000"/>
                <w:kern w:val="22"/>
                <w:sz w:val="17"/>
                <w:szCs w:val="17"/>
                <w:lang w:val="fr-CA" w:eastAsia="en-CA"/>
              </w:rPr>
              <w:t>Dépenses générales d’exploitation</w:t>
            </w:r>
          </w:p>
        </w:tc>
        <w:tc>
          <w:tcPr>
            <w:tcW w:w="1176" w:type="dxa"/>
            <w:tcBorders>
              <w:top w:val="nil"/>
              <w:left w:val="nil"/>
              <w:bottom w:val="nil"/>
              <w:right w:val="nil"/>
            </w:tcBorders>
            <w:shd w:val="clear" w:color="auto" w:fill="auto"/>
            <w:vAlign w:val="center"/>
            <w:hideMark/>
          </w:tcPr>
          <w:p w14:paraId="101BC05D" w14:textId="36CE4AD4"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726</w:t>
            </w:r>
            <w:r>
              <w:rPr>
                <w:color w:val="000000"/>
                <w:kern w:val="22"/>
                <w:sz w:val="17"/>
                <w:szCs w:val="17"/>
                <w:lang w:val="fr-CA" w:eastAsia="en-CA"/>
              </w:rPr>
              <w:t>,</w:t>
            </w:r>
            <w:r w:rsidRPr="00E02578">
              <w:rPr>
                <w:color w:val="000000"/>
                <w:kern w:val="22"/>
                <w:sz w:val="17"/>
                <w:szCs w:val="17"/>
                <w:lang w:val="fr-CA" w:eastAsia="en-CA"/>
              </w:rPr>
              <w:t>6</w:t>
            </w:r>
          </w:p>
        </w:tc>
        <w:tc>
          <w:tcPr>
            <w:tcW w:w="1176" w:type="dxa"/>
            <w:tcBorders>
              <w:top w:val="nil"/>
              <w:left w:val="nil"/>
              <w:bottom w:val="nil"/>
              <w:right w:val="nil"/>
            </w:tcBorders>
            <w:shd w:val="clear" w:color="auto" w:fill="auto"/>
            <w:vAlign w:val="center"/>
            <w:hideMark/>
          </w:tcPr>
          <w:p w14:paraId="13AF63CA" w14:textId="24B90000"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726</w:t>
            </w:r>
            <w:r>
              <w:rPr>
                <w:color w:val="000000"/>
                <w:kern w:val="22"/>
                <w:sz w:val="17"/>
                <w:szCs w:val="17"/>
                <w:lang w:val="fr-CA" w:eastAsia="en-CA"/>
              </w:rPr>
              <w:t>,</w:t>
            </w:r>
            <w:r w:rsidRPr="00E02578">
              <w:rPr>
                <w:color w:val="000000"/>
                <w:kern w:val="22"/>
                <w:sz w:val="17"/>
                <w:szCs w:val="17"/>
                <w:lang w:val="fr-CA" w:eastAsia="en-CA"/>
              </w:rPr>
              <w:t>6</w:t>
            </w:r>
          </w:p>
        </w:tc>
        <w:tc>
          <w:tcPr>
            <w:tcW w:w="1176" w:type="dxa"/>
            <w:tcBorders>
              <w:top w:val="nil"/>
              <w:left w:val="nil"/>
              <w:bottom w:val="nil"/>
              <w:right w:val="nil"/>
            </w:tcBorders>
            <w:shd w:val="clear" w:color="auto" w:fill="auto"/>
            <w:vAlign w:val="center"/>
            <w:hideMark/>
          </w:tcPr>
          <w:p w14:paraId="4A93F21B" w14:textId="3D4CACF2" w:rsidR="001D6920" w:rsidRPr="00EE0850" w:rsidRDefault="001D6920" w:rsidP="001D6920">
            <w:pPr>
              <w:spacing w:after="0" w:line="240" w:lineRule="auto"/>
              <w:jc w:val="right"/>
              <w:rPr>
                <w:color w:val="000000"/>
                <w:kern w:val="22"/>
                <w:sz w:val="17"/>
                <w:szCs w:val="17"/>
                <w:lang w:eastAsia="en-CA"/>
              </w:rPr>
            </w:pPr>
            <w:r w:rsidRPr="00E02578">
              <w:rPr>
                <w:color w:val="000000"/>
                <w:kern w:val="22"/>
                <w:sz w:val="17"/>
                <w:szCs w:val="17"/>
                <w:lang w:val="fr-CA" w:eastAsia="en-CA"/>
              </w:rPr>
              <w:t>1 453</w:t>
            </w:r>
            <w:r>
              <w:rPr>
                <w:color w:val="000000"/>
                <w:kern w:val="22"/>
                <w:sz w:val="17"/>
                <w:szCs w:val="17"/>
                <w:lang w:val="fr-CA" w:eastAsia="en-CA"/>
              </w:rPr>
              <w:t>,</w:t>
            </w:r>
            <w:r w:rsidRPr="00E02578">
              <w:rPr>
                <w:color w:val="000000"/>
                <w:kern w:val="22"/>
                <w:sz w:val="17"/>
                <w:szCs w:val="17"/>
                <w:lang w:val="fr-CA" w:eastAsia="en-CA"/>
              </w:rPr>
              <w:t>2</w:t>
            </w:r>
          </w:p>
        </w:tc>
      </w:tr>
      <w:tr w:rsidR="001D6920" w:rsidRPr="00EE0850" w14:paraId="14EE0239" w14:textId="77777777" w:rsidTr="001D6920">
        <w:trPr>
          <w:trHeight w:val="261"/>
          <w:jc w:val="center"/>
        </w:trPr>
        <w:tc>
          <w:tcPr>
            <w:tcW w:w="450" w:type="dxa"/>
            <w:tcBorders>
              <w:top w:val="nil"/>
              <w:left w:val="nil"/>
              <w:bottom w:val="nil"/>
              <w:right w:val="nil"/>
            </w:tcBorders>
            <w:shd w:val="clear" w:color="auto" w:fill="auto"/>
            <w:noWrap/>
            <w:vAlign w:val="center"/>
            <w:hideMark/>
          </w:tcPr>
          <w:p w14:paraId="4975B554" w14:textId="77777777" w:rsidR="001D6920" w:rsidRPr="00EE0850" w:rsidRDefault="001D6920" w:rsidP="001D6920">
            <w:pPr>
              <w:spacing w:after="0" w:line="240" w:lineRule="auto"/>
              <w:jc w:val="right"/>
              <w:rPr>
                <w:b/>
                <w:bCs/>
                <w:color w:val="000000"/>
                <w:kern w:val="22"/>
                <w:sz w:val="17"/>
                <w:szCs w:val="17"/>
                <w:lang w:eastAsia="en-CA"/>
              </w:rPr>
            </w:pPr>
          </w:p>
        </w:tc>
        <w:tc>
          <w:tcPr>
            <w:tcW w:w="5988" w:type="dxa"/>
            <w:gridSpan w:val="2"/>
            <w:tcBorders>
              <w:top w:val="single" w:sz="4" w:space="0" w:color="auto"/>
              <w:left w:val="nil"/>
              <w:bottom w:val="single" w:sz="4" w:space="0" w:color="auto"/>
              <w:right w:val="nil"/>
            </w:tcBorders>
            <w:shd w:val="clear" w:color="auto" w:fill="auto"/>
            <w:vAlign w:val="center"/>
            <w:hideMark/>
          </w:tcPr>
          <w:p w14:paraId="43BA30FB" w14:textId="586F9C69" w:rsidR="001D6920" w:rsidRPr="00EE0850" w:rsidRDefault="001D6920" w:rsidP="001D6920">
            <w:pPr>
              <w:spacing w:after="0" w:line="240" w:lineRule="auto"/>
              <w:rPr>
                <w:b/>
                <w:bCs/>
                <w:kern w:val="22"/>
                <w:sz w:val="17"/>
                <w:szCs w:val="17"/>
                <w:lang w:eastAsia="en-CA"/>
              </w:rPr>
            </w:pPr>
            <w:r>
              <w:rPr>
                <w:b/>
                <w:bCs/>
                <w:kern w:val="22"/>
                <w:sz w:val="17"/>
                <w:szCs w:val="17"/>
                <w:lang w:val="fr-CA" w:eastAsia="en-CA"/>
              </w:rPr>
              <w:t>Sous-total</w:t>
            </w:r>
            <w:r w:rsidRPr="00E02578">
              <w:rPr>
                <w:b/>
                <w:bCs/>
                <w:kern w:val="22"/>
                <w:sz w:val="17"/>
                <w:szCs w:val="17"/>
                <w:lang w:val="fr-CA" w:eastAsia="en-CA"/>
              </w:rPr>
              <w:t xml:space="preserve"> (I)</w:t>
            </w:r>
          </w:p>
        </w:tc>
        <w:tc>
          <w:tcPr>
            <w:tcW w:w="1176" w:type="dxa"/>
            <w:tcBorders>
              <w:top w:val="single" w:sz="4" w:space="0" w:color="auto"/>
              <w:left w:val="nil"/>
              <w:bottom w:val="single" w:sz="4" w:space="0" w:color="auto"/>
              <w:right w:val="nil"/>
            </w:tcBorders>
            <w:shd w:val="clear" w:color="auto" w:fill="auto"/>
            <w:vAlign w:val="center"/>
            <w:hideMark/>
          </w:tcPr>
          <w:p w14:paraId="58F5E260" w14:textId="6ED33772" w:rsidR="001D6920" w:rsidRPr="00EE0850" w:rsidRDefault="001D6920" w:rsidP="001D6920">
            <w:pPr>
              <w:spacing w:after="0" w:line="240" w:lineRule="auto"/>
              <w:jc w:val="right"/>
              <w:rPr>
                <w:b/>
                <w:bCs/>
                <w:kern w:val="22"/>
                <w:sz w:val="17"/>
                <w:szCs w:val="17"/>
                <w:lang w:eastAsia="en-CA"/>
              </w:rPr>
            </w:pPr>
            <w:r w:rsidRPr="00E02578">
              <w:rPr>
                <w:b/>
                <w:bCs/>
                <w:kern w:val="22"/>
                <w:sz w:val="17"/>
                <w:szCs w:val="17"/>
                <w:lang w:val="fr-CA" w:eastAsia="en-CA"/>
              </w:rPr>
              <w:t>16 719</w:t>
            </w:r>
            <w:r>
              <w:rPr>
                <w:b/>
                <w:bCs/>
                <w:kern w:val="22"/>
                <w:sz w:val="17"/>
                <w:szCs w:val="17"/>
                <w:lang w:val="fr-CA" w:eastAsia="en-CA"/>
              </w:rPr>
              <w:t>,</w:t>
            </w:r>
            <w:r w:rsidRPr="00E02578">
              <w:rPr>
                <w:b/>
                <w:bCs/>
                <w:kern w:val="22"/>
                <w:sz w:val="17"/>
                <w:szCs w:val="17"/>
                <w:lang w:val="fr-CA" w:eastAsia="en-CA"/>
              </w:rPr>
              <w:t>0</w:t>
            </w:r>
          </w:p>
        </w:tc>
        <w:tc>
          <w:tcPr>
            <w:tcW w:w="1176" w:type="dxa"/>
            <w:tcBorders>
              <w:top w:val="single" w:sz="4" w:space="0" w:color="auto"/>
              <w:left w:val="nil"/>
              <w:bottom w:val="single" w:sz="4" w:space="0" w:color="auto"/>
              <w:right w:val="nil"/>
            </w:tcBorders>
            <w:shd w:val="clear" w:color="auto" w:fill="auto"/>
            <w:vAlign w:val="center"/>
            <w:hideMark/>
          </w:tcPr>
          <w:p w14:paraId="6BFA6ADE" w14:textId="67343F7E" w:rsidR="001D6920" w:rsidRPr="00EE0850" w:rsidRDefault="001D6920" w:rsidP="001D6920">
            <w:pPr>
              <w:spacing w:after="0" w:line="240" w:lineRule="auto"/>
              <w:jc w:val="right"/>
              <w:rPr>
                <w:b/>
                <w:bCs/>
                <w:kern w:val="22"/>
                <w:sz w:val="17"/>
                <w:szCs w:val="17"/>
                <w:lang w:eastAsia="en-CA"/>
              </w:rPr>
            </w:pPr>
            <w:r w:rsidRPr="00E02578">
              <w:rPr>
                <w:b/>
                <w:bCs/>
                <w:kern w:val="22"/>
                <w:sz w:val="17"/>
                <w:szCs w:val="17"/>
                <w:lang w:val="fr-CA" w:eastAsia="en-CA"/>
              </w:rPr>
              <w:t>17 490</w:t>
            </w:r>
            <w:r>
              <w:rPr>
                <w:b/>
                <w:bCs/>
                <w:kern w:val="22"/>
                <w:sz w:val="17"/>
                <w:szCs w:val="17"/>
                <w:lang w:val="fr-CA" w:eastAsia="en-CA"/>
              </w:rPr>
              <w:t>,</w:t>
            </w:r>
            <w:r w:rsidRPr="00E02578">
              <w:rPr>
                <w:b/>
                <w:bCs/>
                <w:kern w:val="22"/>
                <w:sz w:val="17"/>
                <w:szCs w:val="17"/>
                <w:lang w:val="fr-CA" w:eastAsia="en-CA"/>
              </w:rPr>
              <w:t>6</w:t>
            </w:r>
          </w:p>
        </w:tc>
        <w:tc>
          <w:tcPr>
            <w:tcW w:w="1176" w:type="dxa"/>
            <w:tcBorders>
              <w:top w:val="single" w:sz="4" w:space="0" w:color="auto"/>
              <w:left w:val="nil"/>
              <w:bottom w:val="single" w:sz="4" w:space="0" w:color="auto"/>
              <w:right w:val="nil"/>
            </w:tcBorders>
            <w:shd w:val="clear" w:color="auto" w:fill="auto"/>
            <w:vAlign w:val="center"/>
            <w:hideMark/>
          </w:tcPr>
          <w:p w14:paraId="00E2B95E" w14:textId="4A9634EF" w:rsidR="001D6920" w:rsidRPr="00EE0850" w:rsidRDefault="001D6920" w:rsidP="001D6920">
            <w:pPr>
              <w:spacing w:after="0" w:line="240" w:lineRule="auto"/>
              <w:jc w:val="right"/>
              <w:rPr>
                <w:b/>
                <w:bCs/>
                <w:kern w:val="22"/>
                <w:sz w:val="17"/>
                <w:szCs w:val="17"/>
                <w:lang w:eastAsia="en-CA"/>
              </w:rPr>
            </w:pPr>
            <w:r w:rsidRPr="00E02578">
              <w:rPr>
                <w:b/>
                <w:bCs/>
                <w:kern w:val="22"/>
                <w:sz w:val="17"/>
                <w:szCs w:val="17"/>
                <w:lang w:val="fr-CA" w:eastAsia="en-CA"/>
              </w:rPr>
              <w:t>34 209</w:t>
            </w:r>
            <w:r>
              <w:rPr>
                <w:b/>
                <w:bCs/>
                <w:kern w:val="22"/>
                <w:sz w:val="17"/>
                <w:szCs w:val="17"/>
                <w:lang w:val="fr-CA" w:eastAsia="en-CA"/>
              </w:rPr>
              <w:t>,</w:t>
            </w:r>
            <w:r w:rsidRPr="00E02578">
              <w:rPr>
                <w:b/>
                <w:bCs/>
                <w:kern w:val="22"/>
                <w:sz w:val="17"/>
                <w:szCs w:val="17"/>
                <w:lang w:val="fr-CA" w:eastAsia="en-CA"/>
              </w:rPr>
              <w:t>6</w:t>
            </w:r>
          </w:p>
        </w:tc>
      </w:tr>
      <w:tr w:rsidR="00362666" w:rsidRPr="00EE0850" w14:paraId="3544DB8E" w14:textId="77777777" w:rsidTr="001D6920">
        <w:trPr>
          <w:trHeight w:val="261"/>
          <w:jc w:val="center"/>
        </w:trPr>
        <w:tc>
          <w:tcPr>
            <w:tcW w:w="450" w:type="dxa"/>
            <w:tcBorders>
              <w:top w:val="nil"/>
              <w:left w:val="nil"/>
              <w:bottom w:val="nil"/>
              <w:right w:val="nil"/>
            </w:tcBorders>
            <w:shd w:val="clear" w:color="auto" w:fill="auto"/>
            <w:noWrap/>
            <w:vAlign w:val="center"/>
            <w:hideMark/>
          </w:tcPr>
          <w:p w14:paraId="09D80B98" w14:textId="77777777" w:rsidR="00362666" w:rsidRPr="00EE0850" w:rsidRDefault="00362666" w:rsidP="00362666">
            <w:pPr>
              <w:spacing w:after="0" w:line="240" w:lineRule="auto"/>
              <w:jc w:val="right"/>
              <w:rPr>
                <w:b/>
                <w:bCs/>
                <w:color w:val="000000"/>
                <w:kern w:val="22"/>
                <w:sz w:val="17"/>
                <w:szCs w:val="17"/>
                <w:lang w:eastAsia="en-CA"/>
              </w:rPr>
            </w:pPr>
            <w:r w:rsidRPr="00EE0850">
              <w:rPr>
                <w:b/>
                <w:bCs/>
                <w:color w:val="000000"/>
                <w:kern w:val="22"/>
                <w:sz w:val="17"/>
                <w:szCs w:val="17"/>
                <w:lang w:eastAsia="en-CA"/>
              </w:rPr>
              <w:t>II</w:t>
            </w:r>
          </w:p>
        </w:tc>
        <w:tc>
          <w:tcPr>
            <w:tcW w:w="5988" w:type="dxa"/>
            <w:gridSpan w:val="2"/>
            <w:tcBorders>
              <w:top w:val="single" w:sz="4" w:space="0" w:color="auto"/>
              <w:left w:val="nil"/>
              <w:bottom w:val="nil"/>
              <w:right w:val="nil"/>
            </w:tcBorders>
            <w:shd w:val="clear" w:color="auto" w:fill="auto"/>
            <w:vAlign w:val="center"/>
            <w:hideMark/>
          </w:tcPr>
          <w:p w14:paraId="40417EC1" w14:textId="166C247A" w:rsidR="00362666" w:rsidRPr="00EE0850" w:rsidRDefault="00362666" w:rsidP="00362666">
            <w:pPr>
              <w:spacing w:after="0" w:line="240" w:lineRule="auto"/>
              <w:rPr>
                <w:b/>
                <w:bCs/>
                <w:kern w:val="22"/>
                <w:sz w:val="17"/>
                <w:szCs w:val="17"/>
                <w:lang w:eastAsia="en-CA"/>
              </w:rPr>
            </w:pPr>
            <w:r>
              <w:rPr>
                <w:b/>
                <w:bCs/>
                <w:kern w:val="22"/>
                <w:sz w:val="17"/>
                <w:szCs w:val="17"/>
                <w:lang w:val="fr-CA" w:eastAsia="en-CA"/>
              </w:rPr>
              <w:t>Coûts d’appui au programme</w:t>
            </w:r>
            <w:r w:rsidRPr="00E02578">
              <w:rPr>
                <w:b/>
                <w:bCs/>
                <w:kern w:val="22"/>
                <w:sz w:val="17"/>
                <w:szCs w:val="17"/>
                <w:lang w:val="fr-CA" w:eastAsia="en-CA"/>
              </w:rPr>
              <w:t xml:space="preserve"> (13</w:t>
            </w:r>
            <w:r>
              <w:rPr>
                <w:b/>
                <w:bCs/>
                <w:kern w:val="22"/>
                <w:sz w:val="17"/>
                <w:szCs w:val="17"/>
                <w:lang w:val="fr-CA" w:eastAsia="en-CA"/>
              </w:rPr>
              <w:t xml:space="preserve"> </w:t>
            </w:r>
            <w:r w:rsidRPr="00E02578">
              <w:rPr>
                <w:b/>
                <w:bCs/>
                <w:kern w:val="22"/>
                <w:sz w:val="17"/>
                <w:szCs w:val="17"/>
                <w:lang w:val="fr-CA" w:eastAsia="en-CA"/>
              </w:rPr>
              <w:t>%)</w:t>
            </w:r>
          </w:p>
        </w:tc>
        <w:tc>
          <w:tcPr>
            <w:tcW w:w="1176" w:type="dxa"/>
            <w:tcBorders>
              <w:top w:val="nil"/>
              <w:left w:val="nil"/>
              <w:bottom w:val="nil"/>
              <w:right w:val="nil"/>
            </w:tcBorders>
            <w:shd w:val="clear" w:color="auto" w:fill="auto"/>
            <w:vAlign w:val="center"/>
            <w:hideMark/>
          </w:tcPr>
          <w:p w14:paraId="2BA87A9C" w14:textId="5C3EF5E0"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2 173</w:t>
            </w:r>
            <w:r>
              <w:rPr>
                <w:kern w:val="22"/>
                <w:sz w:val="17"/>
                <w:szCs w:val="17"/>
                <w:lang w:val="fr-CA" w:eastAsia="en-CA"/>
              </w:rPr>
              <w:t>,</w:t>
            </w:r>
            <w:r w:rsidRPr="00E02578">
              <w:rPr>
                <w:kern w:val="22"/>
                <w:sz w:val="17"/>
                <w:szCs w:val="17"/>
                <w:lang w:val="fr-CA" w:eastAsia="en-CA"/>
              </w:rPr>
              <w:t>5</w:t>
            </w:r>
          </w:p>
        </w:tc>
        <w:tc>
          <w:tcPr>
            <w:tcW w:w="1176" w:type="dxa"/>
            <w:tcBorders>
              <w:top w:val="nil"/>
              <w:left w:val="nil"/>
              <w:bottom w:val="nil"/>
              <w:right w:val="nil"/>
            </w:tcBorders>
            <w:shd w:val="clear" w:color="auto" w:fill="auto"/>
            <w:vAlign w:val="center"/>
            <w:hideMark/>
          </w:tcPr>
          <w:p w14:paraId="79746F36" w14:textId="137F1C02"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2 273</w:t>
            </w:r>
            <w:r>
              <w:rPr>
                <w:kern w:val="22"/>
                <w:sz w:val="17"/>
                <w:szCs w:val="17"/>
                <w:lang w:val="fr-CA" w:eastAsia="en-CA"/>
              </w:rPr>
              <w:t>,</w:t>
            </w:r>
            <w:r w:rsidRPr="00E02578">
              <w:rPr>
                <w:kern w:val="22"/>
                <w:sz w:val="17"/>
                <w:szCs w:val="17"/>
                <w:lang w:val="fr-CA" w:eastAsia="en-CA"/>
              </w:rPr>
              <w:t>8</w:t>
            </w:r>
          </w:p>
        </w:tc>
        <w:tc>
          <w:tcPr>
            <w:tcW w:w="1176" w:type="dxa"/>
            <w:tcBorders>
              <w:top w:val="nil"/>
              <w:left w:val="nil"/>
              <w:bottom w:val="nil"/>
              <w:right w:val="nil"/>
            </w:tcBorders>
            <w:shd w:val="clear" w:color="auto" w:fill="auto"/>
            <w:vAlign w:val="center"/>
            <w:hideMark/>
          </w:tcPr>
          <w:p w14:paraId="02DB61D5" w14:textId="673B1914"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4 447</w:t>
            </w:r>
            <w:r>
              <w:rPr>
                <w:kern w:val="22"/>
                <w:sz w:val="17"/>
                <w:szCs w:val="17"/>
                <w:lang w:val="fr-CA" w:eastAsia="en-CA"/>
              </w:rPr>
              <w:t>,</w:t>
            </w:r>
            <w:r w:rsidRPr="00E02578">
              <w:rPr>
                <w:kern w:val="22"/>
                <w:sz w:val="17"/>
                <w:szCs w:val="17"/>
                <w:lang w:val="fr-CA" w:eastAsia="en-CA"/>
              </w:rPr>
              <w:t>2</w:t>
            </w:r>
          </w:p>
        </w:tc>
      </w:tr>
      <w:tr w:rsidR="00362666" w:rsidRPr="00EE0850" w14:paraId="1584B64D" w14:textId="77777777" w:rsidTr="001D6920">
        <w:trPr>
          <w:trHeight w:val="261"/>
          <w:jc w:val="center"/>
        </w:trPr>
        <w:tc>
          <w:tcPr>
            <w:tcW w:w="450" w:type="dxa"/>
            <w:tcBorders>
              <w:top w:val="nil"/>
              <w:left w:val="nil"/>
              <w:bottom w:val="nil"/>
              <w:right w:val="nil"/>
            </w:tcBorders>
            <w:shd w:val="clear" w:color="auto" w:fill="auto"/>
            <w:noWrap/>
            <w:vAlign w:val="center"/>
            <w:hideMark/>
          </w:tcPr>
          <w:p w14:paraId="2DA7B2C0" w14:textId="77777777" w:rsidR="00362666" w:rsidRPr="00EE0850" w:rsidRDefault="00362666" w:rsidP="00362666">
            <w:pPr>
              <w:spacing w:after="0" w:line="240" w:lineRule="auto"/>
              <w:jc w:val="right"/>
              <w:rPr>
                <w:b/>
                <w:bCs/>
                <w:color w:val="000000"/>
                <w:kern w:val="22"/>
                <w:sz w:val="17"/>
                <w:szCs w:val="17"/>
                <w:lang w:eastAsia="en-CA"/>
              </w:rPr>
            </w:pPr>
          </w:p>
        </w:tc>
        <w:tc>
          <w:tcPr>
            <w:tcW w:w="5988" w:type="dxa"/>
            <w:gridSpan w:val="2"/>
            <w:tcBorders>
              <w:top w:val="nil"/>
              <w:left w:val="nil"/>
              <w:bottom w:val="single" w:sz="4" w:space="0" w:color="auto"/>
              <w:right w:val="nil"/>
            </w:tcBorders>
            <w:shd w:val="clear" w:color="auto" w:fill="auto"/>
            <w:vAlign w:val="center"/>
            <w:hideMark/>
          </w:tcPr>
          <w:p w14:paraId="15814A44" w14:textId="224B77CF" w:rsidR="00362666" w:rsidRPr="00EE0850" w:rsidRDefault="00362666" w:rsidP="00362666">
            <w:pPr>
              <w:spacing w:after="0" w:line="240" w:lineRule="auto"/>
              <w:rPr>
                <w:b/>
                <w:bCs/>
                <w:kern w:val="22"/>
                <w:sz w:val="17"/>
                <w:szCs w:val="17"/>
                <w:lang w:eastAsia="en-CA"/>
              </w:rPr>
            </w:pPr>
            <w:r>
              <w:rPr>
                <w:b/>
                <w:bCs/>
                <w:kern w:val="22"/>
                <w:sz w:val="17"/>
                <w:szCs w:val="17"/>
                <w:lang w:val="fr-CA" w:eastAsia="en-CA"/>
              </w:rPr>
              <w:t>Sous-total</w:t>
            </w:r>
            <w:r w:rsidRPr="00E02578">
              <w:rPr>
                <w:b/>
                <w:bCs/>
                <w:kern w:val="22"/>
                <w:sz w:val="17"/>
                <w:szCs w:val="17"/>
                <w:lang w:val="fr-CA" w:eastAsia="en-CA"/>
              </w:rPr>
              <w:t xml:space="preserve"> (I + II)</w:t>
            </w:r>
          </w:p>
        </w:tc>
        <w:tc>
          <w:tcPr>
            <w:tcW w:w="1176" w:type="dxa"/>
            <w:tcBorders>
              <w:top w:val="nil"/>
              <w:left w:val="nil"/>
              <w:bottom w:val="single" w:sz="4" w:space="0" w:color="auto"/>
              <w:right w:val="nil"/>
            </w:tcBorders>
            <w:shd w:val="clear" w:color="auto" w:fill="auto"/>
            <w:vAlign w:val="center"/>
            <w:hideMark/>
          </w:tcPr>
          <w:p w14:paraId="1C0AD65E" w14:textId="64740585" w:rsidR="00362666" w:rsidRPr="00EE0850" w:rsidRDefault="00362666" w:rsidP="00362666">
            <w:pPr>
              <w:spacing w:after="0" w:line="240" w:lineRule="auto"/>
              <w:jc w:val="right"/>
              <w:rPr>
                <w:b/>
                <w:bCs/>
                <w:kern w:val="22"/>
                <w:sz w:val="17"/>
                <w:szCs w:val="17"/>
                <w:lang w:eastAsia="en-CA"/>
              </w:rPr>
            </w:pPr>
            <w:r w:rsidRPr="00E02578">
              <w:rPr>
                <w:b/>
                <w:bCs/>
                <w:kern w:val="22"/>
                <w:sz w:val="17"/>
                <w:szCs w:val="17"/>
                <w:lang w:val="fr-CA" w:eastAsia="en-CA"/>
              </w:rPr>
              <w:t>18 892</w:t>
            </w:r>
            <w:r>
              <w:rPr>
                <w:b/>
                <w:bCs/>
                <w:kern w:val="22"/>
                <w:sz w:val="17"/>
                <w:szCs w:val="17"/>
                <w:lang w:val="fr-CA" w:eastAsia="en-CA"/>
              </w:rPr>
              <w:t>,</w:t>
            </w:r>
            <w:r w:rsidRPr="00E02578">
              <w:rPr>
                <w:b/>
                <w:bCs/>
                <w:kern w:val="22"/>
                <w:sz w:val="17"/>
                <w:szCs w:val="17"/>
                <w:lang w:val="fr-CA" w:eastAsia="en-CA"/>
              </w:rPr>
              <w:t>4</w:t>
            </w:r>
          </w:p>
        </w:tc>
        <w:tc>
          <w:tcPr>
            <w:tcW w:w="1176" w:type="dxa"/>
            <w:tcBorders>
              <w:top w:val="nil"/>
              <w:left w:val="nil"/>
              <w:bottom w:val="single" w:sz="4" w:space="0" w:color="auto"/>
              <w:right w:val="nil"/>
            </w:tcBorders>
            <w:shd w:val="clear" w:color="auto" w:fill="auto"/>
            <w:vAlign w:val="center"/>
            <w:hideMark/>
          </w:tcPr>
          <w:p w14:paraId="66CE8872" w14:textId="156325FB" w:rsidR="00362666" w:rsidRPr="00EE0850" w:rsidRDefault="00362666" w:rsidP="00362666">
            <w:pPr>
              <w:spacing w:after="0" w:line="240" w:lineRule="auto"/>
              <w:jc w:val="right"/>
              <w:rPr>
                <w:b/>
                <w:bCs/>
                <w:kern w:val="22"/>
                <w:sz w:val="17"/>
                <w:szCs w:val="17"/>
                <w:lang w:eastAsia="en-CA"/>
              </w:rPr>
            </w:pPr>
            <w:r w:rsidRPr="00E02578">
              <w:rPr>
                <w:b/>
                <w:bCs/>
                <w:kern w:val="22"/>
                <w:sz w:val="17"/>
                <w:szCs w:val="17"/>
                <w:lang w:val="fr-CA" w:eastAsia="en-CA"/>
              </w:rPr>
              <w:t>19 764</w:t>
            </w:r>
            <w:r>
              <w:rPr>
                <w:b/>
                <w:bCs/>
                <w:kern w:val="22"/>
                <w:sz w:val="17"/>
                <w:szCs w:val="17"/>
                <w:lang w:val="fr-CA" w:eastAsia="en-CA"/>
              </w:rPr>
              <w:t>,</w:t>
            </w:r>
            <w:r w:rsidRPr="00E02578">
              <w:rPr>
                <w:b/>
                <w:bCs/>
                <w:kern w:val="22"/>
                <w:sz w:val="17"/>
                <w:szCs w:val="17"/>
                <w:lang w:val="fr-CA" w:eastAsia="en-CA"/>
              </w:rPr>
              <w:t>4</w:t>
            </w:r>
          </w:p>
        </w:tc>
        <w:tc>
          <w:tcPr>
            <w:tcW w:w="1176" w:type="dxa"/>
            <w:tcBorders>
              <w:top w:val="nil"/>
              <w:left w:val="nil"/>
              <w:bottom w:val="single" w:sz="4" w:space="0" w:color="auto"/>
              <w:right w:val="nil"/>
            </w:tcBorders>
            <w:shd w:val="clear" w:color="auto" w:fill="auto"/>
            <w:vAlign w:val="center"/>
            <w:hideMark/>
          </w:tcPr>
          <w:p w14:paraId="1C557560" w14:textId="1019982B" w:rsidR="00362666" w:rsidRPr="00EE0850" w:rsidRDefault="00362666" w:rsidP="00362666">
            <w:pPr>
              <w:spacing w:after="0" w:line="240" w:lineRule="auto"/>
              <w:jc w:val="right"/>
              <w:rPr>
                <w:b/>
                <w:bCs/>
                <w:kern w:val="22"/>
                <w:sz w:val="17"/>
                <w:szCs w:val="17"/>
                <w:lang w:eastAsia="en-CA"/>
              </w:rPr>
            </w:pPr>
            <w:r w:rsidRPr="00E02578">
              <w:rPr>
                <w:b/>
                <w:bCs/>
                <w:kern w:val="22"/>
                <w:sz w:val="17"/>
                <w:szCs w:val="17"/>
                <w:lang w:val="fr-CA" w:eastAsia="en-CA"/>
              </w:rPr>
              <w:t>38 656</w:t>
            </w:r>
            <w:r>
              <w:rPr>
                <w:b/>
                <w:bCs/>
                <w:kern w:val="22"/>
                <w:sz w:val="17"/>
                <w:szCs w:val="17"/>
                <w:lang w:val="fr-CA" w:eastAsia="en-CA"/>
              </w:rPr>
              <w:t>,</w:t>
            </w:r>
            <w:r w:rsidRPr="00E02578">
              <w:rPr>
                <w:b/>
                <w:bCs/>
                <w:kern w:val="22"/>
                <w:sz w:val="17"/>
                <w:szCs w:val="17"/>
                <w:lang w:val="fr-CA" w:eastAsia="en-CA"/>
              </w:rPr>
              <w:t>8</w:t>
            </w:r>
          </w:p>
        </w:tc>
      </w:tr>
      <w:tr w:rsidR="00362666" w:rsidRPr="00EE0850" w14:paraId="6AFAEFD3" w14:textId="77777777" w:rsidTr="001D6920">
        <w:trPr>
          <w:trHeight w:val="261"/>
          <w:jc w:val="center"/>
        </w:trPr>
        <w:tc>
          <w:tcPr>
            <w:tcW w:w="450" w:type="dxa"/>
            <w:tcBorders>
              <w:top w:val="nil"/>
              <w:left w:val="nil"/>
              <w:bottom w:val="nil"/>
              <w:right w:val="nil"/>
            </w:tcBorders>
            <w:shd w:val="clear" w:color="auto" w:fill="auto"/>
            <w:noWrap/>
            <w:vAlign w:val="center"/>
            <w:hideMark/>
          </w:tcPr>
          <w:p w14:paraId="1F5253F5" w14:textId="77777777" w:rsidR="00362666" w:rsidRPr="00EE0850" w:rsidRDefault="00362666" w:rsidP="00362666">
            <w:pPr>
              <w:spacing w:after="0" w:line="240" w:lineRule="auto"/>
              <w:jc w:val="right"/>
              <w:rPr>
                <w:b/>
                <w:bCs/>
                <w:color w:val="000000"/>
                <w:kern w:val="22"/>
                <w:sz w:val="17"/>
                <w:szCs w:val="17"/>
                <w:lang w:eastAsia="en-CA"/>
              </w:rPr>
            </w:pPr>
            <w:r w:rsidRPr="00EE0850">
              <w:rPr>
                <w:b/>
                <w:bCs/>
                <w:color w:val="000000"/>
                <w:kern w:val="22"/>
                <w:sz w:val="17"/>
                <w:szCs w:val="17"/>
                <w:lang w:eastAsia="en-CA"/>
              </w:rPr>
              <w:t>III</w:t>
            </w:r>
          </w:p>
        </w:tc>
        <w:tc>
          <w:tcPr>
            <w:tcW w:w="5988" w:type="dxa"/>
            <w:gridSpan w:val="2"/>
            <w:tcBorders>
              <w:top w:val="single" w:sz="4" w:space="0" w:color="auto"/>
              <w:left w:val="nil"/>
              <w:bottom w:val="nil"/>
              <w:right w:val="nil"/>
            </w:tcBorders>
            <w:shd w:val="clear" w:color="auto" w:fill="auto"/>
            <w:vAlign w:val="center"/>
            <w:hideMark/>
          </w:tcPr>
          <w:p w14:paraId="346BA962" w14:textId="3AE18D99" w:rsidR="00362666" w:rsidRPr="00362666" w:rsidRDefault="00362666" w:rsidP="00362666">
            <w:pPr>
              <w:spacing w:after="0" w:line="240" w:lineRule="auto"/>
              <w:rPr>
                <w:kern w:val="22"/>
                <w:sz w:val="17"/>
                <w:szCs w:val="17"/>
                <w:lang w:val="fr-CA" w:eastAsia="en-CA"/>
              </w:rPr>
            </w:pPr>
            <w:r>
              <w:rPr>
                <w:kern w:val="22"/>
                <w:sz w:val="17"/>
                <w:szCs w:val="17"/>
                <w:lang w:val="fr-CA" w:eastAsia="en-CA"/>
              </w:rPr>
              <w:t>Réserve du Fonds de roulement</w:t>
            </w:r>
          </w:p>
        </w:tc>
        <w:tc>
          <w:tcPr>
            <w:tcW w:w="1176" w:type="dxa"/>
            <w:tcBorders>
              <w:top w:val="nil"/>
              <w:left w:val="nil"/>
              <w:bottom w:val="nil"/>
              <w:right w:val="nil"/>
            </w:tcBorders>
            <w:shd w:val="clear" w:color="auto" w:fill="auto"/>
            <w:vAlign w:val="center"/>
            <w:hideMark/>
          </w:tcPr>
          <w:p w14:paraId="214DE41A" w14:textId="39360826"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56</w:t>
            </w:r>
            <w:r>
              <w:rPr>
                <w:kern w:val="22"/>
                <w:sz w:val="17"/>
                <w:szCs w:val="17"/>
                <w:lang w:val="fr-CA" w:eastAsia="en-CA"/>
              </w:rPr>
              <w:t>,</w:t>
            </w:r>
            <w:r w:rsidRPr="00E02578">
              <w:rPr>
                <w:kern w:val="22"/>
                <w:sz w:val="17"/>
                <w:szCs w:val="17"/>
                <w:lang w:val="fr-CA" w:eastAsia="en-CA"/>
              </w:rPr>
              <w:t>6</w:t>
            </w:r>
          </w:p>
        </w:tc>
        <w:tc>
          <w:tcPr>
            <w:tcW w:w="1176" w:type="dxa"/>
            <w:tcBorders>
              <w:top w:val="nil"/>
              <w:left w:val="nil"/>
              <w:bottom w:val="nil"/>
              <w:right w:val="nil"/>
            </w:tcBorders>
            <w:shd w:val="clear" w:color="auto" w:fill="auto"/>
            <w:vAlign w:val="center"/>
            <w:hideMark/>
          </w:tcPr>
          <w:p w14:paraId="44348892" w14:textId="78E3D218"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130</w:t>
            </w:r>
            <w:r>
              <w:rPr>
                <w:kern w:val="22"/>
                <w:sz w:val="17"/>
                <w:szCs w:val="17"/>
                <w:lang w:val="fr-CA" w:eastAsia="en-CA"/>
              </w:rPr>
              <w:t>,</w:t>
            </w:r>
            <w:r w:rsidRPr="00E02578">
              <w:rPr>
                <w:kern w:val="22"/>
                <w:sz w:val="17"/>
                <w:szCs w:val="17"/>
                <w:lang w:val="fr-CA" w:eastAsia="en-CA"/>
              </w:rPr>
              <w:t>8</w:t>
            </w:r>
          </w:p>
        </w:tc>
        <w:tc>
          <w:tcPr>
            <w:tcW w:w="1176" w:type="dxa"/>
            <w:tcBorders>
              <w:top w:val="nil"/>
              <w:left w:val="nil"/>
              <w:bottom w:val="nil"/>
              <w:right w:val="nil"/>
            </w:tcBorders>
            <w:shd w:val="clear" w:color="auto" w:fill="auto"/>
            <w:vAlign w:val="center"/>
            <w:hideMark/>
          </w:tcPr>
          <w:p w14:paraId="2E681BB0" w14:textId="2F27A6B6"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187</w:t>
            </w:r>
            <w:r>
              <w:rPr>
                <w:kern w:val="22"/>
                <w:sz w:val="17"/>
                <w:szCs w:val="17"/>
                <w:lang w:val="fr-CA" w:eastAsia="en-CA"/>
              </w:rPr>
              <w:t>,</w:t>
            </w:r>
            <w:r w:rsidRPr="00E02578">
              <w:rPr>
                <w:kern w:val="22"/>
                <w:sz w:val="17"/>
                <w:szCs w:val="17"/>
                <w:lang w:val="fr-CA" w:eastAsia="en-CA"/>
              </w:rPr>
              <w:t>3</w:t>
            </w:r>
          </w:p>
        </w:tc>
      </w:tr>
      <w:tr w:rsidR="00362666" w:rsidRPr="00EE0850" w14:paraId="257E77C4" w14:textId="77777777" w:rsidTr="001D6920">
        <w:trPr>
          <w:trHeight w:val="261"/>
          <w:jc w:val="center"/>
        </w:trPr>
        <w:tc>
          <w:tcPr>
            <w:tcW w:w="450" w:type="dxa"/>
            <w:tcBorders>
              <w:top w:val="nil"/>
              <w:left w:val="nil"/>
              <w:bottom w:val="nil"/>
              <w:right w:val="nil"/>
            </w:tcBorders>
            <w:shd w:val="clear" w:color="auto" w:fill="auto"/>
            <w:noWrap/>
            <w:vAlign w:val="center"/>
            <w:hideMark/>
          </w:tcPr>
          <w:p w14:paraId="37CF5708" w14:textId="77777777" w:rsidR="00362666" w:rsidRPr="00EE0850" w:rsidRDefault="00362666" w:rsidP="00362666">
            <w:pPr>
              <w:spacing w:after="0" w:line="240" w:lineRule="auto"/>
              <w:jc w:val="right"/>
              <w:rPr>
                <w:b/>
                <w:bCs/>
                <w:color w:val="000000"/>
                <w:kern w:val="22"/>
                <w:sz w:val="17"/>
                <w:szCs w:val="17"/>
                <w:lang w:eastAsia="en-CA"/>
              </w:rPr>
            </w:pPr>
          </w:p>
        </w:tc>
        <w:tc>
          <w:tcPr>
            <w:tcW w:w="5988" w:type="dxa"/>
            <w:gridSpan w:val="2"/>
            <w:tcBorders>
              <w:top w:val="nil"/>
              <w:left w:val="nil"/>
              <w:bottom w:val="single" w:sz="8" w:space="0" w:color="auto"/>
              <w:right w:val="nil"/>
            </w:tcBorders>
            <w:shd w:val="clear" w:color="auto" w:fill="auto"/>
            <w:vAlign w:val="center"/>
            <w:hideMark/>
          </w:tcPr>
          <w:p w14:paraId="284A9E9B" w14:textId="0FE0A647" w:rsidR="00362666" w:rsidRPr="00EE0850" w:rsidRDefault="00362666" w:rsidP="00362666">
            <w:pPr>
              <w:spacing w:after="0" w:line="240" w:lineRule="auto"/>
              <w:rPr>
                <w:b/>
                <w:bCs/>
                <w:color w:val="000000"/>
                <w:kern w:val="22"/>
                <w:sz w:val="17"/>
                <w:szCs w:val="17"/>
                <w:lang w:eastAsia="en-CA"/>
              </w:rPr>
            </w:pPr>
            <w:r>
              <w:rPr>
                <w:b/>
                <w:bCs/>
                <w:color w:val="000000"/>
                <w:kern w:val="22"/>
                <w:sz w:val="17"/>
                <w:szCs w:val="17"/>
                <w:lang w:val="fr-CA" w:eastAsia="en-CA"/>
              </w:rPr>
              <w:t>Total global</w:t>
            </w:r>
            <w:r w:rsidRPr="00E02578">
              <w:rPr>
                <w:b/>
                <w:bCs/>
                <w:color w:val="000000"/>
                <w:kern w:val="22"/>
                <w:sz w:val="17"/>
                <w:szCs w:val="17"/>
                <w:lang w:val="fr-CA" w:eastAsia="en-CA"/>
              </w:rPr>
              <w:t xml:space="preserve"> (II + III)</w:t>
            </w:r>
          </w:p>
        </w:tc>
        <w:tc>
          <w:tcPr>
            <w:tcW w:w="1176" w:type="dxa"/>
            <w:tcBorders>
              <w:top w:val="nil"/>
              <w:left w:val="nil"/>
              <w:bottom w:val="single" w:sz="8" w:space="0" w:color="auto"/>
              <w:right w:val="nil"/>
            </w:tcBorders>
            <w:shd w:val="clear" w:color="auto" w:fill="auto"/>
            <w:vAlign w:val="center"/>
            <w:hideMark/>
          </w:tcPr>
          <w:p w14:paraId="51B36BD6" w14:textId="17A82001" w:rsidR="00362666" w:rsidRPr="00EE0850" w:rsidRDefault="00362666" w:rsidP="00362666">
            <w:pPr>
              <w:spacing w:after="0" w:line="240" w:lineRule="auto"/>
              <w:jc w:val="right"/>
              <w:rPr>
                <w:b/>
                <w:bCs/>
                <w:color w:val="000000"/>
                <w:kern w:val="22"/>
                <w:sz w:val="17"/>
                <w:szCs w:val="17"/>
                <w:lang w:eastAsia="en-CA"/>
              </w:rPr>
            </w:pPr>
            <w:r w:rsidRPr="00E02578">
              <w:rPr>
                <w:b/>
                <w:bCs/>
                <w:color w:val="000000"/>
                <w:kern w:val="22"/>
                <w:sz w:val="17"/>
                <w:szCs w:val="17"/>
                <w:lang w:val="fr-CA" w:eastAsia="en-CA"/>
              </w:rPr>
              <w:t>18 949</w:t>
            </w:r>
            <w:r>
              <w:rPr>
                <w:b/>
                <w:bCs/>
                <w:color w:val="000000"/>
                <w:kern w:val="22"/>
                <w:sz w:val="17"/>
                <w:szCs w:val="17"/>
                <w:lang w:val="fr-CA" w:eastAsia="en-CA"/>
              </w:rPr>
              <w:t>,</w:t>
            </w:r>
            <w:r w:rsidRPr="00E02578">
              <w:rPr>
                <w:b/>
                <w:bCs/>
                <w:color w:val="000000"/>
                <w:kern w:val="22"/>
                <w:sz w:val="17"/>
                <w:szCs w:val="17"/>
                <w:lang w:val="fr-CA" w:eastAsia="en-CA"/>
              </w:rPr>
              <w:t>0</w:t>
            </w:r>
          </w:p>
        </w:tc>
        <w:tc>
          <w:tcPr>
            <w:tcW w:w="1176" w:type="dxa"/>
            <w:tcBorders>
              <w:top w:val="nil"/>
              <w:left w:val="nil"/>
              <w:bottom w:val="single" w:sz="8" w:space="0" w:color="auto"/>
              <w:right w:val="nil"/>
            </w:tcBorders>
            <w:shd w:val="clear" w:color="auto" w:fill="auto"/>
            <w:vAlign w:val="center"/>
            <w:hideMark/>
          </w:tcPr>
          <w:p w14:paraId="6B3CCE2D" w14:textId="6D32B64C" w:rsidR="00362666" w:rsidRPr="00EE0850" w:rsidRDefault="00362666" w:rsidP="00362666">
            <w:pPr>
              <w:spacing w:after="0" w:line="240" w:lineRule="auto"/>
              <w:jc w:val="right"/>
              <w:rPr>
                <w:b/>
                <w:bCs/>
                <w:color w:val="000000"/>
                <w:kern w:val="22"/>
                <w:sz w:val="17"/>
                <w:szCs w:val="17"/>
                <w:lang w:eastAsia="en-CA"/>
              </w:rPr>
            </w:pPr>
            <w:r w:rsidRPr="00E02578">
              <w:rPr>
                <w:b/>
                <w:bCs/>
                <w:color w:val="000000"/>
                <w:kern w:val="22"/>
                <w:sz w:val="17"/>
                <w:szCs w:val="17"/>
                <w:lang w:val="fr-CA" w:eastAsia="en-CA"/>
              </w:rPr>
              <w:t>19 895</w:t>
            </w:r>
            <w:r>
              <w:rPr>
                <w:b/>
                <w:bCs/>
                <w:color w:val="000000"/>
                <w:kern w:val="22"/>
                <w:sz w:val="17"/>
                <w:szCs w:val="17"/>
                <w:lang w:val="fr-CA" w:eastAsia="en-CA"/>
              </w:rPr>
              <w:t>,</w:t>
            </w:r>
            <w:r w:rsidRPr="00E02578">
              <w:rPr>
                <w:b/>
                <w:bCs/>
                <w:color w:val="000000"/>
                <w:kern w:val="22"/>
                <w:sz w:val="17"/>
                <w:szCs w:val="17"/>
                <w:lang w:val="fr-CA" w:eastAsia="en-CA"/>
              </w:rPr>
              <w:t>1</w:t>
            </w:r>
          </w:p>
        </w:tc>
        <w:tc>
          <w:tcPr>
            <w:tcW w:w="1176" w:type="dxa"/>
            <w:tcBorders>
              <w:top w:val="nil"/>
              <w:left w:val="nil"/>
              <w:bottom w:val="single" w:sz="8" w:space="0" w:color="auto"/>
              <w:right w:val="nil"/>
            </w:tcBorders>
            <w:shd w:val="clear" w:color="auto" w:fill="auto"/>
            <w:vAlign w:val="center"/>
            <w:hideMark/>
          </w:tcPr>
          <w:p w14:paraId="16BE8199" w14:textId="0542A46B" w:rsidR="00362666" w:rsidRPr="00EE0850" w:rsidRDefault="00362666" w:rsidP="00362666">
            <w:pPr>
              <w:spacing w:after="0" w:line="240" w:lineRule="auto"/>
              <w:jc w:val="right"/>
              <w:rPr>
                <w:b/>
                <w:bCs/>
                <w:color w:val="000000"/>
                <w:kern w:val="22"/>
                <w:sz w:val="17"/>
                <w:szCs w:val="17"/>
                <w:lang w:eastAsia="en-CA"/>
              </w:rPr>
            </w:pPr>
            <w:r w:rsidRPr="00E02578">
              <w:rPr>
                <w:b/>
                <w:bCs/>
                <w:color w:val="000000"/>
                <w:kern w:val="22"/>
                <w:sz w:val="17"/>
                <w:szCs w:val="17"/>
                <w:lang w:val="fr-CA" w:eastAsia="en-CA"/>
              </w:rPr>
              <w:t>38 844</w:t>
            </w:r>
            <w:r>
              <w:rPr>
                <w:b/>
                <w:bCs/>
                <w:color w:val="000000"/>
                <w:kern w:val="22"/>
                <w:sz w:val="17"/>
                <w:szCs w:val="17"/>
                <w:lang w:val="fr-CA" w:eastAsia="en-CA"/>
              </w:rPr>
              <w:t>,</w:t>
            </w:r>
            <w:r w:rsidRPr="00E02578">
              <w:rPr>
                <w:b/>
                <w:bCs/>
                <w:color w:val="000000"/>
                <w:kern w:val="22"/>
                <w:sz w:val="17"/>
                <w:szCs w:val="17"/>
                <w:lang w:val="fr-CA" w:eastAsia="en-CA"/>
              </w:rPr>
              <w:t>1</w:t>
            </w:r>
          </w:p>
        </w:tc>
      </w:tr>
      <w:tr w:rsidR="00362666" w:rsidRPr="00EE0850" w14:paraId="2DE1CAF1" w14:textId="77777777" w:rsidTr="001D6920">
        <w:trPr>
          <w:trHeight w:val="432"/>
          <w:jc w:val="center"/>
        </w:trPr>
        <w:tc>
          <w:tcPr>
            <w:tcW w:w="450" w:type="dxa"/>
            <w:tcBorders>
              <w:top w:val="nil"/>
              <w:left w:val="nil"/>
              <w:bottom w:val="nil"/>
              <w:right w:val="nil"/>
            </w:tcBorders>
            <w:shd w:val="clear" w:color="auto" w:fill="auto"/>
            <w:noWrap/>
            <w:vAlign w:val="center"/>
            <w:hideMark/>
          </w:tcPr>
          <w:p w14:paraId="7FC561FB" w14:textId="77777777" w:rsidR="00362666" w:rsidRPr="00EE0850" w:rsidRDefault="00362666" w:rsidP="00362666">
            <w:pPr>
              <w:spacing w:after="0" w:line="240" w:lineRule="auto"/>
              <w:jc w:val="right"/>
              <w:rPr>
                <w:color w:val="000000"/>
                <w:kern w:val="22"/>
                <w:sz w:val="17"/>
                <w:szCs w:val="17"/>
                <w:lang w:eastAsia="en-CA"/>
              </w:rPr>
            </w:pPr>
          </w:p>
        </w:tc>
        <w:tc>
          <w:tcPr>
            <w:tcW w:w="5988" w:type="dxa"/>
            <w:gridSpan w:val="2"/>
            <w:tcBorders>
              <w:top w:val="single" w:sz="8" w:space="0" w:color="auto"/>
              <w:left w:val="nil"/>
              <w:bottom w:val="single" w:sz="8" w:space="0" w:color="auto"/>
              <w:right w:val="nil"/>
            </w:tcBorders>
            <w:shd w:val="clear" w:color="auto" w:fill="auto"/>
            <w:vAlign w:val="center"/>
            <w:hideMark/>
          </w:tcPr>
          <w:p w14:paraId="524CDAD6" w14:textId="641B8406" w:rsidR="00362666" w:rsidRPr="00362666" w:rsidRDefault="00362666" w:rsidP="00362666">
            <w:pPr>
              <w:spacing w:after="0" w:line="240" w:lineRule="auto"/>
              <w:jc w:val="left"/>
              <w:rPr>
                <w:kern w:val="22"/>
                <w:sz w:val="17"/>
                <w:szCs w:val="17"/>
                <w:lang w:val="fr-CA" w:eastAsia="en-CA"/>
              </w:rPr>
            </w:pPr>
            <w:r>
              <w:rPr>
                <w:kern w:val="22"/>
                <w:sz w:val="17"/>
                <w:szCs w:val="17"/>
                <w:lang w:val="fr-CA" w:eastAsia="en-CA"/>
              </w:rPr>
              <w:t>Part du Protocole de Nagoya du budget intégré</w:t>
            </w:r>
            <w:r w:rsidRPr="00E02578">
              <w:rPr>
                <w:kern w:val="22"/>
                <w:sz w:val="17"/>
                <w:szCs w:val="17"/>
                <w:lang w:val="fr-CA" w:eastAsia="en-CA"/>
              </w:rPr>
              <w:t xml:space="preserve"> (11</w:t>
            </w:r>
            <w:r>
              <w:rPr>
                <w:kern w:val="22"/>
                <w:sz w:val="17"/>
                <w:szCs w:val="17"/>
                <w:lang w:val="fr-CA" w:eastAsia="en-CA"/>
              </w:rPr>
              <w:t xml:space="preserve"> </w:t>
            </w:r>
            <w:r w:rsidRPr="00E02578">
              <w:rPr>
                <w:kern w:val="22"/>
                <w:sz w:val="17"/>
                <w:szCs w:val="17"/>
                <w:lang w:val="fr-CA" w:eastAsia="en-CA"/>
              </w:rPr>
              <w:t>%)</w:t>
            </w:r>
          </w:p>
        </w:tc>
        <w:tc>
          <w:tcPr>
            <w:tcW w:w="1176" w:type="dxa"/>
            <w:tcBorders>
              <w:top w:val="nil"/>
              <w:left w:val="nil"/>
              <w:bottom w:val="single" w:sz="8" w:space="0" w:color="auto"/>
              <w:right w:val="nil"/>
            </w:tcBorders>
            <w:shd w:val="clear" w:color="auto" w:fill="auto"/>
            <w:vAlign w:val="center"/>
            <w:hideMark/>
          </w:tcPr>
          <w:p w14:paraId="697418EF" w14:textId="611F0407"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2 084</w:t>
            </w:r>
            <w:r>
              <w:rPr>
                <w:kern w:val="22"/>
                <w:sz w:val="17"/>
                <w:szCs w:val="17"/>
                <w:lang w:val="fr-CA" w:eastAsia="en-CA"/>
              </w:rPr>
              <w:t>,</w:t>
            </w:r>
            <w:r w:rsidRPr="00E02578">
              <w:rPr>
                <w:kern w:val="22"/>
                <w:sz w:val="17"/>
                <w:szCs w:val="17"/>
                <w:lang w:val="fr-CA" w:eastAsia="en-CA"/>
              </w:rPr>
              <w:t xml:space="preserve">4 </w:t>
            </w:r>
          </w:p>
        </w:tc>
        <w:tc>
          <w:tcPr>
            <w:tcW w:w="1176" w:type="dxa"/>
            <w:tcBorders>
              <w:top w:val="nil"/>
              <w:left w:val="nil"/>
              <w:bottom w:val="single" w:sz="8" w:space="0" w:color="auto"/>
              <w:right w:val="nil"/>
            </w:tcBorders>
            <w:shd w:val="clear" w:color="auto" w:fill="auto"/>
            <w:vAlign w:val="center"/>
            <w:hideMark/>
          </w:tcPr>
          <w:p w14:paraId="25ED76D2" w14:textId="2565F313"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2 188</w:t>
            </w:r>
            <w:r>
              <w:rPr>
                <w:kern w:val="22"/>
                <w:sz w:val="17"/>
                <w:szCs w:val="17"/>
                <w:lang w:val="fr-CA" w:eastAsia="en-CA"/>
              </w:rPr>
              <w:t>,</w:t>
            </w:r>
            <w:r w:rsidRPr="00E02578">
              <w:rPr>
                <w:kern w:val="22"/>
                <w:sz w:val="17"/>
                <w:szCs w:val="17"/>
                <w:lang w:val="fr-CA" w:eastAsia="en-CA"/>
              </w:rPr>
              <w:t xml:space="preserve">5 </w:t>
            </w:r>
          </w:p>
        </w:tc>
        <w:tc>
          <w:tcPr>
            <w:tcW w:w="1176" w:type="dxa"/>
            <w:tcBorders>
              <w:top w:val="nil"/>
              <w:left w:val="nil"/>
              <w:bottom w:val="single" w:sz="8" w:space="0" w:color="auto"/>
              <w:right w:val="nil"/>
            </w:tcBorders>
            <w:shd w:val="clear" w:color="auto" w:fill="auto"/>
            <w:vAlign w:val="center"/>
            <w:hideMark/>
          </w:tcPr>
          <w:p w14:paraId="21F422A5" w14:textId="2E6071E0"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4 272</w:t>
            </w:r>
            <w:r>
              <w:rPr>
                <w:kern w:val="22"/>
                <w:sz w:val="17"/>
                <w:szCs w:val="17"/>
                <w:lang w:val="fr-CA" w:eastAsia="en-CA"/>
              </w:rPr>
              <w:t>,</w:t>
            </w:r>
            <w:r w:rsidRPr="00E02578">
              <w:rPr>
                <w:kern w:val="22"/>
                <w:sz w:val="17"/>
                <w:szCs w:val="17"/>
                <w:lang w:val="fr-CA" w:eastAsia="en-CA"/>
              </w:rPr>
              <w:t xml:space="preserve">9 </w:t>
            </w:r>
          </w:p>
        </w:tc>
      </w:tr>
      <w:tr w:rsidR="00362666" w:rsidRPr="00EE0850" w14:paraId="104CB8F5" w14:textId="77777777" w:rsidTr="001D6920">
        <w:trPr>
          <w:trHeight w:val="261"/>
          <w:jc w:val="center"/>
        </w:trPr>
        <w:tc>
          <w:tcPr>
            <w:tcW w:w="450" w:type="dxa"/>
            <w:tcBorders>
              <w:top w:val="nil"/>
              <w:left w:val="nil"/>
              <w:bottom w:val="nil"/>
              <w:right w:val="nil"/>
            </w:tcBorders>
            <w:shd w:val="clear" w:color="auto" w:fill="auto"/>
            <w:noWrap/>
            <w:vAlign w:val="center"/>
            <w:hideMark/>
          </w:tcPr>
          <w:p w14:paraId="4A333F77" w14:textId="77777777" w:rsidR="00362666" w:rsidRPr="00EE0850" w:rsidRDefault="00362666" w:rsidP="00362666">
            <w:pPr>
              <w:spacing w:after="0" w:line="240" w:lineRule="auto"/>
              <w:jc w:val="right"/>
              <w:rPr>
                <w:color w:val="000000"/>
                <w:kern w:val="22"/>
                <w:sz w:val="17"/>
                <w:szCs w:val="17"/>
                <w:lang w:eastAsia="en-CA"/>
              </w:rPr>
            </w:pPr>
          </w:p>
        </w:tc>
        <w:tc>
          <w:tcPr>
            <w:tcW w:w="5988" w:type="dxa"/>
            <w:gridSpan w:val="2"/>
            <w:tcBorders>
              <w:top w:val="nil"/>
              <w:left w:val="nil"/>
              <w:bottom w:val="nil"/>
              <w:right w:val="nil"/>
            </w:tcBorders>
            <w:shd w:val="clear" w:color="auto" w:fill="auto"/>
            <w:vAlign w:val="center"/>
            <w:hideMark/>
          </w:tcPr>
          <w:p w14:paraId="2B168FC0" w14:textId="4910FDA3" w:rsidR="00362666" w:rsidRPr="00362666" w:rsidRDefault="00362666" w:rsidP="00362666">
            <w:pPr>
              <w:spacing w:after="0" w:line="240" w:lineRule="auto"/>
              <w:rPr>
                <w:kern w:val="22"/>
                <w:sz w:val="17"/>
                <w:szCs w:val="17"/>
                <w:lang w:val="fr-CA" w:eastAsia="en-CA"/>
              </w:rPr>
            </w:pPr>
            <w:r w:rsidRPr="000D3C0F">
              <w:rPr>
                <w:kern w:val="22"/>
                <w:sz w:val="17"/>
                <w:szCs w:val="17"/>
                <w:u w:val="single"/>
                <w:lang w:val="fr-CA" w:eastAsia="en-CA"/>
              </w:rPr>
              <w:t>Moins</w:t>
            </w:r>
            <w:r>
              <w:rPr>
                <w:kern w:val="22"/>
                <w:sz w:val="17"/>
                <w:szCs w:val="17"/>
                <w:lang w:val="fr-CA" w:eastAsia="en-CA"/>
              </w:rPr>
              <w:t> : Contribution du pays hôte</w:t>
            </w:r>
            <w:r w:rsidRPr="0017200F">
              <w:rPr>
                <w:kern w:val="22"/>
                <w:sz w:val="17"/>
                <w:szCs w:val="17"/>
                <w:vertAlign w:val="superscript"/>
                <w:lang w:val="fr-CA" w:eastAsia="en-CA"/>
              </w:rPr>
              <w:t>5</w:t>
            </w:r>
            <w:r w:rsidRPr="00E02578">
              <w:rPr>
                <w:kern w:val="22"/>
                <w:sz w:val="17"/>
                <w:szCs w:val="17"/>
                <w:vertAlign w:val="superscript"/>
                <w:lang w:val="fr-CA" w:eastAsia="en-CA"/>
              </w:rPr>
              <w:t>/</w:t>
            </w:r>
          </w:p>
        </w:tc>
        <w:tc>
          <w:tcPr>
            <w:tcW w:w="1176" w:type="dxa"/>
            <w:tcBorders>
              <w:top w:val="nil"/>
              <w:left w:val="nil"/>
              <w:bottom w:val="nil"/>
              <w:right w:val="nil"/>
            </w:tcBorders>
            <w:shd w:val="clear" w:color="auto" w:fill="auto"/>
            <w:vAlign w:val="center"/>
            <w:hideMark/>
          </w:tcPr>
          <w:p w14:paraId="1B957239" w14:textId="2DB34A35"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(135</w:t>
            </w:r>
            <w:r>
              <w:rPr>
                <w:kern w:val="22"/>
                <w:sz w:val="17"/>
                <w:szCs w:val="17"/>
                <w:lang w:val="fr-CA" w:eastAsia="en-CA"/>
              </w:rPr>
              <w:t>,</w:t>
            </w:r>
            <w:r w:rsidRPr="00E02578">
              <w:rPr>
                <w:kern w:val="22"/>
                <w:sz w:val="17"/>
                <w:szCs w:val="17"/>
                <w:lang w:val="fr-CA" w:eastAsia="en-CA"/>
              </w:rPr>
              <w:t>2)</w:t>
            </w:r>
          </w:p>
        </w:tc>
        <w:tc>
          <w:tcPr>
            <w:tcW w:w="1176" w:type="dxa"/>
            <w:tcBorders>
              <w:top w:val="nil"/>
              <w:left w:val="nil"/>
              <w:bottom w:val="nil"/>
              <w:right w:val="nil"/>
            </w:tcBorders>
            <w:shd w:val="clear" w:color="auto" w:fill="auto"/>
            <w:vAlign w:val="center"/>
            <w:hideMark/>
          </w:tcPr>
          <w:p w14:paraId="4F4BB465" w14:textId="78C635D3"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(156</w:t>
            </w:r>
            <w:r>
              <w:rPr>
                <w:kern w:val="22"/>
                <w:sz w:val="17"/>
                <w:szCs w:val="17"/>
                <w:lang w:val="fr-CA" w:eastAsia="en-CA"/>
              </w:rPr>
              <w:t>,</w:t>
            </w:r>
            <w:r w:rsidRPr="00E02578">
              <w:rPr>
                <w:kern w:val="22"/>
                <w:sz w:val="17"/>
                <w:szCs w:val="17"/>
                <w:lang w:val="fr-CA" w:eastAsia="en-CA"/>
              </w:rPr>
              <w:t>6)</w:t>
            </w:r>
          </w:p>
        </w:tc>
        <w:tc>
          <w:tcPr>
            <w:tcW w:w="1176" w:type="dxa"/>
            <w:tcBorders>
              <w:top w:val="nil"/>
              <w:left w:val="nil"/>
              <w:bottom w:val="nil"/>
              <w:right w:val="nil"/>
            </w:tcBorders>
            <w:shd w:val="clear" w:color="auto" w:fill="auto"/>
            <w:vAlign w:val="center"/>
            <w:hideMark/>
          </w:tcPr>
          <w:p w14:paraId="26546FAB" w14:textId="4CEB2E10"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(291</w:t>
            </w:r>
            <w:r>
              <w:rPr>
                <w:kern w:val="22"/>
                <w:sz w:val="17"/>
                <w:szCs w:val="17"/>
                <w:lang w:val="fr-CA" w:eastAsia="en-CA"/>
              </w:rPr>
              <w:t>,</w:t>
            </w:r>
            <w:r w:rsidRPr="00E02578">
              <w:rPr>
                <w:kern w:val="22"/>
                <w:sz w:val="17"/>
                <w:szCs w:val="17"/>
                <w:lang w:val="fr-CA" w:eastAsia="en-CA"/>
              </w:rPr>
              <w:t>8)</w:t>
            </w:r>
          </w:p>
        </w:tc>
      </w:tr>
      <w:tr w:rsidR="00362666" w:rsidRPr="00EE0850" w14:paraId="4F048307" w14:textId="77777777" w:rsidTr="001D6920">
        <w:trPr>
          <w:trHeight w:val="261"/>
          <w:jc w:val="center"/>
        </w:trPr>
        <w:tc>
          <w:tcPr>
            <w:tcW w:w="450" w:type="dxa"/>
            <w:tcBorders>
              <w:top w:val="nil"/>
              <w:left w:val="nil"/>
              <w:bottom w:val="nil"/>
              <w:right w:val="nil"/>
            </w:tcBorders>
            <w:shd w:val="clear" w:color="auto" w:fill="auto"/>
            <w:noWrap/>
            <w:vAlign w:val="center"/>
            <w:hideMark/>
          </w:tcPr>
          <w:p w14:paraId="6A604D91" w14:textId="77777777" w:rsidR="00362666" w:rsidRPr="00EE0850" w:rsidRDefault="00362666" w:rsidP="00362666">
            <w:pPr>
              <w:spacing w:after="0" w:line="240" w:lineRule="auto"/>
              <w:jc w:val="right"/>
              <w:rPr>
                <w:color w:val="000000"/>
                <w:kern w:val="22"/>
                <w:sz w:val="17"/>
                <w:szCs w:val="17"/>
                <w:lang w:eastAsia="en-CA"/>
              </w:rPr>
            </w:pPr>
          </w:p>
        </w:tc>
        <w:tc>
          <w:tcPr>
            <w:tcW w:w="5988" w:type="dxa"/>
            <w:gridSpan w:val="2"/>
            <w:tcBorders>
              <w:top w:val="nil"/>
              <w:left w:val="nil"/>
              <w:bottom w:val="nil"/>
              <w:right w:val="nil"/>
            </w:tcBorders>
            <w:shd w:val="clear" w:color="auto" w:fill="auto"/>
            <w:vAlign w:val="center"/>
            <w:hideMark/>
          </w:tcPr>
          <w:p w14:paraId="0B8CA738" w14:textId="0E30509B" w:rsidR="00362666" w:rsidRPr="00362666" w:rsidRDefault="00362666" w:rsidP="00362666">
            <w:pPr>
              <w:spacing w:after="0" w:line="240" w:lineRule="auto"/>
              <w:rPr>
                <w:kern w:val="22"/>
                <w:sz w:val="17"/>
                <w:szCs w:val="17"/>
                <w:lang w:val="fr-CA" w:eastAsia="en-CA"/>
              </w:rPr>
            </w:pPr>
            <w:r w:rsidRPr="00F24602">
              <w:rPr>
                <w:color w:val="000000"/>
                <w:kern w:val="22"/>
                <w:sz w:val="17"/>
                <w:szCs w:val="17"/>
                <w:u w:val="single"/>
                <w:lang w:val="fr-CA" w:eastAsia="en-CA"/>
              </w:rPr>
              <w:t xml:space="preserve">Moins </w:t>
            </w:r>
            <w:r w:rsidRPr="00F24602">
              <w:rPr>
                <w:color w:val="000000"/>
                <w:kern w:val="22"/>
                <w:sz w:val="17"/>
                <w:szCs w:val="17"/>
                <w:lang w:val="fr-CA" w:eastAsia="en-CA"/>
              </w:rPr>
              <w:t xml:space="preserve">:  Utilisation des </w:t>
            </w:r>
            <w:r>
              <w:rPr>
                <w:color w:val="000000"/>
                <w:kern w:val="22"/>
                <w:sz w:val="17"/>
                <w:szCs w:val="17"/>
                <w:lang w:val="fr-CA" w:eastAsia="en-CA"/>
              </w:rPr>
              <w:t>ré</w:t>
            </w:r>
            <w:r w:rsidRPr="00F24602">
              <w:rPr>
                <w:color w:val="000000"/>
                <w:kern w:val="22"/>
                <w:sz w:val="17"/>
                <w:szCs w:val="17"/>
                <w:lang w:val="fr-CA" w:eastAsia="en-CA"/>
              </w:rPr>
              <w:t>serves pour les ré</w:t>
            </w:r>
            <w:r>
              <w:rPr>
                <w:color w:val="000000"/>
                <w:kern w:val="22"/>
                <w:sz w:val="17"/>
                <w:szCs w:val="17"/>
                <w:lang w:val="fr-CA" w:eastAsia="en-CA"/>
              </w:rPr>
              <w:t>unions extraordinaires</w:t>
            </w:r>
            <w:r w:rsidRPr="00E02578">
              <w:rPr>
                <w:kern w:val="22"/>
                <w:sz w:val="17"/>
                <w:szCs w:val="17"/>
                <w:vertAlign w:val="superscript"/>
                <w:lang w:val="fr-CA" w:eastAsia="en-CA"/>
              </w:rPr>
              <w:t>/4</w:t>
            </w:r>
          </w:p>
        </w:tc>
        <w:tc>
          <w:tcPr>
            <w:tcW w:w="1176" w:type="dxa"/>
            <w:tcBorders>
              <w:top w:val="nil"/>
              <w:left w:val="nil"/>
              <w:bottom w:val="nil"/>
              <w:right w:val="nil"/>
            </w:tcBorders>
            <w:shd w:val="clear" w:color="auto" w:fill="auto"/>
            <w:vAlign w:val="center"/>
            <w:hideMark/>
          </w:tcPr>
          <w:p w14:paraId="2DF7C645" w14:textId="4C450F9B"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(93</w:t>
            </w:r>
            <w:r>
              <w:rPr>
                <w:kern w:val="22"/>
                <w:sz w:val="17"/>
                <w:szCs w:val="17"/>
                <w:lang w:val="fr-CA" w:eastAsia="en-CA"/>
              </w:rPr>
              <w:t>,</w:t>
            </w:r>
            <w:r w:rsidRPr="00E02578">
              <w:rPr>
                <w:kern w:val="22"/>
                <w:sz w:val="17"/>
                <w:szCs w:val="17"/>
                <w:lang w:val="fr-CA" w:eastAsia="en-CA"/>
              </w:rPr>
              <w:t>2)</w:t>
            </w:r>
          </w:p>
        </w:tc>
        <w:tc>
          <w:tcPr>
            <w:tcW w:w="1176" w:type="dxa"/>
            <w:tcBorders>
              <w:top w:val="nil"/>
              <w:left w:val="nil"/>
              <w:bottom w:val="nil"/>
              <w:right w:val="nil"/>
            </w:tcBorders>
            <w:shd w:val="clear" w:color="auto" w:fill="auto"/>
            <w:vAlign w:val="center"/>
            <w:hideMark/>
          </w:tcPr>
          <w:p w14:paraId="157DFE04" w14:textId="5F32A857"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(69</w:t>
            </w:r>
            <w:r>
              <w:rPr>
                <w:kern w:val="22"/>
                <w:sz w:val="17"/>
                <w:szCs w:val="17"/>
                <w:lang w:val="fr-CA" w:eastAsia="en-CA"/>
              </w:rPr>
              <w:t>,</w:t>
            </w:r>
            <w:r w:rsidRPr="00E02578">
              <w:rPr>
                <w:kern w:val="22"/>
                <w:sz w:val="17"/>
                <w:szCs w:val="17"/>
                <w:lang w:val="fr-CA" w:eastAsia="en-CA"/>
              </w:rPr>
              <w:t>6)</w:t>
            </w:r>
          </w:p>
        </w:tc>
        <w:tc>
          <w:tcPr>
            <w:tcW w:w="1176" w:type="dxa"/>
            <w:tcBorders>
              <w:top w:val="nil"/>
              <w:left w:val="nil"/>
              <w:bottom w:val="nil"/>
              <w:right w:val="nil"/>
            </w:tcBorders>
            <w:shd w:val="clear" w:color="auto" w:fill="auto"/>
            <w:vAlign w:val="center"/>
            <w:hideMark/>
          </w:tcPr>
          <w:p w14:paraId="1D8694BB" w14:textId="4ABCE6CA"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(162</w:t>
            </w:r>
            <w:r>
              <w:rPr>
                <w:kern w:val="22"/>
                <w:sz w:val="17"/>
                <w:szCs w:val="17"/>
                <w:lang w:val="fr-CA" w:eastAsia="en-CA"/>
              </w:rPr>
              <w:t>,</w:t>
            </w:r>
            <w:r w:rsidRPr="00E02578">
              <w:rPr>
                <w:kern w:val="22"/>
                <w:sz w:val="17"/>
                <w:szCs w:val="17"/>
                <w:lang w:val="fr-CA" w:eastAsia="en-CA"/>
              </w:rPr>
              <w:t>8)</w:t>
            </w:r>
          </w:p>
        </w:tc>
      </w:tr>
      <w:tr w:rsidR="00362666" w:rsidRPr="00EE0850" w14:paraId="6BC9E315" w14:textId="77777777" w:rsidTr="001D6920">
        <w:trPr>
          <w:trHeight w:val="261"/>
          <w:jc w:val="center"/>
        </w:trPr>
        <w:tc>
          <w:tcPr>
            <w:tcW w:w="450" w:type="dxa"/>
            <w:tcBorders>
              <w:top w:val="nil"/>
              <w:left w:val="nil"/>
              <w:bottom w:val="nil"/>
              <w:right w:val="nil"/>
            </w:tcBorders>
            <w:shd w:val="clear" w:color="auto" w:fill="auto"/>
            <w:noWrap/>
            <w:vAlign w:val="center"/>
            <w:hideMark/>
          </w:tcPr>
          <w:p w14:paraId="7B238D1D" w14:textId="77777777" w:rsidR="00362666" w:rsidRPr="00EE0850" w:rsidRDefault="00362666" w:rsidP="00362666">
            <w:pPr>
              <w:spacing w:after="0" w:line="240" w:lineRule="auto"/>
              <w:jc w:val="right"/>
              <w:rPr>
                <w:color w:val="000000"/>
                <w:kern w:val="22"/>
                <w:sz w:val="17"/>
                <w:szCs w:val="17"/>
                <w:lang w:eastAsia="en-CA"/>
              </w:rPr>
            </w:pPr>
          </w:p>
        </w:tc>
        <w:tc>
          <w:tcPr>
            <w:tcW w:w="5988" w:type="dxa"/>
            <w:gridSpan w:val="2"/>
            <w:tcBorders>
              <w:top w:val="nil"/>
              <w:left w:val="nil"/>
              <w:bottom w:val="nil"/>
              <w:right w:val="nil"/>
            </w:tcBorders>
            <w:shd w:val="clear" w:color="auto" w:fill="auto"/>
            <w:vAlign w:val="center"/>
            <w:hideMark/>
          </w:tcPr>
          <w:p w14:paraId="1DE98F1E" w14:textId="1E6CB5E6" w:rsidR="00362666" w:rsidRPr="00362666" w:rsidRDefault="00362666" w:rsidP="00362666">
            <w:pPr>
              <w:spacing w:after="0" w:line="240" w:lineRule="auto"/>
              <w:rPr>
                <w:kern w:val="22"/>
                <w:sz w:val="17"/>
                <w:szCs w:val="17"/>
                <w:lang w:val="fr-CA" w:eastAsia="en-CA"/>
              </w:rPr>
            </w:pPr>
            <w:r w:rsidRPr="00F24602">
              <w:rPr>
                <w:color w:val="000000"/>
                <w:kern w:val="22"/>
                <w:sz w:val="17"/>
                <w:szCs w:val="17"/>
                <w:u w:val="single"/>
                <w:lang w:val="fr-CA" w:eastAsia="en-CA"/>
              </w:rPr>
              <w:t xml:space="preserve">Moins </w:t>
            </w:r>
            <w:r w:rsidRPr="00F24602">
              <w:rPr>
                <w:color w:val="000000"/>
                <w:kern w:val="22"/>
                <w:sz w:val="17"/>
                <w:szCs w:val="17"/>
                <w:lang w:val="fr-CA" w:eastAsia="en-CA"/>
              </w:rPr>
              <w:t xml:space="preserve">:  Utilisation des </w:t>
            </w:r>
            <w:r>
              <w:rPr>
                <w:color w:val="000000"/>
                <w:kern w:val="22"/>
                <w:sz w:val="17"/>
                <w:szCs w:val="17"/>
                <w:lang w:val="fr-CA" w:eastAsia="en-CA"/>
              </w:rPr>
              <w:t>ré</w:t>
            </w:r>
            <w:r w:rsidRPr="00F24602">
              <w:rPr>
                <w:color w:val="000000"/>
                <w:kern w:val="22"/>
                <w:sz w:val="17"/>
                <w:szCs w:val="17"/>
                <w:lang w:val="fr-CA" w:eastAsia="en-CA"/>
              </w:rPr>
              <w:t xml:space="preserve">serves des années </w:t>
            </w:r>
            <w:r>
              <w:rPr>
                <w:color w:val="000000"/>
                <w:kern w:val="22"/>
                <w:sz w:val="17"/>
                <w:szCs w:val="17"/>
                <w:lang w:val="fr-CA" w:eastAsia="en-CA"/>
              </w:rPr>
              <w:t>précédentes</w:t>
            </w:r>
          </w:p>
        </w:tc>
        <w:tc>
          <w:tcPr>
            <w:tcW w:w="1176" w:type="dxa"/>
            <w:tcBorders>
              <w:top w:val="nil"/>
              <w:left w:val="nil"/>
              <w:bottom w:val="nil"/>
              <w:right w:val="nil"/>
            </w:tcBorders>
            <w:shd w:val="clear" w:color="auto" w:fill="auto"/>
            <w:vAlign w:val="center"/>
            <w:hideMark/>
          </w:tcPr>
          <w:p w14:paraId="242435DC" w14:textId="2DF4E4E7"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(94</w:t>
            </w:r>
            <w:r>
              <w:rPr>
                <w:kern w:val="22"/>
                <w:sz w:val="17"/>
                <w:szCs w:val="17"/>
                <w:lang w:val="fr-CA" w:eastAsia="en-CA"/>
              </w:rPr>
              <w:t>,</w:t>
            </w:r>
            <w:r w:rsidRPr="00E02578">
              <w:rPr>
                <w:kern w:val="22"/>
                <w:sz w:val="17"/>
                <w:szCs w:val="17"/>
                <w:lang w:val="fr-CA" w:eastAsia="en-CA"/>
              </w:rPr>
              <w:t>9)</w:t>
            </w:r>
          </w:p>
        </w:tc>
        <w:tc>
          <w:tcPr>
            <w:tcW w:w="1176" w:type="dxa"/>
            <w:tcBorders>
              <w:top w:val="nil"/>
              <w:left w:val="nil"/>
              <w:bottom w:val="nil"/>
              <w:right w:val="nil"/>
            </w:tcBorders>
            <w:shd w:val="clear" w:color="auto" w:fill="auto"/>
            <w:vAlign w:val="center"/>
            <w:hideMark/>
          </w:tcPr>
          <w:p w14:paraId="1C330919" w14:textId="04AD2327"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(94</w:t>
            </w:r>
            <w:r>
              <w:rPr>
                <w:kern w:val="22"/>
                <w:sz w:val="17"/>
                <w:szCs w:val="17"/>
                <w:lang w:val="fr-CA" w:eastAsia="en-CA"/>
              </w:rPr>
              <w:t>,</w:t>
            </w:r>
            <w:r w:rsidRPr="00E02578">
              <w:rPr>
                <w:kern w:val="22"/>
                <w:sz w:val="17"/>
                <w:szCs w:val="17"/>
                <w:lang w:val="fr-CA" w:eastAsia="en-CA"/>
              </w:rPr>
              <w:t>9)</w:t>
            </w:r>
          </w:p>
        </w:tc>
        <w:tc>
          <w:tcPr>
            <w:tcW w:w="1176" w:type="dxa"/>
            <w:tcBorders>
              <w:top w:val="nil"/>
              <w:left w:val="nil"/>
              <w:bottom w:val="nil"/>
              <w:right w:val="nil"/>
            </w:tcBorders>
            <w:shd w:val="clear" w:color="auto" w:fill="auto"/>
            <w:vAlign w:val="center"/>
            <w:hideMark/>
          </w:tcPr>
          <w:p w14:paraId="6CF0C531" w14:textId="4D3A4664" w:rsidR="00362666" w:rsidRPr="00EE0850" w:rsidRDefault="00362666" w:rsidP="00362666">
            <w:pPr>
              <w:spacing w:after="0" w:line="240" w:lineRule="auto"/>
              <w:jc w:val="right"/>
              <w:rPr>
                <w:kern w:val="22"/>
                <w:sz w:val="17"/>
                <w:szCs w:val="17"/>
                <w:lang w:eastAsia="en-CA"/>
              </w:rPr>
            </w:pPr>
            <w:r w:rsidRPr="00E02578">
              <w:rPr>
                <w:kern w:val="22"/>
                <w:sz w:val="17"/>
                <w:szCs w:val="17"/>
                <w:lang w:val="fr-CA" w:eastAsia="en-CA"/>
              </w:rPr>
              <w:t>(189</w:t>
            </w:r>
            <w:r>
              <w:rPr>
                <w:kern w:val="22"/>
                <w:sz w:val="17"/>
                <w:szCs w:val="17"/>
                <w:lang w:val="fr-CA" w:eastAsia="en-CA"/>
              </w:rPr>
              <w:t>,</w:t>
            </w:r>
            <w:r w:rsidRPr="00E02578">
              <w:rPr>
                <w:kern w:val="22"/>
                <w:sz w:val="17"/>
                <w:szCs w:val="17"/>
                <w:lang w:val="fr-CA" w:eastAsia="en-CA"/>
              </w:rPr>
              <w:t>9)</w:t>
            </w:r>
          </w:p>
        </w:tc>
      </w:tr>
      <w:tr w:rsidR="00362666" w:rsidRPr="00EE0850" w14:paraId="249A2483" w14:textId="77777777" w:rsidTr="001D6920">
        <w:trPr>
          <w:trHeight w:val="261"/>
          <w:jc w:val="center"/>
        </w:trPr>
        <w:tc>
          <w:tcPr>
            <w:tcW w:w="450" w:type="dxa"/>
            <w:tcBorders>
              <w:top w:val="nil"/>
              <w:left w:val="nil"/>
              <w:bottom w:val="nil"/>
              <w:right w:val="nil"/>
            </w:tcBorders>
            <w:shd w:val="clear" w:color="auto" w:fill="auto"/>
            <w:noWrap/>
            <w:vAlign w:val="center"/>
            <w:hideMark/>
          </w:tcPr>
          <w:p w14:paraId="3B198741" w14:textId="77777777" w:rsidR="00362666" w:rsidRPr="00EE0850" w:rsidRDefault="00362666" w:rsidP="00362666">
            <w:pPr>
              <w:spacing w:after="0" w:line="240" w:lineRule="auto"/>
              <w:jc w:val="right"/>
              <w:rPr>
                <w:color w:val="000000"/>
                <w:kern w:val="22"/>
                <w:sz w:val="17"/>
                <w:szCs w:val="17"/>
                <w:lang w:eastAsia="en-CA"/>
              </w:rPr>
            </w:pPr>
          </w:p>
        </w:tc>
        <w:tc>
          <w:tcPr>
            <w:tcW w:w="5988" w:type="dxa"/>
            <w:gridSpan w:val="2"/>
            <w:tcBorders>
              <w:top w:val="nil"/>
              <w:left w:val="nil"/>
              <w:bottom w:val="single" w:sz="4" w:space="0" w:color="auto"/>
              <w:right w:val="nil"/>
            </w:tcBorders>
            <w:shd w:val="clear" w:color="auto" w:fill="auto"/>
            <w:vAlign w:val="center"/>
            <w:hideMark/>
          </w:tcPr>
          <w:p w14:paraId="5D668E5F" w14:textId="76469B11" w:rsidR="00362666" w:rsidRPr="00362666" w:rsidRDefault="00362666" w:rsidP="00362666">
            <w:pPr>
              <w:spacing w:after="0" w:line="240" w:lineRule="auto"/>
              <w:rPr>
                <w:b/>
                <w:bCs/>
                <w:kern w:val="22"/>
                <w:sz w:val="17"/>
                <w:szCs w:val="17"/>
                <w:lang w:val="fr-CA" w:eastAsia="en-CA"/>
              </w:rPr>
            </w:pPr>
            <w:r w:rsidRPr="00AF78A1">
              <w:rPr>
                <w:b/>
                <w:color w:val="000000"/>
                <w:kern w:val="22"/>
                <w:sz w:val="17"/>
                <w:szCs w:val="17"/>
                <w:lang w:val="fr-CA" w:eastAsia="en-CA"/>
              </w:rPr>
              <w:t>Total net (montant à répartir entre les Parties)</w:t>
            </w:r>
          </w:p>
        </w:tc>
        <w:tc>
          <w:tcPr>
            <w:tcW w:w="1176" w:type="dxa"/>
            <w:tcBorders>
              <w:top w:val="nil"/>
              <w:left w:val="nil"/>
              <w:bottom w:val="single" w:sz="4" w:space="0" w:color="auto"/>
              <w:right w:val="nil"/>
            </w:tcBorders>
            <w:shd w:val="clear" w:color="auto" w:fill="auto"/>
            <w:vAlign w:val="center"/>
            <w:hideMark/>
          </w:tcPr>
          <w:p w14:paraId="4270B079" w14:textId="61428BBD" w:rsidR="00362666" w:rsidRPr="00EE0850" w:rsidRDefault="00362666" w:rsidP="00362666">
            <w:pPr>
              <w:spacing w:after="0" w:line="240" w:lineRule="auto"/>
              <w:jc w:val="right"/>
              <w:rPr>
                <w:b/>
                <w:bCs/>
                <w:kern w:val="22"/>
                <w:sz w:val="17"/>
                <w:szCs w:val="17"/>
                <w:lang w:eastAsia="en-CA"/>
              </w:rPr>
            </w:pPr>
            <w:r w:rsidRPr="00E02578">
              <w:rPr>
                <w:b/>
                <w:bCs/>
                <w:kern w:val="22"/>
                <w:sz w:val="17"/>
                <w:szCs w:val="17"/>
                <w:lang w:val="fr-CA" w:eastAsia="en-CA"/>
              </w:rPr>
              <w:t>1 761</w:t>
            </w:r>
            <w:r>
              <w:rPr>
                <w:b/>
                <w:bCs/>
                <w:kern w:val="22"/>
                <w:sz w:val="17"/>
                <w:szCs w:val="17"/>
                <w:lang w:val="fr-CA" w:eastAsia="en-CA"/>
              </w:rPr>
              <w:t>,</w:t>
            </w:r>
            <w:r w:rsidRPr="00E02578">
              <w:rPr>
                <w:b/>
                <w:bCs/>
                <w:kern w:val="22"/>
                <w:sz w:val="17"/>
                <w:szCs w:val="17"/>
                <w:lang w:val="fr-CA" w:eastAsia="en-CA"/>
              </w:rPr>
              <w:t>0</w:t>
            </w:r>
          </w:p>
        </w:tc>
        <w:tc>
          <w:tcPr>
            <w:tcW w:w="1176" w:type="dxa"/>
            <w:tcBorders>
              <w:top w:val="nil"/>
              <w:left w:val="nil"/>
              <w:bottom w:val="single" w:sz="4" w:space="0" w:color="auto"/>
              <w:right w:val="nil"/>
            </w:tcBorders>
            <w:shd w:val="clear" w:color="auto" w:fill="auto"/>
            <w:vAlign w:val="center"/>
            <w:hideMark/>
          </w:tcPr>
          <w:p w14:paraId="782EE340" w14:textId="4CC80DA4" w:rsidR="00362666" w:rsidRPr="00EE0850" w:rsidRDefault="00362666" w:rsidP="00362666">
            <w:pPr>
              <w:spacing w:after="0" w:line="240" w:lineRule="auto"/>
              <w:jc w:val="right"/>
              <w:rPr>
                <w:b/>
                <w:bCs/>
                <w:kern w:val="22"/>
                <w:sz w:val="17"/>
                <w:szCs w:val="17"/>
                <w:lang w:eastAsia="en-CA"/>
              </w:rPr>
            </w:pPr>
            <w:r w:rsidRPr="00E02578">
              <w:rPr>
                <w:b/>
                <w:bCs/>
                <w:kern w:val="22"/>
                <w:sz w:val="17"/>
                <w:szCs w:val="17"/>
                <w:lang w:val="fr-CA" w:eastAsia="en-CA"/>
              </w:rPr>
              <w:t>1 867</w:t>
            </w:r>
            <w:r>
              <w:rPr>
                <w:b/>
                <w:bCs/>
                <w:kern w:val="22"/>
                <w:sz w:val="17"/>
                <w:szCs w:val="17"/>
                <w:lang w:val="fr-CA" w:eastAsia="en-CA"/>
              </w:rPr>
              <w:t>,</w:t>
            </w:r>
            <w:r w:rsidRPr="00E02578">
              <w:rPr>
                <w:b/>
                <w:bCs/>
                <w:kern w:val="22"/>
                <w:sz w:val="17"/>
                <w:szCs w:val="17"/>
                <w:lang w:val="fr-CA" w:eastAsia="en-CA"/>
              </w:rPr>
              <w:t>3</w:t>
            </w:r>
          </w:p>
        </w:tc>
        <w:tc>
          <w:tcPr>
            <w:tcW w:w="1176" w:type="dxa"/>
            <w:tcBorders>
              <w:top w:val="nil"/>
              <w:left w:val="nil"/>
              <w:bottom w:val="single" w:sz="4" w:space="0" w:color="auto"/>
              <w:right w:val="nil"/>
            </w:tcBorders>
            <w:shd w:val="clear" w:color="auto" w:fill="auto"/>
            <w:vAlign w:val="center"/>
            <w:hideMark/>
          </w:tcPr>
          <w:p w14:paraId="39D11186" w14:textId="32AB92C3" w:rsidR="00362666" w:rsidRPr="00EE0850" w:rsidRDefault="00362666" w:rsidP="00362666">
            <w:pPr>
              <w:spacing w:after="0" w:line="240" w:lineRule="auto"/>
              <w:jc w:val="right"/>
              <w:rPr>
                <w:b/>
                <w:bCs/>
                <w:kern w:val="22"/>
                <w:sz w:val="17"/>
                <w:szCs w:val="17"/>
                <w:lang w:eastAsia="en-CA"/>
              </w:rPr>
            </w:pPr>
            <w:r w:rsidRPr="00E02578">
              <w:rPr>
                <w:b/>
                <w:bCs/>
                <w:kern w:val="22"/>
                <w:sz w:val="17"/>
                <w:szCs w:val="17"/>
                <w:lang w:val="fr-CA" w:eastAsia="en-CA"/>
              </w:rPr>
              <w:t>3 628</w:t>
            </w:r>
            <w:r>
              <w:rPr>
                <w:b/>
                <w:bCs/>
                <w:kern w:val="22"/>
                <w:sz w:val="17"/>
                <w:szCs w:val="17"/>
                <w:lang w:val="fr-CA" w:eastAsia="en-CA"/>
              </w:rPr>
              <w:t>,</w:t>
            </w:r>
            <w:r w:rsidRPr="00E02578">
              <w:rPr>
                <w:b/>
                <w:bCs/>
                <w:kern w:val="22"/>
                <w:sz w:val="17"/>
                <w:szCs w:val="17"/>
                <w:lang w:val="fr-CA" w:eastAsia="en-CA"/>
              </w:rPr>
              <w:t>3</w:t>
            </w:r>
          </w:p>
        </w:tc>
      </w:tr>
      <w:tr w:rsidR="00DE347C" w:rsidRPr="00EE0850" w14:paraId="27EB8917" w14:textId="77777777" w:rsidTr="001D6920">
        <w:trPr>
          <w:trHeight w:val="288"/>
          <w:jc w:val="center"/>
        </w:trPr>
        <w:tc>
          <w:tcPr>
            <w:tcW w:w="450" w:type="dxa"/>
            <w:tcBorders>
              <w:top w:val="nil"/>
              <w:left w:val="nil"/>
              <w:bottom w:val="nil"/>
              <w:right w:val="nil"/>
            </w:tcBorders>
            <w:shd w:val="clear" w:color="auto" w:fill="auto"/>
            <w:noWrap/>
            <w:vAlign w:val="center"/>
            <w:hideMark/>
          </w:tcPr>
          <w:p w14:paraId="48777F78" w14:textId="77777777" w:rsidR="00DE347C" w:rsidRPr="00EE0850" w:rsidRDefault="00DE347C" w:rsidP="000C6220">
            <w:pPr>
              <w:spacing w:after="0" w:line="240" w:lineRule="auto"/>
              <w:jc w:val="right"/>
              <w:rPr>
                <w:color w:val="000000"/>
                <w:kern w:val="22"/>
                <w:sz w:val="16"/>
                <w:szCs w:val="16"/>
                <w:lang w:eastAsia="en-CA"/>
              </w:rPr>
            </w:pPr>
          </w:p>
        </w:tc>
        <w:tc>
          <w:tcPr>
            <w:tcW w:w="3133" w:type="dxa"/>
            <w:tcBorders>
              <w:top w:val="nil"/>
              <w:left w:val="nil"/>
              <w:bottom w:val="nil"/>
              <w:right w:val="nil"/>
            </w:tcBorders>
            <w:shd w:val="clear" w:color="auto" w:fill="auto"/>
            <w:noWrap/>
            <w:vAlign w:val="center"/>
            <w:hideMark/>
          </w:tcPr>
          <w:p w14:paraId="2B61FC2E" w14:textId="77777777" w:rsidR="00DE347C" w:rsidRPr="00EE0850" w:rsidRDefault="00DE347C" w:rsidP="000C6220">
            <w:pPr>
              <w:spacing w:after="0" w:line="240" w:lineRule="auto"/>
              <w:rPr>
                <w:color w:val="000000"/>
                <w:kern w:val="22"/>
                <w:sz w:val="16"/>
                <w:szCs w:val="16"/>
                <w:lang w:eastAsia="en-CA"/>
              </w:rPr>
            </w:pPr>
          </w:p>
        </w:tc>
        <w:tc>
          <w:tcPr>
            <w:tcW w:w="2855" w:type="dxa"/>
            <w:tcBorders>
              <w:top w:val="nil"/>
              <w:left w:val="nil"/>
              <w:bottom w:val="nil"/>
              <w:right w:val="nil"/>
            </w:tcBorders>
            <w:shd w:val="clear" w:color="auto" w:fill="auto"/>
            <w:noWrap/>
            <w:vAlign w:val="center"/>
            <w:hideMark/>
          </w:tcPr>
          <w:p w14:paraId="69144587" w14:textId="77777777" w:rsidR="00DE347C" w:rsidRPr="00EE0850" w:rsidRDefault="00DE347C" w:rsidP="000C6220">
            <w:pPr>
              <w:spacing w:after="0" w:line="240" w:lineRule="auto"/>
              <w:rPr>
                <w:color w:val="000000"/>
                <w:kern w:val="22"/>
                <w:sz w:val="16"/>
                <w:szCs w:val="16"/>
                <w:lang w:eastAsia="en-CA"/>
              </w:rPr>
            </w:pPr>
          </w:p>
        </w:tc>
        <w:tc>
          <w:tcPr>
            <w:tcW w:w="1176" w:type="dxa"/>
            <w:tcBorders>
              <w:top w:val="nil"/>
              <w:left w:val="nil"/>
              <w:bottom w:val="nil"/>
              <w:right w:val="nil"/>
            </w:tcBorders>
            <w:shd w:val="clear" w:color="auto" w:fill="auto"/>
            <w:noWrap/>
            <w:vAlign w:val="center"/>
            <w:hideMark/>
          </w:tcPr>
          <w:p w14:paraId="49BC3D8F" w14:textId="77777777" w:rsidR="00DE347C" w:rsidRPr="00EE0850" w:rsidRDefault="00DE347C" w:rsidP="000C6220">
            <w:pPr>
              <w:spacing w:after="0" w:line="240" w:lineRule="auto"/>
              <w:rPr>
                <w:color w:val="000000"/>
                <w:kern w:val="22"/>
                <w:sz w:val="16"/>
                <w:szCs w:val="16"/>
                <w:lang w:eastAsia="en-CA"/>
              </w:rPr>
            </w:pPr>
          </w:p>
        </w:tc>
        <w:tc>
          <w:tcPr>
            <w:tcW w:w="1176" w:type="dxa"/>
            <w:tcBorders>
              <w:top w:val="nil"/>
              <w:left w:val="nil"/>
              <w:bottom w:val="nil"/>
              <w:right w:val="nil"/>
            </w:tcBorders>
            <w:shd w:val="clear" w:color="auto" w:fill="auto"/>
            <w:noWrap/>
            <w:vAlign w:val="center"/>
            <w:hideMark/>
          </w:tcPr>
          <w:p w14:paraId="559277E8" w14:textId="77777777" w:rsidR="00DE347C" w:rsidRPr="00EE0850" w:rsidRDefault="00DE347C" w:rsidP="000C6220">
            <w:pPr>
              <w:spacing w:after="0" w:line="240" w:lineRule="auto"/>
              <w:rPr>
                <w:color w:val="000000"/>
                <w:kern w:val="22"/>
                <w:sz w:val="16"/>
                <w:szCs w:val="16"/>
                <w:lang w:eastAsia="en-CA"/>
              </w:rPr>
            </w:pPr>
          </w:p>
        </w:tc>
        <w:tc>
          <w:tcPr>
            <w:tcW w:w="1176" w:type="dxa"/>
            <w:tcBorders>
              <w:top w:val="nil"/>
              <w:left w:val="nil"/>
              <w:bottom w:val="nil"/>
              <w:right w:val="nil"/>
            </w:tcBorders>
            <w:shd w:val="clear" w:color="auto" w:fill="auto"/>
            <w:noWrap/>
            <w:vAlign w:val="center"/>
            <w:hideMark/>
          </w:tcPr>
          <w:p w14:paraId="6F0EDAC4" w14:textId="77777777" w:rsidR="00DE347C" w:rsidRPr="00EE0850" w:rsidRDefault="00DE347C" w:rsidP="000C6220">
            <w:pPr>
              <w:spacing w:after="0" w:line="240" w:lineRule="auto"/>
              <w:rPr>
                <w:color w:val="000000"/>
                <w:kern w:val="22"/>
                <w:sz w:val="16"/>
                <w:szCs w:val="16"/>
                <w:lang w:eastAsia="en-CA"/>
              </w:rPr>
            </w:pPr>
          </w:p>
        </w:tc>
      </w:tr>
      <w:tr w:rsidR="00362666" w:rsidRPr="00AB4311" w14:paraId="72018C1F" w14:textId="77777777" w:rsidTr="001D6920">
        <w:trPr>
          <w:cantSplit/>
          <w:trHeight w:val="113"/>
          <w:jc w:val="center"/>
        </w:trPr>
        <w:tc>
          <w:tcPr>
            <w:tcW w:w="450" w:type="dxa"/>
            <w:tcBorders>
              <w:top w:val="nil"/>
              <w:left w:val="nil"/>
              <w:bottom w:val="nil"/>
              <w:right w:val="nil"/>
            </w:tcBorders>
            <w:shd w:val="clear" w:color="auto" w:fill="auto"/>
            <w:noWrap/>
            <w:vAlign w:val="center"/>
            <w:hideMark/>
          </w:tcPr>
          <w:p w14:paraId="11F702D0" w14:textId="77777777" w:rsidR="00362666" w:rsidRPr="00362666" w:rsidRDefault="00362666" w:rsidP="00362666">
            <w:pPr>
              <w:spacing w:after="0" w:line="240" w:lineRule="auto"/>
              <w:jc w:val="right"/>
              <w:rPr>
                <w:color w:val="000000"/>
                <w:kern w:val="22"/>
                <w:sz w:val="16"/>
                <w:szCs w:val="16"/>
                <w:lang w:val="fr-CA" w:eastAsia="en-CA"/>
              </w:rPr>
            </w:pPr>
          </w:p>
        </w:tc>
        <w:tc>
          <w:tcPr>
            <w:tcW w:w="9516" w:type="dxa"/>
            <w:gridSpan w:val="5"/>
            <w:tcBorders>
              <w:top w:val="nil"/>
              <w:left w:val="nil"/>
              <w:bottom w:val="nil"/>
              <w:right w:val="nil"/>
            </w:tcBorders>
            <w:shd w:val="clear" w:color="auto" w:fill="auto"/>
            <w:vAlign w:val="center"/>
            <w:hideMark/>
          </w:tcPr>
          <w:p w14:paraId="4C3395AB" w14:textId="32B415E6" w:rsidR="00362666" w:rsidRPr="00362666" w:rsidRDefault="00362666" w:rsidP="00362666">
            <w:pPr>
              <w:spacing w:after="0" w:line="240" w:lineRule="auto"/>
              <w:rPr>
                <w:color w:val="000000"/>
                <w:kern w:val="22"/>
                <w:sz w:val="16"/>
                <w:szCs w:val="16"/>
                <w:lang w:val="fr-CA" w:eastAsia="en-CA"/>
              </w:rPr>
            </w:pPr>
            <w:r w:rsidRPr="00E02578">
              <w:rPr>
                <w:color w:val="000000"/>
                <w:kern w:val="22"/>
                <w:sz w:val="16"/>
                <w:szCs w:val="16"/>
                <w:lang w:val="fr-CA" w:eastAsia="en-CA"/>
              </w:rPr>
              <w:t xml:space="preserve">1/ </w:t>
            </w:r>
            <w:r>
              <w:rPr>
                <w:color w:val="000000"/>
                <w:kern w:val="22"/>
                <w:sz w:val="16"/>
                <w:szCs w:val="16"/>
                <w:lang w:val="fr-CA" w:eastAsia="en-CA"/>
              </w:rPr>
              <w:t xml:space="preserve">Réunions ordinaires financées par le budget de base </w:t>
            </w:r>
            <w:r w:rsidRPr="00E02578">
              <w:rPr>
                <w:color w:val="000000"/>
                <w:kern w:val="22"/>
                <w:sz w:val="16"/>
                <w:szCs w:val="16"/>
                <w:lang w:val="fr-CA" w:eastAsia="en-CA"/>
              </w:rPr>
              <w:t>:</w:t>
            </w:r>
          </w:p>
        </w:tc>
      </w:tr>
      <w:tr w:rsidR="00362666" w:rsidRPr="00AB4311" w14:paraId="05016A43" w14:textId="77777777" w:rsidTr="001D6920">
        <w:trPr>
          <w:cantSplit/>
          <w:trHeight w:val="113"/>
          <w:jc w:val="center"/>
        </w:trPr>
        <w:tc>
          <w:tcPr>
            <w:tcW w:w="450" w:type="dxa"/>
            <w:tcBorders>
              <w:top w:val="nil"/>
              <w:left w:val="nil"/>
              <w:bottom w:val="nil"/>
              <w:right w:val="nil"/>
            </w:tcBorders>
            <w:shd w:val="clear" w:color="auto" w:fill="auto"/>
            <w:noWrap/>
            <w:vAlign w:val="center"/>
            <w:hideMark/>
          </w:tcPr>
          <w:p w14:paraId="40697AA5" w14:textId="77777777" w:rsidR="00362666" w:rsidRPr="00362666" w:rsidRDefault="00362666" w:rsidP="00362666">
            <w:pPr>
              <w:spacing w:after="0" w:line="240" w:lineRule="auto"/>
              <w:jc w:val="right"/>
              <w:rPr>
                <w:color w:val="000000"/>
                <w:kern w:val="22"/>
                <w:sz w:val="16"/>
                <w:szCs w:val="16"/>
                <w:lang w:val="fr-CA" w:eastAsia="en-CA"/>
              </w:rPr>
            </w:pPr>
          </w:p>
        </w:tc>
        <w:tc>
          <w:tcPr>
            <w:tcW w:w="9516" w:type="dxa"/>
            <w:gridSpan w:val="5"/>
            <w:tcBorders>
              <w:top w:val="nil"/>
              <w:left w:val="nil"/>
              <w:bottom w:val="nil"/>
              <w:right w:val="nil"/>
            </w:tcBorders>
            <w:shd w:val="clear" w:color="auto" w:fill="auto"/>
            <w:noWrap/>
            <w:hideMark/>
          </w:tcPr>
          <w:p w14:paraId="2992EFAC" w14:textId="6F07008F" w:rsidR="00362666" w:rsidRPr="00362666" w:rsidRDefault="00362666" w:rsidP="00362666">
            <w:pPr>
              <w:spacing w:after="0" w:line="240" w:lineRule="auto"/>
              <w:jc w:val="left"/>
              <w:rPr>
                <w:color w:val="000000"/>
                <w:kern w:val="22"/>
                <w:sz w:val="16"/>
                <w:szCs w:val="16"/>
                <w:lang w:val="fr-CA" w:eastAsia="en-CA"/>
              </w:rPr>
            </w:pPr>
            <w:r w:rsidRPr="00E02578">
              <w:rPr>
                <w:color w:val="000000"/>
                <w:kern w:val="22"/>
                <w:sz w:val="16"/>
                <w:szCs w:val="16"/>
                <w:lang w:val="fr-CA" w:eastAsia="en-CA"/>
              </w:rPr>
              <w:t xml:space="preserve">- </w:t>
            </w:r>
            <w:r w:rsidRPr="00BF7F7B">
              <w:rPr>
                <w:color w:val="000000"/>
                <w:kern w:val="18"/>
                <w:sz w:val="16"/>
                <w:szCs w:val="16"/>
                <w:lang w:val="fr-FR"/>
              </w:rPr>
              <w:t>Onzième réunion du Groupe de travail spécial sur l’article 8j) et les dispositions connexes</w:t>
            </w:r>
            <w:r w:rsidRPr="00E02578">
              <w:rPr>
                <w:color w:val="000000"/>
                <w:kern w:val="22"/>
                <w:sz w:val="16"/>
                <w:szCs w:val="16"/>
                <w:lang w:val="fr-CA" w:eastAsia="en-CA"/>
              </w:rPr>
              <w:t>.</w:t>
            </w:r>
          </w:p>
        </w:tc>
      </w:tr>
      <w:tr w:rsidR="00362666" w:rsidRPr="00AB4311" w14:paraId="73A46BAF" w14:textId="77777777" w:rsidTr="001D6920">
        <w:trPr>
          <w:cantSplit/>
          <w:trHeight w:val="113"/>
          <w:jc w:val="center"/>
        </w:trPr>
        <w:tc>
          <w:tcPr>
            <w:tcW w:w="450" w:type="dxa"/>
            <w:tcBorders>
              <w:top w:val="nil"/>
              <w:left w:val="nil"/>
              <w:bottom w:val="nil"/>
              <w:right w:val="nil"/>
            </w:tcBorders>
            <w:shd w:val="clear" w:color="auto" w:fill="auto"/>
            <w:noWrap/>
            <w:vAlign w:val="center"/>
            <w:hideMark/>
          </w:tcPr>
          <w:p w14:paraId="2256387A" w14:textId="77777777" w:rsidR="00362666" w:rsidRPr="00362666" w:rsidRDefault="00362666" w:rsidP="00362666">
            <w:pPr>
              <w:spacing w:after="0" w:line="240" w:lineRule="auto"/>
              <w:jc w:val="right"/>
              <w:rPr>
                <w:color w:val="000000"/>
                <w:kern w:val="22"/>
                <w:sz w:val="16"/>
                <w:szCs w:val="16"/>
                <w:lang w:val="fr-CA" w:eastAsia="en-CA"/>
              </w:rPr>
            </w:pPr>
          </w:p>
        </w:tc>
        <w:tc>
          <w:tcPr>
            <w:tcW w:w="9516" w:type="dxa"/>
            <w:gridSpan w:val="5"/>
            <w:tcBorders>
              <w:top w:val="nil"/>
              <w:left w:val="nil"/>
              <w:bottom w:val="nil"/>
              <w:right w:val="nil"/>
            </w:tcBorders>
            <w:shd w:val="clear" w:color="auto" w:fill="auto"/>
            <w:noWrap/>
            <w:hideMark/>
          </w:tcPr>
          <w:p w14:paraId="60C15345" w14:textId="69568C20" w:rsidR="00362666" w:rsidRPr="00362666" w:rsidRDefault="00362666" w:rsidP="00362666">
            <w:pPr>
              <w:spacing w:after="0" w:line="240" w:lineRule="auto"/>
              <w:jc w:val="left"/>
              <w:rPr>
                <w:color w:val="000000"/>
                <w:kern w:val="22"/>
                <w:sz w:val="16"/>
                <w:szCs w:val="16"/>
                <w:lang w:val="fr-CA" w:eastAsia="en-CA"/>
              </w:rPr>
            </w:pPr>
            <w:r w:rsidRPr="00E02578">
              <w:rPr>
                <w:color w:val="000000"/>
                <w:kern w:val="22"/>
                <w:sz w:val="16"/>
                <w:szCs w:val="16"/>
                <w:lang w:val="fr-CA" w:eastAsia="en-CA"/>
              </w:rPr>
              <w:t xml:space="preserve">- </w:t>
            </w:r>
            <w:r w:rsidRPr="00BF7F7B">
              <w:rPr>
                <w:color w:val="000000"/>
                <w:kern w:val="18"/>
                <w:sz w:val="16"/>
                <w:szCs w:val="16"/>
                <w:lang w:val="fr-FR"/>
              </w:rPr>
              <w:t>Vingt-</w:t>
            </w:r>
            <w:r>
              <w:rPr>
                <w:color w:val="000000"/>
                <w:kern w:val="18"/>
                <w:sz w:val="16"/>
                <w:szCs w:val="16"/>
                <w:lang w:val="fr-FR"/>
              </w:rPr>
              <w:t>troisième et vingt-</w:t>
            </w:r>
            <w:r w:rsidRPr="00BF7F7B">
              <w:rPr>
                <w:color w:val="000000"/>
                <w:kern w:val="18"/>
                <w:sz w:val="16"/>
                <w:szCs w:val="16"/>
                <w:lang w:val="fr-FR"/>
              </w:rPr>
              <w:t>quatrième</w:t>
            </w:r>
            <w:r>
              <w:rPr>
                <w:color w:val="000000"/>
                <w:kern w:val="18"/>
                <w:sz w:val="16"/>
                <w:szCs w:val="16"/>
                <w:lang w:val="fr-FR"/>
              </w:rPr>
              <w:t xml:space="preserve"> réunions</w:t>
            </w:r>
            <w:r w:rsidRPr="00BF7F7B">
              <w:rPr>
                <w:color w:val="000000"/>
                <w:kern w:val="18"/>
                <w:sz w:val="16"/>
                <w:szCs w:val="16"/>
                <w:lang w:val="fr-FR"/>
              </w:rPr>
              <w:t xml:space="preserve"> de l’Organe subsidiaire chargé de fournir des avis scientifiques, techniques et technologiques</w:t>
            </w:r>
            <w:r w:rsidRPr="00E02578">
              <w:rPr>
                <w:color w:val="000000"/>
                <w:kern w:val="22"/>
                <w:sz w:val="16"/>
                <w:szCs w:val="16"/>
                <w:lang w:val="fr-CA" w:eastAsia="en-CA"/>
              </w:rPr>
              <w:t>.</w:t>
            </w:r>
          </w:p>
        </w:tc>
      </w:tr>
      <w:tr w:rsidR="00362666" w:rsidRPr="00AB4311" w14:paraId="3800A867" w14:textId="77777777" w:rsidTr="001D6920">
        <w:trPr>
          <w:cantSplit/>
          <w:trHeight w:val="113"/>
          <w:jc w:val="center"/>
        </w:trPr>
        <w:tc>
          <w:tcPr>
            <w:tcW w:w="450" w:type="dxa"/>
            <w:tcBorders>
              <w:top w:val="nil"/>
              <w:left w:val="nil"/>
              <w:bottom w:val="nil"/>
              <w:right w:val="nil"/>
            </w:tcBorders>
            <w:shd w:val="clear" w:color="auto" w:fill="auto"/>
            <w:noWrap/>
            <w:vAlign w:val="center"/>
            <w:hideMark/>
          </w:tcPr>
          <w:p w14:paraId="05C40ED1" w14:textId="77777777" w:rsidR="00362666" w:rsidRPr="00362666" w:rsidRDefault="00362666" w:rsidP="00362666">
            <w:pPr>
              <w:spacing w:after="0" w:line="240" w:lineRule="auto"/>
              <w:jc w:val="right"/>
              <w:rPr>
                <w:color w:val="000000"/>
                <w:kern w:val="22"/>
                <w:sz w:val="16"/>
                <w:szCs w:val="16"/>
                <w:lang w:val="fr-CA" w:eastAsia="en-CA"/>
              </w:rPr>
            </w:pPr>
          </w:p>
        </w:tc>
        <w:tc>
          <w:tcPr>
            <w:tcW w:w="9516" w:type="dxa"/>
            <w:gridSpan w:val="5"/>
            <w:tcBorders>
              <w:top w:val="nil"/>
              <w:left w:val="nil"/>
              <w:bottom w:val="nil"/>
              <w:right w:val="nil"/>
            </w:tcBorders>
            <w:shd w:val="clear" w:color="auto" w:fill="auto"/>
            <w:noWrap/>
            <w:hideMark/>
          </w:tcPr>
          <w:p w14:paraId="4D790D51" w14:textId="1E74F6F9" w:rsidR="00362666" w:rsidRPr="00362666" w:rsidRDefault="00362666" w:rsidP="00362666">
            <w:pPr>
              <w:spacing w:after="0" w:line="240" w:lineRule="auto"/>
              <w:jc w:val="left"/>
              <w:rPr>
                <w:color w:val="000000"/>
                <w:kern w:val="22"/>
                <w:sz w:val="16"/>
                <w:szCs w:val="16"/>
                <w:lang w:val="fr-CA" w:eastAsia="en-CA"/>
              </w:rPr>
            </w:pPr>
            <w:r w:rsidRPr="00E02578">
              <w:rPr>
                <w:color w:val="000000"/>
                <w:kern w:val="22"/>
                <w:sz w:val="16"/>
                <w:szCs w:val="16"/>
                <w:lang w:val="fr-CA" w:eastAsia="en-CA"/>
              </w:rPr>
              <w:t xml:space="preserve">- </w:t>
            </w:r>
            <w:r w:rsidRPr="00BF7F7B">
              <w:rPr>
                <w:color w:val="000000"/>
                <w:kern w:val="18"/>
                <w:sz w:val="16"/>
                <w:szCs w:val="16"/>
                <w:lang w:val="fr-FR"/>
              </w:rPr>
              <w:t>Troisième réunion de l’Organe subsidiaire chargé de l’application</w:t>
            </w:r>
            <w:r w:rsidRPr="00E02578">
              <w:rPr>
                <w:color w:val="000000"/>
                <w:kern w:val="22"/>
                <w:sz w:val="16"/>
                <w:szCs w:val="16"/>
                <w:lang w:val="fr-CA" w:eastAsia="en-CA"/>
              </w:rPr>
              <w:t>.</w:t>
            </w:r>
          </w:p>
        </w:tc>
      </w:tr>
      <w:tr w:rsidR="00362666" w:rsidRPr="00AB4311" w14:paraId="047BF56C" w14:textId="77777777" w:rsidTr="001D6920">
        <w:trPr>
          <w:cantSplit/>
          <w:trHeight w:val="113"/>
          <w:jc w:val="center"/>
        </w:trPr>
        <w:tc>
          <w:tcPr>
            <w:tcW w:w="450" w:type="dxa"/>
            <w:tcBorders>
              <w:top w:val="nil"/>
              <w:left w:val="nil"/>
              <w:bottom w:val="nil"/>
              <w:right w:val="nil"/>
            </w:tcBorders>
            <w:shd w:val="clear" w:color="auto" w:fill="auto"/>
            <w:noWrap/>
            <w:vAlign w:val="center"/>
            <w:hideMark/>
          </w:tcPr>
          <w:p w14:paraId="0C49584E" w14:textId="77777777" w:rsidR="00362666" w:rsidRPr="00362666" w:rsidRDefault="00362666" w:rsidP="00362666">
            <w:pPr>
              <w:spacing w:after="0" w:line="240" w:lineRule="auto"/>
              <w:jc w:val="right"/>
              <w:rPr>
                <w:color w:val="000000"/>
                <w:kern w:val="22"/>
                <w:sz w:val="16"/>
                <w:szCs w:val="16"/>
                <w:lang w:val="fr-CA" w:eastAsia="en-CA"/>
              </w:rPr>
            </w:pPr>
          </w:p>
        </w:tc>
        <w:tc>
          <w:tcPr>
            <w:tcW w:w="9516" w:type="dxa"/>
            <w:gridSpan w:val="5"/>
            <w:tcBorders>
              <w:top w:val="nil"/>
              <w:left w:val="nil"/>
              <w:bottom w:val="nil"/>
              <w:right w:val="nil"/>
            </w:tcBorders>
            <w:shd w:val="clear" w:color="auto" w:fill="auto"/>
            <w:noWrap/>
            <w:hideMark/>
          </w:tcPr>
          <w:p w14:paraId="74CD567D" w14:textId="37AB0F34" w:rsidR="00362666" w:rsidRPr="00362666" w:rsidRDefault="00362666" w:rsidP="00362666">
            <w:pPr>
              <w:spacing w:after="0" w:line="240" w:lineRule="auto"/>
              <w:jc w:val="left"/>
              <w:rPr>
                <w:color w:val="000000"/>
                <w:kern w:val="22"/>
                <w:sz w:val="16"/>
                <w:szCs w:val="16"/>
                <w:lang w:val="fr-CA" w:eastAsia="en-CA"/>
              </w:rPr>
            </w:pPr>
            <w:r w:rsidRPr="00E02578">
              <w:rPr>
                <w:color w:val="000000"/>
                <w:kern w:val="22"/>
                <w:sz w:val="16"/>
                <w:szCs w:val="16"/>
                <w:lang w:val="fr-CA" w:eastAsia="en-CA"/>
              </w:rPr>
              <w:t xml:space="preserve">- </w:t>
            </w:r>
            <w:r w:rsidRPr="00BF7F7B">
              <w:rPr>
                <w:color w:val="000000"/>
                <w:kern w:val="18"/>
                <w:sz w:val="16"/>
                <w:szCs w:val="16"/>
                <w:lang w:val="fr-FR"/>
              </w:rPr>
              <w:t xml:space="preserve">Quinzième réunion de la Conférence des Parties à la Convention/ </w:t>
            </w:r>
            <w:r>
              <w:rPr>
                <w:color w:val="000000"/>
                <w:kern w:val="18"/>
                <w:sz w:val="16"/>
                <w:szCs w:val="16"/>
                <w:lang w:val="fr-FR"/>
              </w:rPr>
              <w:t>Dixième</w:t>
            </w:r>
            <w:r w:rsidRPr="00BF7F7B">
              <w:rPr>
                <w:color w:val="000000"/>
                <w:kern w:val="18"/>
                <w:sz w:val="16"/>
                <w:szCs w:val="16"/>
                <w:lang w:val="fr-FR"/>
              </w:rPr>
              <w:t xml:space="preserve"> réunion des Parties au Protocole  de Cartagena/Quatrième réunion des Parties au Protocole de Nagoya tenues en même temps</w:t>
            </w:r>
            <w:r w:rsidRPr="00E02578">
              <w:rPr>
                <w:color w:val="000000"/>
                <w:kern w:val="22"/>
                <w:sz w:val="16"/>
                <w:szCs w:val="16"/>
                <w:lang w:val="fr-CA" w:eastAsia="en-CA"/>
              </w:rPr>
              <w:t>.</w:t>
            </w:r>
          </w:p>
        </w:tc>
      </w:tr>
      <w:tr w:rsidR="00362666" w:rsidRPr="00EE0850" w14:paraId="45759262" w14:textId="77777777" w:rsidTr="001D6920">
        <w:trPr>
          <w:cantSplit/>
          <w:trHeight w:val="113"/>
          <w:jc w:val="center"/>
        </w:trPr>
        <w:tc>
          <w:tcPr>
            <w:tcW w:w="450" w:type="dxa"/>
            <w:tcBorders>
              <w:top w:val="nil"/>
              <w:left w:val="nil"/>
              <w:bottom w:val="nil"/>
              <w:right w:val="nil"/>
            </w:tcBorders>
            <w:shd w:val="clear" w:color="auto" w:fill="auto"/>
            <w:noWrap/>
            <w:vAlign w:val="center"/>
            <w:hideMark/>
          </w:tcPr>
          <w:p w14:paraId="0A380A74" w14:textId="77777777" w:rsidR="00362666" w:rsidRPr="00362666" w:rsidRDefault="00362666" w:rsidP="00362666">
            <w:pPr>
              <w:spacing w:after="0" w:line="240" w:lineRule="auto"/>
              <w:jc w:val="right"/>
              <w:rPr>
                <w:color w:val="000000"/>
                <w:kern w:val="22"/>
                <w:sz w:val="16"/>
                <w:szCs w:val="16"/>
                <w:lang w:val="fr-CA" w:eastAsia="en-CA"/>
              </w:rPr>
            </w:pPr>
          </w:p>
        </w:tc>
        <w:tc>
          <w:tcPr>
            <w:tcW w:w="9516" w:type="dxa"/>
            <w:gridSpan w:val="5"/>
            <w:tcBorders>
              <w:top w:val="nil"/>
              <w:left w:val="nil"/>
              <w:bottom w:val="nil"/>
              <w:right w:val="nil"/>
            </w:tcBorders>
            <w:shd w:val="clear" w:color="auto" w:fill="auto"/>
            <w:vAlign w:val="center"/>
            <w:hideMark/>
          </w:tcPr>
          <w:p w14:paraId="22F5A988" w14:textId="01A14814" w:rsidR="00362666" w:rsidRPr="00EE0850" w:rsidRDefault="00362666" w:rsidP="00362666">
            <w:pPr>
              <w:spacing w:after="0" w:line="240" w:lineRule="auto"/>
              <w:rPr>
                <w:color w:val="000000"/>
                <w:kern w:val="22"/>
                <w:sz w:val="16"/>
                <w:szCs w:val="16"/>
                <w:lang w:eastAsia="en-CA"/>
              </w:rPr>
            </w:pPr>
            <w:r w:rsidRPr="00E02578">
              <w:rPr>
                <w:color w:val="000000"/>
                <w:kern w:val="22"/>
                <w:sz w:val="16"/>
                <w:szCs w:val="16"/>
                <w:lang w:val="fr-CA" w:eastAsia="en-CA"/>
              </w:rPr>
              <w:t xml:space="preserve">2/ </w:t>
            </w:r>
            <w:r w:rsidRPr="00BF7F7B">
              <w:rPr>
                <w:color w:val="000000"/>
                <w:kern w:val="18"/>
                <w:sz w:val="16"/>
                <w:szCs w:val="16"/>
                <w:lang w:val="fr-FR"/>
              </w:rPr>
              <w:t>SBSTTA-23 (3 jours), art. 8</w:t>
            </w:r>
            <w:r>
              <w:rPr>
                <w:color w:val="000000"/>
                <w:kern w:val="18"/>
                <w:sz w:val="16"/>
                <w:szCs w:val="16"/>
                <w:lang w:val="fr-FR"/>
              </w:rPr>
              <w:t xml:space="preserve"> </w:t>
            </w:r>
            <w:r w:rsidRPr="00BF7F7B">
              <w:rPr>
                <w:color w:val="000000"/>
                <w:kern w:val="18"/>
                <w:sz w:val="16"/>
                <w:szCs w:val="16"/>
                <w:lang w:val="fr-FR"/>
              </w:rPr>
              <w:t>j)-11 (3 jours) consécutives en 2019. SBSTTA-24 (6 jours), SBI-3 (5 jours) consécutives en 2020</w:t>
            </w:r>
            <w:r w:rsidRPr="00E02578">
              <w:rPr>
                <w:color w:val="000000"/>
                <w:kern w:val="22"/>
                <w:sz w:val="16"/>
                <w:szCs w:val="16"/>
                <w:lang w:val="fr-CA" w:eastAsia="en-CA"/>
              </w:rPr>
              <w:t>.</w:t>
            </w:r>
          </w:p>
        </w:tc>
      </w:tr>
      <w:tr w:rsidR="00362666" w:rsidRPr="00AB4311" w14:paraId="61EB56E8" w14:textId="77777777" w:rsidTr="001D6920">
        <w:trPr>
          <w:cantSplit/>
          <w:trHeight w:val="113"/>
          <w:jc w:val="center"/>
        </w:trPr>
        <w:tc>
          <w:tcPr>
            <w:tcW w:w="450" w:type="dxa"/>
            <w:tcBorders>
              <w:top w:val="nil"/>
              <w:left w:val="nil"/>
              <w:bottom w:val="nil"/>
              <w:right w:val="nil"/>
            </w:tcBorders>
            <w:shd w:val="clear" w:color="auto" w:fill="auto"/>
            <w:noWrap/>
            <w:vAlign w:val="center"/>
            <w:hideMark/>
          </w:tcPr>
          <w:p w14:paraId="06450D57" w14:textId="77777777" w:rsidR="00362666" w:rsidRPr="00EE0850" w:rsidRDefault="00362666" w:rsidP="00362666">
            <w:pPr>
              <w:spacing w:after="0" w:line="240" w:lineRule="auto"/>
              <w:jc w:val="right"/>
              <w:rPr>
                <w:color w:val="000000"/>
                <w:kern w:val="22"/>
                <w:sz w:val="16"/>
                <w:szCs w:val="16"/>
                <w:lang w:eastAsia="en-CA"/>
              </w:rPr>
            </w:pPr>
          </w:p>
        </w:tc>
        <w:tc>
          <w:tcPr>
            <w:tcW w:w="9516" w:type="dxa"/>
            <w:gridSpan w:val="5"/>
            <w:tcBorders>
              <w:top w:val="nil"/>
              <w:left w:val="nil"/>
              <w:bottom w:val="nil"/>
              <w:right w:val="nil"/>
            </w:tcBorders>
            <w:shd w:val="clear" w:color="auto" w:fill="auto"/>
            <w:vAlign w:val="center"/>
            <w:hideMark/>
          </w:tcPr>
          <w:p w14:paraId="221D87B1" w14:textId="6F663FB7" w:rsidR="00362666" w:rsidRPr="00362666" w:rsidRDefault="00362666" w:rsidP="00DF328C">
            <w:pPr>
              <w:spacing w:after="0" w:line="240" w:lineRule="auto"/>
              <w:rPr>
                <w:color w:val="000000"/>
                <w:kern w:val="22"/>
                <w:sz w:val="16"/>
                <w:szCs w:val="16"/>
                <w:lang w:val="fr-CA" w:eastAsia="en-CA"/>
              </w:rPr>
            </w:pPr>
            <w:r w:rsidRPr="00E02578">
              <w:rPr>
                <w:color w:val="000000"/>
                <w:kern w:val="22"/>
                <w:sz w:val="16"/>
                <w:szCs w:val="16"/>
                <w:lang w:val="fr-CA" w:eastAsia="en-CA"/>
              </w:rPr>
              <w:t xml:space="preserve">3/ </w:t>
            </w:r>
            <w:r w:rsidRPr="00BF7F7B">
              <w:rPr>
                <w:color w:val="000000"/>
                <w:kern w:val="18"/>
                <w:sz w:val="16"/>
                <w:szCs w:val="16"/>
                <w:lang w:val="fr-FR"/>
              </w:rPr>
              <w:t xml:space="preserve">Budget pour COP-15/COP-MOP 10 </w:t>
            </w:r>
            <w:r w:rsidR="00DF328C">
              <w:rPr>
                <w:color w:val="000000"/>
                <w:kern w:val="18"/>
                <w:sz w:val="16"/>
                <w:szCs w:val="16"/>
                <w:lang w:val="fr-FR"/>
              </w:rPr>
              <w:t>et</w:t>
            </w:r>
            <w:r w:rsidRPr="00BF7F7B">
              <w:rPr>
                <w:color w:val="000000"/>
                <w:kern w:val="18"/>
                <w:sz w:val="16"/>
                <w:szCs w:val="16"/>
                <w:lang w:val="fr-FR"/>
              </w:rPr>
              <w:t xml:space="preserve"> COP-MOP 4 </w:t>
            </w:r>
            <w:r w:rsidRPr="00BF7F7B">
              <w:rPr>
                <w:kern w:val="18"/>
                <w:sz w:val="16"/>
                <w:szCs w:val="16"/>
                <w:lang w:val="fr-FR"/>
              </w:rPr>
              <w:t>divisé en parts égales entre les deux années de l’exercice biennal</w:t>
            </w:r>
            <w:r w:rsidRPr="00E02578">
              <w:rPr>
                <w:color w:val="000000"/>
                <w:kern w:val="22"/>
                <w:sz w:val="16"/>
                <w:szCs w:val="16"/>
                <w:lang w:val="fr-CA" w:eastAsia="en-CA"/>
              </w:rPr>
              <w:t>.</w:t>
            </w:r>
          </w:p>
        </w:tc>
      </w:tr>
      <w:tr w:rsidR="00773106" w:rsidRPr="00AB4311" w14:paraId="1D56072A" w14:textId="77777777" w:rsidTr="001D6920">
        <w:trPr>
          <w:cantSplit/>
          <w:trHeight w:val="113"/>
          <w:jc w:val="center"/>
        </w:trPr>
        <w:tc>
          <w:tcPr>
            <w:tcW w:w="450" w:type="dxa"/>
            <w:tcBorders>
              <w:top w:val="nil"/>
              <w:left w:val="nil"/>
              <w:bottom w:val="nil"/>
              <w:right w:val="nil"/>
            </w:tcBorders>
            <w:shd w:val="clear" w:color="auto" w:fill="auto"/>
            <w:noWrap/>
            <w:vAlign w:val="center"/>
            <w:hideMark/>
          </w:tcPr>
          <w:p w14:paraId="0F093428" w14:textId="77777777" w:rsidR="00DE347C" w:rsidRPr="00362666" w:rsidRDefault="00DE347C" w:rsidP="000C6220">
            <w:pPr>
              <w:spacing w:after="0" w:line="240" w:lineRule="auto"/>
              <w:jc w:val="right"/>
              <w:rPr>
                <w:color w:val="000000"/>
                <w:kern w:val="22"/>
                <w:sz w:val="16"/>
                <w:szCs w:val="16"/>
                <w:lang w:val="fr-CA" w:eastAsia="en-CA"/>
              </w:rPr>
            </w:pPr>
          </w:p>
        </w:tc>
        <w:tc>
          <w:tcPr>
            <w:tcW w:w="9516" w:type="dxa"/>
            <w:gridSpan w:val="5"/>
            <w:tcBorders>
              <w:top w:val="nil"/>
              <w:left w:val="nil"/>
              <w:bottom w:val="nil"/>
              <w:right w:val="nil"/>
            </w:tcBorders>
            <w:shd w:val="clear" w:color="auto" w:fill="auto"/>
            <w:vAlign w:val="center"/>
            <w:hideMark/>
          </w:tcPr>
          <w:p w14:paraId="6F22990A" w14:textId="47201FAB" w:rsidR="00DE347C" w:rsidRPr="00DF328C" w:rsidRDefault="00DE347C" w:rsidP="000C6220">
            <w:pPr>
              <w:spacing w:after="0" w:line="240" w:lineRule="auto"/>
              <w:rPr>
                <w:color w:val="000000"/>
                <w:kern w:val="22"/>
                <w:sz w:val="16"/>
                <w:szCs w:val="16"/>
                <w:lang w:val="fr-CA" w:eastAsia="en-CA"/>
              </w:rPr>
            </w:pPr>
            <w:r w:rsidRPr="00DF328C">
              <w:rPr>
                <w:color w:val="000000"/>
                <w:kern w:val="22"/>
                <w:sz w:val="16"/>
                <w:szCs w:val="16"/>
                <w:lang w:val="fr-CA" w:eastAsia="en-CA"/>
              </w:rPr>
              <w:t>4</w:t>
            </w:r>
            <w:r w:rsidR="00DF328C" w:rsidRPr="00E02578">
              <w:rPr>
                <w:color w:val="000000"/>
                <w:kern w:val="22"/>
                <w:sz w:val="16"/>
                <w:szCs w:val="16"/>
                <w:lang w:val="fr-CA" w:eastAsia="en-CA"/>
              </w:rPr>
              <w:t xml:space="preserve">/ </w:t>
            </w:r>
            <w:r w:rsidR="00DF328C" w:rsidRPr="00BF7F7B">
              <w:rPr>
                <w:color w:val="000000"/>
                <w:kern w:val="18"/>
                <w:sz w:val="16"/>
                <w:szCs w:val="16"/>
                <w:lang w:val="fr-FR"/>
              </w:rPr>
              <w:t xml:space="preserve">Deux réunions </w:t>
            </w:r>
            <w:r w:rsidR="00DF328C">
              <w:rPr>
                <w:color w:val="000000"/>
                <w:kern w:val="18"/>
                <w:sz w:val="16"/>
                <w:szCs w:val="16"/>
                <w:lang w:val="fr-FR"/>
              </w:rPr>
              <w:t>extraordinaires distinctes</w:t>
            </w:r>
            <w:r w:rsidR="00DF328C" w:rsidRPr="00BF7F7B">
              <w:rPr>
                <w:color w:val="000000"/>
                <w:kern w:val="18"/>
                <w:sz w:val="16"/>
                <w:szCs w:val="16"/>
                <w:lang w:val="fr-FR"/>
              </w:rPr>
              <w:t xml:space="preserve"> de 5 jours chacune, plus 2 jours de prolongation pour SBSTTA-</w:t>
            </w:r>
            <w:r w:rsidRPr="00DF328C">
              <w:rPr>
                <w:color w:val="000000"/>
                <w:kern w:val="22"/>
                <w:sz w:val="16"/>
                <w:szCs w:val="16"/>
                <w:lang w:val="fr-CA" w:eastAsia="en-CA"/>
              </w:rPr>
              <w:t>23</w:t>
            </w:r>
          </w:p>
        </w:tc>
      </w:tr>
      <w:tr w:rsidR="00773106" w:rsidRPr="00EE0850" w14:paraId="7777B7C6" w14:textId="77777777" w:rsidTr="001D6920">
        <w:trPr>
          <w:cantSplit/>
          <w:trHeight w:val="113"/>
          <w:jc w:val="center"/>
        </w:trPr>
        <w:tc>
          <w:tcPr>
            <w:tcW w:w="450" w:type="dxa"/>
            <w:tcBorders>
              <w:top w:val="nil"/>
              <w:left w:val="nil"/>
              <w:bottom w:val="nil"/>
              <w:right w:val="nil"/>
            </w:tcBorders>
            <w:shd w:val="clear" w:color="auto" w:fill="auto"/>
            <w:noWrap/>
            <w:vAlign w:val="center"/>
            <w:hideMark/>
          </w:tcPr>
          <w:p w14:paraId="7D86204A" w14:textId="77777777" w:rsidR="00DE347C" w:rsidRPr="00DF328C" w:rsidRDefault="00DE347C" w:rsidP="000C6220">
            <w:pPr>
              <w:spacing w:after="0" w:line="240" w:lineRule="auto"/>
              <w:jc w:val="right"/>
              <w:rPr>
                <w:color w:val="000000"/>
                <w:kern w:val="22"/>
                <w:sz w:val="16"/>
                <w:szCs w:val="16"/>
                <w:lang w:val="fr-CA" w:eastAsia="en-CA"/>
              </w:rPr>
            </w:pPr>
          </w:p>
        </w:tc>
        <w:tc>
          <w:tcPr>
            <w:tcW w:w="9516" w:type="dxa"/>
            <w:gridSpan w:val="5"/>
            <w:tcBorders>
              <w:top w:val="nil"/>
              <w:left w:val="nil"/>
              <w:bottom w:val="nil"/>
              <w:right w:val="nil"/>
            </w:tcBorders>
            <w:shd w:val="clear" w:color="auto" w:fill="auto"/>
            <w:vAlign w:val="center"/>
            <w:hideMark/>
          </w:tcPr>
          <w:p w14:paraId="1D91A51B" w14:textId="5F25D090" w:rsidR="00DE347C" w:rsidRPr="00EE0850" w:rsidRDefault="00DF328C" w:rsidP="000C6220">
            <w:pPr>
              <w:spacing w:after="0" w:line="240" w:lineRule="auto"/>
              <w:rPr>
                <w:color w:val="000000"/>
                <w:kern w:val="22"/>
                <w:sz w:val="16"/>
                <w:szCs w:val="16"/>
                <w:lang w:eastAsia="en-CA"/>
              </w:rPr>
            </w:pPr>
            <w:r>
              <w:rPr>
                <w:color w:val="000000"/>
                <w:kern w:val="22"/>
                <w:sz w:val="16"/>
                <w:szCs w:val="16"/>
                <w:lang w:eastAsia="en-CA"/>
              </w:rPr>
              <w:t>5/ Indicatif</w:t>
            </w:r>
            <w:r w:rsidR="00DE347C" w:rsidRPr="00EE0850">
              <w:rPr>
                <w:color w:val="000000"/>
                <w:kern w:val="22"/>
                <w:sz w:val="16"/>
                <w:szCs w:val="16"/>
                <w:lang w:eastAsia="en-CA"/>
              </w:rPr>
              <w:t>.</w:t>
            </w:r>
          </w:p>
        </w:tc>
      </w:tr>
    </w:tbl>
    <w:p w14:paraId="4046FFAF" w14:textId="77777777" w:rsidR="003438E6" w:rsidRPr="00362666" w:rsidRDefault="003438E6">
      <w:pPr>
        <w:jc w:val="left"/>
        <w:rPr>
          <w:kern w:val="22"/>
          <w:lang w:val="fr-CA"/>
        </w:rPr>
      </w:pPr>
    </w:p>
    <w:p w14:paraId="2F3CC90C" w14:textId="77777777" w:rsidR="00DE347C" w:rsidRPr="00362666" w:rsidRDefault="00DE347C">
      <w:pPr>
        <w:jc w:val="left"/>
        <w:rPr>
          <w:kern w:val="22"/>
          <w:lang w:val="fr-CA"/>
        </w:rPr>
        <w:sectPr w:rsidR="00DE347C" w:rsidRPr="00362666" w:rsidSect="003438E6">
          <w:headerReference w:type="even" r:id="rId22"/>
          <w:headerReference w:type="default" r:id="rId23"/>
          <w:footerReference w:type="even" r:id="rId24"/>
          <w:footerReference w:type="default" r:id="rId25"/>
          <w:type w:val="continuous"/>
          <w:pgSz w:w="12242" w:h="15842" w:code="1"/>
          <w:pgMar w:top="1138" w:right="1138" w:bottom="1022" w:left="1138" w:header="403" w:footer="720" w:gutter="0"/>
          <w:cols w:space="720"/>
          <w:titlePg/>
          <w:docGrid w:linePitch="299"/>
        </w:sectPr>
      </w:pPr>
    </w:p>
    <w:p w14:paraId="3E595791" w14:textId="77777777" w:rsidR="00DF328C" w:rsidRPr="00CC1DB8" w:rsidRDefault="00DF328C" w:rsidP="00DF328C">
      <w:pPr>
        <w:jc w:val="left"/>
        <w:rPr>
          <w:b/>
          <w:kern w:val="22"/>
          <w:lang w:val="fr-CA"/>
        </w:rPr>
      </w:pPr>
      <w:r w:rsidRPr="00CC1DB8">
        <w:rPr>
          <w:b/>
          <w:kern w:val="22"/>
          <w:lang w:val="fr-CA"/>
        </w:rPr>
        <w:lastRenderedPageBreak/>
        <w:t xml:space="preserve">Tableau 2. </w:t>
      </w:r>
      <w:r w:rsidRPr="00CC1DB8">
        <w:rPr>
          <w:b/>
          <w:bCs/>
          <w:kern w:val="18"/>
          <w:szCs w:val="22"/>
          <w:lang w:val="fr-CA" w:eastAsia="ko-KR"/>
        </w:rPr>
        <w:t xml:space="preserve">Contributions au Fonds d'affectation spéciale </w:t>
      </w:r>
      <w:r>
        <w:rPr>
          <w:b/>
          <w:bCs/>
          <w:kern w:val="18"/>
          <w:szCs w:val="22"/>
          <w:lang w:val="fr-CA" w:eastAsia="ko-KR"/>
        </w:rPr>
        <w:t>du Protocole de Nagoya sur l’accès et le partage des avantages</w:t>
      </w:r>
      <w:r w:rsidRPr="00CC1DB8">
        <w:rPr>
          <w:b/>
          <w:bCs/>
          <w:kern w:val="18"/>
          <w:szCs w:val="22"/>
          <w:lang w:val="fr-CA" w:eastAsia="ko-KR"/>
        </w:rPr>
        <w:t xml:space="preserve"> pour l’exercice biennal 2019-2020</w:t>
      </w:r>
      <w:r w:rsidRPr="00DF328C">
        <w:rPr>
          <w:rStyle w:val="Appelnotedebasdep"/>
          <w:b/>
          <w:kern w:val="22"/>
          <w:u w:val="none"/>
          <w:vertAlign w:val="superscript"/>
        </w:rPr>
        <w:footnoteReference w:id="28"/>
      </w:r>
    </w:p>
    <w:p w14:paraId="0481234E" w14:textId="77777777" w:rsidR="00DF328C" w:rsidRPr="00CC1DB8" w:rsidRDefault="00DF328C" w:rsidP="00DF328C">
      <w:pPr>
        <w:rPr>
          <w:kern w:val="22"/>
          <w:lang w:val="fr-CA"/>
        </w:rPr>
      </w:pPr>
    </w:p>
    <w:tbl>
      <w:tblPr>
        <w:tblW w:w="0" w:type="auto"/>
        <w:jc w:val="center"/>
        <w:tblLayout w:type="fixed"/>
        <w:tblLook w:val="04A0" w:firstRow="1" w:lastRow="0" w:firstColumn="1" w:lastColumn="0" w:noHBand="0" w:noVBand="1"/>
      </w:tblPr>
      <w:tblGrid>
        <w:gridCol w:w="5617"/>
        <w:gridCol w:w="1597"/>
        <w:gridCol w:w="1597"/>
        <w:gridCol w:w="1597"/>
        <w:gridCol w:w="1597"/>
        <w:gridCol w:w="1598"/>
      </w:tblGrid>
      <w:tr w:rsidR="00DF328C" w:rsidRPr="00B13812" w14:paraId="726867F9" w14:textId="77777777" w:rsidTr="00DF328C">
        <w:trPr>
          <w:cantSplit/>
          <w:tblHeader/>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421B4" w14:textId="77777777" w:rsidR="00DF328C" w:rsidRPr="00B13812" w:rsidRDefault="00DF328C" w:rsidP="00DF328C">
            <w:pPr>
              <w:spacing w:after="0" w:line="240" w:lineRule="auto"/>
              <w:jc w:val="center"/>
              <w:rPr>
                <w:b/>
                <w:bCs/>
                <w:sz w:val="24"/>
                <w:lang w:val="fr-CA" w:eastAsia="en-CA"/>
              </w:rPr>
            </w:pPr>
            <w:r w:rsidRPr="00B13812">
              <w:rPr>
                <w:b/>
                <w:bCs/>
                <w:sz w:val="24"/>
                <w:lang w:val="fr-CA" w:eastAsia="en-CA"/>
              </w:rPr>
              <w:t>Parties</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0FFDE357" w14:textId="77777777" w:rsidR="00DF328C" w:rsidRPr="00B13812" w:rsidRDefault="00DF328C" w:rsidP="00DF328C">
            <w:pPr>
              <w:spacing w:after="0" w:line="240" w:lineRule="auto"/>
              <w:jc w:val="center"/>
              <w:rPr>
                <w:b/>
                <w:bCs/>
                <w:noProof/>
                <w:szCs w:val="22"/>
                <w:lang w:val="fr-CA"/>
              </w:rPr>
            </w:pPr>
            <w:r w:rsidRPr="00B13812">
              <w:rPr>
                <w:b/>
                <w:bCs/>
                <w:noProof/>
                <w:szCs w:val="22"/>
                <w:lang w:val="fr-CA"/>
              </w:rPr>
              <w:t xml:space="preserve">Barème des quote-parts pour </w:t>
            </w:r>
          </w:p>
          <w:p w14:paraId="1A073821" w14:textId="77777777" w:rsidR="00DF328C" w:rsidRPr="00B13812" w:rsidRDefault="00DF328C" w:rsidP="00DF328C">
            <w:pPr>
              <w:spacing w:after="0" w:line="240" w:lineRule="auto"/>
              <w:jc w:val="center"/>
              <w:rPr>
                <w:b/>
                <w:bCs/>
                <w:szCs w:val="22"/>
                <w:lang w:val="fr-CA"/>
              </w:rPr>
            </w:pPr>
            <w:r w:rsidRPr="00B13812">
              <w:rPr>
                <w:b/>
                <w:bCs/>
                <w:noProof/>
                <w:szCs w:val="22"/>
                <w:lang w:val="fr-CA"/>
              </w:rPr>
              <w:t>2016-2018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22011452" w14:textId="77777777" w:rsidR="00DF328C" w:rsidRPr="00B13812" w:rsidRDefault="00DF328C" w:rsidP="00DF328C">
            <w:pPr>
              <w:spacing w:after="0" w:line="240" w:lineRule="auto"/>
              <w:jc w:val="center"/>
              <w:rPr>
                <w:b/>
                <w:bCs/>
                <w:szCs w:val="22"/>
                <w:lang w:val="fr-CA"/>
              </w:rPr>
            </w:pPr>
            <w:r w:rsidRPr="00B13812">
              <w:rPr>
                <w:b/>
                <w:bCs/>
                <w:szCs w:val="22"/>
                <w:lang w:val="fr-CA"/>
              </w:rPr>
              <w:t>Barème assorti d’un plafond de 22% ; aucun PMA ne paie plus de 0,01 %</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1E754876" w14:textId="77777777" w:rsidR="00DF328C" w:rsidRPr="00B13812" w:rsidRDefault="00DF328C" w:rsidP="00DF328C">
            <w:pPr>
              <w:spacing w:after="0" w:line="240" w:lineRule="auto"/>
              <w:jc w:val="center"/>
              <w:rPr>
                <w:b/>
                <w:bCs/>
                <w:szCs w:val="22"/>
                <w:lang w:val="fr-CA"/>
              </w:rPr>
            </w:pPr>
            <w:r w:rsidRPr="00B13812">
              <w:rPr>
                <w:b/>
                <w:bCs/>
                <w:szCs w:val="22"/>
                <w:lang w:val="fr-CA"/>
              </w:rPr>
              <w:t>Contributions</w:t>
            </w:r>
          </w:p>
          <w:p w14:paraId="146992F6" w14:textId="77777777" w:rsidR="00DF328C" w:rsidRPr="00B13812" w:rsidRDefault="00DF328C" w:rsidP="00DF328C">
            <w:pPr>
              <w:spacing w:after="0" w:line="240" w:lineRule="auto"/>
              <w:jc w:val="center"/>
              <w:rPr>
                <w:b/>
                <w:bCs/>
                <w:szCs w:val="22"/>
                <w:lang w:val="fr-CA"/>
              </w:rPr>
            </w:pPr>
            <w:r w:rsidRPr="00B13812">
              <w:rPr>
                <w:b/>
                <w:bCs/>
                <w:szCs w:val="22"/>
                <w:lang w:val="fr-CA"/>
              </w:rPr>
              <w:t>dues au 1</w:t>
            </w:r>
            <w:r w:rsidRPr="00B13812">
              <w:rPr>
                <w:b/>
                <w:bCs/>
                <w:szCs w:val="22"/>
                <w:vertAlign w:val="superscript"/>
                <w:lang w:val="fr-CA"/>
              </w:rPr>
              <w:t>er</w:t>
            </w:r>
            <w:r>
              <w:rPr>
                <w:b/>
                <w:bCs/>
                <w:szCs w:val="22"/>
                <w:lang w:val="fr-CA"/>
              </w:rPr>
              <w:t> </w:t>
            </w:r>
            <w:r w:rsidRPr="00B13812">
              <w:rPr>
                <w:b/>
                <w:bCs/>
                <w:szCs w:val="22"/>
                <w:lang w:val="fr-CA"/>
              </w:rPr>
              <w:t>janvier 2019</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3137B4C5" w14:textId="77777777" w:rsidR="00DF328C" w:rsidRPr="00B13812" w:rsidRDefault="00DF328C" w:rsidP="00DF328C">
            <w:pPr>
              <w:spacing w:after="0" w:line="240" w:lineRule="auto"/>
              <w:jc w:val="center"/>
              <w:rPr>
                <w:b/>
                <w:bCs/>
                <w:szCs w:val="22"/>
                <w:lang w:val="fr-CA"/>
              </w:rPr>
            </w:pPr>
            <w:r w:rsidRPr="00B13812">
              <w:rPr>
                <w:b/>
                <w:bCs/>
                <w:szCs w:val="22"/>
                <w:lang w:val="fr-CA"/>
              </w:rPr>
              <w:t>Contributions</w:t>
            </w:r>
          </w:p>
          <w:p w14:paraId="411EB565" w14:textId="77777777" w:rsidR="00DF328C" w:rsidRPr="00B13812" w:rsidRDefault="00DF328C" w:rsidP="00DF328C">
            <w:pPr>
              <w:spacing w:after="0" w:line="240" w:lineRule="auto"/>
              <w:jc w:val="center"/>
              <w:rPr>
                <w:b/>
                <w:bCs/>
                <w:szCs w:val="22"/>
                <w:lang w:val="fr-CA"/>
              </w:rPr>
            </w:pPr>
            <w:r w:rsidRPr="00B13812">
              <w:rPr>
                <w:b/>
                <w:bCs/>
                <w:szCs w:val="22"/>
                <w:lang w:val="fr-CA"/>
              </w:rPr>
              <w:t>dues au 1</w:t>
            </w:r>
            <w:r w:rsidRPr="00B13812">
              <w:rPr>
                <w:b/>
                <w:bCs/>
                <w:szCs w:val="22"/>
                <w:vertAlign w:val="superscript"/>
                <w:lang w:val="fr-CA"/>
              </w:rPr>
              <w:t>er</w:t>
            </w:r>
            <w:r>
              <w:rPr>
                <w:b/>
                <w:bCs/>
                <w:szCs w:val="22"/>
                <w:lang w:val="fr-CA"/>
              </w:rPr>
              <w:t> </w:t>
            </w:r>
            <w:r w:rsidRPr="00B13812">
              <w:rPr>
                <w:b/>
                <w:bCs/>
                <w:szCs w:val="22"/>
                <w:lang w:val="fr-CA"/>
              </w:rPr>
              <w:t>janvier 2020</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5221B6A3" w14:textId="77777777" w:rsidR="00DF328C" w:rsidRPr="00B13812" w:rsidRDefault="00DF328C" w:rsidP="00DF328C">
            <w:pPr>
              <w:spacing w:after="0" w:line="240" w:lineRule="auto"/>
              <w:jc w:val="center"/>
              <w:rPr>
                <w:b/>
                <w:bCs/>
                <w:szCs w:val="22"/>
                <w:lang w:val="fr-CA"/>
              </w:rPr>
            </w:pPr>
            <w:r w:rsidRPr="00B13812">
              <w:rPr>
                <w:b/>
                <w:bCs/>
                <w:szCs w:val="22"/>
                <w:lang w:val="fr-CA"/>
              </w:rPr>
              <w:t>Total 2019-2020</w:t>
            </w:r>
          </w:p>
        </w:tc>
      </w:tr>
      <w:tr w:rsidR="00DF328C" w:rsidRPr="00B13812" w14:paraId="707F2433"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A69B6B7" w14:textId="77777777" w:rsidR="00DF328C" w:rsidRPr="00B13812" w:rsidRDefault="00DF328C" w:rsidP="00DF328C">
            <w:pPr>
              <w:spacing w:after="0" w:line="240" w:lineRule="auto"/>
              <w:rPr>
                <w:sz w:val="24"/>
                <w:lang w:val="fr-CA" w:eastAsia="en-CA"/>
              </w:rPr>
            </w:pPr>
            <w:r w:rsidRPr="00B13812">
              <w:rPr>
                <w:sz w:val="24"/>
                <w:lang w:val="fr-CA" w:eastAsia="en-CA"/>
              </w:rPr>
              <w:t>Afghanistan</w:t>
            </w:r>
          </w:p>
        </w:tc>
        <w:tc>
          <w:tcPr>
            <w:tcW w:w="1597" w:type="dxa"/>
            <w:tcBorders>
              <w:top w:val="nil"/>
              <w:left w:val="nil"/>
              <w:bottom w:val="single" w:sz="4" w:space="0" w:color="auto"/>
              <w:right w:val="single" w:sz="4" w:space="0" w:color="auto"/>
            </w:tcBorders>
            <w:shd w:val="clear" w:color="auto" w:fill="auto"/>
            <w:noWrap/>
            <w:vAlign w:val="center"/>
            <w:hideMark/>
          </w:tcPr>
          <w:p w14:paraId="34935CAE"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14:paraId="14573CA8"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011</w:t>
            </w:r>
          </w:p>
        </w:tc>
        <w:tc>
          <w:tcPr>
            <w:tcW w:w="1597" w:type="dxa"/>
            <w:tcBorders>
              <w:top w:val="nil"/>
              <w:left w:val="nil"/>
              <w:bottom w:val="single" w:sz="4" w:space="0" w:color="auto"/>
              <w:right w:val="single" w:sz="4" w:space="0" w:color="auto"/>
            </w:tcBorders>
            <w:shd w:val="clear" w:color="auto" w:fill="auto"/>
            <w:noWrap/>
            <w:vAlign w:val="center"/>
            <w:hideMark/>
          </w:tcPr>
          <w:p w14:paraId="71BEAA68"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195</w:t>
            </w:r>
          </w:p>
        </w:tc>
        <w:tc>
          <w:tcPr>
            <w:tcW w:w="1597" w:type="dxa"/>
            <w:tcBorders>
              <w:top w:val="nil"/>
              <w:left w:val="nil"/>
              <w:bottom w:val="single" w:sz="4" w:space="0" w:color="auto"/>
              <w:right w:val="single" w:sz="4" w:space="0" w:color="auto"/>
            </w:tcBorders>
            <w:shd w:val="clear" w:color="auto" w:fill="auto"/>
            <w:noWrap/>
            <w:vAlign w:val="center"/>
            <w:hideMark/>
          </w:tcPr>
          <w:p w14:paraId="3A9C4C8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207</w:t>
            </w:r>
          </w:p>
        </w:tc>
        <w:tc>
          <w:tcPr>
            <w:tcW w:w="1598" w:type="dxa"/>
            <w:tcBorders>
              <w:top w:val="nil"/>
              <w:left w:val="nil"/>
              <w:bottom w:val="single" w:sz="4" w:space="0" w:color="auto"/>
              <w:right w:val="single" w:sz="4" w:space="0" w:color="auto"/>
            </w:tcBorders>
            <w:shd w:val="clear" w:color="auto" w:fill="auto"/>
            <w:noWrap/>
            <w:vAlign w:val="center"/>
            <w:hideMark/>
          </w:tcPr>
          <w:p w14:paraId="19306428" w14:textId="77777777" w:rsidR="00DF328C" w:rsidRPr="00B13812" w:rsidRDefault="00DF328C" w:rsidP="00DF328C">
            <w:pPr>
              <w:spacing w:after="0" w:line="240" w:lineRule="auto"/>
              <w:jc w:val="right"/>
              <w:rPr>
                <w:sz w:val="24"/>
                <w:lang w:val="fr-CA" w:eastAsia="en-CA"/>
              </w:rPr>
            </w:pPr>
            <w:r w:rsidRPr="00B13812">
              <w:rPr>
                <w:sz w:val="24"/>
                <w:lang w:val="fr-CA" w:eastAsia="en-CA"/>
              </w:rPr>
              <w:t>402</w:t>
            </w:r>
          </w:p>
        </w:tc>
      </w:tr>
      <w:tr w:rsidR="00DF328C" w:rsidRPr="00B13812" w14:paraId="0FBC3CCA"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89CB847" w14:textId="77777777" w:rsidR="00DF328C" w:rsidRPr="00B13812" w:rsidRDefault="00DF328C" w:rsidP="00DF328C">
            <w:pPr>
              <w:spacing w:after="0" w:line="240" w:lineRule="auto"/>
              <w:rPr>
                <w:sz w:val="24"/>
                <w:lang w:val="fr-CA" w:eastAsia="en-CA"/>
              </w:rPr>
            </w:pPr>
            <w:r>
              <w:rPr>
                <w:sz w:val="24"/>
                <w:lang w:val="fr-CA" w:eastAsia="en-CA"/>
              </w:rPr>
              <w:t>Afrique du Sud</w:t>
            </w:r>
          </w:p>
        </w:tc>
        <w:tc>
          <w:tcPr>
            <w:tcW w:w="1597" w:type="dxa"/>
            <w:tcBorders>
              <w:top w:val="nil"/>
              <w:left w:val="nil"/>
              <w:bottom w:val="single" w:sz="4" w:space="0" w:color="auto"/>
              <w:right w:val="single" w:sz="4" w:space="0" w:color="auto"/>
            </w:tcBorders>
            <w:shd w:val="clear" w:color="auto" w:fill="auto"/>
            <w:noWrap/>
            <w:vAlign w:val="center"/>
            <w:hideMark/>
          </w:tcPr>
          <w:p w14:paraId="0F567076"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364</w:t>
            </w:r>
          </w:p>
        </w:tc>
        <w:tc>
          <w:tcPr>
            <w:tcW w:w="1597" w:type="dxa"/>
            <w:tcBorders>
              <w:top w:val="nil"/>
              <w:left w:val="nil"/>
              <w:bottom w:val="single" w:sz="4" w:space="0" w:color="auto"/>
              <w:right w:val="single" w:sz="4" w:space="0" w:color="auto"/>
            </w:tcBorders>
            <w:shd w:val="clear" w:color="auto" w:fill="auto"/>
            <w:noWrap/>
            <w:vAlign w:val="center"/>
            <w:hideMark/>
          </w:tcPr>
          <w:p w14:paraId="02250B3B"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673</w:t>
            </w:r>
          </w:p>
        </w:tc>
        <w:tc>
          <w:tcPr>
            <w:tcW w:w="1597" w:type="dxa"/>
            <w:tcBorders>
              <w:top w:val="nil"/>
              <w:left w:val="nil"/>
              <w:bottom w:val="single" w:sz="4" w:space="0" w:color="auto"/>
              <w:right w:val="single" w:sz="4" w:space="0" w:color="auto"/>
            </w:tcBorders>
            <w:shd w:val="clear" w:color="auto" w:fill="auto"/>
            <w:noWrap/>
            <w:vAlign w:val="center"/>
            <w:hideMark/>
          </w:tcPr>
          <w:p w14:paraId="622C77E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11 844</w:t>
            </w:r>
          </w:p>
        </w:tc>
        <w:tc>
          <w:tcPr>
            <w:tcW w:w="1597" w:type="dxa"/>
            <w:tcBorders>
              <w:top w:val="nil"/>
              <w:left w:val="nil"/>
              <w:bottom w:val="single" w:sz="4" w:space="0" w:color="auto"/>
              <w:right w:val="single" w:sz="4" w:space="0" w:color="auto"/>
            </w:tcBorders>
            <w:shd w:val="clear" w:color="auto" w:fill="auto"/>
            <w:noWrap/>
            <w:vAlign w:val="center"/>
            <w:hideMark/>
          </w:tcPr>
          <w:p w14:paraId="5F01A05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12 559</w:t>
            </w:r>
          </w:p>
        </w:tc>
        <w:tc>
          <w:tcPr>
            <w:tcW w:w="1598" w:type="dxa"/>
            <w:tcBorders>
              <w:top w:val="nil"/>
              <w:left w:val="nil"/>
              <w:bottom w:val="single" w:sz="4" w:space="0" w:color="auto"/>
              <w:right w:val="single" w:sz="4" w:space="0" w:color="auto"/>
            </w:tcBorders>
            <w:shd w:val="clear" w:color="auto" w:fill="auto"/>
            <w:noWrap/>
            <w:vAlign w:val="center"/>
            <w:hideMark/>
          </w:tcPr>
          <w:p w14:paraId="5C71AB0F" w14:textId="77777777" w:rsidR="00DF328C" w:rsidRPr="00B13812" w:rsidRDefault="00DF328C" w:rsidP="00DF328C">
            <w:pPr>
              <w:spacing w:after="0" w:line="240" w:lineRule="auto"/>
              <w:jc w:val="right"/>
              <w:rPr>
                <w:sz w:val="24"/>
                <w:lang w:val="fr-CA" w:eastAsia="en-CA"/>
              </w:rPr>
            </w:pPr>
            <w:r w:rsidRPr="00B13812">
              <w:rPr>
                <w:sz w:val="24"/>
                <w:lang w:val="fr-CA" w:eastAsia="en-CA"/>
              </w:rPr>
              <w:t>24 403</w:t>
            </w:r>
          </w:p>
        </w:tc>
      </w:tr>
      <w:tr w:rsidR="00DF328C" w:rsidRPr="00B13812" w14:paraId="506C28DD"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374B8CC" w14:textId="77777777" w:rsidR="00DF328C" w:rsidRPr="00B13812" w:rsidRDefault="00DF328C" w:rsidP="00DF328C">
            <w:pPr>
              <w:spacing w:after="0" w:line="240" w:lineRule="auto"/>
              <w:rPr>
                <w:sz w:val="24"/>
                <w:lang w:val="fr-CA" w:eastAsia="en-CA"/>
              </w:rPr>
            </w:pPr>
            <w:r w:rsidRPr="00B13812">
              <w:rPr>
                <w:sz w:val="24"/>
                <w:lang w:val="fr-CA" w:eastAsia="en-CA"/>
              </w:rPr>
              <w:t>Albanie</w:t>
            </w:r>
          </w:p>
        </w:tc>
        <w:tc>
          <w:tcPr>
            <w:tcW w:w="1597" w:type="dxa"/>
            <w:tcBorders>
              <w:top w:val="nil"/>
              <w:left w:val="nil"/>
              <w:bottom w:val="single" w:sz="4" w:space="0" w:color="auto"/>
              <w:right w:val="single" w:sz="4" w:space="0" w:color="auto"/>
            </w:tcBorders>
            <w:shd w:val="clear" w:color="auto" w:fill="auto"/>
            <w:noWrap/>
            <w:vAlign w:val="center"/>
            <w:hideMark/>
          </w:tcPr>
          <w:p w14:paraId="6FE2326A"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008</w:t>
            </w:r>
          </w:p>
        </w:tc>
        <w:tc>
          <w:tcPr>
            <w:tcW w:w="1597" w:type="dxa"/>
            <w:tcBorders>
              <w:top w:val="nil"/>
              <w:left w:val="nil"/>
              <w:bottom w:val="single" w:sz="4" w:space="0" w:color="auto"/>
              <w:right w:val="single" w:sz="4" w:space="0" w:color="auto"/>
            </w:tcBorders>
            <w:shd w:val="clear" w:color="auto" w:fill="auto"/>
            <w:noWrap/>
            <w:vAlign w:val="center"/>
            <w:hideMark/>
          </w:tcPr>
          <w:p w14:paraId="53B4F136"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015</w:t>
            </w:r>
          </w:p>
        </w:tc>
        <w:tc>
          <w:tcPr>
            <w:tcW w:w="1597" w:type="dxa"/>
            <w:tcBorders>
              <w:top w:val="nil"/>
              <w:left w:val="nil"/>
              <w:bottom w:val="single" w:sz="4" w:space="0" w:color="auto"/>
              <w:right w:val="single" w:sz="4" w:space="0" w:color="auto"/>
            </w:tcBorders>
            <w:shd w:val="clear" w:color="auto" w:fill="auto"/>
            <w:noWrap/>
            <w:vAlign w:val="center"/>
            <w:hideMark/>
          </w:tcPr>
          <w:p w14:paraId="5F968340"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260</w:t>
            </w:r>
          </w:p>
        </w:tc>
        <w:tc>
          <w:tcPr>
            <w:tcW w:w="1597" w:type="dxa"/>
            <w:tcBorders>
              <w:top w:val="nil"/>
              <w:left w:val="nil"/>
              <w:bottom w:val="single" w:sz="4" w:space="0" w:color="auto"/>
              <w:right w:val="single" w:sz="4" w:space="0" w:color="auto"/>
            </w:tcBorders>
            <w:shd w:val="clear" w:color="auto" w:fill="auto"/>
            <w:noWrap/>
            <w:vAlign w:val="center"/>
            <w:hideMark/>
          </w:tcPr>
          <w:p w14:paraId="2C3617E7"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276</w:t>
            </w:r>
          </w:p>
        </w:tc>
        <w:tc>
          <w:tcPr>
            <w:tcW w:w="1598" w:type="dxa"/>
            <w:tcBorders>
              <w:top w:val="nil"/>
              <w:left w:val="nil"/>
              <w:bottom w:val="single" w:sz="4" w:space="0" w:color="auto"/>
              <w:right w:val="single" w:sz="4" w:space="0" w:color="auto"/>
            </w:tcBorders>
            <w:shd w:val="clear" w:color="auto" w:fill="auto"/>
            <w:noWrap/>
            <w:vAlign w:val="center"/>
            <w:hideMark/>
          </w:tcPr>
          <w:p w14:paraId="323FB0BE" w14:textId="77777777" w:rsidR="00DF328C" w:rsidRPr="00B13812" w:rsidRDefault="00DF328C" w:rsidP="00DF328C">
            <w:pPr>
              <w:spacing w:after="0" w:line="240" w:lineRule="auto"/>
              <w:jc w:val="right"/>
              <w:rPr>
                <w:sz w:val="24"/>
                <w:lang w:val="fr-CA" w:eastAsia="en-CA"/>
              </w:rPr>
            </w:pPr>
            <w:r w:rsidRPr="00B13812">
              <w:rPr>
                <w:sz w:val="24"/>
                <w:lang w:val="fr-CA" w:eastAsia="en-CA"/>
              </w:rPr>
              <w:t>536</w:t>
            </w:r>
          </w:p>
        </w:tc>
      </w:tr>
      <w:tr w:rsidR="00DF328C" w:rsidRPr="00B13812" w14:paraId="70B47837"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06876D5" w14:textId="77777777" w:rsidR="00DF328C" w:rsidRPr="00B13812" w:rsidRDefault="00DF328C" w:rsidP="00DF328C">
            <w:pPr>
              <w:spacing w:after="0" w:line="240" w:lineRule="auto"/>
              <w:rPr>
                <w:sz w:val="24"/>
                <w:lang w:val="fr-CA" w:eastAsia="en-CA"/>
              </w:rPr>
            </w:pPr>
            <w:r>
              <w:rPr>
                <w:sz w:val="24"/>
                <w:lang w:val="fr-CA" w:eastAsia="en-CA"/>
              </w:rPr>
              <w:t>Allemagne</w:t>
            </w:r>
          </w:p>
        </w:tc>
        <w:tc>
          <w:tcPr>
            <w:tcW w:w="1597" w:type="dxa"/>
            <w:tcBorders>
              <w:top w:val="nil"/>
              <w:left w:val="nil"/>
              <w:bottom w:val="single" w:sz="4" w:space="0" w:color="auto"/>
              <w:right w:val="single" w:sz="4" w:space="0" w:color="auto"/>
            </w:tcBorders>
            <w:shd w:val="clear" w:color="auto" w:fill="auto"/>
            <w:noWrap/>
            <w:vAlign w:val="center"/>
            <w:hideMark/>
          </w:tcPr>
          <w:p w14:paraId="22A3AD56" w14:textId="77777777" w:rsidR="00DF328C" w:rsidRPr="00B13812" w:rsidRDefault="00DF328C" w:rsidP="00DF328C">
            <w:pPr>
              <w:spacing w:after="0" w:line="240" w:lineRule="auto"/>
              <w:jc w:val="right"/>
              <w:rPr>
                <w:sz w:val="24"/>
                <w:lang w:val="fr-CA" w:eastAsia="en-CA"/>
              </w:rPr>
            </w:pPr>
            <w:r w:rsidRPr="00B13812">
              <w:rPr>
                <w:sz w:val="24"/>
                <w:lang w:val="fr-CA" w:eastAsia="en-CA"/>
              </w:rPr>
              <w:t>6</w:t>
            </w:r>
            <w:r>
              <w:rPr>
                <w:sz w:val="24"/>
                <w:lang w:val="fr-CA" w:eastAsia="en-CA"/>
              </w:rPr>
              <w:t>,</w:t>
            </w:r>
            <w:r w:rsidRPr="00B13812">
              <w:rPr>
                <w:sz w:val="24"/>
                <w:lang w:val="fr-CA" w:eastAsia="en-CA"/>
              </w:rPr>
              <w:t>389</w:t>
            </w:r>
          </w:p>
        </w:tc>
        <w:tc>
          <w:tcPr>
            <w:tcW w:w="1597" w:type="dxa"/>
            <w:tcBorders>
              <w:top w:val="nil"/>
              <w:left w:val="nil"/>
              <w:bottom w:val="single" w:sz="4" w:space="0" w:color="auto"/>
              <w:right w:val="single" w:sz="4" w:space="0" w:color="auto"/>
            </w:tcBorders>
            <w:shd w:val="clear" w:color="auto" w:fill="auto"/>
            <w:noWrap/>
            <w:vAlign w:val="center"/>
            <w:hideMark/>
          </w:tcPr>
          <w:p w14:paraId="7C3D7B8E" w14:textId="77777777" w:rsidR="00DF328C" w:rsidRPr="00B13812" w:rsidRDefault="00DF328C" w:rsidP="00DF328C">
            <w:pPr>
              <w:spacing w:after="0" w:line="240" w:lineRule="auto"/>
              <w:jc w:val="right"/>
              <w:rPr>
                <w:sz w:val="24"/>
                <w:lang w:val="fr-CA" w:eastAsia="en-CA"/>
              </w:rPr>
            </w:pPr>
            <w:r w:rsidRPr="00B13812">
              <w:rPr>
                <w:sz w:val="24"/>
                <w:lang w:val="fr-CA" w:eastAsia="en-CA"/>
              </w:rPr>
              <w:t>11</w:t>
            </w:r>
            <w:r>
              <w:rPr>
                <w:sz w:val="24"/>
                <w:lang w:val="fr-CA" w:eastAsia="en-CA"/>
              </w:rPr>
              <w:t>,</w:t>
            </w:r>
            <w:r w:rsidRPr="00B13812">
              <w:rPr>
                <w:sz w:val="24"/>
                <w:lang w:val="fr-CA" w:eastAsia="en-CA"/>
              </w:rPr>
              <w:t>805</w:t>
            </w:r>
          </w:p>
        </w:tc>
        <w:tc>
          <w:tcPr>
            <w:tcW w:w="1597" w:type="dxa"/>
            <w:tcBorders>
              <w:top w:val="nil"/>
              <w:left w:val="nil"/>
              <w:bottom w:val="single" w:sz="4" w:space="0" w:color="auto"/>
              <w:right w:val="single" w:sz="4" w:space="0" w:color="auto"/>
            </w:tcBorders>
            <w:shd w:val="clear" w:color="auto" w:fill="auto"/>
            <w:noWrap/>
            <w:vAlign w:val="center"/>
            <w:hideMark/>
          </w:tcPr>
          <w:p w14:paraId="5DB9E31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207 881</w:t>
            </w:r>
          </w:p>
        </w:tc>
        <w:tc>
          <w:tcPr>
            <w:tcW w:w="1597" w:type="dxa"/>
            <w:tcBorders>
              <w:top w:val="nil"/>
              <w:left w:val="nil"/>
              <w:bottom w:val="single" w:sz="4" w:space="0" w:color="auto"/>
              <w:right w:val="single" w:sz="4" w:space="0" w:color="auto"/>
            </w:tcBorders>
            <w:shd w:val="clear" w:color="auto" w:fill="auto"/>
            <w:noWrap/>
            <w:vAlign w:val="center"/>
            <w:hideMark/>
          </w:tcPr>
          <w:p w14:paraId="3F49771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220 438</w:t>
            </w:r>
          </w:p>
        </w:tc>
        <w:tc>
          <w:tcPr>
            <w:tcW w:w="1598" w:type="dxa"/>
            <w:tcBorders>
              <w:top w:val="nil"/>
              <w:left w:val="nil"/>
              <w:bottom w:val="single" w:sz="4" w:space="0" w:color="auto"/>
              <w:right w:val="single" w:sz="4" w:space="0" w:color="auto"/>
            </w:tcBorders>
            <w:shd w:val="clear" w:color="auto" w:fill="auto"/>
            <w:noWrap/>
            <w:vAlign w:val="center"/>
            <w:hideMark/>
          </w:tcPr>
          <w:p w14:paraId="0069AA3C" w14:textId="77777777" w:rsidR="00DF328C" w:rsidRPr="00B13812" w:rsidRDefault="00DF328C" w:rsidP="00DF328C">
            <w:pPr>
              <w:spacing w:after="0" w:line="240" w:lineRule="auto"/>
              <w:jc w:val="right"/>
              <w:rPr>
                <w:sz w:val="24"/>
                <w:lang w:val="fr-CA" w:eastAsia="en-CA"/>
              </w:rPr>
            </w:pPr>
            <w:r w:rsidRPr="00B13812">
              <w:rPr>
                <w:sz w:val="24"/>
                <w:lang w:val="fr-CA" w:eastAsia="en-CA"/>
              </w:rPr>
              <w:t>428 319</w:t>
            </w:r>
          </w:p>
        </w:tc>
      </w:tr>
      <w:tr w:rsidR="00DF328C" w:rsidRPr="00B13812" w14:paraId="480CFF2F"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674CD91" w14:textId="77777777" w:rsidR="00DF328C" w:rsidRPr="00B13812" w:rsidRDefault="00DF328C" w:rsidP="00DF328C">
            <w:pPr>
              <w:spacing w:after="0" w:line="240" w:lineRule="auto"/>
              <w:rPr>
                <w:sz w:val="24"/>
                <w:lang w:val="fr-CA" w:eastAsia="en-CA"/>
              </w:rPr>
            </w:pPr>
            <w:r w:rsidRPr="00B13812">
              <w:rPr>
                <w:sz w:val="24"/>
                <w:lang w:val="fr-CA" w:eastAsia="en-CA"/>
              </w:rPr>
              <w:t>Angola</w:t>
            </w:r>
          </w:p>
        </w:tc>
        <w:tc>
          <w:tcPr>
            <w:tcW w:w="1597" w:type="dxa"/>
            <w:tcBorders>
              <w:top w:val="nil"/>
              <w:left w:val="nil"/>
              <w:bottom w:val="single" w:sz="4" w:space="0" w:color="auto"/>
              <w:right w:val="single" w:sz="4" w:space="0" w:color="auto"/>
            </w:tcBorders>
            <w:shd w:val="clear" w:color="auto" w:fill="auto"/>
            <w:noWrap/>
            <w:vAlign w:val="center"/>
            <w:hideMark/>
          </w:tcPr>
          <w:p w14:paraId="59FF1801"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2A48C08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440E863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7C3F7B90"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2A743B20" w14:textId="77777777" w:rsidR="00DF328C" w:rsidRPr="00B13812" w:rsidRDefault="00DF328C" w:rsidP="00DF328C">
            <w:pPr>
              <w:spacing w:after="0" w:line="240" w:lineRule="auto"/>
              <w:jc w:val="right"/>
              <w:rPr>
                <w:sz w:val="24"/>
                <w:lang w:val="fr-CA" w:eastAsia="en-CA"/>
              </w:rPr>
            </w:pPr>
            <w:r w:rsidRPr="00B13812">
              <w:rPr>
                <w:sz w:val="24"/>
                <w:lang w:val="fr-CA" w:eastAsia="en-CA"/>
              </w:rPr>
              <w:t>363</w:t>
            </w:r>
          </w:p>
        </w:tc>
      </w:tr>
      <w:tr w:rsidR="00DF328C" w:rsidRPr="00B13812" w14:paraId="516FBE15"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5A68FA2" w14:textId="77777777" w:rsidR="00DF328C" w:rsidRPr="00B13812" w:rsidRDefault="00DF328C" w:rsidP="00DF328C">
            <w:pPr>
              <w:spacing w:after="0" w:line="240" w:lineRule="auto"/>
              <w:rPr>
                <w:sz w:val="24"/>
                <w:lang w:val="fr-CA" w:eastAsia="en-CA"/>
              </w:rPr>
            </w:pPr>
            <w:r w:rsidRPr="00B13812">
              <w:rPr>
                <w:sz w:val="24"/>
                <w:lang w:val="fr-CA" w:eastAsia="en-CA"/>
              </w:rPr>
              <w:t>Antigua-et-Barbuda</w:t>
            </w:r>
          </w:p>
        </w:tc>
        <w:tc>
          <w:tcPr>
            <w:tcW w:w="1597" w:type="dxa"/>
            <w:tcBorders>
              <w:top w:val="nil"/>
              <w:left w:val="nil"/>
              <w:bottom w:val="single" w:sz="4" w:space="0" w:color="auto"/>
              <w:right w:val="single" w:sz="4" w:space="0" w:color="auto"/>
            </w:tcBorders>
            <w:shd w:val="clear" w:color="auto" w:fill="auto"/>
            <w:noWrap/>
            <w:vAlign w:val="center"/>
            <w:hideMark/>
          </w:tcPr>
          <w:p w14:paraId="51E1005C"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3FD7A057"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4E2EF80E"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7AEF11B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40888C00" w14:textId="77777777" w:rsidR="00DF328C" w:rsidRPr="00B13812" w:rsidRDefault="00DF328C" w:rsidP="00DF328C">
            <w:pPr>
              <w:spacing w:after="0" w:line="240" w:lineRule="auto"/>
              <w:jc w:val="right"/>
              <w:rPr>
                <w:sz w:val="24"/>
                <w:lang w:val="fr-CA" w:eastAsia="en-CA"/>
              </w:rPr>
            </w:pPr>
            <w:r w:rsidRPr="00B13812">
              <w:rPr>
                <w:sz w:val="24"/>
                <w:lang w:val="fr-CA" w:eastAsia="en-CA"/>
              </w:rPr>
              <w:t>134</w:t>
            </w:r>
          </w:p>
        </w:tc>
      </w:tr>
      <w:tr w:rsidR="00DF328C" w:rsidRPr="00B13812" w14:paraId="3BAACCDE"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6DBFC8D" w14:textId="77777777" w:rsidR="00DF328C" w:rsidRPr="00B13812" w:rsidRDefault="00DF328C" w:rsidP="00DF328C">
            <w:pPr>
              <w:spacing w:after="0" w:line="240" w:lineRule="auto"/>
              <w:rPr>
                <w:sz w:val="24"/>
                <w:lang w:val="fr-CA" w:eastAsia="en-CA"/>
              </w:rPr>
            </w:pPr>
            <w:r w:rsidRPr="00B13812">
              <w:rPr>
                <w:sz w:val="24"/>
                <w:lang w:val="fr-CA" w:eastAsia="en-CA"/>
              </w:rPr>
              <w:t>Argentine</w:t>
            </w:r>
          </w:p>
        </w:tc>
        <w:tc>
          <w:tcPr>
            <w:tcW w:w="1597" w:type="dxa"/>
            <w:tcBorders>
              <w:top w:val="nil"/>
              <w:left w:val="nil"/>
              <w:bottom w:val="single" w:sz="4" w:space="0" w:color="auto"/>
              <w:right w:val="single" w:sz="4" w:space="0" w:color="auto"/>
            </w:tcBorders>
            <w:shd w:val="clear" w:color="auto" w:fill="auto"/>
            <w:noWrap/>
            <w:vAlign w:val="center"/>
            <w:hideMark/>
          </w:tcPr>
          <w:p w14:paraId="00748DA9"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892</w:t>
            </w:r>
          </w:p>
        </w:tc>
        <w:tc>
          <w:tcPr>
            <w:tcW w:w="1597" w:type="dxa"/>
            <w:tcBorders>
              <w:top w:val="nil"/>
              <w:left w:val="nil"/>
              <w:bottom w:val="single" w:sz="4" w:space="0" w:color="auto"/>
              <w:right w:val="single" w:sz="4" w:space="0" w:color="auto"/>
            </w:tcBorders>
            <w:shd w:val="clear" w:color="auto" w:fill="auto"/>
            <w:noWrap/>
            <w:vAlign w:val="center"/>
            <w:hideMark/>
          </w:tcPr>
          <w:p w14:paraId="126B371B" w14:textId="77777777" w:rsidR="00DF328C" w:rsidRPr="00B13812" w:rsidRDefault="00DF328C" w:rsidP="00DF328C">
            <w:pPr>
              <w:spacing w:after="0" w:line="240" w:lineRule="auto"/>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648</w:t>
            </w:r>
          </w:p>
        </w:tc>
        <w:tc>
          <w:tcPr>
            <w:tcW w:w="1597" w:type="dxa"/>
            <w:tcBorders>
              <w:top w:val="nil"/>
              <w:left w:val="nil"/>
              <w:bottom w:val="single" w:sz="4" w:space="0" w:color="auto"/>
              <w:right w:val="single" w:sz="4" w:space="0" w:color="auto"/>
            </w:tcBorders>
            <w:shd w:val="clear" w:color="auto" w:fill="auto"/>
            <w:noWrap/>
            <w:vAlign w:val="center"/>
            <w:hideMark/>
          </w:tcPr>
          <w:p w14:paraId="362DCED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29 023</w:t>
            </w:r>
          </w:p>
        </w:tc>
        <w:tc>
          <w:tcPr>
            <w:tcW w:w="1597" w:type="dxa"/>
            <w:tcBorders>
              <w:top w:val="nil"/>
              <w:left w:val="nil"/>
              <w:bottom w:val="single" w:sz="4" w:space="0" w:color="auto"/>
              <w:right w:val="single" w:sz="4" w:space="0" w:color="auto"/>
            </w:tcBorders>
            <w:shd w:val="clear" w:color="auto" w:fill="auto"/>
            <w:noWrap/>
            <w:vAlign w:val="center"/>
            <w:hideMark/>
          </w:tcPr>
          <w:p w14:paraId="1663FC43"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30 776</w:t>
            </w:r>
          </w:p>
        </w:tc>
        <w:tc>
          <w:tcPr>
            <w:tcW w:w="1598" w:type="dxa"/>
            <w:tcBorders>
              <w:top w:val="nil"/>
              <w:left w:val="nil"/>
              <w:bottom w:val="single" w:sz="4" w:space="0" w:color="auto"/>
              <w:right w:val="single" w:sz="4" w:space="0" w:color="auto"/>
            </w:tcBorders>
            <w:shd w:val="clear" w:color="auto" w:fill="auto"/>
            <w:noWrap/>
            <w:vAlign w:val="center"/>
            <w:hideMark/>
          </w:tcPr>
          <w:p w14:paraId="14D14759" w14:textId="77777777" w:rsidR="00DF328C" w:rsidRPr="00B13812" w:rsidRDefault="00DF328C" w:rsidP="00DF328C">
            <w:pPr>
              <w:spacing w:after="0" w:line="240" w:lineRule="auto"/>
              <w:jc w:val="right"/>
              <w:rPr>
                <w:sz w:val="24"/>
                <w:lang w:val="fr-CA" w:eastAsia="en-CA"/>
              </w:rPr>
            </w:pPr>
            <w:r w:rsidRPr="00B13812">
              <w:rPr>
                <w:sz w:val="24"/>
                <w:lang w:val="fr-CA" w:eastAsia="en-CA"/>
              </w:rPr>
              <w:t>59 800</w:t>
            </w:r>
          </w:p>
        </w:tc>
      </w:tr>
      <w:tr w:rsidR="00DF328C" w:rsidRPr="00B13812" w14:paraId="773A89F1"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2822895" w14:textId="77777777" w:rsidR="00DF328C" w:rsidRPr="00B13812" w:rsidRDefault="00DF328C" w:rsidP="00DF328C">
            <w:pPr>
              <w:spacing w:after="0" w:line="240" w:lineRule="auto"/>
              <w:rPr>
                <w:sz w:val="24"/>
                <w:lang w:val="fr-CA" w:eastAsia="en-CA"/>
              </w:rPr>
            </w:pPr>
            <w:r w:rsidRPr="00B13812">
              <w:rPr>
                <w:sz w:val="24"/>
                <w:lang w:val="fr-CA" w:eastAsia="en-CA"/>
              </w:rPr>
              <w:t>Autriche</w:t>
            </w:r>
          </w:p>
        </w:tc>
        <w:tc>
          <w:tcPr>
            <w:tcW w:w="1597" w:type="dxa"/>
            <w:tcBorders>
              <w:top w:val="nil"/>
              <w:left w:val="nil"/>
              <w:bottom w:val="single" w:sz="4" w:space="0" w:color="auto"/>
              <w:right w:val="single" w:sz="4" w:space="0" w:color="auto"/>
            </w:tcBorders>
            <w:shd w:val="clear" w:color="auto" w:fill="auto"/>
            <w:noWrap/>
            <w:vAlign w:val="center"/>
            <w:hideMark/>
          </w:tcPr>
          <w:p w14:paraId="765B9DFD"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720</w:t>
            </w:r>
          </w:p>
        </w:tc>
        <w:tc>
          <w:tcPr>
            <w:tcW w:w="1597" w:type="dxa"/>
            <w:tcBorders>
              <w:top w:val="nil"/>
              <w:left w:val="nil"/>
              <w:bottom w:val="single" w:sz="4" w:space="0" w:color="auto"/>
              <w:right w:val="single" w:sz="4" w:space="0" w:color="auto"/>
            </w:tcBorders>
            <w:shd w:val="clear" w:color="auto" w:fill="auto"/>
            <w:noWrap/>
            <w:vAlign w:val="center"/>
            <w:hideMark/>
          </w:tcPr>
          <w:p w14:paraId="33C8E627" w14:textId="77777777" w:rsidR="00DF328C" w:rsidRPr="00B13812" w:rsidRDefault="00DF328C" w:rsidP="00DF328C">
            <w:pPr>
              <w:spacing w:after="0" w:line="240" w:lineRule="auto"/>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330</w:t>
            </w:r>
          </w:p>
        </w:tc>
        <w:tc>
          <w:tcPr>
            <w:tcW w:w="1597" w:type="dxa"/>
            <w:tcBorders>
              <w:top w:val="nil"/>
              <w:left w:val="nil"/>
              <w:bottom w:val="single" w:sz="4" w:space="0" w:color="auto"/>
              <w:right w:val="single" w:sz="4" w:space="0" w:color="auto"/>
            </w:tcBorders>
            <w:shd w:val="clear" w:color="auto" w:fill="auto"/>
            <w:noWrap/>
            <w:vAlign w:val="center"/>
            <w:hideMark/>
          </w:tcPr>
          <w:p w14:paraId="3D3227B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23 427</w:t>
            </w:r>
          </w:p>
        </w:tc>
        <w:tc>
          <w:tcPr>
            <w:tcW w:w="1597" w:type="dxa"/>
            <w:tcBorders>
              <w:top w:val="nil"/>
              <w:left w:val="nil"/>
              <w:bottom w:val="single" w:sz="4" w:space="0" w:color="auto"/>
              <w:right w:val="single" w:sz="4" w:space="0" w:color="auto"/>
            </w:tcBorders>
            <w:shd w:val="clear" w:color="auto" w:fill="auto"/>
            <w:noWrap/>
            <w:vAlign w:val="center"/>
            <w:hideMark/>
          </w:tcPr>
          <w:p w14:paraId="482B084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24 842</w:t>
            </w:r>
          </w:p>
        </w:tc>
        <w:tc>
          <w:tcPr>
            <w:tcW w:w="1598" w:type="dxa"/>
            <w:tcBorders>
              <w:top w:val="nil"/>
              <w:left w:val="nil"/>
              <w:bottom w:val="single" w:sz="4" w:space="0" w:color="auto"/>
              <w:right w:val="single" w:sz="4" w:space="0" w:color="auto"/>
            </w:tcBorders>
            <w:shd w:val="clear" w:color="auto" w:fill="auto"/>
            <w:noWrap/>
            <w:vAlign w:val="center"/>
            <w:hideMark/>
          </w:tcPr>
          <w:p w14:paraId="35EA43DF" w14:textId="77777777" w:rsidR="00DF328C" w:rsidRPr="00B13812" w:rsidRDefault="00DF328C" w:rsidP="00DF328C">
            <w:pPr>
              <w:spacing w:after="0" w:line="240" w:lineRule="auto"/>
              <w:jc w:val="right"/>
              <w:rPr>
                <w:sz w:val="24"/>
                <w:lang w:val="fr-CA" w:eastAsia="en-CA"/>
              </w:rPr>
            </w:pPr>
            <w:r w:rsidRPr="00B13812">
              <w:rPr>
                <w:sz w:val="24"/>
                <w:lang w:val="fr-CA" w:eastAsia="en-CA"/>
              </w:rPr>
              <w:t>48 269</w:t>
            </w:r>
          </w:p>
        </w:tc>
      </w:tr>
      <w:tr w:rsidR="00DF328C" w:rsidRPr="00B13812" w14:paraId="439B0EA6"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BCACAC7" w14:textId="77777777" w:rsidR="00DF328C" w:rsidRPr="00B13812" w:rsidRDefault="00DF328C" w:rsidP="00DF328C">
            <w:pPr>
              <w:spacing w:after="0" w:line="240" w:lineRule="auto"/>
              <w:rPr>
                <w:sz w:val="24"/>
                <w:lang w:val="fr-CA" w:eastAsia="en-CA"/>
              </w:rPr>
            </w:pPr>
            <w:r w:rsidRPr="00B13812">
              <w:rPr>
                <w:sz w:val="24"/>
                <w:lang w:val="fr-CA" w:eastAsia="en-CA"/>
              </w:rPr>
              <w:t>Bélarus</w:t>
            </w:r>
          </w:p>
        </w:tc>
        <w:tc>
          <w:tcPr>
            <w:tcW w:w="1597" w:type="dxa"/>
            <w:tcBorders>
              <w:top w:val="nil"/>
              <w:left w:val="nil"/>
              <w:bottom w:val="single" w:sz="4" w:space="0" w:color="auto"/>
              <w:right w:val="single" w:sz="4" w:space="0" w:color="auto"/>
            </w:tcBorders>
            <w:shd w:val="clear" w:color="auto" w:fill="auto"/>
            <w:noWrap/>
            <w:vAlign w:val="center"/>
            <w:hideMark/>
          </w:tcPr>
          <w:p w14:paraId="4DD2013E"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056</w:t>
            </w:r>
          </w:p>
        </w:tc>
        <w:tc>
          <w:tcPr>
            <w:tcW w:w="1597" w:type="dxa"/>
            <w:tcBorders>
              <w:top w:val="nil"/>
              <w:left w:val="nil"/>
              <w:bottom w:val="single" w:sz="4" w:space="0" w:color="auto"/>
              <w:right w:val="single" w:sz="4" w:space="0" w:color="auto"/>
            </w:tcBorders>
            <w:shd w:val="clear" w:color="auto" w:fill="auto"/>
            <w:noWrap/>
            <w:vAlign w:val="center"/>
            <w:hideMark/>
          </w:tcPr>
          <w:p w14:paraId="0C86964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103</w:t>
            </w:r>
          </w:p>
        </w:tc>
        <w:tc>
          <w:tcPr>
            <w:tcW w:w="1597" w:type="dxa"/>
            <w:tcBorders>
              <w:top w:val="nil"/>
              <w:left w:val="nil"/>
              <w:bottom w:val="single" w:sz="4" w:space="0" w:color="auto"/>
              <w:right w:val="single" w:sz="4" w:space="0" w:color="auto"/>
            </w:tcBorders>
            <w:shd w:val="clear" w:color="auto" w:fill="auto"/>
            <w:noWrap/>
            <w:vAlign w:val="center"/>
            <w:hideMark/>
          </w:tcPr>
          <w:p w14:paraId="223F9A6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1 822</w:t>
            </w:r>
          </w:p>
        </w:tc>
        <w:tc>
          <w:tcPr>
            <w:tcW w:w="1597" w:type="dxa"/>
            <w:tcBorders>
              <w:top w:val="nil"/>
              <w:left w:val="nil"/>
              <w:bottom w:val="single" w:sz="4" w:space="0" w:color="auto"/>
              <w:right w:val="single" w:sz="4" w:space="0" w:color="auto"/>
            </w:tcBorders>
            <w:shd w:val="clear" w:color="auto" w:fill="auto"/>
            <w:noWrap/>
            <w:vAlign w:val="center"/>
            <w:hideMark/>
          </w:tcPr>
          <w:p w14:paraId="7D122F63"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1 932</w:t>
            </w:r>
          </w:p>
        </w:tc>
        <w:tc>
          <w:tcPr>
            <w:tcW w:w="1598" w:type="dxa"/>
            <w:tcBorders>
              <w:top w:val="nil"/>
              <w:left w:val="nil"/>
              <w:bottom w:val="single" w:sz="4" w:space="0" w:color="auto"/>
              <w:right w:val="single" w:sz="4" w:space="0" w:color="auto"/>
            </w:tcBorders>
            <w:shd w:val="clear" w:color="auto" w:fill="auto"/>
            <w:noWrap/>
            <w:vAlign w:val="center"/>
            <w:hideMark/>
          </w:tcPr>
          <w:p w14:paraId="3DB0D2FD" w14:textId="77777777" w:rsidR="00DF328C" w:rsidRPr="00B13812" w:rsidRDefault="00DF328C" w:rsidP="00DF328C">
            <w:pPr>
              <w:spacing w:after="0" w:line="240" w:lineRule="auto"/>
              <w:jc w:val="right"/>
              <w:rPr>
                <w:sz w:val="24"/>
                <w:lang w:val="fr-CA" w:eastAsia="en-CA"/>
              </w:rPr>
            </w:pPr>
            <w:r w:rsidRPr="00B13812">
              <w:rPr>
                <w:sz w:val="24"/>
                <w:lang w:val="fr-CA" w:eastAsia="en-CA"/>
              </w:rPr>
              <w:t>3 754</w:t>
            </w:r>
          </w:p>
        </w:tc>
      </w:tr>
      <w:tr w:rsidR="00DF328C" w:rsidRPr="00B13812" w14:paraId="63A2A93B"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E8DCEDF" w14:textId="77777777" w:rsidR="00DF328C" w:rsidRPr="00B13812" w:rsidRDefault="00DF328C" w:rsidP="00DF328C">
            <w:pPr>
              <w:spacing w:after="0" w:line="240" w:lineRule="auto"/>
              <w:rPr>
                <w:sz w:val="24"/>
                <w:lang w:val="fr-CA" w:eastAsia="en-CA"/>
              </w:rPr>
            </w:pPr>
            <w:r w:rsidRPr="00B13812">
              <w:rPr>
                <w:sz w:val="24"/>
                <w:lang w:val="fr-CA" w:eastAsia="en-CA"/>
              </w:rPr>
              <w:t>Belgique</w:t>
            </w:r>
          </w:p>
        </w:tc>
        <w:tc>
          <w:tcPr>
            <w:tcW w:w="1597" w:type="dxa"/>
            <w:tcBorders>
              <w:top w:val="nil"/>
              <w:left w:val="nil"/>
              <w:bottom w:val="single" w:sz="4" w:space="0" w:color="auto"/>
              <w:right w:val="single" w:sz="4" w:space="0" w:color="auto"/>
            </w:tcBorders>
            <w:shd w:val="clear" w:color="auto" w:fill="auto"/>
            <w:noWrap/>
            <w:vAlign w:val="center"/>
            <w:hideMark/>
          </w:tcPr>
          <w:p w14:paraId="11460F51"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885</w:t>
            </w:r>
          </w:p>
        </w:tc>
        <w:tc>
          <w:tcPr>
            <w:tcW w:w="1597" w:type="dxa"/>
            <w:tcBorders>
              <w:top w:val="nil"/>
              <w:left w:val="nil"/>
              <w:bottom w:val="single" w:sz="4" w:space="0" w:color="auto"/>
              <w:right w:val="single" w:sz="4" w:space="0" w:color="auto"/>
            </w:tcBorders>
            <w:shd w:val="clear" w:color="auto" w:fill="auto"/>
            <w:noWrap/>
            <w:vAlign w:val="center"/>
            <w:hideMark/>
          </w:tcPr>
          <w:p w14:paraId="47C642C8" w14:textId="77777777" w:rsidR="00DF328C" w:rsidRPr="00B13812" w:rsidRDefault="00DF328C" w:rsidP="00DF328C">
            <w:pPr>
              <w:spacing w:after="0" w:line="240" w:lineRule="auto"/>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635</w:t>
            </w:r>
          </w:p>
        </w:tc>
        <w:tc>
          <w:tcPr>
            <w:tcW w:w="1597" w:type="dxa"/>
            <w:tcBorders>
              <w:top w:val="nil"/>
              <w:left w:val="nil"/>
              <w:bottom w:val="single" w:sz="4" w:space="0" w:color="auto"/>
              <w:right w:val="single" w:sz="4" w:space="0" w:color="auto"/>
            </w:tcBorders>
            <w:shd w:val="clear" w:color="auto" w:fill="auto"/>
            <w:noWrap/>
            <w:vAlign w:val="center"/>
            <w:hideMark/>
          </w:tcPr>
          <w:p w14:paraId="1BFCE0E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28 796</w:t>
            </w:r>
          </w:p>
        </w:tc>
        <w:tc>
          <w:tcPr>
            <w:tcW w:w="1597" w:type="dxa"/>
            <w:tcBorders>
              <w:top w:val="nil"/>
              <w:left w:val="nil"/>
              <w:bottom w:val="single" w:sz="4" w:space="0" w:color="auto"/>
              <w:right w:val="single" w:sz="4" w:space="0" w:color="auto"/>
            </w:tcBorders>
            <w:shd w:val="clear" w:color="auto" w:fill="auto"/>
            <w:noWrap/>
            <w:vAlign w:val="center"/>
            <w:hideMark/>
          </w:tcPr>
          <w:p w14:paraId="4F4BD2A2"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30 535</w:t>
            </w:r>
          </w:p>
        </w:tc>
        <w:tc>
          <w:tcPr>
            <w:tcW w:w="1598" w:type="dxa"/>
            <w:tcBorders>
              <w:top w:val="nil"/>
              <w:left w:val="nil"/>
              <w:bottom w:val="single" w:sz="4" w:space="0" w:color="auto"/>
              <w:right w:val="single" w:sz="4" w:space="0" w:color="auto"/>
            </w:tcBorders>
            <w:shd w:val="clear" w:color="auto" w:fill="auto"/>
            <w:noWrap/>
            <w:vAlign w:val="center"/>
            <w:hideMark/>
          </w:tcPr>
          <w:p w14:paraId="2ADC61DA" w14:textId="77777777" w:rsidR="00DF328C" w:rsidRPr="00B13812" w:rsidRDefault="00DF328C" w:rsidP="00DF328C">
            <w:pPr>
              <w:spacing w:after="0" w:line="240" w:lineRule="auto"/>
              <w:jc w:val="right"/>
              <w:rPr>
                <w:sz w:val="24"/>
                <w:lang w:val="fr-CA" w:eastAsia="en-CA"/>
              </w:rPr>
            </w:pPr>
            <w:r w:rsidRPr="00B13812">
              <w:rPr>
                <w:sz w:val="24"/>
                <w:lang w:val="fr-CA" w:eastAsia="en-CA"/>
              </w:rPr>
              <w:t>59 330</w:t>
            </w:r>
          </w:p>
        </w:tc>
      </w:tr>
      <w:tr w:rsidR="00DF328C" w:rsidRPr="00B13812" w14:paraId="35AAD835"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2432FBF" w14:textId="77777777" w:rsidR="00DF328C" w:rsidRPr="00B13812" w:rsidRDefault="00DF328C" w:rsidP="00DF328C">
            <w:pPr>
              <w:spacing w:after="0" w:line="240" w:lineRule="auto"/>
              <w:rPr>
                <w:sz w:val="24"/>
                <w:lang w:val="fr-CA" w:eastAsia="en-CA"/>
              </w:rPr>
            </w:pPr>
            <w:r w:rsidRPr="00B13812">
              <w:rPr>
                <w:sz w:val="24"/>
                <w:lang w:val="fr-CA" w:eastAsia="en-CA"/>
              </w:rPr>
              <w:t>Bénin</w:t>
            </w:r>
          </w:p>
        </w:tc>
        <w:tc>
          <w:tcPr>
            <w:tcW w:w="1597" w:type="dxa"/>
            <w:tcBorders>
              <w:top w:val="nil"/>
              <w:left w:val="nil"/>
              <w:bottom w:val="single" w:sz="4" w:space="0" w:color="auto"/>
              <w:right w:val="single" w:sz="4" w:space="0" w:color="auto"/>
            </w:tcBorders>
            <w:shd w:val="clear" w:color="auto" w:fill="auto"/>
            <w:noWrap/>
            <w:vAlign w:val="center"/>
            <w:hideMark/>
          </w:tcPr>
          <w:p w14:paraId="168BA122"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14:paraId="05B15AD0"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14:paraId="7FF59FA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0CFA8517"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01D0787C" w14:textId="77777777" w:rsidR="00DF328C" w:rsidRPr="00B13812" w:rsidRDefault="00DF328C" w:rsidP="00DF328C">
            <w:pPr>
              <w:spacing w:after="0" w:line="240" w:lineRule="auto"/>
              <w:jc w:val="right"/>
              <w:rPr>
                <w:sz w:val="24"/>
                <w:lang w:val="fr-CA" w:eastAsia="en-CA"/>
              </w:rPr>
            </w:pPr>
            <w:r w:rsidRPr="00B13812">
              <w:rPr>
                <w:sz w:val="24"/>
                <w:lang w:val="fr-CA" w:eastAsia="en-CA"/>
              </w:rPr>
              <w:t>201</w:t>
            </w:r>
          </w:p>
        </w:tc>
      </w:tr>
      <w:tr w:rsidR="00DF328C" w:rsidRPr="00B13812" w14:paraId="06015BC9"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63534B5" w14:textId="77777777" w:rsidR="00DF328C" w:rsidRPr="00B13812" w:rsidRDefault="00DF328C" w:rsidP="00DF328C">
            <w:pPr>
              <w:spacing w:after="0" w:line="240" w:lineRule="auto"/>
              <w:rPr>
                <w:sz w:val="24"/>
                <w:lang w:val="fr-CA" w:eastAsia="en-CA"/>
              </w:rPr>
            </w:pPr>
            <w:r w:rsidRPr="00B13812">
              <w:rPr>
                <w:sz w:val="24"/>
                <w:lang w:val="fr-CA" w:eastAsia="en-CA"/>
              </w:rPr>
              <w:t>Bhoutan</w:t>
            </w:r>
          </w:p>
        </w:tc>
        <w:tc>
          <w:tcPr>
            <w:tcW w:w="1597" w:type="dxa"/>
            <w:tcBorders>
              <w:top w:val="nil"/>
              <w:left w:val="nil"/>
              <w:bottom w:val="single" w:sz="4" w:space="0" w:color="auto"/>
              <w:right w:val="single" w:sz="4" w:space="0" w:color="auto"/>
            </w:tcBorders>
            <w:shd w:val="clear" w:color="auto" w:fill="auto"/>
            <w:noWrap/>
            <w:vAlign w:val="center"/>
            <w:hideMark/>
          </w:tcPr>
          <w:p w14:paraId="7233F139"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4DBA001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73A20084"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28FAAE7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34038490"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2EEF2958"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D2AEED4" w14:textId="77777777" w:rsidR="00DF328C" w:rsidRPr="00B13812" w:rsidRDefault="00DF328C" w:rsidP="00DF328C">
            <w:pPr>
              <w:spacing w:after="0" w:line="240" w:lineRule="auto"/>
              <w:rPr>
                <w:sz w:val="24"/>
                <w:lang w:val="fr-CA" w:eastAsia="en-CA"/>
              </w:rPr>
            </w:pPr>
            <w:r w:rsidRPr="00B13812">
              <w:rPr>
                <w:sz w:val="24"/>
                <w:lang w:val="fr-CA" w:eastAsia="en-CA"/>
              </w:rPr>
              <w:t>Bolivi</w:t>
            </w:r>
            <w:r>
              <w:rPr>
                <w:sz w:val="24"/>
                <w:lang w:val="fr-CA" w:eastAsia="en-CA"/>
              </w:rPr>
              <w:t>e</w:t>
            </w:r>
            <w:r w:rsidRPr="00B13812">
              <w:rPr>
                <w:sz w:val="24"/>
                <w:lang w:val="fr-CA" w:eastAsia="en-CA"/>
              </w:rPr>
              <w:t xml:space="preserve"> (</w:t>
            </w:r>
            <w:r>
              <w:rPr>
                <w:sz w:val="24"/>
                <w:lang w:val="fr-CA" w:eastAsia="en-CA"/>
              </w:rPr>
              <w:t>État plurinational de</w:t>
            </w:r>
            <w:r w:rsidRPr="00B13812">
              <w:rPr>
                <w:sz w:val="24"/>
                <w:lang w:val="fr-CA" w:eastAsia="en-CA"/>
              </w:rPr>
              <w:t>)</w:t>
            </w:r>
          </w:p>
        </w:tc>
        <w:tc>
          <w:tcPr>
            <w:tcW w:w="1597" w:type="dxa"/>
            <w:tcBorders>
              <w:top w:val="nil"/>
              <w:left w:val="nil"/>
              <w:bottom w:val="single" w:sz="4" w:space="0" w:color="auto"/>
              <w:right w:val="single" w:sz="4" w:space="0" w:color="auto"/>
            </w:tcBorders>
            <w:shd w:val="clear" w:color="auto" w:fill="auto"/>
            <w:noWrap/>
            <w:vAlign w:val="center"/>
            <w:hideMark/>
          </w:tcPr>
          <w:p w14:paraId="73193FC9"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012</w:t>
            </w:r>
          </w:p>
        </w:tc>
        <w:tc>
          <w:tcPr>
            <w:tcW w:w="1597" w:type="dxa"/>
            <w:tcBorders>
              <w:top w:val="nil"/>
              <w:left w:val="nil"/>
              <w:bottom w:val="single" w:sz="4" w:space="0" w:color="auto"/>
              <w:right w:val="single" w:sz="4" w:space="0" w:color="auto"/>
            </w:tcBorders>
            <w:shd w:val="clear" w:color="auto" w:fill="auto"/>
            <w:noWrap/>
            <w:vAlign w:val="center"/>
            <w:hideMark/>
          </w:tcPr>
          <w:p w14:paraId="2AB0FD21"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022</w:t>
            </w:r>
          </w:p>
        </w:tc>
        <w:tc>
          <w:tcPr>
            <w:tcW w:w="1597" w:type="dxa"/>
            <w:tcBorders>
              <w:top w:val="nil"/>
              <w:left w:val="nil"/>
              <w:bottom w:val="single" w:sz="4" w:space="0" w:color="auto"/>
              <w:right w:val="single" w:sz="4" w:space="0" w:color="auto"/>
            </w:tcBorders>
            <w:shd w:val="clear" w:color="auto" w:fill="auto"/>
            <w:noWrap/>
            <w:vAlign w:val="center"/>
            <w:hideMark/>
          </w:tcPr>
          <w:p w14:paraId="62EB9F3F"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390</w:t>
            </w:r>
          </w:p>
        </w:tc>
        <w:tc>
          <w:tcPr>
            <w:tcW w:w="1597" w:type="dxa"/>
            <w:tcBorders>
              <w:top w:val="nil"/>
              <w:left w:val="nil"/>
              <w:bottom w:val="single" w:sz="4" w:space="0" w:color="auto"/>
              <w:right w:val="single" w:sz="4" w:space="0" w:color="auto"/>
            </w:tcBorders>
            <w:shd w:val="clear" w:color="auto" w:fill="auto"/>
            <w:noWrap/>
            <w:vAlign w:val="center"/>
            <w:hideMark/>
          </w:tcPr>
          <w:p w14:paraId="04491FF0"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414</w:t>
            </w:r>
          </w:p>
        </w:tc>
        <w:tc>
          <w:tcPr>
            <w:tcW w:w="1598" w:type="dxa"/>
            <w:tcBorders>
              <w:top w:val="nil"/>
              <w:left w:val="nil"/>
              <w:bottom w:val="single" w:sz="4" w:space="0" w:color="auto"/>
              <w:right w:val="single" w:sz="4" w:space="0" w:color="auto"/>
            </w:tcBorders>
            <w:shd w:val="clear" w:color="auto" w:fill="auto"/>
            <w:noWrap/>
            <w:vAlign w:val="center"/>
            <w:hideMark/>
          </w:tcPr>
          <w:p w14:paraId="045AEAD2" w14:textId="77777777" w:rsidR="00DF328C" w:rsidRPr="00B13812" w:rsidRDefault="00DF328C" w:rsidP="00DF328C">
            <w:pPr>
              <w:spacing w:after="0" w:line="240" w:lineRule="auto"/>
              <w:jc w:val="right"/>
              <w:rPr>
                <w:sz w:val="24"/>
                <w:lang w:val="fr-CA" w:eastAsia="en-CA"/>
              </w:rPr>
            </w:pPr>
            <w:r w:rsidRPr="00B13812">
              <w:rPr>
                <w:sz w:val="24"/>
                <w:lang w:val="fr-CA" w:eastAsia="en-CA"/>
              </w:rPr>
              <w:t>804</w:t>
            </w:r>
          </w:p>
        </w:tc>
      </w:tr>
      <w:tr w:rsidR="00DF328C" w:rsidRPr="00B13812" w14:paraId="7C119004"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811F182" w14:textId="77777777" w:rsidR="00DF328C" w:rsidRPr="00B13812" w:rsidRDefault="00DF328C" w:rsidP="00DF328C">
            <w:pPr>
              <w:spacing w:after="0" w:line="240" w:lineRule="auto"/>
              <w:rPr>
                <w:sz w:val="24"/>
                <w:lang w:val="fr-CA" w:eastAsia="en-CA"/>
              </w:rPr>
            </w:pPr>
            <w:r w:rsidRPr="00B13812">
              <w:rPr>
                <w:sz w:val="24"/>
                <w:lang w:val="fr-CA" w:eastAsia="en-CA"/>
              </w:rPr>
              <w:t>Botswana</w:t>
            </w:r>
          </w:p>
        </w:tc>
        <w:tc>
          <w:tcPr>
            <w:tcW w:w="1597" w:type="dxa"/>
            <w:tcBorders>
              <w:top w:val="nil"/>
              <w:left w:val="nil"/>
              <w:bottom w:val="single" w:sz="4" w:space="0" w:color="auto"/>
              <w:right w:val="single" w:sz="4" w:space="0" w:color="auto"/>
            </w:tcBorders>
            <w:shd w:val="clear" w:color="auto" w:fill="auto"/>
            <w:noWrap/>
            <w:vAlign w:val="center"/>
            <w:hideMark/>
          </w:tcPr>
          <w:p w14:paraId="536AC837"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014</w:t>
            </w:r>
          </w:p>
        </w:tc>
        <w:tc>
          <w:tcPr>
            <w:tcW w:w="1597" w:type="dxa"/>
            <w:tcBorders>
              <w:top w:val="nil"/>
              <w:left w:val="nil"/>
              <w:bottom w:val="single" w:sz="4" w:space="0" w:color="auto"/>
              <w:right w:val="single" w:sz="4" w:space="0" w:color="auto"/>
            </w:tcBorders>
            <w:shd w:val="clear" w:color="auto" w:fill="auto"/>
            <w:noWrap/>
            <w:vAlign w:val="center"/>
            <w:hideMark/>
          </w:tcPr>
          <w:p w14:paraId="428FC477"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026</w:t>
            </w:r>
          </w:p>
        </w:tc>
        <w:tc>
          <w:tcPr>
            <w:tcW w:w="1597" w:type="dxa"/>
            <w:tcBorders>
              <w:top w:val="nil"/>
              <w:left w:val="nil"/>
              <w:bottom w:val="single" w:sz="4" w:space="0" w:color="auto"/>
              <w:right w:val="single" w:sz="4" w:space="0" w:color="auto"/>
            </w:tcBorders>
            <w:shd w:val="clear" w:color="auto" w:fill="auto"/>
            <w:noWrap/>
            <w:vAlign w:val="center"/>
            <w:hideMark/>
          </w:tcPr>
          <w:p w14:paraId="2070E4F2"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456</w:t>
            </w:r>
          </w:p>
        </w:tc>
        <w:tc>
          <w:tcPr>
            <w:tcW w:w="1597" w:type="dxa"/>
            <w:tcBorders>
              <w:top w:val="nil"/>
              <w:left w:val="nil"/>
              <w:bottom w:val="single" w:sz="4" w:space="0" w:color="auto"/>
              <w:right w:val="single" w:sz="4" w:space="0" w:color="auto"/>
            </w:tcBorders>
            <w:shd w:val="clear" w:color="auto" w:fill="auto"/>
            <w:noWrap/>
            <w:vAlign w:val="center"/>
            <w:hideMark/>
          </w:tcPr>
          <w:p w14:paraId="260BD7F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483</w:t>
            </w:r>
          </w:p>
        </w:tc>
        <w:tc>
          <w:tcPr>
            <w:tcW w:w="1598" w:type="dxa"/>
            <w:tcBorders>
              <w:top w:val="nil"/>
              <w:left w:val="nil"/>
              <w:bottom w:val="single" w:sz="4" w:space="0" w:color="auto"/>
              <w:right w:val="single" w:sz="4" w:space="0" w:color="auto"/>
            </w:tcBorders>
            <w:shd w:val="clear" w:color="auto" w:fill="auto"/>
            <w:noWrap/>
            <w:vAlign w:val="center"/>
            <w:hideMark/>
          </w:tcPr>
          <w:p w14:paraId="2F697746" w14:textId="77777777" w:rsidR="00DF328C" w:rsidRPr="00B13812" w:rsidRDefault="00DF328C" w:rsidP="00DF328C">
            <w:pPr>
              <w:spacing w:after="0" w:line="240" w:lineRule="auto"/>
              <w:jc w:val="right"/>
              <w:rPr>
                <w:sz w:val="24"/>
                <w:lang w:val="fr-CA" w:eastAsia="en-CA"/>
              </w:rPr>
            </w:pPr>
            <w:r w:rsidRPr="00B13812">
              <w:rPr>
                <w:sz w:val="24"/>
                <w:lang w:val="fr-CA" w:eastAsia="en-CA"/>
              </w:rPr>
              <w:t>939</w:t>
            </w:r>
          </w:p>
        </w:tc>
      </w:tr>
      <w:tr w:rsidR="00DF328C" w:rsidRPr="00B13812" w14:paraId="572E345F"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8CEF69E" w14:textId="77777777" w:rsidR="00DF328C" w:rsidRPr="00B13812" w:rsidRDefault="00DF328C" w:rsidP="00DF328C">
            <w:pPr>
              <w:spacing w:after="0" w:line="240" w:lineRule="auto"/>
              <w:rPr>
                <w:sz w:val="24"/>
                <w:lang w:val="fr-CA" w:eastAsia="en-CA"/>
              </w:rPr>
            </w:pPr>
            <w:r w:rsidRPr="00B13812">
              <w:rPr>
                <w:sz w:val="24"/>
                <w:lang w:val="fr-CA" w:eastAsia="en-CA"/>
              </w:rPr>
              <w:t>Bulgari</w:t>
            </w:r>
            <w:r>
              <w:rPr>
                <w:sz w:val="24"/>
                <w:lang w:val="fr-CA" w:eastAsia="en-CA"/>
              </w:rPr>
              <w:t>e</w:t>
            </w:r>
          </w:p>
        </w:tc>
        <w:tc>
          <w:tcPr>
            <w:tcW w:w="1597" w:type="dxa"/>
            <w:tcBorders>
              <w:top w:val="nil"/>
              <w:left w:val="nil"/>
              <w:bottom w:val="single" w:sz="4" w:space="0" w:color="auto"/>
              <w:right w:val="single" w:sz="4" w:space="0" w:color="auto"/>
            </w:tcBorders>
            <w:shd w:val="clear" w:color="auto" w:fill="auto"/>
            <w:noWrap/>
            <w:vAlign w:val="center"/>
            <w:hideMark/>
          </w:tcPr>
          <w:p w14:paraId="46D7ED54"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045</w:t>
            </w:r>
          </w:p>
        </w:tc>
        <w:tc>
          <w:tcPr>
            <w:tcW w:w="1597" w:type="dxa"/>
            <w:tcBorders>
              <w:top w:val="nil"/>
              <w:left w:val="nil"/>
              <w:bottom w:val="single" w:sz="4" w:space="0" w:color="auto"/>
              <w:right w:val="single" w:sz="4" w:space="0" w:color="auto"/>
            </w:tcBorders>
            <w:shd w:val="clear" w:color="auto" w:fill="auto"/>
            <w:noWrap/>
            <w:vAlign w:val="center"/>
            <w:hideMark/>
          </w:tcPr>
          <w:p w14:paraId="64B898DD"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083</w:t>
            </w:r>
          </w:p>
        </w:tc>
        <w:tc>
          <w:tcPr>
            <w:tcW w:w="1597" w:type="dxa"/>
            <w:tcBorders>
              <w:top w:val="nil"/>
              <w:left w:val="nil"/>
              <w:bottom w:val="single" w:sz="4" w:space="0" w:color="auto"/>
              <w:right w:val="single" w:sz="4" w:space="0" w:color="auto"/>
            </w:tcBorders>
            <w:shd w:val="clear" w:color="auto" w:fill="auto"/>
            <w:noWrap/>
            <w:vAlign w:val="center"/>
            <w:hideMark/>
          </w:tcPr>
          <w:p w14:paraId="18CD3EF6"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1 464</w:t>
            </w:r>
          </w:p>
        </w:tc>
        <w:tc>
          <w:tcPr>
            <w:tcW w:w="1597" w:type="dxa"/>
            <w:tcBorders>
              <w:top w:val="nil"/>
              <w:left w:val="nil"/>
              <w:bottom w:val="single" w:sz="4" w:space="0" w:color="auto"/>
              <w:right w:val="single" w:sz="4" w:space="0" w:color="auto"/>
            </w:tcBorders>
            <w:shd w:val="clear" w:color="auto" w:fill="auto"/>
            <w:noWrap/>
            <w:vAlign w:val="center"/>
            <w:hideMark/>
          </w:tcPr>
          <w:p w14:paraId="14F533B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1 553</w:t>
            </w:r>
          </w:p>
        </w:tc>
        <w:tc>
          <w:tcPr>
            <w:tcW w:w="1598" w:type="dxa"/>
            <w:tcBorders>
              <w:top w:val="nil"/>
              <w:left w:val="nil"/>
              <w:bottom w:val="single" w:sz="4" w:space="0" w:color="auto"/>
              <w:right w:val="single" w:sz="4" w:space="0" w:color="auto"/>
            </w:tcBorders>
            <w:shd w:val="clear" w:color="auto" w:fill="auto"/>
            <w:noWrap/>
            <w:vAlign w:val="center"/>
            <w:hideMark/>
          </w:tcPr>
          <w:p w14:paraId="1DCCDC5A" w14:textId="77777777" w:rsidR="00DF328C" w:rsidRPr="00B13812" w:rsidRDefault="00DF328C" w:rsidP="00DF328C">
            <w:pPr>
              <w:spacing w:after="0" w:line="240" w:lineRule="auto"/>
              <w:jc w:val="right"/>
              <w:rPr>
                <w:sz w:val="24"/>
                <w:lang w:val="fr-CA" w:eastAsia="en-CA"/>
              </w:rPr>
            </w:pPr>
            <w:r w:rsidRPr="00B13812">
              <w:rPr>
                <w:sz w:val="24"/>
                <w:lang w:val="fr-CA" w:eastAsia="en-CA"/>
              </w:rPr>
              <w:t>3 017</w:t>
            </w:r>
          </w:p>
        </w:tc>
      </w:tr>
      <w:tr w:rsidR="00DF328C" w:rsidRPr="00B13812" w14:paraId="13EECB23"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29C0BE3" w14:textId="77777777" w:rsidR="00DF328C" w:rsidRPr="00B13812" w:rsidRDefault="00DF328C" w:rsidP="00DF328C">
            <w:pPr>
              <w:spacing w:after="0" w:line="240" w:lineRule="auto"/>
              <w:rPr>
                <w:sz w:val="24"/>
                <w:lang w:val="fr-CA" w:eastAsia="en-CA"/>
              </w:rPr>
            </w:pPr>
            <w:r w:rsidRPr="00B13812">
              <w:rPr>
                <w:sz w:val="24"/>
                <w:lang w:val="fr-CA" w:eastAsia="en-CA"/>
              </w:rPr>
              <w:t>Burkina Faso</w:t>
            </w:r>
          </w:p>
        </w:tc>
        <w:tc>
          <w:tcPr>
            <w:tcW w:w="1597" w:type="dxa"/>
            <w:tcBorders>
              <w:top w:val="nil"/>
              <w:left w:val="nil"/>
              <w:bottom w:val="single" w:sz="4" w:space="0" w:color="auto"/>
              <w:right w:val="single" w:sz="4" w:space="0" w:color="auto"/>
            </w:tcBorders>
            <w:shd w:val="clear" w:color="auto" w:fill="auto"/>
            <w:noWrap/>
            <w:vAlign w:val="center"/>
            <w:hideMark/>
          </w:tcPr>
          <w:p w14:paraId="5780C21B"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01A359F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14:paraId="72BEBEC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1AAAC486"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2442060C" w14:textId="77777777" w:rsidR="00DF328C" w:rsidRPr="00B13812" w:rsidRDefault="00DF328C" w:rsidP="00DF328C">
            <w:pPr>
              <w:spacing w:after="0" w:line="240" w:lineRule="auto"/>
              <w:jc w:val="right"/>
              <w:rPr>
                <w:sz w:val="24"/>
                <w:lang w:val="fr-CA" w:eastAsia="en-CA"/>
              </w:rPr>
            </w:pPr>
            <w:r w:rsidRPr="00B13812">
              <w:rPr>
                <w:sz w:val="24"/>
                <w:lang w:val="fr-CA" w:eastAsia="en-CA"/>
              </w:rPr>
              <w:t>268</w:t>
            </w:r>
          </w:p>
        </w:tc>
      </w:tr>
      <w:tr w:rsidR="00DF328C" w:rsidRPr="00B13812" w14:paraId="1954850C"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AF3A9D9" w14:textId="77777777" w:rsidR="00DF328C" w:rsidRPr="00B13812" w:rsidRDefault="00DF328C" w:rsidP="00DF328C">
            <w:pPr>
              <w:spacing w:after="0" w:line="240" w:lineRule="auto"/>
              <w:rPr>
                <w:sz w:val="24"/>
                <w:lang w:val="fr-CA" w:eastAsia="en-CA"/>
              </w:rPr>
            </w:pPr>
            <w:r w:rsidRPr="00B13812">
              <w:rPr>
                <w:sz w:val="24"/>
                <w:lang w:val="fr-CA" w:eastAsia="en-CA"/>
              </w:rPr>
              <w:t>Burundi</w:t>
            </w:r>
          </w:p>
        </w:tc>
        <w:tc>
          <w:tcPr>
            <w:tcW w:w="1597" w:type="dxa"/>
            <w:tcBorders>
              <w:top w:val="nil"/>
              <w:left w:val="nil"/>
              <w:bottom w:val="single" w:sz="4" w:space="0" w:color="auto"/>
              <w:right w:val="single" w:sz="4" w:space="0" w:color="auto"/>
            </w:tcBorders>
            <w:shd w:val="clear" w:color="auto" w:fill="auto"/>
            <w:noWrap/>
            <w:vAlign w:val="center"/>
            <w:hideMark/>
          </w:tcPr>
          <w:p w14:paraId="00C7C327"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0A965011"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438A45B0"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2AA0480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1F89AB9"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74EDCB63"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A80EF08" w14:textId="77777777" w:rsidR="00DF328C" w:rsidRPr="00B13812" w:rsidRDefault="00DF328C" w:rsidP="00DF328C">
            <w:pPr>
              <w:spacing w:after="0" w:line="240" w:lineRule="auto"/>
              <w:rPr>
                <w:sz w:val="24"/>
                <w:lang w:val="fr-CA" w:eastAsia="en-CA"/>
              </w:rPr>
            </w:pPr>
            <w:r w:rsidRPr="00B13812">
              <w:rPr>
                <w:sz w:val="24"/>
                <w:lang w:val="fr-CA" w:eastAsia="en-CA"/>
              </w:rPr>
              <w:t>Cambod</w:t>
            </w:r>
            <w:r>
              <w:rPr>
                <w:sz w:val="24"/>
                <w:lang w:val="fr-CA" w:eastAsia="en-CA"/>
              </w:rPr>
              <w:t>ge</w:t>
            </w:r>
          </w:p>
        </w:tc>
        <w:tc>
          <w:tcPr>
            <w:tcW w:w="1597" w:type="dxa"/>
            <w:tcBorders>
              <w:top w:val="nil"/>
              <w:left w:val="nil"/>
              <w:bottom w:val="single" w:sz="4" w:space="0" w:color="auto"/>
              <w:right w:val="single" w:sz="4" w:space="0" w:color="auto"/>
            </w:tcBorders>
            <w:shd w:val="clear" w:color="auto" w:fill="auto"/>
            <w:noWrap/>
            <w:vAlign w:val="center"/>
            <w:hideMark/>
          </w:tcPr>
          <w:p w14:paraId="1F5EDF4C"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15A934D6"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14:paraId="175CC17F"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5C77F11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0069C66C" w14:textId="77777777" w:rsidR="00DF328C" w:rsidRPr="00B13812" w:rsidRDefault="00DF328C" w:rsidP="00DF328C">
            <w:pPr>
              <w:spacing w:after="0" w:line="240" w:lineRule="auto"/>
              <w:jc w:val="right"/>
              <w:rPr>
                <w:sz w:val="24"/>
                <w:lang w:val="fr-CA" w:eastAsia="en-CA"/>
              </w:rPr>
            </w:pPr>
            <w:r w:rsidRPr="00B13812">
              <w:rPr>
                <w:sz w:val="24"/>
                <w:lang w:val="fr-CA" w:eastAsia="en-CA"/>
              </w:rPr>
              <w:t>268</w:t>
            </w:r>
          </w:p>
        </w:tc>
      </w:tr>
      <w:tr w:rsidR="00DF328C" w:rsidRPr="00B13812" w14:paraId="1999F1BE" w14:textId="77777777" w:rsidTr="00DF328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090F9" w14:textId="77777777" w:rsidR="00DF328C" w:rsidRPr="00B13812" w:rsidRDefault="00DF328C" w:rsidP="00DF328C">
            <w:pPr>
              <w:spacing w:after="0" w:line="240" w:lineRule="auto"/>
              <w:rPr>
                <w:sz w:val="24"/>
                <w:lang w:val="fr-CA" w:eastAsia="en-CA"/>
              </w:rPr>
            </w:pPr>
            <w:r>
              <w:rPr>
                <w:sz w:val="24"/>
                <w:lang w:val="fr-CA" w:eastAsia="en-CA"/>
              </w:rPr>
              <w:t>Camerou</w:t>
            </w:r>
            <w:r w:rsidRPr="00B13812">
              <w:rPr>
                <w:sz w:val="24"/>
                <w:lang w:val="fr-CA" w:eastAsia="en-CA"/>
              </w:rPr>
              <w:t>n</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67E679F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0FE307CD"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018</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13AF06FC"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325</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3CABBE46"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345</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23AF5D45" w14:textId="77777777" w:rsidR="00DF328C" w:rsidRPr="00B13812" w:rsidRDefault="00DF328C" w:rsidP="00DF328C">
            <w:pPr>
              <w:spacing w:after="0" w:line="240" w:lineRule="auto"/>
              <w:jc w:val="right"/>
              <w:rPr>
                <w:sz w:val="24"/>
                <w:lang w:val="fr-CA" w:eastAsia="en-CA"/>
              </w:rPr>
            </w:pPr>
            <w:r w:rsidRPr="00B13812">
              <w:rPr>
                <w:sz w:val="24"/>
                <w:lang w:val="fr-CA" w:eastAsia="en-CA"/>
              </w:rPr>
              <w:t>670</w:t>
            </w:r>
          </w:p>
        </w:tc>
      </w:tr>
      <w:tr w:rsidR="00DF328C" w:rsidRPr="00B13812" w14:paraId="1E03A4D2"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1DBB90D" w14:textId="77777777" w:rsidR="00DF328C" w:rsidRPr="00B13812" w:rsidRDefault="00DF328C" w:rsidP="00DF328C">
            <w:pPr>
              <w:spacing w:after="0" w:line="240" w:lineRule="auto"/>
              <w:rPr>
                <w:sz w:val="24"/>
                <w:lang w:val="fr-CA" w:eastAsia="en-CA"/>
              </w:rPr>
            </w:pPr>
            <w:r>
              <w:rPr>
                <w:sz w:val="24"/>
                <w:lang w:val="fr-CA" w:eastAsia="en-CA"/>
              </w:rPr>
              <w:t>Chine</w:t>
            </w:r>
          </w:p>
        </w:tc>
        <w:tc>
          <w:tcPr>
            <w:tcW w:w="1597" w:type="dxa"/>
            <w:tcBorders>
              <w:top w:val="nil"/>
              <w:left w:val="nil"/>
              <w:bottom w:val="single" w:sz="4" w:space="0" w:color="auto"/>
              <w:right w:val="single" w:sz="4" w:space="0" w:color="auto"/>
            </w:tcBorders>
            <w:shd w:val="clear" w:color="auto" w:fill="auto"/>
            <w:noWrap/>
            <w:vAlign w:val="center"/>
            <w:hideMark/>
          </w:tcPr>
          <w:p w14:paraId="2556F5F3" w14:textId="77777777" w:rsidR="00DF328C" w:rsidRPr="00B13812" w:rsidRDefault="00DF328C" w:rsidP="00DF328C">
            <w:pPr>
              <w:spacing w:after="0" w:line="240" w:lineRule="auto"/>
              <w:jc w:val="right"/>
              <w:rPr>
                <w:sz w:val="24"/>
                <w:lang w:val="fr-CA" w:eastAsia="en-CA"/>
              </w:rPr>
            </w:pPr>
            <w:r w:rsidRPr="00B13812">
              <w:rPr>
                <w:sz w:val="24"/>
                <w:lang w:val="fr-CA" w:eastAsia="en-CA"/>
              </w:rPr>
              <w:t>7</w:t>
            </w:r>
            <w:r>
              <w:rPr>
                <w:sz w:val="24"/>
                <w:lang w:val="fr-CA" w:eastAsia="en-CA"/>
              </w:rPr>
              <w:t>,</w:t>
            </w:r>
            <w:r w:rsidRPr="00B13812">
              <w:rPr>
                <w:sz w:val="24"/>
                <w:lang w:val="fr-CA" w:eastAsia="en-CA"/>
              </w:rPr>
              <w:t>921</w:t>
            </w:r>
          </w:p>
        </w:tc>
        <w:tc>
          <w:tcPr>
            <w:tcW w:w="1597" w:type="dxa"/>
            <w:tcBorders>
              <w:top w:val="nil"/>
              <w:left w:val="nil"/>
              <w:bottom w:val="single" w:sz="4" w:space="0" w:color="auto"/>
              <w:right w:val="single" w:sz="4" w:space="0" w:color="auto"/>
            </w:tcBorders>
            <w:shd w:val="clear" w:color="auto" w:fill="auto"/>
            <w:noWrap/>
            <w:vAlign w:val="center"/>
            <w:hideMark/>
          </w:tcPr>
          <w:p w14:paraId="14263708" w14:textId="77777777" w:rsidR="00DF328C" w:rsidRPr="00B13812" w:rsidRDefault="00DF328C" w:rsidP="00DF328C">
            <w:pPr>
              <w:spacing w:after="0" w:line="240" w:lineRule="auto"/>
              <w:jc w:val="right"/>
              <w:rPr>
                <w:sz w:val="24"/>
                <w:lang w:val="fr-CA" w:eastAsia="en-CA"/>
              </w:rPr>
            </w:pPr>
            <w:r w:rsidRPr="00B13812">
              <w:rPr>
                <w:sz w:val="24"/>
                <w:lang w:val="fr-CA" w:eastAsia="en-CA"/>
              </w:rPr>
              <w:t>14</w:t>
            </w:r>
            <w:r>
              <w:rPr>
                <w:sz w:val="24"/>
                <w:lang w:val="fr-CA" w:eastAsia="en-CA"/>
              </w:rPr>
              <w:t>,</w:t>
            </w:r>
            <w:r w:rsidRPr="00B13812">
              <w:rPr>
                <w:sz w:val="24"/>
                <w:lang w:val="fr-CA" w:eastAsia="en-CA"/>
              </w:rPr>
              <w:t>636</w:t>
            </w:r>
          </w:p>
        </w:tc>
        <w:tc>
          <w:tcPr>
            <w:tcW w:w="1597" w:type="dxa"/>
            <w:tcBorders>
              <w:top w:val="nil"/>
              <w:left w:val="nil"/>
              <w:bottom w:val="single" w:sz="4" w:space="0" w:color="auto"/>
              <w:right w:val="single" w:sz="4" w:space="0" w:color="auto"/>
            </w:tcBorders>
            <w:shd w:val="clear" w:color="auto" w:fill="auto"/>
            <w:noWrap/>
            <w:vAlign w:val="center"/>
            <w:hideMark/>
          </w:tcPr>
          <w:p w14:paraId="1919F9E3"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257 728</w:t>
            </w:r>
          </w:p>
        </w:tc>
        <w:tc>
          <w:tcPr>
            <w:tcW w:w="1597" w:type="dxa"/>
            <w:tcBorders>
              <w:top w:val="nil"/>
              <w:left w:val="nil"/>
              <w:bottom w:val="single" w:sz="4" w:space="0" w:color="auto"/>
              <w:right w:val="single" w:sz="4" w:space="0" w:color="auto"/>
            </w:tcBorders>
            <w:shd w:val="clear" w:color="auto" w:fill="auto"/>
            <w:noWrap/>
            <w:vAlign w:val="center"/>
            <w:hideMark/>
          </w:tcPr>
          <w:p w14:paraId="149433F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273 296</w:t>
            </w:r>
          </w:p>
        </w:tc>
        <w:tc>
          <w:tcPr>
            <w:tcW w:w="1598" w:type="dxa"/>
            <w:tcBorders>
              <w:top w:val="nil"/>
              <w:left w:val="nil"/>
              <w:bottom w:val="single" w:sz="4" w:space="0" w:color="auto"/>
              <w:right w:val="single" w:sz="4" w:space="0" w:color="auto"/>
            </w:tcBorders>
            <w:shd w:val="clear" w:color="auto" w:fill="auto"/>
            <w:noWrap/>
            <w:vAlign w:val="center"/>
            <w:hideMark/>
          </w:tcPr>
          <w:p w14:paraId="149B1F12" w14:textId="77777777" w:rsidR="00DF328C" w:rsidRPr="00B13812" w:rsidRDefault="00DF328C" w:rsidP="00DF328C">
            <w:pPr>
              <w:spacing w:after="0" w:line="240" w:lineRule="auto"/>
              <w:jc w:val="right"/>
              <w:rPr>
                <w:sz w:val="24"/>
                <w:lang w:val="fr-CA" w:eastAsia="en-CA"/>
              </w:rPr>
            </w:pPr>
            <w:r w:rsidRPr="00B13812">
              <w:rPr>
                <w:sz w:val="24"/>
                <w:lang w:val="fr-CA" w:eastAsia="en-CA"/>
              </w:rPr>
              <w:t>531 024</w:t>
            </w:r>
          </w:p>
        </w:tc>
      </w:tr>
      <w:tr w:rsidR="00DF328C" w:rsidRPr="00B13812" w14:paraId="2BF7730B"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CD6D75F" w14:textId="77777777" w:rsidR="00DF328C" w:rsidRPr="00B13812" w:rsidRDefault="00DF328C" w:rsidP="00DF328C">
            <w:pPr>
              <w:spacing w:after="0" w:line="240" w:lineRule="auto"/>
              <w:rPr>
                <w:sz w:val="24"/>
                <w:lang w:val="fr-CA" w:eastAsia="en-CA"/>
              </w:rPr>
            </w:pPr>
            <w:r>
              <w:rPr>
                <w:sz w:val="24"/>
                <w:lang w:val="fr-CA" w:eastAsia="en-CA"/>
              </w:rPr>
              <w:t>Comore</w:t>
            </w:r>
            <w:r w:rsidRPr="00B13812">
              <w:rPr>
                <w:sz w:val="24"/>
                <w:lang w:val="fr-CA" w:eastAsia="en-CA"/>
              </w:rPr>
              <w:t>s</w:t>
            </w:r>
          </w:p>
        </w:tc>
        <w:tc>
          <w:tcPr>
            <w:tcW w:w="1597" w:type="dxa"/>
            <w:tcBorders>
              <w:top w:val="nil"/>
              <w:left w:val="nil"/>
              <w:bottom w:val="single" w:sz="4" w:space="0" w:color="auto"/>
              <w:right w:val="single" w:sz="4" w:space="0" w:color="auto"/>
            </w:tcBorders>
            <w:shd w:val="clear" w:color="auto" w:fill="auto"/>
            <w:noWrap/>
            <w:vAlign w:val="center"/>
            <w:hideMark/>
          </w:tcPr>
          <w:p w14:paraId="29110B24"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0DE51D54"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29A2CA4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6537BAF2"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260BC0FD"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143E9A4F"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F052B43" w14:textId="77777777" w:rsidR="00DF328C" w:rsidRPr="00B13812" w:rsidRDefault="00DF328C" w:rsidP="00DF328C">
            <w:pPr>
              <w:spacing w:after="0" w:line="240" w:lineRule="auto"/>
              <w:rPr>
                <w:sz w:val="24"/>
                <w:lang w:val="fr-CA" w:eastAsia="en-CA"/>
              </w:rPr>
            </w:pPr>
            <w:r w:rsidRPr="00B13812">
              <w:rPr>
                <w:sz w:val="24"/>
                <w:lang w:val="fr-CA" w:eastAsia="en-CA"/>
              </w:rPr>
              <w:lastRenderedPageBreak/>
              <w:t>Congo</w:t>
            </w:r>
          </w:p>
        </w:tc>
        <w:tc>
          <w:tcPr>
            <w:tcW w:w="1597" w:type="dxa"/>
            <w:tcBorders>
              <w:top w:val="nil"/>
              <w:left w:val="nil"/>
              <w:bottom w:val="single" w:sz="4" w:space="0" w:color="auto"/>
              <w:right w:val="single" w:sz="4" w:space="0" w:color="auto"/>
            </w:tcBorders>
            <w:shd w:val="clear" w:color="auto" w:fill="auto"/>
            <w:noWrap/>
            <w:vAlign w:val="center"/>
            <w:hideMark/>
          </w:tcPr>
          <w:p w14:paraId="14598102"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14:paraId="48B6F122"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011</w:t>
            </w:r>
          </w:p>
        </w:tc>
        <w:tc>
          <w:tcPr>
            <w:tcW w:w="1597" w:type="dxa"/>
            <w:tcBorders>
              <w:top w:val="nil"/>
              <w:left w:val="nil"/>
              <w:bottom w:val="single" w:sz="4" w:space="0" w:color="auto"/>
              <w:right w:val="single" w:sz="4" w:space="0" w:color="auto"/>
            </w:tcBorders>
            <w:shd w:val="clear" w:color="auto" w:fill="auto"/>
            <w:noWrap/>
            <w:vAlign w:val="center"/>
            <w:hideMark/>
          </w:tcPr>
          <w:p w14:paraId="2D4D832A"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195</w:t>
            </w:r>
          </w:p>
        </w:tc>
        <w:tc>
          <w:tcPr>
            <w:tcW w:w="1597" w:type="dxa"/>
            <w:tcBorders>
              <w:top w:val="nil"/>
              <w:left w:val="nil"/>
              <w:bottom w:val="single" w:sz="4" w:space="0" w:color="auto"/>
              <w:right w:val="single" w:sz="4" w:space="0" w:color="auto"/>
            </w:tcBorders>
            <w:shd w:val="clear" w:color="auto" w:fill="auto"/>
            <w:noWrap/>
            <w:vAlign w:val="center"/>
            <w:hideMark/>
          </w:tcPr>
          <w:p w14:paraId="11ADA59F"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207</w:t>
            </w:r>
          </w:p>
        </w:tc>
        <w:tc>
          <w:tcPr>
            <w:tcW w:w="1598" w:type="dxa"/>
            <w:tcBorders>
              <w:top w:val="nil"/>
              <w:left w:val="nil"/>
              <w:bottom w:val="single" w:sz="4" w:space="0" w:color="auto"/>
              <w:right w:val="single" w:sz="4" w:space="0" w:color="auto"/>
            </w:tcBorders>
            <w:shd w:val="clear" w:color="auto" w:fill="auto"/>
            <w:noWrap/>
            <w:vAlign w:val="center"/>
            <w:hideMark/>
          </w:tcPr>
          <w:p w14:paraId="4DB7838D" w14:textId="77777777" w:rsidR="00DF328C" w:rsidRPr="00B13812" w:rsidRDefault="00DF328C" w:rsidP="00DF328C">
            <w:pPr>
              <w:spacing w:after="0" w:line="240" w:lineRule="auto"/>
              <w:jc w:val="right"/>
              <w:rPr>
                <w:sz w:val="24"/>
                <w:lang w:val="fr-CA" w:eastAsia="en-CA"/>
              </w:rPr>
            </w:pPr>
            <w:r w:rsidRPr="00B13812">
              <w:rPr>
                <w:sz w:val="24"/>
                <w:lang w:val="fr-CA" w:eastAsia="en-CA"/>
              </w:rPr>
              <w:t>402</w:t>
            </w:r>
          </w:p>
        </w:tc>
      </w:tr>
      <w:tr w:rsidR="00DF328C" w:rsidRPr="00B13812" w14:paraId="2AE16643"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0B27342" w14:textId="77777777" w:rsidR="00DF328C" w:rsidRPr="00B13812" w:rsidRDefault="00DF328C" w:rsidP="00DF328C">
            <w:pPr>
              <w:spacing w:after="0" w:line="240" w:lineRule="auto"/>
              <w:rPr>
                <w:sz w:val="24"/>
                <w:lang w:val="fr-CA" w:eastAsia="en-CA"/>
              </w:rPr>
            </w:pPr>
            <w:r>
              <w:rPr>
                <w:sz w:val="24"/>
                <w:lang w:val="fr-CA" w:eastAsia="en-CA"/>
              </w:rPr>
              <w:t>Cô</w:t>
            </w:r>
            <w:r w:rsidRPr="00B13812">
              <w:rPr>
                <w:sz w:val="24"/>
                <w:lang w:val="fr-CA" w:eastAsia="en-CA"/>
              </w:rPr>
              <w:t>te d’Ivoire</w:t>
            </w:r>
          </w:p>
        </w:tc>
        <w:tc>
          <w:tcPr>
            <w:tcW w:w="1597" w:type="dxa"/>
            <w:tcBorders>
              <w:top w:val="nil"/>
              <w:left w:val="nil"/>
              <w:bottom w:val="single" w:sz="4" w:space="0" w:color="auto"/>
              <w:right w:val="single" w:sz="4" w:space="0" w:color="auto"/>
            </w:tcBorders>
            <w:shd w:val="clear" w:color="auto" w:fill="auto"/>
            <w:noWrap/>
            <w:vAlign w:val="center"/>
            <w:hideMark/>
          </w:tcPr>
          <w:p w14:paraId="18FC8B69"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14:paraId="2B7D0C38"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017</w:t>
            </w:r>
          </w:p>
        </w:tc>
        <w:tc>
          <w:tcPr>
            <w:tcW w:w="1597" w:type="dxa"/>
            <w:tcBorders>
              <w:top w:val="nil"/>
              <w:left w:val="nil"/>
              <w:bottom w:val="single" w:sz="4" w:space="0" w:color="auto"/>
              <w:right w:val="single" w:sz="4" w:space="0" w:color="auto"/>
            </w:tcBorders>
            <w:shd w:val="clear" w:color="auto" w:fill="auto"/>
            <w:noWrap/>
            <w:vAlign w:val="center"/>
            <w:hideMark/>
          </w:tcPr>
          <w:p w14:paraId="774A8859"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293</w:t>
            </w:r>
          </w:p>
        </w:tc>
        <w:tc>
          <w:tcPr>
            <w:tcW w:w="1597" w:type="dxa"/>
            <w:tcBorders>
              <w:top w:val="nil"/>
              <w:left w:val="nil"/>
              <w:bottom w:val="single" w:sz="4" w:space="0" w:color="auto"/>
              <w:right w:val="single" w:sz="4" w:space="0" w:color="auto"/>
            </w:tcBorders>
            <w:shd w:val="clear" w:color="auto" w:fill="auto"/>
            <w:noWrap/>
            <w:vAlign w:val="center"/>
            <w:hideMark/>
          </w:tcPr>
          <w:p w14:paraId="015DAD88"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311</w:t>
            </w:r>
          </w:p>
        </w:tc>
        <w:tc>
          <w:tcPr>
            <w:tcW w:w="1598" w:type="dxa"/>
            <w:tcBorders>
              <w:top w:val="nil"/>
              <w:left w:val="nil"/>
              <w:bottom w:val="single" w:sz="4" w:space="0" w:color="auto"/>
              <w:right w:val="single" w:sz="4" w:space="0" w:color="auto"/>
            </w:tcBorders>
            <w:shd w:val="clear" w:color="auto" w:fill="auto"/>
            <w:noWrap/>
            <w:vAlign w:val="center"/>
            <w:hideMark/>
          </w:tcPr>
          <w:p w14:paraId="01D6DCCD" w14:textId="77777777" w:rsidR="00DF328C" w:rsidRPr="00B13812" w:rsidRDefault="00DF328C" w:rsidP="00DF328C">
            <w:pPr>
              <w:spacing w:after="0" w:line="240" w:lineRule="auto"/>
              <w:jc w:val="right"/>
              <w:rPr>
                <w:sz w:val="24"/>
                <w:lang w:val="fr-CA" w:eastAsia="en-CA"/>
              </w:rPr>
            </w:pPr>
            <w:r w:rsidRPr="00B13812">
              <w:rPr>
                <w:sz w:val="24"/>
                <w:lang w:val="fr-CA" w:eastAsia="en-CA"/>
              </w:rPr>
              <w:t>603</w:t>
            </w:r>
          </w:p>
        </w:tc>
      </w:tr>
      <w:tr w:rsidR="00DF328C" w:rsidRPr="00B13812" w14:paraId="4812D105"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41CE9C0" w14:textId="77777777" w:rsidR="00DF328C" w:rsidRPr="00B13812" w:rsidRDefault="00DF328C" w:rsidP="00DF328C">
            <w:pPr>
              <w:spacing w:after="0" w:line="240" w:lineRule="auto"/>
              <w:rPr>
                <w:sz w:val="24"/>
                <w:lang w:val="fr-CA" w:eastAsia="en-CA"/>
              </w:rPr>
            </w:pPr>
            <w:r w:rsidRPr="00B13812">
              <w:rPr>
                <w:sz w:val="24"/>
                <w:lang w:val="fr-CA" w:eastAsia="en-CA"/>
              </w:rPr>
              <w:t>Croati</w:t>
            </w:r>
            <w:r>
              <w:rPr>
                <w:sz w:val="24"/>
                <w:lang w:val="fr-CA" w:eastAsia="en-CA"/>
              </w:rPr>
              <w:t>e</w:t>
            </w:r>
          </w:p>
        </w:tc>
        <w:tc>
          <w:tcPr>
            <w:tcW w:w="1597" w:type="dxa"/>
            <w:tcBorders>
              <w:top w:val="nil"/>
              <w:left w:val="nil"/>
              <w:bottom w:val="single" w:sz="4" w:space="0" w:color="auto"/>
              <w:right w:val="single" w:sz="4" w:space="0" w:color="auto"/>
            </w:tcBorders>
            <w:shd w:val="clear" w:color="auto" w:fill="auto"/>
            <w:noWrap/>
            <w:vAlign w:val="center"/>
            <w:hideMark/>
          </w:tcPr>
          <w:p w14:paraId="044027E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099</w:t>
            </w:r>
          </w:p>
        </w:tc>
        <w:tc>
          <w:tcPr>
            <w:tcW w:w="1597" w:type="dxa"/>
            <w:tcBorders>
              <w:top w:val="nil"/>
              <w:left w:val="nil"/>
              <w:bottom w:val="single" w:sz="4" w:space="0" w:color="auto"/>
              <w:right w:val="single" w:sz="4" w:space="0" w:color="auto"/>
            </w:tcBorders>
            <w:shd w:val="clear" w:color="auto" w:fill="auto"/>
            <w:noWrap/>
            <w:vAlign w:val="center"/>
            <w:hideMark/>
          </w:tcPr>
          <w:p w14:paraId="2C48A7F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183</w:t>
            </w:r>
          </w:p>
        </w:tc>
        <w:tc>
          <w:tcPr>
            <w:tcW w:w="1597" w:type="dxa"/>
            <w:tcBorders>
              <w:top w:val="nil"/>
              <w:left w:val="nil"/>
              <w:bottom w:val="single" w:sz="4" w:space="0" w:color="auto"/>
              <w:right w:val="single" w:sz="4" w:space="0" w:color="auto"/>
            </w:tcBorders>
            <w:shd w:val="clear" w:color="auto" w:fill="auto"/>
            <w:noWrap/>
            <w:vAlign w:val="center"/>
            <w:hideMark/>
          </w:tcPr>
          <w:p w14:paraId="7A61AB40"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3 221</w:t>
            </w:r>
          </w:p>
        </w:tc>
        <w:tc>
          <w:tcPr>
            <w:tcW w:w="1597" w:type="dxa"/>
            <w:tcBorders>
              <w:top w:val="nil"/>
              <w:left w:val="nil"/>
              <w:bottom w:val="single" w:sz="4" w:space="0" w:color="auto"/>
              <w:right w:val="single" w:sz="4" w:space="0" w:color="auto"/>
            </w:tcBorders>
            <w:shd w:val="clear" w:color="auto" w:fill="auto"/>
            <w:noWrap/>
            <w:vAlign w:val="center"/>
            <w:hideMark/>
          </w:tcPr>
          <w:p w14:paraId="0FF3B4FF"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3 416</w:t>
            </w:r>
          </w:p>
        </w:tc>
        <w:tc>
          <w:tcPr>
            <w:tcW w:w="1598" w:type="dxa"/>
            <w:tcBorders>
              <w:top w:val="nil"/>
              <w:left w:val="nil"/>
              <w:bottom w:val="single" w:sz="4" w:space="0" w:color="auto"/>
              <w:right w:val="single" w:sz="4" w:space="0" w:color="auto"/>
            </w:tcBorders>
            <w:shd w:val="clear" w:color="auto" w:fill="auto"/>
            <w:noWrap/>
            <w:vAlign w:val="center"/>
            <w:hideMark/>
          </w:tcPr>
          <w:p w14:paraId="13734460" w14:textId="77777777" w:rsidR="00DF328C" w:rsidRPr="00B13812" w:rsidRDefault="00DF328C" w:rsidP="00DF328C">
            <w:pPr>
              <w:spacing w:after="0" w:line="240" w:lineRule="auto"/>
              <w:jc w:val="right"/>
              <w:rPr>
                <w:sz w:val="24"/>
                <w:lang w:val="fr-CA" w:eastAsia="en-CA"/>
              </w:rPr>
            </w:pPr>
            <w:r w:rsidRPr="00B13812">
              <w:rPr>
                <w:sz w:val="24"/>
                <w:lang w:val="fr-CA" w:eastAsia="en-CA"/>
              </w:rPr>
              <w:t>6 637</w:t>
            </w:r>
          </w:p>
        </w:tc>
      </w:tr>
      <w:tr w:rsidR="00DF328C" w:rsidRPr="00B13812" w14:paraId="3F5FAB18"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4E984DC" w14:textId="77777777" w:rsidR="00DF328C" w:rsidRPr="00B13812" w:rsidRDefault="00DF328C" w:rsidP="00DF328C">
            <w:pPr>
              <w:spacing w:after="0" w:line="240" w:lineRule="auto"/>
              <w:rPr>
                <w:sz w:val="24"/>
                <w:lang w:val="fr-CA" w:eastAsia="en-CA"/>
              </w:rPr>
            </w:pPr>
            <w:r w:rsidRPr="00B13812">
              <w:rPr>
                <w:sz w:val="24"/>
                <w:lang w:val="fr-CA" w:eastAsia="en-CA"/>
              </w:rPr>
              <w:t>Cuba</w:t>
            </w:r>
          </w:p>
        </w:tc>
        <w:tc>
          <w:tcPr>
            <w:tcW w:w="1597" w:type="dxa"/>
            <w:tcBorders>
              <w:top w:val="nil"/>
              <w:left w:val="nil"/>
              <w:bottom w:val="single" w:sz="4" w:space="0" w:color="auto"/>
              <w:right w:val="single" w:sz="4" w:space="0" w:color="auto"/>
            </w:tcBorders>
            <w:shd w:val="clear" w:color="auto" w:fill="auto"/>
            <w:noWrap/>
            <w:vAlign w:val="center"/>
            <w:hideMark/>
          </w:tcPr>
          <w:p w14:paraId="5D9AAFCE"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065</w:t>
            </w:r>
          </w:p>
        </w:tc>
        <w:tc>
          <w:tcPr>
            <w:tcW w:w="1597" w:type="dxa"/>
            <w:tcBorders>
              <w:top w:val="nil"/>
              <w:left w:val="nil"/>
              <w:bottom w:val="single" w:sz="4" w:space="0" w:color="auto"/>
              <w:right w:val="single" w:sz="4" w:space="0" w:color="auto"/>
            </w:tcBorders>
            <w:shd w:val="clear" w:color="auto" w:fill="auto"/>
            <w:noWrap/>
            <w:vAlign w:val="center"/>
            <w:hideMark/>
          </w:tcPr>
          <w:p w14:paraId="12576168"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120</w:t>
            </w:r>
          </w:p>
        </w:tc>
        <w:tc>
          <w:tcPr>
            <w:tcW w:w="1597" w:type="dxa"/>
            <w:tcBorders>
              <w:top w:val="nil"/>
              <w:left w:val="nil"/>
              <w:bottom w:val="single" w:sz="4" w:space="0" w:color="auto"/>
              <w:right w:val="single" w:sz="4" w:space="0" w:color="auto"/>
            </w:tcBorders>
            <w:shd w:val="clear" w:color="auto" w:fill="auto"/>
            <w:noWrap/>
            <w:vAlign w:val="center"/>
            <w:hideMark/>
          </w:tcPr>
          <w:p w14:paraId="3D409804"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2 115</w:t>
            </w:r>
          </w:p>
        </w:tc>
        <w:tc>
          <w:tcPr>
            <w:tcW w:w="1597" w:type="dxa"/>
            <w:tcBorders>
              <w:top w:val="nil"/>
              <w:left w:val="nil"/>
              <w:bottom w:val="single" w:sz="4" w:space="0" w:color="auto"/>
              <w:right w:val="single" w:sz="4" w:space="0" w:color="auto"/>
            </w:tcBorders>
            <w:shd w:val="clear" w:color="auto" w:fill="auto"/>
            <w:noWrap/>
            <w:vAlign w:val="center"/>
            <w:hideMark/>
          </w:tcPr>
          <w:p w14:paraId="7214A4FF"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2 243</w:t>
            </w:r>
          </w:p>
        </w:tc>
        <w:tc>
          <w:tcPr>
            <w:tcW w:w="1598" w:type="dxa"/>
            <w:tcBorders>
              <w:top w:val="nil"/>
              <w:left w:val="nil"/>
              <w:bottom w:val="single" w:sz="4" w:space="0" w:color="auto"/>
              <w:right w:val="single" w:sz="4" w:space="0" w:color="auto"/>
            </w:tcBorders>
            <w:shd w:val="clear" w:color="auto" w:fill="auto"/>
            <w:noWrap/>
            <w:vAlign w:val="center"/>
            <w:hideMark/>
          </w:tcPr>
          <w:p w14:paraId="1D0AB8C9" w14:textId="77777777" w:rsidR="00DF328C" w:rsidRPr="00B13812" w:rsidRDefault="00DF328C" w:rsidP="00DF328C">
            <w:pPr>
              <w:spacing w:after="0" w:line="240" w:lineRule="auto"/>
              <w:jc w:val="right"/>
              <w:rPr>
                <w:sz w:val="24"/>
                <w:lang w:val="fr-CA" w:eastAsia="en-CA"/>
              </w:rPr>
            </w:pPr>
            <w:r w:rsidRPr="00B13812">
              <w:rPr>
                <w:sz w:val="24"/>
                <w:lang w:val="fr-CA" w:eastAsia="en-CA"/>
              </w:rPr>
              <w:t>4 358</w:t>
            </w:r>
          </w:p>
        </w:tc>
      </w:tr>
      <w:tr w:rsidR="00DF328C" w:rsidRPr="00B13812" w14:paraId="0163C236"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4339AC6" w14:textId="77777777" w:rsidR="00DF328C" w:rsidRPr="00B13812" w:rsidRDefault="00DF328C" w:rsidP="00DF328C">
            <w:pPr>
              <w:spacing w:after="0" w:line="240" w:lineRule="auto"/>
              <w:rPr>
                <w:sz w:val="24"/>
                <w:lang w:val="fr-CA" w:eastAsia="en-CA"/>
              </w:rPr>
            </w:pPr>
            <w:r>
              <w:rPr>
                <w:sz w:val="24"/>
                <w:lang w:val="fr-CA" w:eastAsia="en-CA"/>
              </w:rPr>
              <w:t>Danemark</w:t>
            </w:r>
          </w:p>
        </w:tc>
        <w:tc>
          <w:tcPr>
            <w:tcW w:w="1597" w:type="dxa"/>
            <w:tcBorders>
              <w:top w:val="nil"/>
              <w:left w:val="nil"/>
              <w:bottom w:val="single" w:sz="4" w:space="0" w:color="auto"/>
              <w:right w:val="single" w:sz="4" w:space="0" w:color="auto"/>
            </w:tcBorders>
            <w:shd w:val="clear" w:color="auto" w:fill="auto"/>
            <w:noWrap/>
            <w:vAlign w:val="center"/>
            <w:hideMark/>
          </w:tcPr>
          <w:p w14:paraId="5AC57CB6"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584</w:t>
            </w:r>
          </w:p>
        </w:tc>
        <w:tc>
          <w:tcPr>
            <w:tcW w:w="1597" w:type="dxa"/>
            <w:tcBorders>
              <w:top w:val="nil"/>
              <w:left w:val="nil"/>
              <w:bottom w:val="single" w:sz="4" w:space="0" w:color="auto"/>
              <w:right w:val="single" w:sz="4" w:space="0" w:color="auto"/>
            </w:tcBorders>
            <w:shd w:val="clear" w:color="auto" w:fill="auto"/>
            <w:noWrap/>
            <w:vAlign w:val="center"/>
            <w:hideMark/>
          </w:tcPr>
          <w:p w14:paraId="654E49B3" w14:textId="77777777" w:rsidR="00DF328C" w:rsidRPr="00B13812" w:rsidRDefault="00DF328C" w:rsidP="00DF328C">
            <w:pPr>
              <w:spacing w:after="0" w:line="240" w:lineRule="auto"/>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079</w:t>
            </w:r>
          </w:p>
        </w:tc>
        <w:tc>
          <w:tcPr>
            <w:tcW w:w="1597" w:type="dxa"/>
            <w:tcBorders>
              <w:top w:val="nil"/>
              <w:left w:val="nil"/>
              <w:bottom w:val="single" w:sz="4" w:space="0" w:color="auto"/>
              <w:right w:val="single" w:sz="4" w:space="0" w:color="auto"/>
            </w:tcBorders>
            <w:shd w:val="clear" w:color="auto" w:fill="auto"/>
            <w:noWrap/>
            <w:vAlign w:val="center"/>
            <w:hideMark/>
          </w:tcPr>
          <w:p w14:paraId="076E5456"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19 002</w:t>
            </w:r>
          </w:p>
        </w:tc>
        <w:tc>
          <w:tcPr>
            <w:tcW w:w="1597" w:type="dxa"/>
            <w:tcBorders>
              <w:top w:val="nil"/>
              <w:left w:val="nil"/>
              <w:bottom w:val="single" w:sz="4" w:space="0" w:color="auto"/>
              <w:right w:val="single" w:sz="4" w:space="0" w:color="auto"/>
            </w:tcBorders>
            <w:shd w:val="clear" w:color="auto" w:fill="auto"/>
            <w:noWrap/>
            <w:vAlign w:val="center"/>
            <w:hideMark/>
          </w:tcPr>
          <w:p w14:paraId="2EA627D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20 150</w:t>
            </w:r>
          </w:p>
        </w:tc>
        <w:tc>
          <w:tcPr>
            <w:tcW w:w="1598" w:type="dxa"/>
            <w:tcBorders>
              <w:top w:val="nil"/>
              <w:left w:val="nil"/>
              <w:bottom w:val="single" w:sz="4" w:space="0" w:color="auto"/>
              <w:right w:val="single" w:sz="4" w:space="0" w:color="auto"/>
            </w:tcBorders>
            <w:shd w:val="clear" w:color="auto" w:fill="auto"/>
            <w:noWrap/>
            <w:vAlign w:val="center"/>
            <w:hideMark/>
          </w:tcPr>
          <w:p w14:paraId="3752DFE2" w14:textId="77777777" w:rsidR="00DF328C" w:rsidRPr="00B13812" w:rsidRDefault="00DF328C" w:rsidP="00DF328C">
            <w:pPr>
              <w:spacing w:after="0" w:line="240" w:lineRule="auto"/>
              <w:jc w:val="right"/>
              <w:rPr>
                <w:sz w:val="24"/>
                <w:lang w:val="fr-CA" w:eastAsia="en-CA"/>
              </w:rPr>
            </w:pPr>
            <w:r w:rsidRPr="00B13812">
              <w:rPr>
                <w:sz w:val="24"/>
                <w:lang w:val="fr-CA" w:eastAsia="en-CA"/>
              </w:rPr>
              <w:t>39 151</w:t>
            </w:r>
          </w:p>
        </w:tc>
      </w:tr>
      <w:tr w:rsidR="00DF328C" w:rsidRPr="00B13812" w14:paraId="3D00F68B"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B1E54AD" w14:textId="77777777" w:rsidR="00DF328C" w:rsidRPr="00B13812" w:rsidRDefault="00DF328C" w:rsidP="00DF328C">
            <w:pPr>
              <w:spacing w:after="0" w:line="240" w:lineRule="auto"/>
              <w:rPr>
                <w:sz w:val="24"/>
                <w:lang w:val="fr-CA" w:eastAsia="en-CA"/>
              </w:rPr>
            </w:pPr>
            <w:r w:rsidRPr="00B13812">
              <w:rPr>
                <w:sz w:val="24"/>
                <w:lang w:val="fr-CA" w:eastAsia="en-CA"/>
              </w:rPr>
              <w:t>Djibouti</w:t>
            </w:r>
          </w:p>
        </w:tc>
        <w:tc>
          <w:tcPr>
            <w:tcW w:w="1597" w:type="dxa"/>
            <w:tcBorders>
              <w:top w:val="nil"/>
              <w:left w:val="nil"/>
              <w:bottom w:val="single" w:sz="4" w:space="0" w:color="auto"/>
              <w:right w:val="single" w:sz="4" w:space="0" w:color="auto"/>
            </w:tcBorders>
            <w:shd w:val="clear" w:color="auto" w:fill="auto"/>
            <w:noWrap/>
            <w:vAlign w:val="center"/>
            <w:hideMark/>
          </w:tcPr>
          <w:p w14:paraId="05A3607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67B99983"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56432B54"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69E20F34"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206E27FE"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430F433C"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8FEFFF8" w14:textId="77777777" w:rsidR="00DF328C" w:rsidRPr="00B13812" w:rsidRDefault="00DF328C" w:rsidP="00DF328C">
            <w:pPr>
              <w:spacing w:after="0" w:line="240" w:lineRule="auto"/>
              <w:rPr>
                <w:sz w:val="24"/>
                <w:lang w:val="fr-CA" w:eastAsia="en-CA"/>
              </w:rPr>
            </w:pPr>
            <w:r>
              <w:rPr>
                <w:sz w:val="24"/>
                <w:lang w:val="fr-CA" w:eastAsia="en-CA"/>
              </w:rPr>
              <w:t>Égypte</w:t>
            </w:r>
          </w:p>
        </w:tc>
        <w:tc>
          <w:tcPr>
            <w:tcW w:w="1597" w:type="dxa"/>
            <w:tcBorders>
              <w:top w:val="nil"/>
              <w:left w:val="nil"/>
              <w:bottom w:val="single" w:sz="4" w:space="0" w:color="auto"/>
              <w:right w:val="single" w:sz="4" w:space="0" w:color="auto"/>
            </w:tcBorders>
            <w:shd w:val="clear" w:color="auto" w:fill="auto"/>
            <w:noWrap/>
            <w:vAlign w:val="center"/>
            <w:hideMark/>
          </w:tcPr>
          <w:p w14:paraId="19AEC641"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152</w:t>
            </w:r>
          </w:p>
        </w:tc>
        <w:tc>
          <w:tcPr>
            <w:tcW w:w="1597" w:type="dxa"/>
            <w:tcBorders>
              <w:top w:val="nil"/>
              <w:left w:val="nil"/>
              <w:bottom w:val="single" w:sz="4" w:space="0" w:color="auto"/>
              <w:right w:val="single" w:sz="4" w:space="0" w:color="auto"/>
            </w:tcBorders>
            <w:shd w:val="clear" w:color="auto" w:fill="auto"/>
            <w:noWrap/>
            <w:vAlign w:val="center"/>
            <w:hideMark/>
          </w:tcPr>
          <w:p w14:paraId="60F87A70"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281</w:t>
            </w:r>
          </w:p>
        </w:tc>
        <w:tc>
          <w:tcPr>
            <w:tcW w:w="1597" w:type="dxa"/>
            <w:tcBorders>
              <w:top w:val="nil"/>
              <w:left w:val="nil"/>
              <w:bottom w:val="single" w:sz="4" w:space="0" w:color="auto"/>
              <w:right w:val="single" w:sz="4" w:space="0" w:color="auto"/>
            </w:tcBorders>
            <w:shd w:val="clear" w:color="auto" w:fill="auto"/>
            <w:noWrap/>
            <w:vAlign w:val="center"/>
            <w:hideMark/>
          </w:tcPr>
          <w:p w14:paraId="377DF7D3"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4 946</w:t>
            </w:r>
          </w:p>
        </w:tc>
        <w:tc>
          <w:tcPr>
            <w:tcW w:w="1597" w:type="dxa"/>
            <w:tcBorders>
              <w:top w:val="nil"/>
              <w:left w:val="nil"/>
              <w:bottom w:val="single" w:sz="4" w:space="0" w:color="auto"/>
              <w:right w:val="single" w:sz="4" w:space="0" w:color="auto"/>
            </w:tcBorders>
            <w:shd w:val="clear" w:color="auto" w:fill="auto"/>
            <w:noWrap/>
            <w:vAlign w:val="center"/>
            <w:hideMark/>
          </w:tcPr>
          <w:p w14:paraId="76992B0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5 244</w:t>
            </w:r>
          </w:p>
        </w:tc>
        <w:tc>
          <w:tcPr>
            <w:tcW w:w="1598" w:type="dxa"/>
            <w:tcBorders>
              <w:top w:val="nil"/>
              <w:left w:val="nil"/>
              <w:bottom w:val="single" w:sz="4" w:space="0" w:color="auto"/>
              <w:right w:val="single" w:sz="4" w:space="0" w:color="auto"/>
            </w:tcBorders>
            <w:shd w:val="clear" w:color="auto" w:fill="auto"/>
            <w:noWrap/>
            <w:vAlign w:val="center"/>
            <w:hideMark/>
          </w:tcPr>
          <w:p w14:paraId="6D14690F" w14:textId="77777777" w:rsidR="00DF328C" w:rsidRPr="00B13812" w:rsidRDefault="00DF328C" w:rsidP="00DF328C">
            <w:pPr>
              <w:spacing w:after="0" w:line="240" w:lineRule="auto"/>
              <w:jc w:val="right"/>
              <w:rPr>
                <w:sz w:val="24"/>
                <w:lang w:val="fr-CA" w:eastAsia="en-CA"/>
              </w:rPr>
            </w:pPr>
            <w:r w:rsidRPr="00B13812">
              <w:rPr>
                <w:sz w:val="24"/>
                <w:lang w:val="fr-CA" w:eastAsia="en-CA"/>
              </w:rPr>
              <w:t>10 190</w:t>
            </w:r>
          </w:p>
        </w:tc>
      </w:tr>
      <w:tr w:rsidR="00DF328C" w:rsidRPr="00B13812" w14:paraId="6288748E"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B932618" w14:textId="77777777" w:rsidR="00DF328C" w:rsidRPr="00B13812" w:rsidRDefault="00DF328C" w:rsidP="00DF328C">
            <w:pPr>
              <w:spacing w:after="0" w:line="240" w:lineRule="auto"/>
              <w:rPr>
                <w:sz w:val="24"/>
                <w:lang w:val="fr-CA" w:eastAsia="en-CA"/>
              </w:rPr>
            </w:pPr>
            <w:r>
              <w:rPr>
                <w:sz w:val="24"/>
                <w:lang w:val="fr-CA" w:eastAsia="en-CA"/>
              </w:rPr>
              <w:t>Émirats arabes unis</w:t>
            </w:r>
          </w:p>
        </w:tc>
        <w:tc>
          <w:tcPr>
            <w:tcW w:w="1597" w:type="dxa"/>
            <w:tcBorders>
              <w:top w:val="nil"/>
              <w:left w:val="nil"/>
              <w:bottom w:val="single" w:sz="4" w:space="0" w:color="auto"/>
              <w:right w:val="single" w:sz="4" w:space="0" w:color="auto"/>
            </w:tcBorders>
            <w:shd w:val="clear" w:color="auto" w:fill="auto"/>
            <w:noWrap/>
            <w:vAlign w:val="center"/>
            <w:hideMark/>
          </w:tcPr>
          <w:p w14:paraId="172943A2"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604</w:t>
            </w:r>
          </w:p>
        </w:tc>
        <w:tc>
          <w:tcPr>
            <w:tcW w:w="1597" w:type="dxa"/>
            <w:tcBorders>
              <w:top w:val="nil"/>
              <w:left w:val="nil"/>
              <w:bottom w:val="single" w:sz="4" w:space="0" w:color="auto"/>
              <w:right w:val="single" w:sz="4" w:space="0" w:color="auto"/>
            </w:tcBorders>
            <w:shd w:val="clear" w:color="auto" w:fill="auto"/>
            <w:noWrap/>
            <w:vAlign w:val="center"/>
            <w:hideMark/>
          </w:tcPr>
          <w:p w14:paraId="25145A52" w14:textId="77777777" w:rsidR="00DF328C" w:rsidRPr="00B13812" w:rsidRDefault="00DF328C" w:rsidP="00DF328C">
            <w:pPr>
              <w:spacing w:after="0" w:line="240" w:lineRule="auto"/>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116</w:t>
            </w:r>
          </w:p>
        </w:tc>
        <w:tc>
          <w:tcPr>
            <w:tcW w:w="1597" w:type="dxa"/>
            <w:tcBorders>
              <w:top w:val="nil"/>
              <w:left w:val="nil"/>
              <w:bottom w:val="single" w:sz="4" w:space="0" w:color="auto"/>
              <w:right w:val="single" w:sz="4" w:space="0" w:color="auto"/>
            </w:tcBorders>
            <w:shd w:val="clear" w:color="auto" w:fill="auto"/>
            <w:noWrap/>
            <w:vAlign w:val="center"/>
            <w:hideMark/>
          </w:tcPr>
          <w:p w14:paraId="18D9C5AC"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19 653</w:t>
            </w:r>
          </w:p>
        </w:tc>
        <w:tc>
          <w:tcPr>
            <w:tcW w:w="1597" w:type="dxa"/>
            <w:tcBorders>
              <w:top w:val="nil"/>
              <w:left w:val="nil"/>
              <w:bottom w:val="single" w:sz="4" w:space="0" w:color="auto"/>
              <w:right w:val="single" w:sz="4" w:space="0" w:color="auto"/>
            </w:tcBorders>
            <w:shd w:val="clear" w:color="auto" w:fill="auto"/>
            <w:noWrap/>
            <w:vAlign w:val="center"/>
            <w:hideMark/>
          </w:tcPr>
          <w:p w14:paraId="75810EB4"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20 840</w:t>
            </w:r>
          </w:p>
        </w:tc>
        <w:tc>
          <w:tcPr>
            <w:tcW w:w="1598" w:type="dxa"/>
            <w:tcBorders>
              <w:top w:val="nil"/>
              <w:left w:val="nil"/>
              <w:bottom w:val="single" w:sz="4" w:space="0" w:color="auto"/>
              <w:right w:val="single" w:sz="4" w:space="0" w:color="auto"/>
            </w:tcBorders>
            <w:shd w:val="clear" w:color="auto" w:fill="auto"/>
            <w:noWrap/>
            <w:vAlign w:val="center"/>
            <w:hideMark/>
          </w:tcPr>
          <w:p w14:paraId="731E0A92" w14:textId="77777777" w:rsidR="00DF328C" w:rsidRPr="00B13812" w:rsidRDefault="00DF328C" w:rsidP="00DF328C">
            <w:pPr>
              <w:spacing w:after="0" w:line="240" w:lineRule="auto"/>
              <w:jc w:val="right"/>
              <w:rPr>
                <w:sz w:val="24"/>
                <w:lang w:val="fr-CA" w:eastAsia="en-CA"/>
              </w:rPr>
            </w:pPr>
            <w:r w:rsidRPr="00B13812">
              <w:rPr>
                <w:sz w:val="24"/>
                <w:lang w:val="fr-CA" w:eastAsia="en-CA"/>
              </w:rPr>
              <w:t>40 492</w:t>
            </w:r>
          </w:p>
        </w:tc>
      </w:tr>
      <w:tr w:rsidR="00DF328C" w:rsidRPr="00B13812" w14:paraId="1FB76EB8"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7EC4C9F" w14:textId="77777777" w:rsidR="00DF328C" w:rsidRPr="00B13812" w:rsidRDefault="00DF328C" w:rsidP="00DF328C">
            <w:pPr>
              <w:spacing w:after="0" w:line="240" w:lineRule="auto"/>
              <w:rPr>
                <w:sz w:val="24"/>
                <w:lang w:val="fr-CA" w:eastAsia="en-CA"/>
              </w:rPr>
            </w:pPr>
            <w:r>
              <w:rPr>
                <w:sz w:val="24"/>
                <w:lang w:val="fr-CA" w:eastAsia="en-CA"/>
              </w:rPr>
              <w:t>Équateur</w:t>
            </w:r>
          </w:p>
        </w:tc>
        <w:tc>
          <w:tcPr>
            <w:tcW w:w="1597" w:type="dxa"/>
            <w:tcBorders>
              <w:top w:val="nil"/>
              <w:left w:val="nil"/>
              <w:bottom w:val="single" w:sz="4" w:space="0" w:color="auto"/>
              <w:right w:val="single" w:sz="4" w:space="0" w:color="auto"/>
            </w:tcBorders>
            <w:shd w:val="clear" w:color="auto" w:fill="auto"/>
            <w:noWrap/>
            <w:vAlign w:val="center"/>
            <w:hideMark/>
          </w:tcPr>
          <w:p w14:paraId="2F442BDB"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067</w:t>
            </w:r>
          </w:p>
        </w:tc>
        <w:tc>
          <w:tcPr>
            <w:tcW w:w="1597" w:type="dxa"/>
            <w:tcBorders>
              <w:top w:val="nil"/>
              <w:left w:val="nil"/>
              <w:bottom w:val="single" w:sz="4" w:space="0" w:color="auto"/>
              <w:right w:val="single" w:sz="4" w:space="0" w:color="auto"/>
            </w:tcBorders>
            <w:shd w:val="clear" w:color="auto" w:fill="auto"/>
            <w:noWrap/>
            <w:vAlign w:val="center"/>
            <w:hideMark/>
          </w:tcPr>
          <w:p w14:paraId="65533DF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124</w:t>
            </w:r>
          </w:p>
        </w:tc>
        <w:tc>
          <w:tcPr>
            <w:tcW w:w="1597" w:type="dxa"/>
            <w:tcBorders>
              <w:top w:val="nil"/>
              <w:left w:val="nil"/>
              <w:bottom w:val="single" w:sz="4" w:space="0" w:color="auto"/>
              <w:right w:val="single" w:sz="4" w:space="0" w:color="auto"/>
            </w:tcBorders>
            <w:shd w:val="clear" w:color="auto" w:fill="auto"/>
            <w:noWrap/>
            <w:vAlign w:val="center"/>
            <w:hideMark/>
          </w:tcPr>
          <w:p w14:paraId="457CD232"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2 180</w:t>
            </w:r>
          </w:p>
        </w:tc>
        <w:tc>
          <w:tcPr>
            <w:tcW w:w="1597" w:type="dxa"/>
            <w:tcBorders>
              <w:top w:val="nil"/>
              <w:left w:val="nil"/>
              <w:bottom w:val="single" w:sz="4" w:space="0" w:color="auto"/>
              <w:right w:val="single" w:sz="4" w:space="0" w:color="auto"/>
            </w:tcBorders>
            <w:shd w:val="clear" w:color="auto" w:fill="auto"/>
            <w:noWrap/>
            <w:vAlign w:val="center"/>
            <w:hideMark/>
          </w:tcPr>
          <w:p w14:paraId="60989B1C"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2 312</w:t>
            </w:r>
          </w:p>
        </w:tc>
        <w:tc>
          <w:tcPr>
            <w:tcW w:w="1598" w:type="dxa"/>
            <w:tcBorders>
              <w:top w:val="nil"/>
              <w:left w:val="nil"/>
              <w:bottom w:val="single" w:sz="4" w:space="0" w:color="auto"/>
              <w:right w:val="single" w:sz="4" w:space="0" w:color="auto"/>
            </w:tcBorders>
            <w:shd w:val="clear" w:color="auto" w:fill="auto"/>
            <w:noWrap/>
            <w:vAlign w:val="center"/>
            <w:hideMark/>
          </w:tcPr>
          <w:p w14:paraId="59835DEF" w14:textId="77777777" w:rsidR="00DF328C" w:rsidRPr="00B13812" w:rsidRDefault="00DF328C" w:rsidP="00DF328C">
            <w:pPr>
              <w:spacing w:after="0" w:line="240" w:lineRule="auto"/>
              <w:jc w:val="right"/>
              <w:rPr>
                <w:sz w:val="24"/>
                <w:lang w:val="fr-CA" w:eastAsia="en-CA"/>
              </w:rPr>
            </w:pPr>
            <w:r w:rsidRPr="00B13812">
              <w:rPr>
                <w:sz w:val="24"/>
                <w:lang w:val="fr-CA" w:eastAsia="en-CA"/>
              </w:rPr>
              <w:t>4 492</w:t>
            </w:r>
          </w:p>
        </w:tc>
      </w:tr>
      <w:tr w:rsidR="00DF328C" w:rsidRPr="00B13812" w14:paraId="45A38B6D"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B1F5AF7" w14:textId="77777777" w:rsidR="00DF328C" w:rsidRPr="00B13812" w:rsidRDefault="00DF328C" w:rsidP="00DF328C">
            <w:pPr>
              <w:spacing w:after="0" w:line="240" w:lineRule="auto"/>
              <w:rPr>
                <w:sz w:val="24"/>
                <w:lang w:val="fr-CA" w:eastAsia="en-CA"/>
              </w:rPr>
            </w:pPr>
            <w:r>
              <w:rPr>
                <w:sz w:val="24"/>
                <w:lang w:val="fr-CA" w:eastAsia="en-CA"/>
              </w:rPr>
              <w:t>Espagne</w:t>
            </w:r>
          </w:p>
        </w:tc>
        <w:tc>
          <w:tcPr>
            <w:tcW w:w="1597" w:type="dxa"/>
            <w:tcBorders>
              <w:top w:val="nil"/>
              <w:left w:val="nil"/>
              <w:bottom w:val="single" w:sz="4" w:space="0" w:color="auto"/>
              <w:right w:val="single" w:sz="4" w:space="0" w:color="auto"/>
            </w:tcBorders>
            <w:shd w:val="clear" w:color="auto" w:fill="auto"/>
            <w:noWrap/>
            <w:vAlign w:val="center"/>
            <w:hideMark/>
          </w:tcPr>
          <w:p w14:paraId="5CF19291" w14:textId="77777777" w:rsidR="00DF328C" w:rsidRPr="00B13812" w:rsidRDefault="00DF328C" w:rsidP="00DF328C">
            <w:pPr>
              <w:spacing w:after="0" w:line="240" w:lineRule="auto"/>
              <w:jc w:val="right"/>
              <w:rPr>
                <w:sz w:val="24"/>
                <w:lang w:val="fr-CA" w:eastAsia="en-CA"/>
              </w:rPr>
            </w:pPr>
            <w:r w:rsidRPr="00B13812">
              <w:rPr>
                <w:sz w:val="24"/>
                <w:lang w:val="fr-CA" w:eastAsia="en-CA"/>
              </w:rPr>
              <w:t>2</w:t>
            </w:r>
            <w:r>
              <w:rPr>
                <w:sz w:val="24"/>
                <w:lang w:val="fr-CA" w:eastAsia="en-CA"/>
              </w:rPr>
              <w:t>,</w:t>
            </w:r>
            <w:r w:rsidRPr="00B13812">
              <w:rPr>
                <w:sz w:val="24"/>
                <w:lang w:val="fr-CA" w:eastAsia="en-CA"/>
              </w:rPr>
              <w:t>443</w:t>
            </w:r>
          </w:p>
        </w:tc>
        <w:tc>
          <w:tcPr>
            <w:tcW w:w="1597" w:type="dxa"/>
            <w:tcBorders>
              <w:top w:val="nil"/>
              <w:left w:val="nil"/>
              <w:bottom w:val="single" w:sz="4" w:space="0" w:color="auto"/>
              <w:right w:val="single" w:sz="4" w:space="0" w:color="auto"/>
            </w:tcBorders>
            <w:shd w:val="clear" w:color="auto" w:fill="auto"/>
            <w:noWrap/>
            <w:vAlign w:val="center"/>
            <w:hideMark/>
          </w:tcPr>
          <w:p w14:paraId="3A90A08A" w14:textId="77777777" w:rsidR="00DF328C" w:rsidRPr="00B13812" w:rsidRDefault="00DF328C" w:rsidP="00DF328C">
            <w:pPr>
              <w:spacing w:after="0" w:line="240" w:lineRule="auto"/>
              <w:jc w:val="right"/>
              <w:rPr>
                <w:sz w:val="24"/>
                <w:lang w:val="fr-CA" w:eastAsia="en-CA"/>
              </w:rPr>
            </w:pPr>
            <w:r w:rsidRPr="00B13812">
              <w:rPr>
                <w:sz w:val="24"/>
                <w:lang w:val="fr-CA" w:eastAsia="en-CA"/>
              </w:rPr>
              <w:t>4</w:t>
            </w:r>
            <w:r>
              <w:rPr>
                <w:sz w:val="24"/>
                <w:lang w:val="fr-CA" w:eastAsia="en-CA"/>
              </w:rPr>
              <w:t>,</w:t>
            </w:r>
            <w:r w:rsidRPr="00B13812">
              <w:rPr>
                <w:sz w:val="24"/>
                <w:lang w:val="fr-CA" w:eastAsia="en-CA"/>
              </w:rPr>
              <w:t>514</w:t>
            </w:r>
          </w:p>
        </w:tc>
        <w:tc>
          <w:tcPr>
            <w:tcW w:w="1597" w:type="dxa"/>
            <w:tcBorders>
              <w:top w:val="nil"/>
              <w:left w:val="nil"/>
              <w:bottom w:val="single" w:sz="4" w:space="0" w:color="auto"/>
              <w:right w:val="single" w:sz="4" w:space="0" w:color="auto"/>
            </w:tcBorders>
            <w:shd w:val="clear" w:color="auto" w:fill="auto"/>
            <w:noWrap/>
            <w:vAlign w:val="center"/>
            <w:hideMark/>
          </w:tcPr>
          <w:p w14:paraId="596B9C22"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79 489</w:t>
            </w:r>
          </w:p>
        </w:tc>
        <w:tc>
          <w:tcPr>
            <w:tcW w:w="1597" w:type="dxa"/>
            <w:tcBorders>
              <w:top w:val="nil"/>
              <w:left w:val="nil"/>
              <w:bottom w:val="single" w:sz="4" w:space="0" w:color="auto"/>
              <w:right w:val="single" w:sz="4" w:space="0" w:color="auto"/>
            </w:tcBorders>
            <w:shd w:val="clear" w:color="auto" w:fill="auto"/>
            <w:noWrap/>
            <w:vAlign w:val="center"/>
            <w:hideMark/>
          </w:tcPr>
          <w:p w14:paraId="1051A19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84 290</w:t>
            </w:r>
          </w:p>
        </w:tc>
        <w:tc>
          <w:tcPr>
            <w:tcW w:w="1598" w:type="dxa"/>
            <w:tcBorders>
              <w:top w:val="nil"/>
              <w:left w:val="nil"/>
              <w:bottom w:val="single" w:sz="4" w:space="0" w:color="auto"/>
              <w:right w:val="single" w:sz="4" w:space="0" w:color="auto"/>
            </w:tcBorders>
            <w:shd w:val="clear" w:color="auto" w:fill="auto"/>
            <w:noWrap/>
            <w:vAlign w:val="center"/>
            <w:hideMark/>
          </w:tcPr>
          <w:p w14:paraId="26AFE9A8" w14:textId="77777777" w:rsidR="00DF328C" w:rsidRPr="00B13812" w:rsidRDefault="00DF328C" w:rsidP="00DF328C">
            <w:pPr>
              <w:spacing w:after="0" w:line="240" w:lineRule="auto"/>
              <w:jc w:val="right"/>
              <w:rPr>
                <w:sz w:val="24"/>
                <w:lang w:val="fr-CA" w:eastAsia="en-CA"/>
              </w:rPr>
            </w:pPr>
            <w:r w:rsidRPr="00B13812">
              <w:rPr>
                <w:sz w:val="24"/>
                <w:lang w:val="fr-CA" w:eastAsia="en-CA"/>
              </w:rPr>
              <w:t>163 779</w:t>
            </w:r>
          </w:p>
        </w:tc>
      </w:tr>
      <w:tr w:rsidR="00DF328C" w:rsidRPr="00B13812" w14:paraId="43667BDE"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E28B3AF" w14:textId="77777777" w:rsidR="00DF328C" w:rsidRPr="00B13812" w:rsidRDefault="00DF328C" w:rsidP="00DF328C">
            <w:pPr>
              <w:spacing w:after="0" w:line="240" w:lineRule="auto"/>
              <w:rPr>
                <w:sz w:val="24"/>
                <w:lang w:val="fr-CA" w:eastAsia="en-CA"/>
              </w:rPr>
            </w:pPr>
            <w:r w:rsidRPr="00B13812">
              <w:rPr>
                <w:sz w:val="24"/>
                <w:lang w:val="fr-CA" w:eastAsia="en-CA"/>
              </w:rPr>
              <w:t>Eswatini</w:t>
            </w:r>
          </w:p>
        </w:tc>
        <w:tc>
          <w:tcPr>
            <w:tcW w:w="1597" w:type="dxa"/>
            <w:tcBorders>
              <w:top w:val="nil"/>
              <w:left w:val="nil"/>
              <w:bottom w:val="single" w:sz="4" w:space="0" w:color="auto"/>
              <w:right w:val="single" w:sz="4" w:space="0" w:color="auto"/>
            </w:tcBorders>
            <w:shd w:val="clear" w:color="auto" w:fill="auto"/>
            <w:noWrap/>
            <w:vAlign w:val="center"/>
            <w:hideMark/>
          </w:tcPr>
          <w:p w14:paraId="6A82074E"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195F2729"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726E11F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03B4ABF8"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4535FE38" w14:textId="77777777" w:rsidR="00DF328C" w:rsidRPr="00B13812" w:rsidRDefault="00DF328C" w:rsidP="00DF328C">
            <w:pPr>
              <w:spacing w:after="0" w:line="240" w:lineRule="auto"/>
              <w:jc w:val="right"/>
              <w:rPr>
                <w:sz w:val="24"/>
                <w:lang w:val="fr-CA" w:eastAsia="en-CA"/>
              </w:rPr>
            </w:pPr>
            <w:r w:rsidRPr="00B13812">
              <w:rPr>
                <w:sz w:val="24"/>
                <w:lang w:val="fr-CA" w:eastAsia="en-CA"/>
              </w:rPr>
              <w:t>134</w:t>
            </w:r>
          </w:p>
        </w:tc>
      </w:tr>
      <w:tr w:rsidR="00DF328C" w:rsidRPr="00B13812" w14:paraId="16D78BF3"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DAABF1A" w14:textId="77777777" w:rsidR="00DF328C" w:rsidRPr="00B13812" w:rsidRDefault="00DF328C" w:rsidP="00DF328C">
            <w:pPr>
              <w:spacing w:after="0" w:line="240" w:lineRule="auto"/>
              <w:rPr>
                <w:sz w:val="24"/>
                <w:lang w:val="fr-CA" w:eastAsia="en-CA"/>
              </w:rPr>
            </w:pPr>
            <w:r>
              <w:rPr>
                <w:sz w:val="24"/>
                <w:lang w:val="fr-CA" w:eastAsia="en-CA"/>
              </w:rPr>
              <w:t>Éthiopie</w:t>
            </w:r>
          </w:p>
        </w:tc>
        <w:tc>
          <w:tcPr>
            <w:tcW w:w="1597" w:type="dxa"/>
            <w:tcBorders>
              <w:top w:val="nil"/>
              <w:left w:val="nil"/>
              <w:bottom w:val="single" w:sz="4" w:space="0" w:color="auto"/>
              <w:right w:val="single" w:sz="4" w:space="0" w:color="auto"/>
            </w:tcBorders>
            <w:shd w:val="clear" w:color="auto" w:fill="auto"/>
            <w:noWrap/>
            <w:vAlign w:val="center"/>
            <w:hideMark/>
          </w:tcPr>
          <w:p w14:paraId="2A721EEA"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7718C202"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0BD7C01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6EF1D5E6"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4EA7CFB1" w14:textId="77777777" w:rsidR="00DF328C" w:rsidRPr="00B13812" w:rsidRDefault="00DF328C" w:rsidP="00DF328C">
            <w:pPr>
              <w:spacing w:after="0" w:line="240" w:lineRule="auto"/>
              <w:jc w:val="right"/>
              <w:rPr>
                <w:sz w:val="24"/>
                <w:lang w:val="fr-CA" w:eastAsia="en-CA"/>
              </w:rPr>
            </w:pPr>
            <w:r w:rsidRPr="00B13812">
              <w:rPr>
                <w:sz w:val="24"/>
                <w:lang w:val="fr-CA" w:eastAsia="en-CA"/>
              </w:rPr>
              <w:t>363</w:t>
            </w:r>
          </w:p>
        </w:tc>
      </w:tr>
      <w:tr w:rsidR="00DF328C" w:rsidRPr="00B13812" w14:paraId="5E6CECA1"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620AA2A" w14:textId="77777777" w:rsidR="00DF328C" w:rsidRPr="00B13812" w:rsidRDefault="00DF328C" w:rsidP="00DF328C">
            <w:pPr>
              <w:spacing w:after="0" w:line="240" w:lineRule="auto"/>
              <w:rPr>
                <w:sz w:val="24"/>
                <w:lang w:val="fr-CA" w:eastAsia="en-CA"/>
              </w:rPr>
            </w:pPr>
            <w:r w:rsidRPr="00B13812">
              <w:rPr>
                <w:sz w:val="24"/>
                <w:lang w:val="fr-CA" w:eastAsia="en-CA"/>
              </w:rPr>
              <w:t>Fi</w:t>
            </w:r>
            <w:r>
              <w:rPr>
                <w:sz w:val="24"/>
                <w:lang w:val="fr-CA" w:eastAsia="en-CA"/>
              </w:rPr>
              <w:t>d</w:t>
            </w:r>
            <w:r w:rsidRPr="00B13812">
              <w:rPr>
                <w:sz w:val="24"/>
                <w:lang w:val="fr-CA" w:eastAsia="en-CA"/>
              </w:rPr>
              <w:t>ji</w:t>
            </w:r>
          </w:p>
        </w:tc>
        <w:tc>
          <w:tcPr>
            <w:tcW w:w="1597" w:type="dxa"/>
            <w:tcBorders>
              <w:top w:val="nil"/>
              <w:left w:val="nil"/>
              <w:bottom w:val="single" w:sz="4" w:space="0" w:color="auto"/>
              <w:right w:val="single" w:sz="4" w:space="0" w:color="auto"/>
            </w:tcBorders>
            <w:shd w:val="clear" w:color="auto" w:fill="auto"/>
            <w:noWrap/>
            <w:vAlign w:val="center"/>
            <w:hideMark/>
          </w:tcPr>
          <w:p w14:paraId="0E2CF2A4"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14:paraId="6D6527D6"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14:paraId="5CB627AA"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531C8663"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085C77CF" w14:textId="77777777" w:rsidR="00DF328C" w:rsidRPr="00B13812" w:rsidRDefault="00DF328C" w:rsidP="00DF328C">
            <w:pPr>
              <w:spacing w:after="0" w:line="240" w:lineRule="auto"/>
              <w:jc w:val="right"/>
              <w:rPr>
                <w:sz w:val="24"/>
                <w:lang w:val="fr-CA" w:eastAsia="en-CA"/>
              </w:rPr>
            </w:pPr>
            <w:r w:rsidRPr="00B13812">
              <w:rPr>
                <w:sz w:val="24"/>
                <w:lang w:val="fr-CA" w:eastAsia="en-CA"/>
              </w:rPr>
              <w:t>201</w:t>
            </w:r>
          </w:p>
        </w:tc>
      </w:tr>
      <w:tr w:rsidR="00DF328C" w:rsidRPr="00B13812" w14:paraId="33D10ED4"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3BED1AE" w14:textId="77777777" w:rsidR="00DF328C" w:rsidRPr="00B13812" w:rsidRDefault="00DF328C" w:rsidP="00DF328C">
            <w:pPr>
              <w:spacing w:after="0" w:line="240" w:lineRule="auto"/>
              <w:rPr>
                <w:sz w:val="24"/>
                <w:lang w:val="fr-CA" w:eastAsia="en-CA"/>
              </w:rPr>
            </w:pPr>
            <w:r w:rsidRPr="00B13812">
              <w:rPr>
                <w:sz w:val="24"/>
                <w:lang w:val="fr-CA" w:eastAsia="en-CA"/>
              </w:rPr>
              <w:t>Finland</w:t>
            </w:r>
            <w:r>
              <w:rPr>
                <w:sz w:val="24"/>
                <w:lang w:val="fr-CA" w:eastAsia="en-CA"/>
              </w:rPr>
              <w:t>e</w:t>
            </w:r>
          </w:p>
        </w:tc>
        <w:tc>
          <w:tcPr>
            <w:tcW w:w="1597" w:type="dxa"/>
            <w:tcBorders>
              <w:top w:val="nil"/>
              <w:left w:val="nil"/>
              <w:bottom w:val="single" w:sz="4" w:space="0" w:color="auto"/>
              <w:right w:val="single" w:sz="4" w:space="0" w:color="auto"/>
            </w:tcBorders>
            <w:shd w:val="clear" w:color="auto" w:fill="auto"/>
            <w:noWrap/>
            <w:vAlign w:val="center"/>
            <w:hideMark/>
          </w:tcPr>
          <w:p w14:paraId="1A7EB6FC"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456</w:t>
            </w:r>
          </w:p>
        </w:tc>
        <w:tc>
          <w:tcPr>
            <w:tcW w:w="1597" w:type="dxa"/>
            <w:tcBorders>
              <w:top w:val="nil"/>
              <w:left w:val="nil"/>
              <w:bottom w:val="single" w:sz="4" w:space="0" w:color="auto"/>
              <w:right w:val="single" w:sz="4" w:space="0" w:color="auto"/>
            </w:tcBorders>
            <w:shd w:val="clear" w:color="auto" w:fill="auto"/>
            <w:noWrap/>
            <w:vAlign w:val="center"/>
            <w:hideMark/>
          </w:tcPr>
          <w:p w14:paraId="0A3EB2EC"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843</w:t>
            </w:r>
          </w:p>
        </w:tc>
        <w:tc>
          <w:tcPr>
            <w:tcW w:w="1597" w:type="dxa"/>
            <w:tcBorders>
              <w:top w:val="nil"/>
              <w:left w:val="nil"/>
              <w:bottom w:val="single" w:sz="4" w:space="0" w:color="auto"/>
              <w:right w:val="single" w:sz="4" w:space="0" w:color="auto"/>
            </w:tcBorders>
            <w:shd w:val="clear" w:color="auto" w:fill="auto"/>
            <w:noWrap/>
            <w:vAlign w:val="center"/>
            <w:hideMark/>
          </w:tcPr>
          <w:p w14:paraId="2262C54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14 837</w:t>
            </w:r>
          </w:p>
        </w:tc>
        <w:tc>
          <w:tcPr>
            <w:tcW w:w="1597" w:type="dxa"/>
            <w:tcBorders>
              <w:top w:val="nil"/>
              <w:left w:val="nil"/>
              <w:bottom w:val="single" w:sz="4" w:space="0" w:color="auto"/>
              <w:right w:val="single" w:sz="4" w:space="0" w:color="auto"/>
            </w:tcBorders>
            <w:shd w:val="clear" w:color="auto" w:fill="auto"/>
            <w:noWrap/>
            <w:vAlign w:val="center"/>
            <w:hideMark/>
          </w:tcPr>
          <w:p w14:paraId="423606F6"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15 733</w:t>
            </w:r>
          </w:p>
        </w:tc>
        <w:tc>
          <w:tcPr>
            <w:tcW w:w="1598" w:type="dxa"/>
            <w:tcBorders>
              <w:top w:val="nil"/>
              <w:left w:val="nil"/>
              <w:bottom w:val="single" w:sz="4" w:space="0" w:color="auto"/>
              <w:right w:val="single" w:sz="4" w:space="0" w:color="auto"/>
            </w:tcBorders>
            <w:shd w:val="clear" w:color="auto" w:fill="auto"/>
            <w:noWrap/>
            <w:vAlign w:val="center"/>
            <w:hideMark/>
          </w:tcPr>
          <w:p w14:paraId="2DB5D59F" w14:textId="77777777" w:rsidR="00DF328C" w:rsidRPr="00B13812" w:rsidRDefault="00DF328C" w:rsidP="00DF328C">
            <w:pPr>
              <w:spacing w:after="0" w:line="240" w:lineRule="auto"/>
              <w:jc w:val="right"/>
              <w:rPr>
                <w:sz w:val="24"/>
                <w:lang w:val="fr-CA" w:eastAsia="en-CA"/>
              </w:rPr>
            </w:pPr>
            <w:r w:rsidRPr="00B13812">
              <w:rPr>
                <w:sz w:val="24"/>
                <w:lang w:val="fr-CA" w:eastAsia="en-CA"/>
              </w:rPr>
              <w:t>30 570</w:t>
            </w:r>
          </w:p>
        </w:tc>
      </w:tr>
      <w:tr w:rsidR="00DF328C" w:rsidRPr="00B13812" w14:paraId="5253C097"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6329B3A" w14:textId="77777777" w:rsidR="00DF328C" w:rsidRPr="00B13812" w:rsidRDefault="00DF328C" w:rsidP="00DF328C">
            <w:pPr>
              <w:spacing w:after="0" w:line="240" w:lineRule="auto"/>
              <w:rPr>
                <w:sz w:val="24"/>
                <w:lang w:val="fr-CA" w:eastAsia="en-CA"/>
              </w:rPr>
            </w:pPr>
            <w:r w:rsidRPr="00B13812">
              <w:rPr>
                <w:sz w:val="24"/>
                <w:lang w:val="fr-CA" w:eastAsia="en-CA"/>
              </w:rPr>
              <w:t>France</w:t>
            </w:r>
          </w:p>
        </w:tc>
        <w:tc>
          <w:tcPr>
            <w:tcW w:w="1597" w:type="dxa"/>
            <w:tcBorders>
              <w:top w:val="nil"/>
              <w:left w:val="nil"/>
              <w:bottom w:val="single" w:sz="4" w:space="0" w:color="auto"/>
              <w:right w:val="single" w:sz="4" w:space="0" w:color="auto"/>
            </w:tcBorders>
            <w:shd w:val="clear" w:color="auto" w:fill="auto"/>
            <w:noWrap/>
            <w:vAlign w:val="center"/>
            <w:hideMark/>
          </w:tcPr>
          <w:p w14:paraId="0E79F377" w14:textId="77777777" w:rsidR="00DF328C" w:rsidRPr="00B13812" w:rsidRDefault="00DF328C" w:rsidP="00DF328C">
            <w:pPr>
              <w:spacing w:after="0" w:line="240" w:lineRule="auto"/>
              <w:jc w:val="right"/>
              <w:rPr>
                <w:sz w:val="24"/>
                <w:lang w:val="fr-CA" w:eastAsia="en-CA"/>
              </w:rPr>
            </w:pPr>
            <w:r w:rsidRPr="00B13812">
              <w:rPr>
                <w:sz w:val="24"/>
                <w:lang w:val="fr-CA" w:eastAsia="en-CA"/>
              </w:rPr>
              <w:t>4</w:t>
            </w:r>
            <w:r>
              <w:rPr>
                <w:sz w:val="24"/>
                <w:lang w:val="fr-CA" w:eastAsia="en-CA"/>
              </w:rPr>
              <w:t>,</w:t>
            </w:r>
            <w:r w:rsidRPr="00B13812">
              <w:rPr>
                <w:sz w:val="24"/>
                <w:lang w:val="fr-CA" w:eastAsia="en-CA"/>
              </w:rPr>
              <w:t>859</w:t>
            </w:r>
          </w:p>
        </w:tc>
        <w:tc>
          <w:tcPr>
            <w:tcW w:w="1597" w:type="dxa"/>
            <w:tcBorders>
              <w:top w:val="nil"/>
              <w:left w:val="nil"/>
              <w:bottom w:val="single" w:sz="4" w:space="0" w:color="auto"/>
              <w:right w:val="single" w:sz="4" w:space="0" w:color="auto"/>
            </w:tcBorders>
            <w:shd w:val="clear" w:color="auto" w:fill="auto"/>
            <w:noWrap/>
            <w:vAlign w:val="center"/>
            <w:hideMark/>
          </w:tcPr>
          <w:p w14:paraId="777DC537" w14:textId="77777777" w:rsidR="00DF328C" w:rsidRPr="00B13812" w:rsidRDefault="00DF328C" w:rsidP="00DF328C">
            <w:pPr>
              <w:spacing w:after="0" w:line="240" w:lineRule="auto"/>
              <w:jc w:val="right"/>
              <w:rPr>
                <w:sz w:val="24"/>
                <w:lang w:val="fr-CA" w:eastAsia="en-CA"/>
              </w:rPr>
            </w:pPr>
            <w:r w:rsidRPr="00B13812">
              <w:rPr>
                <w:sz w:val="24"/>
                <w:lang w:val="fr-CA" w:eastAsia="en-CA"/>
              </w:rPr>
              <w:t>8</w:t>
            </w:r>
            <w:r>
              <w:rPr>
                <w:sz w:val="24"/>
                <w:lang w:val="fr-CA" w:eastAsia="en-CA"/>
              </w:rPr>
              <w:t>,</w:t>
            </w:r>
            <w:r w:rsidRPr="00B13812">
              <w:rPr>
                <w:sz w:val="24"/>
                <w:lang w:val="fr-CA" w:eastAsia="en-CA"/>
              </w:rPr>
              <w:t>978</w:t>
            </w:r>
          </w:p>
        </w:tc>
        <w:tc>
          <w:tcPr>
            <w:tcW w:w="1597" w:type="dxa"/>
            <w:tcBorders>
              <w:top w:val="nil"/>
              <w:left w:val="nil"/>
              <w:bottom w:val="single" w:sz="4" w:space="0" w:color="auto"/>
              <w:right w:val="single" w:sz="4" w:space="0" w:color="auto"/>
            </w:tcBorders>
            <w:shd w:val="clear" w:color="auto" w:fill="auto"/>
            <w:noWrap/>
            <w:vAlign w:val="center"/>
            <w:hideMark/>
          </w:tcPr>
          <w:p w14:paraId="2F03B688"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158 099</w:t>
            </w:r>
          </w:p>
        </w:tc>
        <w:tc>
          <w:tcPr>
            <w:tcW w:w="1597" w:type="dxa"/>
            <w:tcBorders>
              <w:top w:val="nil"/>
              <w:left w:val="nil"/>
              <w:bottom w:val="single" w:sz="4" w:space="0" w:color="auto"/>
              <w:right w:val="single" w:sz="4" w:space="0" w:color="auto"/>
            </w:tcBorders>
            <w:shd w:val="clear" w:color="auto" w:fill="auto"/>
            <w:noWrap/>
            <w:vAlign w:val="center"/>
            <w:hideMark/>
          </w:tcPr>
          <w:p w14:paraId="3C7E5A72"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167 649</w:t>
            </w:r>
          </w:p>
        </w:tc>
        <w:tc>
          <w:tcPr>
            <w:tcW w:w="1598" w:type="dxa"/>
            <w:tcBorders>
              <w:top w:val="nil"/>
              <w:left w:val="nil"/>
              <w:bottom w:val="single" w:sz="4" w:space="0" w:color="auto"/>
              <w:right w:val="single" w:sz="4" w:space="0" w:color="auto"/>
            </w:tcBorders>
            <w:shd w:val="clear" w:color="auto" w:fill="auto"/>
            <w:noWrap/>
            <w:vAlign w:val="center"/>
            <w:hideMark/>
          </w:tcPr>
          <w:p w14:paraId="5660957D" w14:textId="77777777" w:rsidR="00DF328C" w:rsidRPr="00B13812" w:rsidRDefault="00DF328C" w:rsidP="00DF328C">
            <w:pPr>
              <w:spacing w:after="0" w:line="240" w:lineRule="auto"/>
              <w:jc w:val="right"/>
              <w:rPr>
                <w:sz w:val="24"/>
                <w:lang w:val="fr-CA" w:eastAsia="en-CA"/>
              </w:rPr>
            </w:pPr>
            <w:r w:rsidRPr="00B13812">
              <w:rPr>
                <w:sz w:val="24"/>
                <w:lang w:val="fr-CA" w:eastAsia="en-CA"/>
              </w:rPr>
              <w:t>325 747</w:t>
            </w:r>
          </w:p>
        </w:tc>
      </w:tr>
      <w:tr w:rsidR="00DF328C" w:rsidRPr="00B13812" w14:paraId="5071FF5B" w14:textId="77777777" w:rsidTr="00DF328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03512" w14:textId="77777777" w:rsidR="00DF328C" w:rsidRPr="00B13812" w:rsidRDefault="00DF328C" w:rsidP="00DF328C">
            <w:pPr>
              <w:spacing w:after="0" w:line="240" w:lineRule="auto"/>
              <w:rPr>
                <w:sz w:val="24"/>
                <w:lang w:val="fr-CA" w:eastAsia="en-CA"/>
              </w:rPr>
            </w:pPr>
            <w:r w:rsidRPr="00B13812">
              <w:rPr>
                <w:sz w:val="24"/>
                <w:lang w:val="fr-CA" w:eastAsia="en-CA"/>
              </w:rPr>
              <w:t>Gabon</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72D0FA08"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561506E8"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031</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7FB6D1D0"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553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239C091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587</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3416240E" w14:textId="77777777" w:rsidR="00DF328C" w:rsidRPr="00B13812" w:rsidRDefault="00DF328C" w:rsidP="00DF328C">
            <w:pPr>
              <w:spacing w:after="0" w:line="240" w:lineRule="auto"/>
              <w:jc w:val="right"/>
              <w:rPr>
                <w:sz w:val="24"/>
                <w:lang w:val="fr-CA" w:eastAsia="en-CA"/>
              </w:rPr>
            </w:pPr>
            <w:r w:rsidRPr="00B13812">
              <w:rPr>
                <w:sz w:val="24"/>
                <w:lang w:val="fr-CA" w:eastAsia="en-CA"/>
              </w:rPr>
              <w:t>1 140</w:t>
            </w:r>
          </w:p>
        </w:tc>
      </w:tr>
      <w:tr w:rsidR="00DF328C" w:rsidRPr="00B13812" w14:paraId="787D711C"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05E30D5" w14:textId="77777777" w:rsidR="00DF328C" w:rsidRPr="00B13812" w:rsidRDefault="00DF328C" w:rsidP="00DF328C">
            <w:pPr>
              <w:spacing w:after="0" w:line="240" w:lineRule="auto"/>
              <w:rPr>
                <w:sz w:val="24"/>
                <w:lang w:val="fr-CA" w:eastAsia="en-CA"/>
              </w:rPr>
            </w:pPr>
            <w:r>
              <w:rPr>
                <w:sz w:val="24"/>
                <w:lang w:val="fr-CA" w:eastAsia="en-CA"/>
              </w:rPr>
              <w:t>Gambie</w:t>
            </w:r>
          </w:p>
        </w:tc>
        <w:tc>
          <w:tcPr>
            <w:tcW w:w="1597" w:type="dxa"/>
            <w:tcBorders>
              <w:top w:val="nil"/>
              <w:left w:val="nil"/>
              <w:bottom w:val="single" w:sz="4" w:space="0" w:color="auto"/>
              <w:right w:val="single" w:sz="4" w:space="0" w:color="auto"/>
            </w:tcBorders>
            <w:shd w:val="clear" w:color="auto" w:fill="auto"/>
            <w:noWrap/>
            <w:vAlign w:val="center"/>
            <w:hideMark/>
          </w:tcPr>
          <w:p w14:paraId="78842EF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020BE1C1"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1CE058FF"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65C2E4BC"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00CDF6B0"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09209460"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F6941B2" w14:textId="77777777" w:rsidR="00DF328C" w:rsidRPr="00B13812" w:rsidRDefault="00DF328C" w:rsidP="00DF328C">
            <w:pPr>
              <w:spacing w:after="0" w:line="240" w:lineRule="auto"/>
              <w:rPr>
                <w:sz w:val="24"/>
                <w:lang w:val="fr-CA" w:eastAsia="en-CA"/>
              </w:rPr>
            </w:pPr>
            <w:r w:rsidRPr="00B13812">
              <w:rPr>
                <w:sz w:val="24"/>
                <w:lang w:val="fr-CA" w:eastAsia="en-CA"/>
              </w:rPr>
              <w:t>Guatemala</w:t>
            </w:r>
          </w:p>
        </w:tc>
        <w:tc>
          <w:tcPr>
            <w:tcW w:w="1597" w:type="dxa"/>
            <w:tcBorders>
              <w:top w:val="nil"/>
              <w:left w:val="nil"/>
              <w:bottom w:val="single" w:sz="4" w:space="0" w:color="auto"/>
              <w:right w:val="single" w:sz="4" w:space="0" w:color="auto"/>
            </w:tcBorders>
            <w:shd w:val="clear" w:color="auto" w:fill="auto"/>
            <w:noWrap/>
            <w:vAlign w:val="center"/>
            <w:hideMark/>
          </w:tcPr>
          <w:p w14:paraId="040A3F1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028</w:t>
            </w:r>
          </w:p>
        </w:tc>
        <w:tc>
          <w:tcPr>
            <w:tcW w:w="1597" w:type="dxa"/>
            <w:tcBorders>
              <w:top w:val="nil"/>
              <w:left w:val="nil"/>
              <w:bottom w:val="single" w:sz="4" w:space="0" w:color="auto"/>
              <w:right w:val="single" w:sz="4" w:space="0" w:color="auto"/>
            </w:tcBorders>
            <w:shd w:val="clear" w:color="auto" w:fill="auto"/>
            <w:noWrap/>
            <w:vAlign w:val="center"/>
            <w:hideMark/>
          </w:tcPr>
          <w:p w14:paraId="1822AE0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052</w:t>
            </w:r>
          </w:p>
        </w:tc>
        <w:tc>
          <w:tcPr>
            <w:tcW w:w="1597" w:type="dxa"/>
            <w:tcBorders>
              <w:top w:val="nil"/>
              <w:left w:val="nil"/>
              <w:bottom w:val="single" w:sz="4" w:space="0" w:color="auto"/>
              <w:right w:val="single" w:sz="4" w:space="0" w:color="auto"/>
            </w:tcBorders>
            <w:shd w:val="clear" w:color="auto" w:fill="auto"/>
            <w:noWrap/>
            <w:vAlign w:val="center"/>
            <w:hideMark/>
          </w:tcPr>
          <w:p w14:paraId="057AC1CC"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911</w:t>
            </w:r>
          </w:p>
        </w:tc>
        <w:tc>
          <w:tcPr>
            <w:tcW w:w="1597" w:type="dxa"/>
            <w:tcBorders>
              <w:top w:val="nil"/>
              <w:left w:val="nil"/>
              <w:bottom w:val="single" w:sz="4" w:space="0" w:color="auto"/>
              <w:right w:val="single" w:sz="4" w:space="0" w:color="auto"/>
            </w:tcBorders>
            <w:shd w:val="clear" w:color="auto" w:fill="auto"/>
            <w:noWrap/>
            <w:vAlign w:val="center"/>
            <w:hideMark/>
          </w:tcPr>
          <w:p w14:paraId="516969A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966</w:t>
            </w:r>
          </w:p>
        </w:tc>
        <w:tc>
          <w:tcPr>
            <w:tcW w:w="1598" w:type="dxa"/>
            <w:tcBorders>
              <w:top w:val="nil"/>
              <w:left w:val="nil"/>
              <w:bottom w:val="single" w:sz="4" w:space="0" w:color="auto"/>
              <w:right w:val="single" w:sz="4" w:space="0" w:color="auto"/>
            </w:tcBorders>
            <w:shd w:val="clear" w:color="auto" w:fill="auto"/>
            <w:noWrap/>
            <w:vAlign w:val="center"/>
            <w:hideMark/>
          </w:tcPr>
          <w:p w14:paraId="54061A02" w14:textId="77777777" w:rsidR="00DF328C" w:rsidRPr="00B13812" w:rsidRDefault="00DF328C" w:rsidP="00DF328C">
            <w:pPr>
              <w:spacing w:after="0" w:line="240" w:lineRule="auto"/>
              <w:jc w:val="right"/>
              <w:rPr>
                <w:sz w:val="24"/>
                <w:lang w:val="fr-CA" w:eastAsia="en-CA"/>
              </w:rPr>
            </w:pPr>
            <w:r w:rsidRPr="00B13812">
              <w:rPr>
                <w:sz w:val="24"/>
                <w:lang w:val="fr-CA" w:eastAsia="en-CA"/>
              </w:rPr>
              <w:t>1 877</w:t>
            </w:r>
          </w:p>
        </w:tc>
      </w:tr>
      <w:tr w:rsidR="00DF328C" w:rsidRPr="00B13812" w14:paraId="3EC39CAF"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1E8CB97" w14:textId="77777777" w:rsidR="00DF328C" w:rsidRPr="00B13812" w:rsidRDefault="00DF328C" w:rsidP="00DF328C">
            <w:pPr>
              <w:spacing w:after="0" w:line="240" w:lineRule="auto"/>
              <w:rPr>
                <w:sz w:val="24"/>
                <w:lang w:val="fr-CA" w:eastAsia="en-CA"/>
              </w:rPr>
            </w:pPr>
            <w:r w:rsidRPr="00B13812">
              <w:rPr>
                <w:sz w:val="24"/>
                <w:lang w:val="fr-CA" w:eastAsia="en-CA"/>
              </w:rPr>
              <w:t>Guin</w:t>
            </w:r>
            <w:r>
              <w:rPr>
                <w:sz w:val="24"/>
                <w:lang w:val="fr-CA" w:eastAsia="en-CA"/>
              </w:rPr>
              <w:t>ée</w:t>
            </w:r>
          </w:p>
        </w:tc>
        <w:tc>
          <w:tcPr>
            <w:tcW w:w="1597" w:type="dxa"/>
            <w:tcBorders>
              <w:top w:val="nil"/>
              <w:left w:val="nil"/>
              <w:bottom w:val="single" w:sz="4" w:space="0" w:color="auto"/>
              <w:right w:val="single" w:sz="4" w:space="0" w:color="auto"/>
            </w:tcBorders>
            <w:shd w:val="clear" w:color="auto" w:fill="auto"/>
            <w:noWrap/>
            <w:vAlign w:val="center"/>
            <w:hideMark/>
          </w:tcPr>
          <w:p w14:paraId="1AD739D9"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4DD2F314"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30C4176A"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6DC30C7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6EC2B5C1" w14:textId="77777777" w:rsidR="00DF328C" w:rsidRPr="00B13812" w:rsidRDefault="00DF328C" w:rsidP="00DF328C">
            <w:pPr>
              <w:spacing w:after="0" w:line="240" w:lineRule="auto"/>
              <w:jc w:val="right"/>
              <w:rPr>
                <w:sz w:val="24"/>
                <w:lang w:val="fr-CA" w:eastAsia="en-CA"/>
              </w:rPr>
            </w:pPr>
            <w:r w:rsidRPr="00B13812">
              <w:rPr>
                <w:sz w:val="24"/>
                <w:lang w:val="fr-CA" w:eastAsia="en-CA"/>
              </w:rPr>
              <w:t>134</w:t>
            </w:r>
          </w:p>
        </w:tc>
      </w:tr>
      <w:tr w:rsidR="00DF328C" w:rsidRPr="00B13812" w14:paraId="67762F46"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15EAAE1" w14:textId="77777777" w:rsidR="00DF328C" w:rsidRPr="00B13812" w:rsidRDefault="00DF328C" w:rsidP="00DF328C">
            <w:pPr>
              <w:spacing w:after="0" w:line="240" w:lineRule="auto"/>
              <w:rPr>
                <w:sz w:val="24"/>
                <w:lang w:val="fr-CA" w:eastAsia="en-CA"/>
              </w:rPr>
            </w:pPr>
            <w:r w:rsidRPr="00B13812">
              <w:rPr>
                <w:sz w:val="24"/>
                <w:lang w:val="fr-CA" w:eastAsia="en-CA"/>
              </w:rPr>
              <w:t>Guin</w:t>
            </w:r>
            <w:r>
              <w:rPr>
                <w:sz w:val="24"/>
                <w:lang w:val="fr-CA" w:eastAsia="en-CA"/>
              </w:rPr>
              <w:t>ée</w:t>
            </w:r>
            <w:r w:rsidRPr="00B13812">
              <w:rPr>
                <w:sz w:val="24"/>
                <w:lang w:val="fr-CA" w:eastAsia="en-CA"/>
              </w:rPr>
              <w:t>-Bissau</w:t>
            </w:r>
          </w:p>
        </w:tc>
        <w:tc>
          <w:tcPr>
            <w:tcW w:w="1597" w:type="dxa"/>
            <w:tcBorders>
              <w:top w:val="nil"/>
              <w:left w:val="nil"/>
              <w:bottom w:val="single" w:sz="4" w:space="0" w:color="auto"/>
              <w:right w:val="single" w:sz="4" w:space="0" w:color="auto"/>
            </w:tcBorders>
            <w:shd w:val="clear" w:color="auto" w:fill="auto"/>
            <w:noWrap/>
            <w:vAlign w:val="center"/>
            <w:hideMark/>
          </w:tcPr>
          <w:p w14:paraId="57CE7A9D"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2742C30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4741F11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47CBB722"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D3D65C5"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6D4AFAAF"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C00823F" w14:textId="77777777" w:rsidR="00DF328C" w:rsidRPr="00B13812" w:rsidRDefault="00DF328C" w:rsidP="00DF328C">
            <w:pPr>
              <w:spacing w:after="0" w:line="240" w:lineRule="auto"/>
              <w:rPr>
                <w:sz w:val="24"/>
                <w:lang w:val="fr-CA" w:eastAsia="en-CA"/>
              </w:rPr>
            </w:pPr>
            <w:r w:rsidRPr="00B13812">
              <w:rPr>
                <w:sz w:val="24"/>
                <w:lang w:val="fr-CA" w:eastAsia="en-CA"/>
              </w:rPr>
              <w:t>Guyana</w:t>
            </w:r>
          </w:p>
        </w:tc>
        <w:tc>
          <w:tcPr>
            <w:tcW w:w="1597" w:type="dxa"/>
            <w:tcBorders>
              <w:top w:val="nil"/>
              <w:left w:val="nil"/>
              <w:bottom w:val="single" w:sz="4" w:space="0" w:color="auto"/>
              <w:right w:val="single" w:sz="4" w:space="0" w:color="auto"/>
            </w:tcBorders>
            <w:shd w:val="clear" w:color="auto" w:fill="auto"/>
            <w:noWrap/>
            <w:vAlign w:val="center"/>
            <w:hideMark/>
          </w:tcPr>
          <w:p w14:paraId="7A91815A"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3B1C4B10"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477877E8"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739CE9FA"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65C90ED5" w14:textId="77777777" w:rsidR="00DF328C" w:rsidRPr="00B13812" w:rsidRDefault="00DF328C" w:rsidP="00DF328C">
            <w:pPr>
              <w:spacing w:after="0" w:line="240" w:lineRule="auto"/>
              <w:jc w:val="right"/>
              <w:rPr>
                <w:sz w:val="24"/>
                <w:lang w:val="fr-CA" w:eastAsia="en-CA"/>
              </w:rPr>
            </w:pPr>
            <w:r w:rsidRPr="00B13812">
              <w:rPr>
                <w:sz w:val="24"/>
                <w:lang w:val="fr-CA" w:eastAsia="en-CA"/>
              </w:rPr>
              <w:t>134</w:t>
            </w:r>
          </w:p>
        </w:tc>
      </w:tr>
      <w:tr w:rsidR="00DF328C" w:rsidRPr="00B13812" w14:paraId="3F3191E7"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0800EB2" w14:textId="77777777" w:rsidR="00DF328C" w:rsidRPr="00B13812" w:rsidRDefault="00DF328C" w:rsidP="00DF328C">
            <w:pPr>
              <w:spacing w:after="0" w:line="240" w:lineRule="auto"/>
              <w:rPr>
                <w:sz w:val="24"/>
                <w:lang w:val="fr-CA" w:eastAsia="en-CA"/>
              </w:rPr>
            </w:pPr>
            <w:r w:rsidRPr="00B13812">
              <w:rPr>
                <w:sz w:val="24"/>
                <w:lang w:val="fr-CA" w:eastAsia="en-CA"/>
              </w:rPr>
              <w:t>Honduras</w:t>
            </w:r>
          </w:p>
        </w:tc>
        <w:tc>
          <w:tcPr>
            <w:tcW w:w="1597" w:type="dxa"/>
            <w:tcBorders>
              <w:top w:val="nil"/>
              <w:left w:val="nil"/>
              <w:bottom w:val="single" w:sz="4" w:space="0" w:color="auto"/>
              <w:right w:val="single" w:sz="4" w:space="0" w:color="auto"/>
            </w:tcBorders>
            <w:shd w:val="clear" w:color="auto" w:fill="auto"/>
            <w:noWrap/>
            <w:vAlign w:val="center"/>
            <w:hideMark/>
          </w:tcPr>
          <w:p w14:paraId="7BC0BE11"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008</w:t>
            </w:r>
          </w:p>
        </w:tc>
        <w:tc>
          <w:tcPr>
            <w:tcW w:w="1597" w:type="dxa"/>
            <w:tcBorders>
              <w:top w:val="nil"/>
              <w:left w:val="nil"/>
              <w:bottom w:val="single" w:sz="4" w:space="0" w:color="auto"/>
              <w:right w:val="single" w:sz="4" w:space="0" w:color="auto"/>
            </w:tcBorders>
            <w:shd w:val="clear" w:color="auto" w:fill="auto"/>
            <w:noWrap/>
            <w:vAlign w:val="center"/>
            <w:hideMark/>
          </w:tcPr>
          <w:p w14:paraId="2C4898AC"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015</w:t>
            </w:r>
          </w:p>
        </w:tc>
        <w:tc>
          <w:tcPr>
            <w:tcW w:w="1597" w:type="dxa"/>
            <w:tcBorders>
              <w:top w:val="nil"/>
              <w:left w:val="nil"/>
              <w:bottom w:val="single" w:sz="4" w:space="0" w:color="auto"/>
              <w:right w:val="single" w:sz="4" w:space="0" w:color="auto"/>
            </w:tcBorders>
            <w:shd w:val="clear" w:color="auto" w:fill="auto"/>
            <w:noWrap/>
            <w:vAlign w:val="center"/>
            <w:hideMark/>
          </w:tcPr>
          <w:p w14:paraId="7815DA1E"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260</w:t>
            </w:r>
          </w:p>
        </w:tc>
        <w:tc>
          <w:tcPr>
            <w:tcW w:w="1597" w:type="dxa"/>
            <w:tcBorders>
              <w:top w:val="nil"/>
              <w:left w:val="nil"/>
              <w:bottom w:val="single" w:sz="4" w:space="0" w:color="auto"/>
              <w:right w:val="single" w:sz="4" w:space="0" w:color="auto"/>
            </w:tcBorders>
            <w:shd w:val="clear" w:color="auto" w:fill="auto"/>
            <w:noWrap/>
            <w:vAlign w:val="center"/>
            <w:hideMark/>
          </w:tcPr>
          <w:p w14:paraId="795DB6B8"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276</w:t>
            </w:r>
          </w:p>
        </w:tc>
        <w:tc>
          <w:tcPr>
            <w:tcW w:w="1598" w:type="dxa"/>
            <w:tcBorders>
              <w:top w:val="nil"/>
              <w:left w:val="nil"/>
              <w:bottom w:val="single" w:sz="4" w:space="0" w:color="auto"/>
              <w:right w:val="single" w:sz="4" w:space="0" w:color="auto"/>
            </w:tcBorders>
            <w:shd w:val="clear" w:color="auto" w:fill="auto"/>
            <w:noWrap/>
            <w:vAlign w:val="center"/>
            <w:hideMark/>
          </w:tcPr>
          <w:p w14:paraId="1B379A92" w14:textId="77777777" w:rsidR="00DF328C" w:rsidRPr="00B13812" w:rsidRDefault="00DF328C" w:rsidP="00DF328C">
            <w:pPr>
              <w:spacing w:after="0" w:line="240" w:lineRule="auto"/>
              <w:jc w:val="right"/>
              <w:rPr>
                <w:sz w:val="24"/>
                <w:lang w:val="fr-CA" w:eastAsia="en-CA"/>
              </w:rPr>
            </w:pPr>
            <w:r w:rsidRPr="00B13812">
              <w:rPr>
                <w:sz w:val="24"/>
                <w:lang w:val="fr-CA" w:eastAsia="en-CA"/>
              </w:rPr>
              <w:t>536</w:t>
            </w:r>
          </w:p>
        </w:tc>
      </w:tr>
      <w:tr w:rsidR="00DF328C" w:rsidRPr="00B13812" w14:paraId="52BEC61E"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BB733F7" w14:textId="77777777" w:rsidR="00DF328C" w:rsidRPr="00B13812" w:rsidRDefault="00DF328C" w:rsidP="00DF328C">
            <w:pPr>
              <w:spacing w:after="0" w:line="240" w:lineRule="auto"/>
              <w:rPr>
                <w:sz w:val="24"/>
                <w:lang w:val="fr-CA" w:eastAsia="en-CA"/>
              </w:rPr>
            </w:pPr>
            <w:r>
              <w:rPr>
                <w:sz w:val="24"/>
                <w:lang w:val="fr-CA" w:eastAsia="en-CA"/>
              </w:rPr>
              <w:t>Hongrie</w:t>
            </w:r>
          </w:p>
        </w:tc>
        <w:tc>
          <w:tcPr>
            <w:tcW w:w="1597" w:type="dxa"/>
            <w:tcBorders>
              <w:top w:val="nil"/>
              <w:left w:val="nil"/>
              <w:bottom w:val="single" w:sz="4" w:space="0" w:color="auto"/>
              <w:right w:val="single" w:sz="4" w:space="0" w:color="auto"/>
            </w:tcBorders>
            <w:shd w:val="clear" w:color="auto" w:fill="auto"/>
            <w:noWrap/>
            <w:vAlign w:val="center"/>
            <w:hideMark/>
          </w:tcPr>
          <w:p w14:paraId="6E517DE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161</w:t>
            </w:r>
          </w:p>
        </w:tc>
        <w:tc>
          <w:tcPr>
            <w:tcW w:w="1597" w:type="dxa"/>
            <w:tcBorders>
              <w:top w:val="nil"/>
              <w:left w:val="nil"/>
              <w:bottom w:val="single" w:sz="4" w:space="0" w:color="auto"/>
              <w:right w:val="single" w:sz="4" w:space="0" w:color="auto"/>
            </w:tcBorders>
            <w:shd w:val="clear" w:color="auto" w:fill="auto"/>
            <w:noWrap/>
            <w:vAlign w:val="center"/>
            <w:hideMark/>
          </w:tcPr>
          <w:p w14:paraId="47579B13"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297</w:t>
            </w:r>
          </w:p>
        </w:tc>
        <w:tc>
          <w:tcPr>
            <w:tcW w:w="1597" w:type="dxa"/>
            <w:tcBorders>
              <w:top w:val="nil"/>
              <w:left w:val="nil"/>
              <w:bottom w:val="single" w:sz="4" w:space="0" w:color="auto"/>
              <w:right w:val="single" w:sz="4" w:space="0" w:color="auto"/>
            </w:tcBorders>
            <w:shd w:val="clear" w:color="auto" w:fill="auto"/>
            <w:noWrap/>
            <w:vAlign w:val="center"/>
            <w:hideMark/>
          </w:tcPr>
          <w:p w14:paraId="06E4FC80"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5 239</w:t>
            </w:r>
          </w:p>
        </w:tc>
        <w:tc>
          <w:tcPr>
            <w:tcW w:w="1597" w:type="dxa"/>
            <w:tcBorders>
              <w:top w:val="nil"/>
              <w:left w:val="nil"/>
              <w:bottom w:val="single" w:sz="4" w:space="0" w:color="auto"/>
              <w:right w:val="single" w:sz="4" w:space="0" w:color="auto"/>
            </w:tcBorders>
            <w:shd w:val="clear" w:color="auto" w:fill="auto"/>
            <w:noWrap/>
            <w:vAlign w:val="center"/>
            <w:hideMark/>
          </w:tcPr>
          <w:p w14:paraId="19B770C0"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5 555</w:t>
            </w:r>
          </w:p>
        </w:tc>
        <w:tc>
          <w:tcPr>
            <w:tcW w:w="1598" w:type="dxa"/>
            <w:tcBorders>
              <w:top w:val="nil"/>
              <w:left w:val="nil"/>
              <w:bottom w:val="single" w:sz="4" w:space="0" w:color="auto"/>
              <w:right w:val="single" w:sz="4" w:space="0" w:color="auto"/>
            </w:tcBorders>
            <w:shd w:val="clear" w:color="auto" w:fill="auto"/>
            <w:noWrap/>
            <w:vAlign w:val="center"/>
            <w:hideMark/>
          </w:tcPr>
          <w:p w14:paraId="2D6D3CB5" w14:textId="77777777" w:rsidR="00DF328C" w:rsidRPr="00B13812" w:rsidRDefault="00DF328C" w:rsidP="00DF328C">
            <w:pPr>
              <w:spacing w:after="0" w:line="240" w:lineRule="auto"/>
              <w:jc w:val="right"/>
              <w:rPr>
                <w:sz w:val="24"/>
                <w:lang w:val="fr-CA" w:eastAsia="en-CA"/>
              </w:rPr>
            </w:pPr>
            <w:r w:rsidRPr="00B13812">
              <w:rPr>
                <w:sz w:val="24"/>
                <w:lang w:val="fr-CA" w:eastAsia="en-CA"/>
              </w:rPr>
              <w:t>10 793</w:t>
            </w:r>
          </w:p>
        </w:tc>
      </w:tr>
      <w:tr w:rsidR="00DF328C" w:rsidRPr="00B13812" w14:paraId="33FE0556"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BC348FB" w14:textId="77777777" w:rsidR="00DF328C" w:rsidRPr="00B13812" w:rsidRDefault="00DF328C" w:rsidP="00DF328C">
            <w:pPr>
              <w:spacing w:after="0" w:line="240" w:lineRule="auto"/>
              <w:rPr>
                <w:sz w:val="24"/>
                <w:lang w:val="fr-CA" w:eastAsia="en-CA"/>
              </w:rPr>
            </w:pPr>
            <w:r>
              <w:rPr>
                <w:sz w:val="24"/>
                <w:lang w:val="fr-CA" w:eastAsia="en-CA"/>
              </w:rPr>
              <w:t>Îles Marshall</w:t>
            </w:r>
          </w:p>
        </w:tc>
        <w:tc>
          <w:tcPr>
            <w:tcW w:w="1597" w:type="dxa"/>
            <w:tcBorders>
              <w:top w:val="nil"/>
              <w:left w:val="nil"/>
              <w:bottom w:val="single" w:sz="4" w:space="0" w:color="auto"/>
              <w:right w:val="single" w:sz="4" w:space="0" w:color="auto"/>
            </w:tcBorders>
            <w:shd w:val="clear" w:color="auto" w:fill="auto"/>
            <w:noWrap/>
            <w:vAlign w:val="center"/>
            <w:hideMark/>
          </w:tcPr>
          <w:p w14:paraId="0DD3CE7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11A408FE"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5CF9AB60"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7130571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689152B"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6157A972"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31F919B" w14:textId="77777777" w:rsidR="00DF328C" w:rsidRPr="00B13812" w:rsidRDefault="00DF328C" w:rsidP="00DF328C">
            <w:pPr>
              <w:spacing w:after="0" w:line="240" w:lineRule="auto"/>
              <w:rPr>
                <w:sz w:val="24"/>
                <w:lang w:val="fr-CA" w:eastAsia="en-CA"/>
              </w:rPr>
            </w:pPr>
            <w:r>
              <w:rPr>
                <w:sz w:val="24"/>
                <w:lang w:val="fr-CA" w:eastAsia="en-CA"/>
              </w:rPr>
              <w:t>Inde</w:t>
            </w:r>
          </w:p>
        </w:tc>
        <w:tc>
          <w:tcPr>
            <w:tcW w:w="1597" w:type="dxa"/>
            <w:tcBorders>
              <w:top w:val="nil"/>
              <w:left w:val="nil"/>
              <w:bottom w:val="single" w:sz="4" w:space="0" w:color="auto"/>
              <w:right w:val="single" w:sz="4" w:space="0" w:color="auto"/>
            </w:tcBorders>
            <w:shd w:val="clear" w:color="auto" w:fill="auto"/>
            <w:noWrap/>
            <w:vAlign w:val="center"/>
            <w:hideMark/>
          </w:tcPr>
          <w:p w14:paraId="5D21A739"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737</w:t>
            </w:r>
          </w:p>
        </w:tc>
        <w:tc>
          <w:tcPr>
            <w:tcW w:w="1597" w:type="dxa"/>
            <w:tcBorders>
              <w:top w:val="nil"/>
              <w:left w:val="nil"/>
              <w:bottom w:val="single" w:sz="4" w:space="0" w:color="auto"/>
              <w:right w:val="single" w:sz="4" w:space="0" w:color="auto"/>
            </w:tcBorders>
            <w:shd w:val="clear" w:color="auto" w:fill="auto"/>
            <w:noWrap/>
            <w:vAlign w:val="center"/>
            <w:hideMark/>
          </w:tcPr>
          <w:p w14:paraId="6F190D39" w14:textId="77777777" w:rsidR="00DF328C" w:rsidRPr="00B13812" w:rsidRDefault="00DF328C" w:rsidP="00DF328C">
            <w:pPr>
              <w:spacing w:after="0" w:line="240" w:lineRule="auto"/>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362</w:t>
            </w:r>
          </w:p>
        </w:tc>
        <w:tc>
          <w:tcPr>
            <w:tcW w:w="1597" w:type="dxa"/>
            <w:tcBorders>
              <w:top w:val="nil"/>
              <w:left w:val="nil"/>
              <w:bottom w:val="single" w:sz="4" w:space="0" w:color="auto"/>
              <w:right w:val="single" w:sz="4" w:space="0" w:color="auto"/>
            </w:tcBorders>
            <w:shd w:val="clear" w:color="auto" w:fill="auto"/>
            <w:noWrap/>
            <w:vAlign w:val="center"/>
            <w:hideMark/>
          </w:tcPr>
          <w:p w14:paraId="2F1D238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23 980</w:t>
            </w:r>
          </w:p>
        </w:tc>
        <w:tc>
          <w:tcPr>
            <w:tcW w:w="1597" w:type="dxa"/>
            <w:tcBorders>
              <w:top w:val="nil"/>
              <w:left w:val="nil"/>
              <w:bottom w:val="single" w:sz="4" w:space="0" w:color="auto"/>
              <w:right w:val="single" w:sz="4" w:space="0" w:color="auto"/>
            </w:tcBorders>
            <w:shd w:val="clear" w:color="auto" w:fill="auto"/>
            <w:noWrap/>
            <w:vAlign w:val="center"/>
            <w:hideMark/>
          </w:tcPr>
          <w:p w14:paraId="0BE94B43"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25 428</w:t>
            </w:r>
          </w:p>
        </w:tc>
        <w:tc>
          <w:tcPr>
            <w:tcW w:w="1598" w:type="dxa"/>
            <w:tcBorders>
              <w:top w:val="nil"/>
              <w:left w:val="nil"/>
              <w:bottom w:val="single" w:sz="4" w:space="0" w:color="auto"/>
              <w:right w:val="single" w:sz="4" w:space="0" w:color="auto"/>
            </w:tcBorders>
            <w:shd w:val="clear" w:color="auto" w:fill="auto"/>
            <w:noWrap/>
            <w:vAlign w:val="center"/>
            <w:hideMark/>
          </w:tcPr>
          <w:p w14:paraId="0FF912EC" w14:textId="77777777" w:rsidR="00DF328C" w:rsidRPr="00B13812" w:rsidRDefault="00DF328C" w:rsidP="00DF328C">
            <w:pPr>
              <w:spacing w:after="0" w:line="240" w:lineRule="auto"/>
              <w:jc w:val="right"/>
              <w:rPr>
                <w:sz w:val="24"/>
                <w:lang w:val="fr-CA" w:eastAsia="en-CA"/>
              </w:rPr>
            </w:pPr>
            <w:r w:rsidRPr="00B13812">
              <w:rPr>
                <w:sz w:val="24"/>
                <w:lang w:val="fr-CA" w:eastAsia="en-CA"/>
              </w:rPr>
              <w:t>49 408</w:t>
            </w:r>
          </w:p>
        </w:tc>
      </w:tr>
      <w:tr w:rsidR="00DF328C" w:rsidRPr="00B13812" w14:paraId="5C48C198"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B0C5FB7" w14:textId="77777777" w:rsidR="00DF328C" w:rsidRPr="00B13812" w:rsidRDefault="00DF328C" w:rsidP="00DF328C">
            <w:pPr>
              <w:spacing w:after="0" w:line="240" w:lineRule="auto"/>
              <w:rPr>
                <w:sz w:val="24"/>
                <w:lang w:val="fr-CA" w:eastAsia="en-CA"/>
              </w:rPr>
            </w:pPr>
            <w:r>
              <w:rPr>
                <w:sz w:val="24"/>
                <w:lang w:val="fr-CA" w:eastAsia="en-CA"/>
              </w:rPr>
              <w:t>Indonésie</w:t>
            </w:r>
          </w:p>
        </w:tc>
        <w:tc>
          <w:tcPr>
            <w:tcW w:w="1597" w:type="dxa"/>
            <w:tcBorders>
              <w:top w:val="nil"/>
              <w:left w:val="nil"/>
              <w:bottom w:val="single" w:sz="4" w:space="0" w:color="auto"/>
              <w:right w:val="single" w:sz="4" w:space="0" w:color="auto"/>
            </w:tcBorders>
            <w:shd w:val="clear" w:color="auto" w:fill="auto"/>
            <w:noWrap/>
            <w:vAlign w:val="center"/>
            <w:hideMark/>
          </w:tcPr>
          <w:p w14:paraId="24C0DF80"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504</w:t>
            </w:r>
          </w:p>
        </w:tc>
        <w:tc>
          <w:tcPr>
            <w:tcW w:w="1597" w:type="dxa"/>
            <w:tcBorders>
              <w:top w:val="nil"/>
              <w:left w:val="nil"/>
              <w:bottom w:val="single" w:sz="4" w:space="0" w:color="auto"/>
              <w:right w:val="single" w:sz="4" w:space="0" w:color="auto"/>
            </w:tcBorders>
            <w:shd w:val="clear" w:color="auto" w:fill="auto"/>
            <w:noWrap/>
            <w:vAlign w:val="center"/>
            <w:hideMark/>
          </w:tcPr>
          <w:p w14:paraId="164AFA42"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931</w:t>
            </w:r>
          </w:p>
        </w:tc>
        <w:tc>
          <w:tcPr>
            <w:tcW w:w="1597" w:type="dxa"/>
            <w:tcBorders>
              <w:top w:val="nil"/>
              <w:left w:val="nil"/>
              <w:bottom w:val="single" w:sz="4" w:space="0" w:color="auto"/>
              <w:right w:val="single" w:sz="4" w:space="0" w:color="auto"/>
            </w:tcBorders>
            <w:shd w:val="clear" w:color="auto" w:fill="auto"/>
            <w:noWrap/>
            <w:vAlign w:val="center"/>
            <w:hideMark/>
          </w:tcPr>
          <w:p w14:paraId="556F77C3"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16 399</w:t>
            </w:r>
          </w:p>
        </w:tc>
        <w:tc>
          <w:tcPr>
            <w:tcW w:w="1597" w:type="dxa"/>
            <w:tcBorders>
              <w:top w:val="nil"/>
              <w:left w:val="nil"/>
              <w:bottom w:val="single" w:sz="4" w:space="0" w:color="auto"/>
              <w:right w:val="single" w:sz="4" w:space="0" w:color="auto"/>
            </w:tcBorders>
            <w:shd w:val="clear" w:color="auto" w:fill="auto"/>
            <w:noWrap/>
            <w:vAlign w:val="center"/>
            <w:hideMark/>
          </w:tcPr>
          <w:p w14:paraId="3052601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17 389</w:t>
            </w:r>
          </w:p>
        </w:tc>
        <w:tc>
          <w:tcPr>
            <w:tcW w:w="1598" w:type="dxa"/>
            <w:tcBorders>
              <w:top w:val="nil"/>
              <w:left w:val="nil"/>
              <w:bottom w:val="single" w:sz="4" w:space="0" w:color="auto"/>
              <w:right w:val="single" w:sz="4" w:space="0" w:color="auto"/>
            </w:tcBorders>
            <w:shd w:val="clear" w:color="auto" w:fill="auto"/>
            <w:noWrap/>
            <w:vAlign w:val="center"/>
            <w:hideMark/>
          </w:tcPr>
          <w:p w14:paraId="633DFE11" w14:textId="77777777" w:rsidR="00DF328C" w:rsidRPr="00B13812" w:rsidRDefault="00DF328C" w:rsidP="00DF328C">
            <w:pPr>
              <w:spacing w:after="0" w:line="240" w:lineRule="auto"/>
              <w:jc w:val="right"/>
              <w:rPr>
                <w:sz w:val="24"/>
                <w:lang w:val="fr-CA" w:eastAsia="en-CA"/>
              </w:rPr>
            </w:pPr>
            <w:r w:rsidRPr="00B13812">
              <w:rPr>
                <w:sz w:val="24"/>
                <w:lang w:val="fr-CA" w:eastAsia="en-CA"/>
              </w:rPr>
              <w:t>33 788</w:t>
            </w:r>
          </w:p>
        </w:tc>
      </w:tr>
      <w:tr w:rsidR="00DF328C" w:rsidRPr="00B13812" w14:paraId="7A8B373B"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E37C1E0" w14:textId="77777777" w:rsidR="00DF328C" w:rsidRPr="00B13812" w:rsidRDefault="00DF328C" w:rsidP="00DF328C">
            <w:pPr>
              <w:spacing w:after="0" w:line="240" w:lineRule="auto"/>
              <w:rPr>
                <w:sz w:val="24"/>
                <w:lang w:val="fr-CA" w:eastAsia="en-CA"/>
              </w:rPr>
            </w:pPr>
            <w:r>
              <w:rPr>
                <w:sz w:val="24"/>
                <w:lang w:val="fr-CA" w:eastAsia="en-CA"/>
              </w:rPr>
              <w:t>Japo</w:t>
            </w:r>
            <w:r w:rsidRPr="00B13812">
              <w:rPr>
                <w:sz w:val="24"/>
                <w:lang w:val="fr-CA" w:eastAsia="en-CA"/>
              </w:rPr>
              <w:t>n</w:t>
            </w:r>
          </w:p>
        </w:tc>
        <w:tc>
          <w:tcPr>
            <w:tcW w:w="1597" w:type="dxa"/>
            <w:tcBorders>
              <w:top w:val="nil"/>
              <w:left w:val="nil"/>
              <w:bottom w:val="single" w:sz="4" w:space="0" w:color="auto"/>
              <w:right w:val="single" w:sz="4" w:space="0" w:color="auto"/>
            </w:tcBorders>
            <w:shd w:val="clear" w:color="auto" w:fill="auto"/>
            <w:noWrap/>
            <w:vAlign w:val="center"/>
            <w:hideMark/>
          </w:tcPr>
          <w:p w14:paraId="6C15B086" w14:textId="77777777" w:rsidR="00DF328C" w:rsidRPr="00B13812" w:rsidRDefault="00DF328C" w:rsidP="00DF328C">
            <w:pPr>
              <w:spacing w:after="0" w:line="240" w:lineRule="auto"/>
              <w:jc w:val="right"/>
              <w:rPr>
                <w:sz w:val="24"/>
                <w:lang w:val="fr-CA" w:eastAsia="en-CA"/>
              </w:rPr>
            </w:pPr>
            <w:r w:rsidRPr="00B13812">
              <w:rPr>
                <w:sz w:val="24"/>
                <w:lang w:val="fr-CA" w:eastAsia="en-CA"/>
              </w:rPr>
              <w:t>9</w:t>
            </w:r>
            <w:r>
              <w:rPr>
                <w:sz w:val="24"/>
                <w:lang w:val="fr-CA" w:eastAsia="en-CA"/>
              </w:rPr>
              <w:t>,</w:t>
            </w:r>
            <w:r w:rsidRPr="00B13812">
              <w:rPr>
                <w:sz w:val="24"/>
                <w:lang w:val="fr-CA" w:eastAsia="en-CA"/>
              </w:rPr>
              <w:t>680</w:t>
            </w:r>
          </w:p>
        </w:tc>
        <w:tc>
          <w:tcPr>
            <w:tcW w:w="1597" w:type="dxa"/>
            <w:tcBorders>
              <w:top w:val="nil"/>
              <w:left w:val="nil"/>
              <w:bottom w:val="single" w:sz="4" w:space="0" w:color="auto"/>
              <w:right w:val="single" w:sz="4" w:space="0" w:color="auto"/>
            </w:tcBorders>
            <w:shd w:val="clear" w:color="auto" w:fill="auto"/>
            <w:noWrap/>
            <w:vAlign w:val="center"/>
            <w:hideMark/>
          </w:tcPr>
          <w:p w14:paraId="1721F227" w14:textId="77777777" w:rsidR="00DF328C" w:rsidRPr="00B13812" w:rsidRDefault="00DF328C" w:rsidP="00DF328C">
            <w:pPr>
              <w:spacing w:after="0" w:line="240" w:lineRule="auto"/>
              <w:jc w:val="right"/>
              <w:rPr>
                <w:sz w:val="24"/>
                <w:lang w:val="fr-CA" w:eastAsia="en-CA"/>
              </w:rPr>
            </w:pPr>
            <w:r w:rsidRPr="00B13812">
              <w:rPr>
                <w:sz w:val="24"/>
                <w:lang w:val="fr-CA" w:eastAsia="en-CA"/>
              </w:rPr>
              <w:t>17</w:t>
            </w:r>
            <w:r>
              <w:rPr>
                <w:sz w:val="24"/>
                <w:lang w:val="fr-CA" w:eastAsia="en-CA"/>
              </w:rPr>
              <w:t>,</w:t>
            </w:r>
            <w:r w:rsidRPr="00B13812">
              <w:rPr>
                <w:sz w:val="24"/>
                <w:lang w:val="fr-CA" w:eastAsia="en-CA"/>
              </w:rPr>
              <w:t>886</w:t>
            </w:r>
          </w:p>
        </w:tc>
        <w:tc>
          <w:tcPr>
            <w:tcW w:w="1597" w:type="dxa"/>
            <w:tcBorders>
              <w:top w:val="nil"/>
              <w:left w:val="nil"/>
              <w:bottom w:val="single" w:sz="4" w:space="0" w:color="auto"/>
              <w:right w:val="single" w:sz="4" w:space="0" w:color="auto"/>
            </w:tcBorders>
            <w:shd w:val="clear" w:color="auto" w:fill="auto"/>
            <w:noWrap/>
            <w:vAlign w:val="center"/>
            <w:hideMark/>
          </w:tcPr>
          <w:p w14:paraId="0C53842F"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314 961</w:t>
            </w:r>
          </w:p>
        </w:tc>
        <w:tc>
          <w:tcPr>
            <w:tcW w:w="1597" w:type="dxa"/>
            <w:tcBorders>
              <w:top w:val="nil"/>
              <w:left w:val="nil"/>
              <w:bottom w:val="single" w:sz="4" w:space="0" w:color="auto"/>
              <w:right w:val="single" w:sz="4" w:space="0" w:color="auto"/>
            </w:tcBorders>
            <w:shd w:val="clear" w:color="auto" w:fill="auto"/>
            <w:noWrap/>
            <w:vAlign w:val="center"/>
            <w:hideMark/>
          </w:tcPr>
          <w:p w14:paraId="7B02B38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333 986</w:t>
            </w:r>
          </w:p>
        </w:tc>
        <w:tc>
          <w:tcPr>
            <w:tcW w:w="1598" w:type="dxa"/>
            <w:tcBorders>
              <w:top w:val="nil"/>
              <w:left w:val="nil"/>
              <w:bottom w:val="single" w:sz="4" w:space="0" w:color="auto"/>
              <w:right w:val="single" w:sz="4" w:space="0" w:color="auto"/>
            </w:tcBorders>
            <w:shd w:val="clear" w:color="auto" w:fill="auto"/>
            <w:noWrap/>
            <w:vAlign w:val="center"/>
            <w:hideMark/>
          </w:tcPr>
          <w:p w14:paraId="31ADFB37" w14:textId="77777777" w:rsidR="00DF328C" w:rsidRPr="00B13812" w:rsidRDefault="00DF328C" w:rsidP="00DF328C">
            <w:pPr>
              <w:spacing w:after="0" w:line="240" w:lineRule="auto"/>
              <w:jc w:val="right"/>
              <w:rPr>
                <w:sz w:val="24"/>
                <w:lang w:val="fr-CA" w:eastAsia="en-CA"/>
              </w:rPr>
            </w:pPr>
            <w:r w:rsidRPr="00B13812">
              <w:rPr>
                <w:sz w:val="24"/>
                <w:lang w:val="fr-CA" w:eastAsia="en-CA"/>
              </w:rPr>
              <w:t>648 947</w:t>
            </w:r>
          </w:p>
        </w:tc>
      </w:tr>
      <w:tr w:rsidR="00DF328C" w:rsidRPr="00B13812" w14:paraId="0147D072"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9D2D2DC" w14:textId="77777777" w:rsidR="00DF328C" w:rsidRPr="00B13812" w:rsidRDefault="00DF328C" w:rsidP="00DF328C">
            <w:pPr>
              <w:spacing w:after="0" w:line="240" w:lineRule="auto"/>
              <w:rPr>
                <w:sz w:val="24"/>
                <w:lang w:val="fr-CA" w:eastAsia="en-CA"/>
              </w:rPr>
            </w:pPr>
            <w:r w:rsidRPr="00B13812">
              <w:rPr>
                <w:sz w:val="24"/>
                <w:lang w:val="fr-CA" w:eastAsia="en-CA"/>
              </w:rPr>
              <w:t>Jordan</w:t>
            </w:r>
            <w:r>
              <w:rPr>
                <w:sz w:val="24"/>
                <w:lang w:val="fr-CA" w:eastAsia="en-CA"/>
              </w:rPr>
              <w:t>ie</w:t>
            </w:r>
          </w:p>
        </w:tc>
        <w:tc>
          <w:tcPr>
            <w:tcW w:w="1597" w:type="dxa"/>
            <w:tcBorders>
              <w:top w:val="nil"/>
              <w:left w:val="nil"/>
              <w:bottom w:val="single" w:sz="4" w:space="0" w:color="auto"/>
              <w:right w:val="single" w:sz="4" w:space="0" w:color="auto"/>
            </w:tcBorders>
            <w:shd w:val="clear" w:color="auto" w:fill="auto"/>
            <w:noWrap/>
            <w:vAlign w:val="center"/>
            <w:hideMark/>
          </w:tcPr>
          <w:p w14:paraId="37F028A6"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020</w:t>
            </w:r>
          </w:p>
        </w:tc>
        <w:tc>
          <w:tcPr>
            <w:tcW w:w="1597" w:type="dxa"/>
            <w:tcBorders>
              <w:top w:val="nil"/>
              <w:left w:val="nil"/>
              <w:bottom w:val="single" w:sz="4" w:space="0" w:color="auto"/>
              <w:right w:val="single" w:sz="4" w:space="0" w:color="auto"/>
            </w:tcBorders>
            <w:shd w:val="clear" w:color="auto" w:fill="auto"/>
            <w:noWrap/>
            <w:vAlign w:val="center"/>
            <w:hideMark/>
          </w:tcPr>
          <w:p w14:paraId="1354434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037</w:t>
            </w:r>
          </w:p>
        </w:tc>
        <w:tc>
          <w:tcPr>
            <w:tcW w:w="1597" w:type="dxa"/>
            <w:tcBorders>
              <w:top w:val="nil"/>
              <w:left w:val="nil"/>
              <w:bottom w:val="single" w:sz="4" w:space="0" w:color="auto"/>
              <w:right w:val="single" w:sz="4" w:space="0" w:color="auto"/>
            </w:tcBorders>
            <w:shd w:val="clear" w:color="auto" w:fill="auto"/>
            <w:noWrap/>
            <w:vAlign w:val="center"/>
            <w:hideMark/>
          </w:tcPr>
          <w:p w14:paraId="22A5752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651</w:t>
            </w:r>
          </w:p>
        </w:tc>
        <w:tc>
          <w:tcPr>
            <w:tcW w:w="1597" w:type="dxa"/>
            <w:tcBorders>
              <w:top w:val="nil"/>
              <w:left w:val="nil"/>
              <w:bottom w:val="single" w:sz="4" w:space="0" w:color="auto"/>
              <w:right w:val="single" w:sz="4" w:space="0" w:color="auto"/>
            </w:tcBorders>
            <w:shd w:val="clear" w:color="auto" w:fill="auto"/>
            <w:noWrap/>
            <w:vAlign w:val="center"/>
            <w:hideMark/>
          </w:tcPr>
          <w:p w14:paraId="408D0149"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690</w:t>
            </w:r>
          </w:p>
        </w:tc>
        <w:tc>
          <w:tcPr>
            <w:tcW w:w="1598" w:type="dxa"/>
            <w:tcBorders>
              <w:top w:val="nil"/>
              <w:left w:val="nil"/>
              <w:bottom w:val="single" w:sz="4" w:space="0" w:color="auto"/>
              <w:right w:val="single" w:sz="4" w:space="0" w:color="auto"/>
            </w:tcBorders>
            <w:shd w:val="clear" w:color="auto" w:fill="auto"/>
            <w:noWrap/>
            <w:vAlign w:val="center"/>
            <w:hideMark/>
          </w:tcPr>
          <w:p w14:paraId="7C77215C" w14:textId="77777777" w:rsidR="00DF328C" w:rsidRPr="00B13812" w:rsidRDefault="00DF328C" w:rsidP="00DF328C">
            <w:pPr>
              <w:spacing w:after="0" w:line="240" w:lineRule="auto"/>
              <w:jc w:val="right"/>
              <w:rPr>
                <w:sz w:val="24"/>
                <w:lang w:val="fr-CA" w:eastAsia="en-CA"/>
              </w:rPr>
            </w:pPr>
            <w:r w:rsidRPr="00B13812">
              <w:rPr>
                <w:sz w:val="24"/>
                <w:lang w:val="fr-CA" w:eastAsia="en-CA"/>
              </w:rPr>
              <w:t>1 341</w:t>
            </w:r>
          </w:p>
        </w:tc>
      </w:tr>
      <w:tr w:rsidR="00DF328C" w:rsidRPr="00B13812" w14:paraId="606E8D39"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B144901" w14:textId="77777777" w:rsidR="00DF328C" w:rsidRPr="00B13812" w:rsidRDefault="00DF328C" w:rsidP="00DF328C">
            <w:pPr>
              <w:spacing w:after="0" w:line="240" w:lineRule="auto"/>
              <w:rPr>
                <w:sz w:val="24"/>
                <w:lang w:val="fr-CA" w:eastAsia="en-CA"/>
              </w:rPr>
            </w:pPr>
            <w:r w:rsidRPr="00B13812">
              <w:rPr>
                <w:sz w:val="24"/>
                <w:lang w:val="fr-CA" w:eastAsia="en-CA"/>
              </w:rPr>
              <w:lastRenderedPageBreak/>
              <w:t>Kazakhstan</w:t>
            </w:r>
          </w:p>
        </w:tc>
        <w:tc>
          <w:tcPr>
            <w:tcW w:w="1597" w:type="dxa"/>
            <w:tcBorders>
              <w:top w:val="nil"/>
              <w:left w:val="nil"/>
              <w:bottom w:val="single" w:sz="4" w:space="0" w:color="auto"/>
              <w:right w:val="single" w:sz="4" w:space="0" w:color="auto"/>
            </w:tcBorders>
            <w:shd w:val="clear" w:color="auto" w:fill="auto"/>
            <w:noWrap/>
            <w:vAlign w:val="center"/>
            <w:hideMark/>
          </w:tcPr>
          <w:p w14:paraId="14418FEC"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191</w:t>
            </w:r>
          </w:p>
        </w:tc>
        <w:tc>
          <w:tcPr>
            <w:tcW w:w="1597" w:type="dxa"/>
            <w:tcBorders>
              <w:top w:val="nil"/>
              <w:left w:val="nil"/>
              <w:bottom w:val="single" w:sz="4" w:space="0" w:color="auto"/>
              <w:right w:val="single" w:sz="4" w:space="0" w:color="auto"/>
            </w:tcBorders>
            <w:shd w:val="clear" w:color="auto" w:fill="auto"/>
            <w:noWrap/>
            <w:vAlign w:val="center"/>
            <w:hideMark/>
          </w:tcPr>
          <w:p w14:paraId="323B0689"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353</w:t>
            </w:r>
          </w:p>
        </w:tc>
        <w:tc>
          <w:tcPr>
            <w:tcW w:w="1597" w:type="dxa"/>
            <w:tcBorders>
              <w:top w:val="nil"/>
              <w:left w:val="nil"/>
              <w:bottom w:val="single" w:sz="4" w:space="0" w:color="auto"/>
              <w:right w:val="single" w:sz="4" w:space="0" w:color="auto"/>
            </w:tcBorders>
            <w:shd w:val="clear" w:color="auto" w:fill="auto"/>
            <w:noWrap/>
            <w:vAlign w:val="center"/>
            <w:hideMark/>
          </w:tcPr>
          <w:p w14:paraId="1D767948"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6 215</w:t>
            </w:r>
          </w:p>
        </w:tc>
        <w:tc>
          <w:tcPr>
            <w:tcW w:w="1597" w:type="dxa"/>
            <w:tcBorders>
              <w:top w:val="nil"/>
              <w:left w:val="nil"/>
              <w:bottom w:val="single" w:sz="4" w:space="0" w:color="auto"/>
              <w:right w:val="single" w:sz="4" w:space="0" w:color="auto"/>
            </w:tcBorders>
            <w:shd w:val="clear" w:color="auto" w:fill="auto"/>
            <w:noWrap/>
            <w:vAlign w:val="center"/>
            <w:hideMark/>
          </w:tcPr>
          <w:p w14:paraId="65178BE2"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6 590</w:t>
            </w:r>
          </w:p>
        </w:tc>
        <w:tc>
          <w:tcPr>
            <w:tcW w:w="1598" w:type="dxa"/>
            <w:tcBorders>
              <w:top w:val="nil"/>
              <w:left w:val="nil"/>
              <w:bottom w:val="single" w:sz="4" w:space="0" w:color="auto"/>
              <w:right w:val="single" w:sz="4" w:space="0" w:color="auto"/>
            </w:tcBorders>
            <w:shd w:val="clear" w:color="auto" w:fill="auto"/>
            <w:noWrap/>
            <w:vAlign w:val="center"/>
            <w:hideMark/>
          </w:tcPr>
          <w:p w14:paraId="535E36F1" w14:textId="77777777" w:rsidR="00DF328C" w:rsidRPr="00B13812" w:rsidRDefault="00DF328C" w:rsidP="00DF328C">
            <w:pPr>
              <w:spacing w:after="0" w:line="240" w:lineRule="auto"/>
              <w:jc w:val="right"/>
              <w:rPr>
                <w:sz w:val="24"/>
                <w:lang w:val="fr-CA" w:eastAsia="en-CA"/>
              </w:rPr>
            </w:pPr>
            <w:r w:rsidRPr="00B13812">
              <w:rPr>
                <w:sz w:val="24"/>
                <w:lang w:val="fr-CA" w:eastAsia="en-CA"/>
              </w:rPr>
              <w:t>12 805</w:t>
            </w:r>
          </w:p>
        </w:tc>
      </w:tr>
      <w:tr w:rsidR="00DF328C" w:rsidRPr="00B13812" w14:paraId="236FA9FE"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C2C9D1A" w14:textId="77777777" w:rsidR="00DF328C" w:rsidRPr="00B13812" w:rsidRDefault="00DF328C" w:rsidP="00DF328C">
            <w:pPr>
              <w:spacing w:after="0" w:line="240" w:lineRule="auto"/>
              <w:rPr>
                <w:sz w:val="24"/>
                <w:lang w:val="fr-CA" w:eastAsia="en-CA"/>
              </w:rPr>
            </w:pPr>
            <w:r w:rsidRPr="00B13812">
              <w:rPr>
                <w:sz w:val="24"/>
                <w:lang w:val="fr-CA" w:eastAsia="en-CA"/>
              </w:rPr>
              <w:t>Kenya</w:t>
            </w:r>
          </w:p>
        </w:tc>
        <w:tc>
          <w:tcPr>
            <w:tcW w:w="1597" w:type="dxa"/>
            <w:tcBorders>
              <w:top w:val="nil"/>
              <w:left w:val="nil"/>
              <w:bottom w:val="single" w:sz="4" w:space="0" w:color="auto"/>
              <w:right w:val="single" w:sz="4" w:space="0" w:color="auto"/>
            </w:tcBorders>
            <w:shd w:val="clear" w:color="auto" w:fill="auto"/>
            <w:noWrap/>
            <w:vAlign w:val="center"/>
            <w:hideMark/>
          </w:tcPr>
          <w:p w14:paraId="2693964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018</w:t>
            </w:r>
          </w:p>
        </w:tc>
        <w:tc>
          <w:tcPr>
            <w:tcW w:w="1597" w:type="dxa"/>
            <w:tcBorders>
              <w:top w:val="nil"/>
              <w:left w:val="nil"/>
              <w:bottom w:val="single" w:sz="4" w:space="0" w:color="auto"/>
              <w:right w:val="single" w:sz="4" w:space="0" w:color="auto"/>
            </w:tcBorders>
            <w:shd w:val="clear" w:color="auto" w:fill="auto"/>
            <w:noWrap/>
            <w:vAlign w:val="center"/>
            <w:hideMark/>
          </w:tcPr>
          <w:p w14:paraId="06FA207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033</w:t>
            </w:r>
          </w:p>
        </w:tc>
        <w:tc>
          <w:tcPr>
            <w:tcW w:w="1597" w:type="dxa"/>
            <w:tcBorders>
              <w:top w:val="nil"/>
              <w:left w:val="nil"/>
              <w:bottom w:val="single" w:sz="4" w:space="0" w:color="auto"/>
              <w:right w:val="single" w:sz="4" w:space="0" w:color="auto"/>
            </w:tcBorders>
            <w:shd w:val="clear" w:color="auto" w:fill="auto"/>
            <w:noWrap/>
            <w:vAlign w:val="center"/>
            <w:hideMark/>
          </w:tcPr>
          <w:p w14:paraId="44BBCE1E"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586</w:t>
            </w:r>
          </w:p>
        </w:tc>
        <w:tc>
          <w:tcPr>
            <w:tcW w:w="1597" w:type="dxa"/>
            <w:tcBorders>
              <w:top w:val="nil"/>
              <w:left w:val="nil"/>
              <w:bottom w:val="single" w:sz="4" w:space="0" w:color="auto"/>
              <w:right w:val="single" w:sz="4" w:space="0" w:color="auto"/>
            </w:tcBorders>
            <w:shd w:val="clear" w:color="auto" w:fill="auto"/>
            <w:noWrap/>
            <w:vAlign w:val="center"/>
            <w:hideMark/>
          </w:tcPr>
          <w:p w14:paraId="73DF35C7"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621</w:t>
            </w:r>
          </w:p>
        </w:tc>
        <w:tc>
          <w:tcPr>
            <w:tcW w:w="1598" w:type="dxa"/>
            <w:tcBorders>
              <w:top w:val="nil"/>
              <w:left w:val="nil"/>
              <w:bottom w:val="single" w:sz="4" w:space="0" w:color="auto"/>
              <w:right w:val="single" w:sz="4" w:space="0" w:color="auto"/>
            </w:tcBorders>
            <w:shd w:val="clear" w:color="auto" w:fill="auto"/>
            <w:noWrap/>
            <w:vAlign w:val="center"/>
            <w:hideMark/>
          </w:tcPr>
          <w:p w14:paraId="551F0E2D" w14:textId="77777777" w:rsidR="00DF328C" w:rsidRPr="00B13812" w:rsidRDefault="00DF328C" w:rsidP="00DF328C">
            <w:pPr>
              <w:spacing w:after="0" w:line="240" w:lineRule="auto"/>
              <w:jc w:val="right"/>
              <w:rPr>
                <w:sz w:val="24"/>
                <w:lang w:val="fr-CA" w:eastAsia="en-CA"/>
              </w:rPr>
            </w:pPr>
            <w:r w:rsidRPr="00B13812">
              <w:rPr>
                <w:sz w:val="24"/>
                <w:lang w:val="fr-CA" w:eastAsia="en-CA"/>
              </w:rPr>
              <w:t>1 207</w:t>
            </w:r>
          </w:p>
        </w:tc>
      </w:tr>
      <w:tr w:rsidR="00DF328C" w:rsidRPr="00B13812" w14:paraId="156C73BA"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DD9405B" w14:textId="77777777" w:rsidR="00DF328C" w:rsidRPr="00B13812" w:rsidRDefault="00DF328C" w:rsidP="00DF328C">
            <w:pPr>
              <w:spacing w:after="0" w:line="240" w:lineRule="auto"/>
              <w:rPr>
                <w:sz w:val="24"/>
                <w:lang w:val="fr-CA" w:eastAsia="en-CA"/>
              </w:rPr>
            </w:pPr>
            <w:r>
              <w:rPr>
                <w:sz w:val="24"/>
                <w:lang w:val="fr-CA" w:eastAsia="en-CA"/>
              </w:rPr>
              <w:t>Kirghizistan</w:t>
            </w:r>
          </w:p>
        </w:tc>
        <w:tc>
          <w:tcPr>
            <w:tcW w:w="1597" w:type="dxa"/>
            <w:tcBorders>
              <w:top w:val="nil"/>
              <w:left w:val="nil"/>
              <w:bottom w:val="single" w:sz="4" w:space="0" w:color="auto"/>
              <w:right w:val="single" w:sz="4" w:space="0" w:color="auto"/>
            </w:tcBorders>
            <w:shd w:val="clear" w:color="auto" w:fill="auto"/>
            <w:noWrap/>
            <w:vAlign w:val="center"/>
            <w:hideMark/>
          </w:tcPr>
          <w:p w14:paraId="628696A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604F972E"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6867B738"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6DECD4AE"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31A80249" w14:textId="77777777" w:rsidR="00DF328C" w:rsidRPr="00B13812" w:rsidRDefault="00DF328C" w:rsidP="00DF328C">
            <w:pPr>
              <w:spacing w:after="0" w:line="240" w:lineRule="auto"/>
              <w:jc w:val="right"/>
              <w:rPr>
                <w:sz w:val="24"/>
                <w:lang w:val="fr-CA" w:eastAsia="en-CA"/>
              </w:rPr>
            </w:pPr>
            <w:r w:rsidRPr="00B13812">
              <w:rPr>
                <w:sz w:val="24"/>
                <w:lang w:val="fr-CA" w:eastAsia="en-CA"/>
              </w:rPr>
              <w:t>134</w:t>
            </w:r>
          </w:p>
        </w:tc>
      </w:tr>
      <w:tr w:rsidR="00DF328C" w:rsidRPr="00B13812" w14:paraId="71B84F64"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CA06BCD" w14:textId="77777777" w:rsidR="00DF328C" w:rsidRPr="00B13812" w:rsidRDefault="00DF328C" w:rsidP="00DF328C">
            <w:pPr>
              <w:spacing w:after="0" w:line="240" w:lineRule="auto"/>
              <w:rPr>
                <w:sz w:val="24"/>
                <w:lang w:val="fr-CA" w:eastAsia="en-CA"/>
              </w:rPr>
            </w:pPr>
            <w:r>
              <w:rPr>
                <w:sz w:val="24"/>
                <w:lang w:val="fr-CA" w:eastAsia="en-CA"/>
              </w:rPr>
              <w:t>Koweït</w:t>
            </w:r>
          </w:p>
        </w:tc>
        <w:tc>
          <w:tcPr>
            <w:tcW w:w="1597" w:type="dxa"/>
            <w:tcBorders>
              <w:top w:val="nil"/>
              <w:left w:val="nil"/>
              <w:bottom w:val="single" w:sz="4" w:space="0" w:color="auto"/>
              <w:right w:val="single" w:sz="4" w:space="0" w:color="auto"/>
            </w:tcBorders>
            <w:shd w:val="clear" w:color="auto" w:fill="auto"/>
            <w:noWrap/>
            <w:vAlign w:val="center"/>
            <w:hideMark/>
          </w:tcPr>
          <w:p w14:paraId="31549162"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285</w:t>
            </w:r>
          </w:p>
        </w:tc>
        <w:tc>
          <w:tcPr>
            <w:tcW w:w="1597" w:type="dxa"/>
            <w:tcBorders>
              <w:top w:val="nil"/>
              <w:left w:val="nil"/>
              <w:bottom w:val="single" w:sz="4" w:space="0" w:color="auto"/>
              <w:right w:val="single" w:sz="4" w:space="0" w:color="auto"/>
            </w:tcBorders>
            <w:shd w:val="clear" w:color="auto" w:fill="auto"/>
            <w:noWrap/>
            <w:vAlign w:val="center"/>
            <w:hideMark/>
          </w:tcPr>
          <w:p w14:paraId="145A2476"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527</w:t>
            </w:r>
          </w:p>
        </w:tc>
        <w:tc>
          <w:tcPr>
            <w:tcW w:w="1597" w:type="dxa"/>
            <w:tcBorders>
              <w:top w:val="nil"/>
              <w:left w:val="nil"/>
              <w:bottom w:val="single" w:sz="4" w:space="0" w:color="auto"/>
              <w:right w:val="single" w:sz="4" w:space="0" w:color="auto"/>
            </w:tcBorders>
            <w:shd w:val="clear" w:color="auto" w:fill="auto"/>
            <w:noWrap/>
            <w:vAlign w:val="center"/>
            <w:hideMark/>
          </w:tcPr>
          <w:p w14:paraId="61357DC2"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9 273</w:t>
            </w:r>
          </w:p>
        </w:tc>
        <w:tc>
          <w:tcPr>
            <w:tcW w:w="1597" w:type="dxa"/>
            <w:tcBorders>
              <w:top w:val="nil"/>
              <w:left w:val="nil"/>
              <w:bottom w:val="single" w:sz="4" w:space="0" w:color="auto"/>
              <w:right w:val="single" w:sz="4" w:space="0" w:color="auto"/>
            </w:tcBorders>
            <w:shd w:val="clear" w:color="auto" w:fill="auto"/>
            <w:noWrap/>
            <w:vAlign w:val="center"/>
            <w:hideMark/>
          </w:tcPr>
          <w:p w14:paraId="5C2672D6"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9 833</w:t>
            </w:r>
          </w:p>
        </w:tc>
        <w:tc>
          <w:tcPr>
            <w:tcW w:w="1598" w:type="dxa"/>
            <w:tcBorders>
              <w:top w:val="nil"/>
              <w:left w:val="nil"/>
              <w:bottom w:val="single" w:sz="4" w:space="0" w:color="auto"/>
              <w:right w:val="single" w:sz="4" w:space="0" w:color="auto"/>
            </w:tcBorders>
            <w:shd w:val="clear" w:color="auto" w:fill="auto"/>
            <w:noWrap/>
            <w:vAlign w:val="center"/>
            <w:hideMark/>
          </w:tcPr>
          <w:p w14:paraId="4A106325" w14:textId="77777777" w:rsidR="00DF328C" w:rsidRPr="00B13812" w:rsidRDefault="00DF328C" w:rsidP="00DF328C">
            <w:pPr>
              <w:spacing w:after="0" w:line="240" w:lineRule="auto"/>
              <w:jc w:val="right"/>
              <w:rPr>
                <w:sz w:val="24"/>
                <w:lang w:val="fr-CA" w:eastAsia="en-CA"/>
              </w:rPr>
            </w:pPr>
            <w:r w:rsidRPr="00B13812">
              <w:rPr>
                <w:sz w:val="24"/>
                <w:lang w:val="fr-CA" w:eastAsia="en-CA"/>
              </w:rPr>
              <w:t>19 106</w:t>
            </w:r>
          </w:p>
        </w:tc>
      </w:tr>
      <w:tr w:rsidR="00DF328C" w:rsidRPr="00B13812" w14:paraId="60CE4E6D"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6CA9E12" w14:textId="77777777" w:rsidR="00DF328C" w:rsidRPr="00B13812" w:rsidRDefault="00DF328C" w:rsidP="00DF328C">
            <w:pPr>
              <w:spacing w:after="0" w:line="240" w:lineRule="auto"/>
              <w:rPr>
                <w:sz w:val="24"/>
                <w:lang w:val="fr-CA" w:eastAsia="en-CA"/>
              </w:rPr>
            </w:pPr>
            <w:r w:rsidRPr="00B13812">
              <w:rPr>
                <w:sz w:val="24"/>
                <w:lang w:val="fr-CA" w:eastAsia="en-CA"/>
              </w:rPr>
              <w:t>Lesotho</w:t>
            </w:r>
          </w:p>
        </w:tc>
        <w:tc>
          <w:tcPr>
            <w:tcW w:w="1597" w:type="dxa"/>
            <w:tcBorders>
              <w:top w:val="nil"/>
              <w:left w:val="nil"/>
              <w:bottom w:val="single" w:sz="4" w:space="0" w:color="auto"/>
              <w:right w:val="single" w:sz="4" w:space="0" w:color="auto"/>
            </w:tcBorders>
            <w:shd w:val="clear" w:color="auto" w:fill="auto"/>
            <w:noWrap/>
            <w:vAlign w:val="center"/>
            <w:hideMark/>
          </w:tcPr>
          <w:p w14:paraId="661F045C"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4EF725D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7A74BDCA"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6BA1F028"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3E871F73"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34E256D3"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5A388A8" w14:textId="77777777" w:rsidR="00DF328C" w:rsidRPr="00B13812" w:rsidRDefault="00DF328C" w:rsidP="00DF328C">
            <w:pPr>
              <w:spacing w:after="0" w:line="240" w:lineRule="auto"/>
              <w:rPr>
                <w:sz w:val="24"/>
                <w:lang w:val="fr-CA" w:eastAsia="en-CA"/>
              </w:rPr>
            </w:pPr>
            <w:r>
              <w:rPr>
                <w:sz w:val="24"/>
                <w:lang w:val="fr-CA" w:eastAsia="en-CA"/>
              </w:rPr>
              <w:t>Liban</w:t>
            </w:r>
          </w:p>
        </w:tc>
        <w:tc>
          <w:tcPr>
            <w:tcW w:w="1597" w:type="dxa"/>
            <w:tcBorders>
              <w:top w:val="nil"/>
              <w:left w:val="nil"/>
              <w:bottom w:val="single" w:sz="4" w:space="0" w:color="auto"/>
              <w:right w:val="single" w:sz="4" w:space="0" w:color="auto"/>
            </w:tcBorders>
            <w:shd w:val="clear" w:color="auto" w:fill="auto"/>
            <w:noWrap/>
            <w:vAlign w:val="center"/>
            <w:hideMark/>
          </w:tcPr>
          <w:p w14:paraId="4DBE85CC"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046</w:t>
            </w:r>
          </w:p>
        </w:tc>
        <w:tc>
          <w:tcPr>
            <w:tcW w:w="1597" w:type="dxa"/>
            <w:tcBorders>
              <w:top w:val="nil"/>
              <w:left w:val="nil"/>
              <w:bottom w:val="single" w:sz="4" w:space="0" w:color="auto"/>
              <w:right w:val="single" w:sz="4" w:space="0" w:color="auto"/>
            </w:tcBorders>
            <w:shd w:val="clear" w:color="auto" w:fill="auto"/>
            <w:noWrap/>
            <w:vAlign w:val="center"/>
            <w:hideMark/>
          </w:tcPr>
          <w:p w14:paraId="211FCB1D"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085</w:t>
            </w:r>
          </w:p>
        </w:tc>
        <w:tc>
          <w:tcPr>
            <w:tcW w:w="1597" w:type="dxa"/>
            <w:tcBorders>
              <w:top w:val="nil"/>
              <w:left w:val="nil"/>
              <w:bottom w:val="single" w:sz="4" w:space="0" w:color="auto"/>
              <w:right w:val="single" w:sz="4" w:space="0" w:color="auto"/>
            </w:tcBorders>
            <w:shd w:val="clear" w:color="auto" w:fill="auto"/>
            <w:noWrap/>
            <w:vAlign w:val="center"/>
            <w:hideMark/>
          </w:tcPr>
          <w:p w14:paraId="5BBFCF8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1 497</w:t>
            </w:r>
          </w:p>
        </w:tc>
        <w:tc>
          <w:tcPr>
            <w:tcW w:w="1597" w:type="dxa"/>
            <w:tcBorders>
              <w:top w:val="nil"/>
              <w:left w:val="nil"/>
              <w:bottom w:val="single" w:sz="4" w:space="0" w:color="auto"/>
              <w:right w:val="single" w:sz="4" w:space="0" w:color="auto"/>
            </w:tcBorders>
            <w:shd w:val="clear" w:color="auto" w:fill="auto"/>
            <w:noWrap/>
            <w:vAlign w:val="center"/>
            <w:hideMark/>
          </w:tcPr>
          <w:p w14:paraId="68887C00"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1 587</w:t>
            </w:r>
          </w:p>
        </w:tc>
        <w:tc>
          <w:tcPr>
            <w:tcW w:w="1598" w:type="dxa"/>
            <w:tcBorders>
              <w:top w:val="nil"/>
              <w:left w:val="nil"/>
              <w:bottom w:val="single" w:sz="4" w:space="0" w:color="auto"/>
              <w:right w:val="single" w:sz="4" w:space="0" w:color="auto"/>
            </w:tcBorders>
            <w:shd w:val="clear" w:color="auto" w:fill="auto"/>
            <w:noWrap/>
            <w:vAlign w:val="center"/>
            <w:hideMark/>
          </w:tcPr>
          <w:p w14:paraId="5709FAAB" w14:textId="77777777" w:rsidR="00DF328C" w:rsidRPr="00B13812" w:rsidRDefault="00DF328C" w:rsidP="00DF328C">
            <w:pPr>
              <w:spacing w:after="0" w:line="240" w:lineRule="auto"/>
              <w:jc w:val="right"/>
              <w:rPr>
                <w:sz w:val="24"/>
                <w:lang w:val="fr-CA" w:eastAsia="en-CA"/>
              </w:rPr>
            </w:pPr>
            <w:r w:rsidRPr="00B13812">
              <w:rPr>
                <w:sz w:val="24"/>
                <w:lang w:val="fr-CA" w:eastAsia="en-CA"/>
              </w:rPr>
              <w:t>3 084</w:t>
            </w:r>
          </w:p>
        </w:tc>
      </w:tr>
      <w:tr w:rsidR="00DF328C" w:rsidRPr="00B13812" w14:paraId="6AD2446F"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A29BB49" w14:textId="77777777" w:rsidR="00DF328C" w:rsidRPr="00B13812" w:rsidRDefault="00DF328C" w:rsidP="00DF328C">
            <w:pPr>
              <w:spacing w:after="0" w:line="240" w:lineRule="auto"/>
              <w:rPr>
                <w:sz w:val="24"/>
                <w:lang w:val="fr-CA" w:eastAsia="en-CA"/>
              </w:rPr>
            </w:pPr>
            <w:r>
              <w:rPr>
                <w:sz w:val="24"/>
                <w:lang w:val="fr-CA" w:eastAsia="en-CA"/>
              </w:rPr>
              <w:t>Libé</w:t>
            </w:r>
            <w:r w:rsidRPr="00B13812">
              <w:rPr>
                <w:sz w:val="24"/>
                <w:lang w:val="fr-CA" w:eastAsia="en-CA"/>
              </w:rPr>
              <w:t>ria</w:t>
            </w:r>
          </w:p>
        </w:tc>
        <w:tc>
          <w:tcPr>
            <w:tcW w:w="1597" w:type="dxa"/>
            <w:tcBorders>
              <w:top w:val="nil"/>
              <w:left w:val="nil"/>
              <w:bottom w:val="single" w:sz="4" w:space="0" w:color="auto"/>
              <w:right w:val="single" w:sz="4" w:space="0" w:color="auto"/>
            </w:tcBorders>
            <w:shd w:val="clear" w:color="auto" w:fill="auto"/>
            <w:noWrap/>
            <w:vAlign w:val="center"/>
            <w:hideMark/>
          </w:tcPr>
          <w:p w14:paraId="5E02C92B"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2BEC54C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247E490A"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1BC4D52F"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93329AA"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1DD2C2CF"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F9842D3" w14:textId="77777777" w:rsidR="00DF328C" w:rsidRPr="00B13812" w:rsidRDefault="00DF328C" w:rsidP="00DF328C">
            <w:pPr>
              <w:spacing w:after="0" w:line="240" w:lineRule="auto"/>
              <w:rPr>
                <w:sz w:val="24"/>
                <w:lang w:val="fr-CA" w:eastAsia="en-CA"/>
              </w:rPr>
            </w:pPr>
            <w:r w:rsidRPr="00B13812">
              <w:rPr>
                <w:sz w:val="24"/>
                <w:lang w:val="fr-CA" w:eastAsia="en-CA"/>
              </w:rPr>
              <w:t>Luxembourg</w:t>
            </w:r>
          </w:p>
        </w:tc>
        <w:tc>
          <w:tcPr>
            <w:tcW w:w="1597" w:type="dxa"/>
            <w:tcBorders>
              <w:top w:val="nil"/>
              <w:left w:val="nil"/>
              <w:bottom w:val="single" w:sz="4" w:space="0" w:color="auto"/>
              <w:right w:val="single" w:sz="4" w:space="0" w:color="auto"/>
            </w:tcBorders>
            <w:shd w:val="clear" w:color="auto" w:fill="auto"/>
            <w:noWrap/>
            <w:vAlign w:val="center"/>
            <w:hideMark/>
          </w:tcPr>
          <w:p w14:paraId="2F484CBB"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064</w:t>
            </w:r>
          </w:p>
        </w:tc>
        <w:tc>
          <w:tcPr>
            <w:tcW w:w="1597" w:type="dxa"/>
            <w:tcBorders>
              <w:top w:val="nil"/>
              <w:left w:val="nil"/>
              <w:bottom w:val="single" w:sz="4" w:space="0" w:color="auto"/>
              <w:right w:val="single" w:sz="4" w:space="0" w:color="auto"/>
            </w:tcBorders>
            <w:shd w:val="clear" w:color="auto" w:fill="auto"/>
            <w:noWrap/>
            <w:vAlign w:val="center"/>
            <w:hideMark/>
          </w:tcPr>
          <w:p w14:paraId="03B45EA1"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118</w:t>
            </w:r>
          </w:p>
        </w:tc>
        <w:tc>
          <w:tcPr>
            <w:tcW w:w="1597" w:type="dxa"/>
            <w:tcBorders>
              <w:top w:val="nil"/>
              <w:left w:val="nil"/>
              <w:bottom w:val="single" w:sz="4" w:space="0" w:color="auto"/>
              <w:right w:val="single" w:sz="4" w:space="0" w:color="auto"/>
            </w:tcBorders>
            <w:shd w:val="clear" w:color="auto" w:fill="auto"/>
            <w:noWrap/>
            <w:vAlign w:val="center"/>
            <w:hideMark/>
          </w:tcPr>
          <w:p w14:paraId="399EFEE9"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2 082</w:t>
            </w:r>
          </w:p>
        </w:tc>
        <w:tc>
          <w:tcPr>
            <w:tcW w:w="1597" w:type="dxa"/>
            <w:tcBorders>
              <w:top w:val="nil"/>
              <w:left w:val="nil"/>
              <w:bottom w:val="single" w:sz="4" w:space="0" w:color="auto"/>
              <w:right w:val="single" w:sz="4" w:space="0" w:color="auto"/>
            </w:tcBorders>
            <w:shd w:val="clear" w:color="auto" w:fill="auto"/>
            <w:noWrap/>
            <w:vAlign w:val="center"/>
            <w:hideMark/>
          </w:tcPr>
          <w:p w14:paraId="23A601DE"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2 208</w:t>
            </w:r>
          </w:p>
        </w:tc>
        <w:tc>
          <w:tcPr>
            <w:tcW w:w="1598" w:type="dxa"/>
            <w:tcBorders>
              <w:top w:val="nil"/>
              <w:left w:val="nil"/>
              <w:bottom w:val="single" w:sz="4" w:space="0" w:color="auto"/>
              <w:right w:val="single" w:sz="4" w:space="0" w:color="auto"/>
            </w:tcBorders>
            <w:shd w:val="clear" w:color="auto" w:fill="auto"/>
            <w:noWrap/>
            <w:vAlign w:val="center"/>
            <w:hideMark/>
          </w:tcPr>
          <w:p w14:paraId="32A27798" w14:textId="77777777" w:rsidR="00DF328C" w:rsidRPr="00B13812" w:rsidRDefault="00DF328C" w:rsidP="00DF328C">
            <w:pPr>
              <w:spacing w:after="0" w:line="240" w:lineRule="auto"/>
              <w:jc w:val="right"/>
              <w:rPr>
                <w:sz w:val="24"/>
                <w:lang w:val="fr-CA" w:eastAsia="en-CA"/>
              </w:rPr>
            </w:pPr>
            <w:r w:rsidRPr="00B13812">
              <w:rPr>
                <w:sz w:val="24"/>
                <w:lang w:val="fr-CA" w:eastAsia="en-CA"/>
              </w:rPr>
              <w:t>4 291</w:t>
            </w:r>
          </w:p>
        </w:tc>
      </w:tr>
      <w:tr w:rsidR="00DF328C" w:rsidRPr="00B13812" w14:paraId="7D02388C"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98848B4" w14:textId="77777777" w:rsidR="00DF328C" w:rsidRPr="00B13812" w:rsidRDefault="00DF328C" w:rsidP="00DF328C">
            <w:pPr>
              <w:spacing w:after="0" w:line="240" w:lineRule="auto"/>
              <w:rPr>
                <w:sz w:val="24"/>
                <w:lang w:val="fr-CA" w:eastAsia="en-CA"/>
              </w:rPr>
            </w:pPr>
            <w:r w:rsidRPr="00B13812">
              <w:rPr>
                <w:sz w:val="24"/>
                <w:lang w:val="fr-CA" w:eastAsia="en-CA"/>
              </w:rPr>
              <w:t>Madagascar</w:t>
            </w:r>
          </w:p>
        </w:tc>
        <w:tc>
          <w:tcPr>
            <w:tcW w:w="1597" w:type="dxa"/>
            <w:tcBorders>
              <w:top w:val="nil"/>
              <w:left w:val="nil"/>
              <w:bottom w:val="single" w:sz="4" w:space="0" w:color="auto"/>
              <w:right w:val="single" w:sz="4" w:space="0" w:color="auto"/>
            </w:tcBorders>
            <w:shd w:val="clear" w:color="auto" w:fill="auto"/>
            <w:noWrap/>
            <w:vAlign w:val="center"/>
            <w:hideMark/>
          </w:tcPr>
          <w:p w14:paraId="3C5A0280"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14:paraId="641EAB8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14:paraId="07A87C99"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65C09F6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29B0C1A9" w14:textId="77777777" w:rsidR="00DF328C" w:rsidRPr="00B13812" w:rsidRDefault="00DF328C" w:rsidP="00DF328C">
            <w:pPr>
              <w:spacing w:after="0" w:line="240" w:lineRule="auto"/>
              <w:jc w:val="right"/>
              <w:rPr>
                <w:sz w:val="24"/>
                <w:lang w:val="fr-CA" w:eastAsia="en-CA"/>
              </w:rPr>
            </w:pPr>
            <w:r w:rsidRPr="00B13812">
              <w:rPr>
                <w:sz w:val="24"/>
                <w:lang w:val="fr-CA" w:eastAsia="en-CA"/>
              </w:rPr>
              <w:t>201</w:t>
            </w:r>
          </w:p>
        </w:tc>
      </w:tr>
      <w:tr w:rsidR="00DF328C" w:rsidRPr="00B13812" w14:paraId="6861E449" w14:textId="77777777" w:rsidTr="00DF328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04FFD" w14:textId="77777777" w:rsidR="00DF328C" w:rsidRPr="00B13812" w:rsidRDefault="00DF328C" w:rsidP="00DF328C">
            <w:pPr>
              <w:spacing w:after="0" w:line="240" w:lineRule="auto"/>
              <w:rPr>
                <w:sz w:val="24"/>
                <w:lang w:val="fr-CA" w:eastAsia="en-CA"/>
              </w:rPr>
            </w:pPr>
            <w:r w:rsidRPr="00B13812">
              <w:rPr>
                <w:sz w:val="24"/>
                <w:lang w:val="fr-CA" w:eastAsia="en-CA"/>
              </w:rPr>
              <w:t>Malawi</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134983F1"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06575EAA"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60D7566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65</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4019B10A"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69</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34A99264" w14:textId="77777777" w:rsidR="00DF328C" w:rsidRPr="00B13812" w:rsidRDefault="00DF328C" w:rsidP="00DF328C">
            <w:pPr>
              <w:spacing w:after="0" w:line="240" w:lineRule="auto"/>
              <w:jc w:val="right"/>
              <w:rPr>
                <w:sz w:val="24"/>
                <w:lang w:val="fr-CA" w:eastAsia="en-CA"/>
              </w:rPr>
            </w:pPr>
            <w:r w:rsidRPr="00B13812">
              <w:rPr>
                <w:sz w:val="24"/>
                <w:lang w:val="fr-CA" w:eastAsia="en-CA"/>
              </w:rPr>
              <w:t>134</w:t>
            </w:r>
          </w:p>
        </w:tc>
      </w:tr>
      <w:tr w:rsidR="00DF328C" w:rsidRPr="00B13812" w14:paraId="3702FCB4"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E7FBC2F" w14:textId="77777777" w:rsidR="00DF328C" w:rsidRPr="00B13812" w:rsidRDefault="00DF328C" w:rsidP="00DF328C">
            <w:pPr>
              <w:spacing w:after="0" w:line="240" w:lineRule="auto"/>
              <w:rPr>
                <w:sz w:val="24"/>
                <w:lang w:val="fr-CA" w:eastAsia="en-CA"/>
              </w:rPr>
            </w:pPr>
            <w:r w:rsidRPr="00B13812">
              <w:rPr>
                <w:sz w:val="24"/>
                <w:lang w:val="fr-CA" w:eastAsia="en-CA"/>
              </w:rPr>
              <w:t>Mali</w:t>
            </w:r>
          </w:p>
        </w:tc>
        <w:tc>
          <w:tcPr>
            <w:tcW w:w="1597" w:type="dxa"/>
            <w:tcBorders>
              <w:top w:val="nil"/>
              <w:left w:val="nil"/>
              <w:bottom w:val="single" w:sz="4" w:space="0" w:color="auto"/>
              <w:right w:val="single" w:sz="4" w:space="0" w:color="auto"/>
            </w:tcBorders>
            <w:shd w:val="clear" w:color="auto" w:fill="auto"/>
            <w:noWrap/>
            <w:vAlign w:val="center"/>
            <w:hideMark/>
          </w:tcPr>
          <w:p w14:paraId="55630D9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14:paraId="540E6F97"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14:paraId="48DBE419"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36CA70A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0F5124F1" w14:textId="77777777" w:rsidR="00DF328C" w:rsidRPr="00B13812" w:rsidRDefault="00DF328C" w:rsidP="00DF328C">
            <w:pPr>
              <w:spacing w:after="0" w:line="240" w:lineRule="auto"/>
              <w:jc w:val="right"/>
              <w:rPr>
                <w:sz w:val="24"/>
                <w:lang w:val="fr-CA" w:eastAsia="en-CA"/>
              </w:rPr>
            </w:pPr>
            <w:r w:rsidRPr="00B13812">
              <w:rPr>
                <w:sz w:val="24"/>
                <w:lang w:val="fr-CA" w:eastAsia="en-CA"/>
              </w:rPr>
              <w:t>201</w:t>
            </w:r>
          </w:p>
        </w:tc>
      </w:tr>
      <w:tr w:rsidR="00DF328C" w:rsidRPr="00B13812" w14:paraId="0BB393AF"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8A5665A" w14:textId="77777777" w:rsidR="00DF328C" w:rsidRPr="00B13812" w:rsidRDefault="00DF328C" w:rsidP="00DF328C">
            <w:pPr>
              <w:spacing w:after="0" w:line="240" w:lineRule="auto"/>
              <w:rPr>
                <w:sz w:val="24"/>
                <w:lang w:val="fr-CA" w:eastAsia="en-CA"/>
              </w:rPr>
            </w:pPr>
            <w:r>
              <w:rPr>
                <w:sz w:val="24"/>
                <w:lang w:val="fr-CA" w:eastAsia="en-CA"/>
              </w:rPr>
              <w:t>Malte</w:t>
            </w:r>
          </w:p>
        </w:tc>
        <w:tc>
          <w:tcPr>
            <w:tcW w:w="1597" w:type="dxa"/>
            <w:tcBorders>
              <w:top w:val="nil"/>
              <w:left w:val="nil"/>
              <w:bottom w:val="single" w:sz="4" w:space="0" w:color="auto"/>
              <w:right w:val="single" w:sz="4" w:space="0" w:color="auto"/>
            </w:tcBorders>
            <w:shd w:val="clear" w:color="auto" w:fill="auto"/>
            <w:noWrap/>
            <w:vAlign w:val="center"/>
            <w:hideMark/>
          </w:tcPr>
          <w:p w14:paraId="4C543FD2"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016</w:t>
            </w:r>
          </w:p>
        </w:tc>
        <w:tc>
          <w:tcPr>
            <w:tcW w:w="1597" w:type="dxa"/>
            <w:tcBorders>
              <w:top w:val="nil"/>
              <w:left w:val="nil"/>
              <w:bottom w:val="single" w:sz="4" w:space="0" w:color="auto"/>
              <w:right w:val="single" w:sz="4" w:space="0" w:color="auto"/>
            </w:tcBorders>
            <w:shd w:val="clear" w:color="auto" w:fill="auto"/>
            <w:noWrap/>
            <w:vAlign w:val="center"/>
            <w:hideMark/>
          </w:tcPr>
          <w:p w14:paraId="57212CC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030</w:t>
            </w:r>
          </w:p>
        </w:tc>
        <w:tc>
          <w:tcPr>
            <w:tcW w:w="1597" w:type="dxa"/>
            <w:tcBorders>
              <w:top w:val="nil"/>
              <w:left w:val="nil"/>
              <w:bottom w:val="single" w:sz="4" w:space="0" w:color="auto"/>
              <w:right w:val="single" w:sz="4" w:space="0" w:color="auto"/>
            </w:tcBorders>
            <w:shd w:val="clear" w:color="auto" w:fill="auto"/>
            <w:noWrap/>
            <w:vAlign w:val="center"/>
            <w:hideMark/>
          </w:tcPr>
          <w:p w14:paraId="2EC0F304"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521</w:t>
            </w:r>
          </w:p>
        </w:tc>
        <w:tc>
          <w:tcPr>
            <w:tcW w:w="1597" w:type="dxa"/>
            <w:tcBorders>
              <w:top w:val="nil"/>
              <w:left w:val="nil"/>
              <w:bottom w:val="single" w:sz="4" w:space="0" w:color="auto"/>
              <w:right w:val="single" w:sz="4" w:space="0" w:color="auto"/>
            </w:tcBorders>
            <w:shd w:val="clear" w:color="auto" w:fill="auto"/>
            <w:noWrap/>
            <w:vAlign w:val="center"/>
            <w:hideMark/>
          </w:tcPr>
          <w:p w14:paraId="3B37B6EC"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552</w:t>
            </w:r>
          </w:p>
        </w:tc>
        <w:tc>
          <w:tcPr>
            <w:tcW w:w="1598" w:type="dxa"/>
            <w:tcBorders>
              <w:top w:val="nil"/>
              <w:left w:val="nil"/>
              <w:bottom w:val="single" w:sz="4" w:space="0" w:color="auto"/>
              <w:right w:val="single" w:sz="4" w:space="0" w:color="auto"/>
            </w:tcBorders>
            <w:shd w:val="clear" w:color="auto" w:fill="auto"/>
            <w:noWrap/>
            <w:vAlign w:val="center"/>
            <w:hideMark/>
          </w:tcPr>
          <w:p w14:paraId="637146BC" w14:textId="77777777" w:rsidR="00DF328C" w:rsidRPr="00B13812" w:rsidRDefault="00DF328C" w:rsidP="00DF328C">
            <w:pPr>
              <w:spacing w:after="0" w:line="240" w:lineRule="auto"/>
              <w:jc w:val="right"/>
              <w:rPr>
                <w:sz w:val="24"/>
                <w:lang w:val="fr-CA" w:eastAsia="en-CA"/>
              </w:rPr>
            </w:pPr>
            <w:r w:rsidRPr="00B13812">
              <w:rPr>
                <w:sz w:val="24"/>
                <w:lang w:val="fr-CA" w:eastAsia="en-CA"/>
              </w:rPr>
              <w:t>1 073</w:t>
            </w:r>
          </w:p>
        </w:tc>
      </w:tr>
      <w:tr w:rsidR="00DF328C" w:rsidRPr="00B13812" w14:paraId="424B1027"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3355DF2" w14:textId="77777777" w:rsidR="00DF328C" w:rsidRPr="00B13812" w:rsidRDefault="00DF328C" w:rsidP="00DF328C">
            <w:pPr>
              <w:spacing w:after="0" w:line="240" w:lineRule="auto"/>
              <w:rPr>
                <w:sz w:val="24"/>
                <w:lang w:val="fr-CA" w:eastAsia="en-CA"/>
              </w:rPr>
            </w:pPr>
            <w:r w:rsidRPr="00B13812">
              <w:rPr>
                <w:sz w:val="24"/>
                <w:lang w:val="fr-CA" w:eastAsia="en-CA"/>
              </w:rPr>
              <w:t>M</w:t>
            </w:r>
            <w:r>
              <w:rPr>
                <w:sz w:val="24"/>
                <w:lang w:val="fr-CA" w:eastAsia="en-CA"/>
              </w:rPr>
              <w:t>aurice</w:t>
            </w:r>
          </w:p>
        </w:tc>
        <w:tc>
          <w:tcPr>
            <w:tcW w:w="1597" w:type="dxa"/>
            <w:tcBorders>
              <w:top w:val="nil"/>
              <w:left w:val="nil"/>
              <w:bottom w:val="single" w:sz="4" w:space="0" w:color="auto"/>
              <w:right w:val="single" w:sz="4" w:space="0" w:color="auto"/>
            </w:tcBorders>
            <w:shd w:val="clear" w:color="auto" w:fill="auto"/>
            <w:noWrap/>
            <w:vAlign w:val="center"/>
            <w:hideMark/>
          </w:tcPr>
          <w:p w14:paraId="3161B753"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012</w:t>
            </w:r>
          </w:p>
        </w:tc>
        <w:tc>
          <w:tcPr>
            <w:tcW w:w="1597" w:type="dxa"/>
            <w:tcBorders>
              <w:top w:val="nil"/>
              <w:left w:val="nil"/>
              <w:bottom w:val="single" w:sz="4" w:space="0" w:color="auto"/>
              <w:right w:val="single" w:sz="4" w:space="0" w:color="auto"/>
            </w:tcBorders>
            <w:shd w:val="clear" w:color="auto" w:fill="auto"/>
            <w:noWrap/>
            <w:vAlign w:val="center"/>
            <w:hideMark/>
          </w:tcPr>
          <w:p w14:paraId="0CC2BDA7"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022</w:t>
            </w:r>
          </w:p>
        </w:tc>
        <w:tc>
          <w:tcPr>
            <w:tcW w:w="1597" w:type="dxa"/>
            <w:tcBorders>
              <w:top w:val="nil"/>
              <w:left w:val="nil"/>
              <w:bottom w:val="single" w:sz="4" w:space="0" w:color="auto"/>
              <w:right w:val="single" w:sz="4" w:space="0" w:color="auto"/>
            </w:tcBorders>
            <w:shd w:val="clear" w:color="auto" w:fill="auto"/>
            <w:noWrap/>
            <w:vAlign w:val="center"/>
            <w:hideMark/>
          </w:tcPr>
          <w:p w14:paraId="25F279A0"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390</w:t>
            </w:r>
          </w:p>
        </w:tc>
        <w:tc>
          <w:tcPr>
            <w:tcW w:w="1597" w:type="dxa"/>
            <w:tcBorders>
              <w:top w:val="nil"/>
              <w:left w:val="nil"/>
              <w:bottom w:val="single" w:sz="4" w:space="0" w:color="auto"/>
              <w:right w:val="single" w:sz="4" w:space="0" w:color="auto"/>
            </w:tcBorders>
            <w:shd w:val="clear" w:color="auto" w:fill="auto"/>
            <w:noWrap/>
            <w:vAlign w:val="center"/>
            <w:hideMark/>
          </w:tcPr>
          <w:p w14:paraId="6230AD50"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414</w:t>
            </w:r>
          </w:p>
        </w:tc>
        <w:tc>
          <w:tcPr>
            <w:tcW w:w="1598" w:type="dxa"/>
            <w:tcBorders>
              <w:top w:val="nil"/>
              <w:left w:val="nil"/>
              <w:bottom w:val="single" w:sz="4" w:space="0" w:color="auto"/>
              <w:right w:val="single" w:sz="4" w:space="0" w:color="auto"/>
            </w:tcBorders>
            <w:shd w:val="clear" w:color="auto" w:fill="auto"/>
            <w:noWrap/>
            <w:vAlign w:val="center"/>
            <w:hideMark/>
          </w:tcPr>
          <w:p w14:paraId="0075CD21" w14:textId="77777777" w:rsidR="00DF328C" w:rsidRPr="00B13812" w:rsidRDefault="00DF328C" w:rsidP="00DF328C">
            <w:pPr>
              <w:spacing w:after="0" w:line="240" w:lineRule="auto"/>
              <w:jc w:val="right"/>
              <w:rPr>
                <w:sz w:val="24"/>
                <w:lang w:val="fr-CA" w:eastAsia="en-CA"/>
              </w:rPr>
            </w:pPr>
            <w:r w:rsidRPr="00B13812">
              <w:rPr>
                <w:sz w:val="24"/>
                <w:lang w:val="fr-CA" w:eastAsia="en-CA"/>
              </w:rPr>
              <w:t>804</w:t>
            </w:r>
          </w:p>
        </w:tc>
      </w:tr>
      <w:tr w:rsidR="00DF328C" w:rsidRPr="00B13812" w14:paraId="076C5E8B"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4B7859B" w14:textId="77777777" w:rsidR="00DF328C" w:rsidRPr="00B13812" w:rsidRDefault="00DF328C" w:rsidP="00DF328C">
            <w:pPr>
              <w:spacing w:after="0" w:line="240" w:lineRule="auto"/>
              <w:rPr>
                <w:sz w:val="24"/>
                <w:lang w:val="fr-CA" w:eastAsia="en-CA"/>
              </w:rPr>
            </w:pPr>
            <w:r w:rsidRPr="00B13812">
              <w:rPr>
                <w:sz w:val="24"/>
                <w:lang w:val="fr-CA" w:eastAsia="en-CA"/>
              </w:rPr>
              <w:t>Mauritani</w:t>
            </w:r>
            <w:r>
              <w:rPr>
                <w:sz w:val="24"/>
                <w:lang w:val="fr-CA" w:eastAsia="en-CA"/>
              </w:rPr>
              <w:t>e</w:t>
            </w:r>
          </w:p>
        </w:tc>
        <w:tc>
          <w:tcPr>
            <w:tcW w:w="1597" w:type="dxa"/>
            <w:tcBorders>
              <w:top w:val="nil"/>
              <w:left w:val="nil"/>
              <w:bottom w:val="single" w:sz="4" w:space="0" w:color="auto"/>
              <w:right w:val="single" w:sz="4" w:space="0" w:color="auto"/>
            </w:tcBorders>
            <w:shd w:val="clear" w:color="auto" w:fill="auto"/>
            <w:noWrap/>
            <w:vAlign w:val="center"/>
            <w:hideMark/>
          </w:tcPr>
          <w:p w14:paraId="1F8D5DA8"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0D4EC16A"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215EA8A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4778911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77620BD2" w14:textId="77777777" w:rsidR="00DF328C" w:rsidRPr="00B13812" w:rsidRDefault="00DF328C" w:rsidP="00DF328C">
            <w:pPr>
              <w:spacing w:after="0" w:line="240" w:lineRule="auto"/>
              <w:jc w:val="right"/>
              <w:rPr>
                <w:sz w:val="24"/>
                <w:lang w:val="fr-CA" w:eastAsia="en-CA"/>
              </w:rPr>
            </w:pPr>
            <w:r w:rsidRPr="00B13812">
              <w:rPr>
                <w:sz w:val="24"/>
                <w:lang w:val="fr-CA" w:eastAsia="en-CA"/>
              </w:rPr>
              <w:t>134</w:t>
            </w:r>
          </w:p>
        </w:tc>
      </w:tr>
      <w:tr w:rsidR="00DF328C" w:rsidRPr="00B13812" w14:paraId="2E7B6DCF"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373B9A9" w14:textId="77777777" w:rsidR="00DF328C" w:rsidRPr="00B13812" w:rsidRDefault="00DF328C" w:rsidP="00DF328C">
            <w:pPr>
              <w:spacing w:after="0" w:line="240" w:lineRule="auto"/>
              <w:rPr>
                <w:sz w:val="24"/>
                <w:lang w:val="fr-CA" w:eastAsia="en-CA"/>
              </w:rPr>
            </w:pPr>
            <w:r>
              <w:rPr>
                <w:sz w:val="24"/>
                <w:lang w:val="fr-CA" w:eastAsia="en-CA"/>
              </w:rPr>
              <w:t>Mexique</w:t>
            </w:r>
          </w:p>
        </w:tc>
        <w:tc>
          <w:tcPr>
            <w:tcW w:w="1597" w:type="dxa"/>
            <w:tcBorders>
              <w:top w:val="nil"/>
              <w:left w:val="nil"/>
              <w:bottom w:val="single" w:sz="4" w:space="0" w:color="auto"/>
              <w:right w:val="single" w:sz="4" w:space="0" w:color="auto"/>
            </w:tcBorders>
            <w:shd w:val="clear" w:color="auto" w:fill="auto"/>
            <w:noWrap/>
            <w:vAlign w:val="center"/>
            <w:hideMark/>
          </w:tcPr>
          <w:p w14:paraId="69A666F4" w14:textId="77777777" w:rsidR="00DF328C" w:rsidRPr="00B13812" w:rsidRDefault="00DF328C" w:rsidP="00DF328C">
            <w:pPr>
              <w:spacing w:after="0" w:line="240" w:lineRule="auto"/>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435</w:t>
            </w:r>
          </w:p>
        </w:tc>
        <w:tc>
          <w:tcPr>
            <w:tcW w:w="1597" w:type="dxa"/>
            <w:tcBorders>
              <w:top w:val="nil"/>
              <w:left w:val="nil"/>
              <w:bottom w:val="single" w:sz="4" w:space="0" w:color="auto"/>
              <w:right w:val="single" w:sz="4" w:space="0" w:color="auto"/>
            </w:tcBorders>
            <w:shd w:val="clear" w:color="auto" w:fill="auto"/>
            <w:noWrap/>
            <w:vAlign w:val="center"/>
            <w:hideMark/>
          </w:tcPr>
          <w:p w14:paraId="2FC88153" w14:textId="77777777" w:rsidR="00DF328C" w:rsidRPr="00B13812" w:rsidRDefault="00DF328C" w:rsidP="00DF328C">
            <w:pPr>
              <w:spacing w:after="0" w:line="240" w:lineRule="auto"/>
              <w:jc w:val="right"/>
              <w:rPr>
                <w:sz w:val="24"/>
                <w:lang w:val="fr-CA" w:eastAsia="en-CA"/>
              </w:rPr>
            </w:pPr>
            <w:r w:rsidRPr="00B13812">
              <w:rPr>
                <w:sz w:val="24"/>
                <w:lang w:val="fr-CA" w:eastAsia="en-CA"/>
              </w:rPr>
              <w:t>2</w:t>
            </w:r>
            <w:r>
              <w:rPr>
                <w:sz w:val="24"/>
                <w:lang w:val="fr-CA" w:eastAsia="en-CA"/>
              </w:rPr>
              <w:t>,</w:t>
            </w:r>
            <w:r w:rsidRPr="00B13812">
              <w:rPr>
                <w:sz w:val="24"/>
                <w:lang w:val="fr-CA" w:eastAsia="en-CA"/>
              </w:rPr>
              <w:t>651</w:t>
            </w:r>
          </w:p>
        </w:tc>
        <w:tc>
          <w:tcPr>
            <w:tcW w:w="1597" w:type="dxa"/>
            <w:tcBorders>
              <w:top w:val="nil"/>
              <w:left w:val="nil"/>
              <w:bottom w:val="single" w:sz="4" w:space="0" w:color="auto"/>
              <w:right w:val="single" w:sz="4" w:space="0" w:color="auto"/>
            </w:tcBorders>
            <w:shd w:val="clear" w:color="auto" w:fill="auto"/>
            <w:noWrap/>
            <w:vAlign w:val="center"/>
            <w:hideMark/>
          </w:tcPr>
          <w:p w14:paraId="3A160918"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46 691</w:t>
            </w:r>
          </w:p>
        </w:tc>
        <w:tc>
          <w:tcPr>
            <w:tcW w:w="1597" w:type="dxa"/>
            <w:tcBorders>
              <w:top w:val="nil"/>
              <w:left w:val="nil"/>
              <w:bottom w:val="single" w:sz="4" w:space="0" w:color="auto"/>
              <w:right w:val="single" w:sz="4" w:space="0" w:color="auto"/>
            </w:tcBorders>
            <w:shd w:val="clear" w:color="auto" w:fill="auto"/>
            <w:noWrap/>
            <w:vAlign w:val="center"/>
            <w:hideMark/>
          </w:tcPr>
          <w:p w14:paraId="7A67C38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49 511</w:t>
            </w:r>
          </w:p>
        </w:tc>
        <w:tc>
          <w:tcPr>
            <w:tcW w:w="1598" w:type="dxa"/>
            <w:tcBorders>
              <w:top w:val="nil"/>
              <w:left w:val="nil"/>
              <w:bottom w:val="single" w:sz="4" w:space="0" w:color="auto"/>
              <w:right w:val="single" w:sz="4" w:space="0" w:color="auto"/>
            </w:tcBorders>
            <w:shd w:val="clear" w:color="auto" w:fill="auto"/>
            <w:noWrap/>
            <w:vAlign w:val="center"/>
            <w:hideMark/>
          </w:tcPr>
          <w:p w14:paraId="79C5A5ED" w14:textId="77777777" w:rsidR="00DF328C" w:rsidRPr="00B13812" w:rsidRDefault="00DF328C" w:rsidP="00DF328C">
            <w:pPr>
              <w:spacing w:after="0" w:line="240" w:lineRule="auto"/>
              <w:jc w:val="right"/>
              <w:rPr>
                <w:sz w:val="24"/>
                <w:lang w:val="fr-CA" w:eastAsia="en-CA"/>
              </w:rPr>
            </w:pPr>
            <w:r w:rsidRPr="00B13812">
              <w:rPr>
                <w:sz w:val="24"/>
                <w:lang w:val="fr-CA" w:eastAsia="en-CA"/>
              </w:rPr>
              <w:t>96 202</w:t>
            </w:r>
          </w:p>
        </w:tc>
      </w:tr>
      <w:tr w:rsidR="00DF328C" w:rsidRPr="00B13812" w14:paraId="6B0513C4"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03069A7" w14:textId="77777777" w:rsidR="00DF328C" w:rsidRPr="00B13812" w:rsidRDefault="00DF328C" w:rsidP="00DF328C">
            <w:pPr>
              <w:spacing w:after="0" w:line="240" w:lineRule="auto"/>
              <w:rPr>
                <w:sz w:val="24"/>
                <w:lang w:val="fr-CA" w:eastAsia="en-CA"/>
              </w:rPr>
            </w:pPr>
            <w:r>
              <w:rPr>
                <w:sz w:val="24"/>
                <w:lang w:val="fr-CA" w:eastAsia="en-CA"/>
              </w:rPr>
              <w:t>Micronésie (États fédérés de)</w:t>
            </w:r>
          </w:p>
        </w:tc>
        <w:tc>
          <w:tcPr>
            <w:tcW w:w="1597" w:type="dxa"/>
            <w:tcBorders>
              <w:top w:val="nil"/>
              <w:left w:val="nil"/>
              <w:bottom w:val="single" w:sz="4" w:space="0" w:color="auto"/>
              <w:right w:val="single" w:sz="4" w:space="0" w:color="auto"/>
            </w:tcBorders>
            <w:shd w:val="clear" w:color="auto" w:fill="auto"/>
            <w:noWrap/>
            <w:vAlign w:val="center"/>
            <w:hideMark/>
          </w:tcPr>
          <w:p w14:paraId="6C520222"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2128C3B8"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33E93CF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15D3ADE3"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74C2AA1D"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40400D2B"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CD44282" w14:textId="77777777" w:rsidR="00DF328C" w:rsidRPr="00B13812" w:rsidRDefault="00DF328C" w:rsidP="00DF328C">
            <w:pPr>
              <w:spacing w:after="0" w:line="240" w:lineRule="auto"/>
              <w:rPr>
                <w:sz w:val="24"/>
                <w:lang w:val="fr-CA" w:eastAsia="en-CA"/>
              </w:rPr>
            </w:pPr>
            <w:r>
              <w:rPr>
                <w:sz w:val="24"/>
                <w:lang w:val="fr-CA" w:eastAsia="en-CA"/>
              </w:rPr>
              <w:t>Mongolie</w:t>
            </w:r>
          </w:p>
        </w:tc>
        <w:tc>
          <w:tcPr>
            <w:tcW w:w="1597" w:type="dxa"/>
            <w:tcBorders>
              <w:top w:val="nil"/>
              <w:left w:val="nil"/>
              <w:bottom w:val="single" w:sz="4" w:space="0" w:color="auto"/>
              <w:right w:val="single" w:sz="4" w:space="0" w:color="auto"/>
            </w:tcBorders>
            <w:shd w:val="clear" w:color="auto" w:fill="auto"/>
            <w:noWrap/>
            <w:vAlign w:val="center"/>
            <w:hideMark/>
          </w:tcPr>
          <w:p w14:paraId="36085C41"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005</w:t>
            </w:r>
          </w:p>
        </w:tc>
        <w:tc>
          <w:tcPr>
            <w:tcW w:w="1597" w:type="dxa"/>
            <w:tcBorders>
              <w:top w:val="nil"/>
              <w:left w:val="nil"/>
              <w:bottom w:val="single" w:sz="4" w:space="0" w:color="auto"/>
              <w:right w:val="single" w:sz="4" w:space="0" w:color="auto"/>
            </w:tcBorders>
            <w:shd w:val="clear" w:color="auto" w:fill="auto"/>
            <w:noWrap/>
            <w:vAlign w:val="center"/>
            <w:hideMark/>
          </w:tcPr>
          <w:p w14:paraId="79C7FA1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14:paraId="07D1FAF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14:paraId="1D9632B2"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14:paraId="2623A364" w14:textId="77777777" w:rsidR="00DF328C" w:rsidRPr="00B13812" w:rsidRDefault="00DF328C" w:rsidP="00DF328C">
            <w:pPr>
              <w:spacing w:after="0" w:line="240" w:lineRule="auto"/>
              <w:jc w:val="right"/>
              <w:rPr>
                <w:sz w:val="24"/>
                <w:lang w:val="fr-CA" w:eastAsia="en-CA"/>
              </w:rPr>
            </w:pPr>
            <w:r w:rsidRPr="00B13812">
              <w:rPr>
                <w:sz w:val="24"/>
                <w:lang w:val="fr-CA" w:eastAsia="en-CA"/>
              </w:rPr>
              <w:t>335</w:t>
            </w:r>
          </w:p>
        </w:tc>
      </w:tr>
      <w:tr w:rsidR="00DF328C" w:rsidRPr="00B13812" w14:paraId="648A4578"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445FC4A" w14:textId="77777777" w:rsidR="00DF328C" w:rsidRPr="00B13812" w:rsidRDefault="00DF328C" w:rsidP="00DF328C">
            <w:pPr>
              <w:spacing w:after="0" w:line="240" w:lineRule="auto"/>
              <w:rPr>
                <w:sz w:val="24"/>
                <w:lang w:val="fr-CA" w:eastAsia="en-CA"/>
              </w:rPr>
            </w:pPr>
            <w:r w:rsidRPr="00B13812">
              <w:rPr>
                <w:sz w:val="24"/>
                <w:lang w:val="fr-CA" w:eastAsia="en-CA"/>
              </w:rPr>
              <w:t>Mozambique</w:t>
            </w:r>
          </w:p>
        </w:tc>
        <w:tc>
          <w:tcPr>
            <w:tcW w:w="1597" w:type="dxa"/>
            <w:tcBorders>
              <w:top w:val="nil"/>
              <w:left w:val="nil"/>
              <w:bottom w:val="single" w:sz="4" w:space="0" w:color="auto"/>
              <w:right w:val="single" w:sz="4" w:space="0" w:color="auto"/>
            </w:tcBorders>
            <w:shd w:val="clear" w:color="auto" w:fill="auto"/>
            <w:noWrap/>
            <w:vAlign w:val="center"/>
            <w:hideMark/>
          </w:tcPr>
          <w:p w14:paraId="3BECA2A3"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0028158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14:paraId="1CCE3BA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2ED423B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1B6AA009" w14:textId="77777777" w:rsidR="00DF328C" w:rsidRPr="00B13812" w:rsidRDefault="00DF328C" w:rsidP="00DF328C">
            <w:pPr>
              <w:spacing w:after="0" w:line="240" w:lineRule="auto"/>
              <w:jc w:val="right"/>
              <w:rPr>
                <w:sz w:val="24"/>
                <w:lang w:val="fr-CA" w:eastAsia="en-CA"/>
              </w:rPr>
            </w:pPr>
            <w:r w:rsidRPr="00B13812">
              <w:rPr>
                <w:sz w:val="24"/>
                <w:lang w:val="fr-CA" w:eastAsia="en-CA"/>
              </w:rPr>
              <w:t>268</w:t>
            </w:r>
          </w:p>
        </w:tc>
      </w:tr>
      <w:tr w:rsidR="00DF328C" w:rsidRPr="00B13812" w14:paraId="75C9B2B2"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7980262" w14:textId="77777777" w:rsidR="00DF328C" w:rsidRPr="00B13812" w:rsidRDefault="00DF328C" w:rsidP="00DF328C">
            <w:pPr>
              <w:spacing w:after="0" w:line="240" w:lineRule="auto"/>
              <w:rPr>
                <w:sz w:val="24"/>
                <w:lang w:val="fr-CA" w:eastAsia="en-CA"/>
              </w:rPr>
            </w:pPr>
            <w:r w:rsidRPr="00B13812">
              <w:rPr>
                <w:sz w:val="24"/>
                <w:lang w:val="fr-CA" w:eastAsia="en-CA"/>
              </w:rPr>
              <w:t>Myanmar</w:t>
            </w:r>
          </w:p>
        </w:tc>
        <w:tc>
          <w:tcPr>
            <w:tcW w:w="1597" w:type="dxa"/>
            <w:tcBorders>
              <w:top w:val="nil"/>
              <w:left w:val="nil"/>
              <w:bottom w:val="single" w:sz="4" w:space="0" w:color="auto"/>
              <w:right w:val="single" w:sz="4" w:space="0" w:color="auto"/>
            </w:tcBorders>
            <w:shd w:val="clear" w:color="auto" w:fill="auto"/>
            <w:noWrap/>
            <w:vAlign w:val="center"/>
            <w:hideMark/>
          </w:tcPr>
          <w:p w14:paraId="0DA031C3"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55A1B63E"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37D94F67"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26C7E4F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5DA749DE" w14:textId="77777777" w:rsidR="00DF328C" w:rsidRPr="00B13812" w:rsidRDefault="00DF328C" w:rsidP="00DF328C">
            <w:pPr>
              <w:spacing w:after="0" w:line="240" w:lineRule="auto"/>
              <w:jc w:val="right"/>
              <w:rPr>
                <w:sz w:val="24"/>
                <w:lang w:val="fr-CA" w:eastAsia="en-CA"/>
              </w:rPr>
            </w:pPr>
            <w:r w:rsidRPr="00B13812">
              <w:rPr>
                <w:sz w:val="24"/>
                <w:lang w:val="fr-CA" w:eastAsia="en-CA"/>
              </w:rPr>
              <w:t>363</w:t>
            </w:r>
          </w:p>
        </w:tc>
      </w:tr>
      <w:tr w:rsidR="00DF328C" w:rsidRPr="00B13812" w14:paraId="4E42976B"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5D949D4" w14:textId="77777777" w:rsidR="00DF328C" w:rsidRPr="00B13812" w:rsidRDefault="00DF328C" w:rsidP="00DF328C">
            <w:pPr>
              <w:spacing w:after="0" w:line="240" w:lineRule="auto"/>
              <w:rPr>
                <w:sz w:val="24"/>
                <w:lang w:val="fr-CA" w:eastAsia="en-CA"/>
              </w:rPr>
            </w:pPr>
            <w:r>
              <w:rPr>
                <w:sz w:val="24"/>
                <w:lang w:val="fr-CA" w:eastAsia="en-CA"/>
              </w:rPr>
              <w:t>Namibie</w:t>
            </w:r>
          </w:p>
        </w:tc>
        <w:tc>
          <w:tcPr>
            <w:tcW w:w="1597" w:type="dxa"/>
            <w:tcBorders>
              <w:top w:val="nil"/>
              <w:left w:val="nil"/>
              <w:bottom w:val="single" w:sz="4" w:space="0" w:color="auto"/>
              <w:right w:val="single" w:sz="4" w:space="0" w:color="auto"/>
            </w:tcBorders>
            <w:shd w:val="clear" w:color="auto" w:fill="auto"/>
            <w:noWrap/>
            <w:vAlign w:val="center"/>
            <w:hideMark/>
          </w:tcPr>
          <w:p w14:paraId="0BF22AE7"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64648E12"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018</w:t>
            </w:r>
          </w:p>
        </w:tc>
        <w:tc>
          <w:tcPr>
            <w:tcW w:w="1597" w:type="dxa"/>
            <w:tcBorders>
              <w:top w:val="nil"/>
              <w:left w:val="nil"/>
              <w:bottom w:val="single" w:sz="4" w:space="0" w:color="auto"/>
              <w:right w:val="single" w:sz="4" w:space="0" w:color="auto"/>
            </w:tcBorders>
            <w:shd w:val="clear" w:color="auto" w:fill="auto"/>
            <w:noWrap/>
            <w:vAlign w:val="center"/>
            <w:hideMark/>
          </w:tcPr>
          <w:p w14:paraId="00AB448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325</w:t>
            </w:r>
          </w:p>
        </w:tc>
        <w:tc>
          <w:tcPr>
            <w:tcW w:w="1597" w:type="dxa"/>
            <w:tcBorders>
              <w:top w:val="nil"/>
              <w:left w:val="nil"/>
              <w:bottom w:val="single" w:sz="4" w:space="0" w:color="auto"/>
              <w:right w:val="single" w:sz="4" w:space="0" w:color="auto"/>
            </w:tcBorders>
            <w:shd w:val="clear" w:color="auto" w:fill="auto"/>
            <w:noWrap/>
            <w:vAlign w:val="center"/>
            <w:hideMark/>
          </w:tcPr>
          <w:p w14:paraId="457179F0"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345</w:t>
            </w:r>
          </w:p>
        </w:tc>
        <w:tc>
          <w:tcPr>
            <w:tcW w:w="1598" w:type="dxa"/>
            <w:tcBorders>
              <w:top w:val="nil"/>
              <w:left w:val="nil"/>
              <w:bottom w:val="single" w:sz="4" w:space="0" w:color="auto"/>
              <w:right w:val="single" w:sz="4" w:space="0" w:color="auto"/>
            </w:tcBorders>
            <w:shd w:val="clear" w:color="auto" w:fill="auto"/>
            <w:noWrap/>
            <w:vAlign w:val="center"/>
            <w:hideMark/>
          </w:tcPr>
          <w:p w14:paraId="2D5FC62E" w14:textId="77777777" w:rsidR="00DF328C" w:rsidRPr="00B13812" w:rsidRDefault="00DF328C" w:rsidP="00DF328C">
            <w:pPr>
              <w:spacing w:after="0" w:line="240" w:lineRule="auto"/>
              <w:jc w:val="right"/>
              <w:rPr>
                <w:sz w:val="24"/>
                <w:lang w:val="fr-CA" w:eastAsia="en-CA"/>
              </w:rPr>
            </w:pPr>
            <w:r w:rsidRPr="00B13812">
              <w:rPr>
                <w:sz w:val="24"/>
                <w:lang w:val="fr-CA" w:eastAsia="en-CA"/>
              </w:rPr>
              <w:t>670</w:t>
            </w:r>
          </w:p>
        </w:tc>
      </w:tr>
      <w:tr w:rsidR="00DF328C" w:rsidRPr="00B13812" w14:paraId="0B843308"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BB7D35D" w14:textId="77777777" w:rsidR="00DF328C" w:rsidRPr="00B13812" w:rsidRDefault="00DF328C" w:rsidP="00DF328C">
            <w:pPr>
              <w:spacing w:after="0" w:line="240" w:lineRule="auto"/>
              <w:rPr>
                <w:sz w:val="24"/>
                <w:lang w:val="fr-CA" w:eastAsia="en-CA"/>
              </w:rPr>
            </w:pPr>
            <w:r w:rsidRPr="00B13812">
              <w:rPr>
                <w:sz w:val="24"/>
                <w:lang w:val="fr-CA" w:eastAsia="en-CA"/>
              </w:rPr>
              <w:t>Niger</w:t>
            </w:r>
          </w:p>
        </w:tc>
        <w:tc>
          <w:tcPr>
            <w:tcW w:w="1597" w:type="dxa"/>
            <w:tcBorders>
              <w:top w:val="nil"/>
              <w:left w:val="nil"/>
              <w:bottom w:val="single" w:sz="4" w:space="0" w:color="auto"/>
              <w:right w:val="single" w:sz="4" w:space="0" w:color="auto"/>
            </w:tcBorders>
            <w:shd w:val="clear" w:color="auto" w:fill="auto"/>
            <w:noWrap/>
            <w:vAlign w:val="center"/>
            <w:hideMark/>
          </w:tcPr>
          <w:p w14:paraId="06347B6B"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266F6940"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1B258AA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0A43F5D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6C3A16A9" w14:textId="77777777" w:rsidR="00DF328C" w:rsidRPr="00B13812" w:rsidRDefault="00DF328C" w:rsidP="00DF328C">
            <w:pPr>
              <w:spacing w:after="0" w:line="240" w:lineRule="auto"/>
              <w:jc w:val="right"/>
              <w:rPr>
                <w:sz w:val="24"/>
                <w:lang w:val="fr-CA" w:eastAsia="en-CA"/>
              </w:rPr>
            </w:pPr>
            <w:r w:rsidRPr="00B13812">
              <w:rPr>
                <w:sz w:val="24"/>
                <w:lang w:val="fr-CA" w:eastAsia="en-CA"/>
              </w:rPr>
              <w:t>134</w:t>
            </w:r>
          </w:p>
        </w:tc>
      </w:tr>
      <w:tr w:rsidR="00DF328C" w:rsidRPr="00B13812" w14:paraId="48923D7C"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9A66117" w14:textId="77777777" w:rsidR="00DF328C" w:rsidRPr="00B13812" w:rsidRDefault="00DF328C" w:rsidP="00DF328C">
            <w:pPr>
              <w:spacing w:after="0" w:line="240" w:lineRule="auto"/>
              <w:rPr>
                <w:sz w:val="24"/>
                <w:lang w:val="fr-CA" w:eastAsia="en-CA"/>
              </w:rPr>
            </w:pPr>
            <w:r>
              <w:rPr>
                <w:sz w:val="24"/>
                <w:lang w:val="fr-CA" w:eastAsia="en-CA"/>
              </w:rPr>
              <w:t>Norvège</w:t>
            </w:r>
          </w:p>
        </w:tc>
        <w:tc>
          <w:tcPr>
            <w:tcW w:w="1597" w:type="dxa"/>
            <w:tcBorders>
              <w:top w:val="nil"/>
              <w:left w:val="nil"/>
              <w:bottom w:val="single" w:sz="4" w:space="0" w:color="auto"/>
              <w:right w:val="single" w:sz="4" w:space="0" w:color="auto"/>
            </w:tcBorders>
            <w:shd w:val="clear" w:color="auto" w:fill="auto"/>
            <w:noWrap/>
            <w:vAlign w:val="center"/>
            <w:hideMark/>
          </w:tcPr>
          <w:p w14:paraId="2EE7AF7C"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849</w:t>
            </w:r>
          </w:p>
        </w:tc>
        <w:tc>
          <w:tcPr>
            <w:tcW w:w="1597" w:type="dxa"/>
            <w:tcBorders>
              <w:top w:val="nil"/>
              <w:left w:val="nil"/>
              <w:bottom w:val="single" w:sz="4" w:space="0" w:color="auto"/>
              <w:right w:val="single" w:sz="4" w:space="0" w:color="auto"/>
            </w:tcBorders>
            <w:shd w:val="clear" w:color="auto" w:fill="auto"/>
            <w:noWrap/>
            <w:vAlign w:val="center"/>
            <w:hideMark/>
          </w:tcPr>
          <w:p w14:paraId="0943F2C1" w14:textId="77777777" w:rsidR="00DF328C" w:rsidRPr="00B13812" w:rsidRDefault="00DF328C" w:rsidP="00DF328C">
            <w:pPr>
              <w:spacing w:after="0" w:line="240" w:lineRule="auto"/>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569</w:t>
            </w:r>
          </w:p>
        </w:tc>
        <w:tc>
          <w:tcPr>
            <w:tcW w:w="1597" w:type="dxa"/>
            <w:tcBorders>
              <w:top w:val="nil"/>
              <w:left w:val="nil"/>
              <w:bottom w:val="single" w:sz="4" w:space="0" w:color="auto"/>
              <w:right w:val="single" w:sz="4" w:space="0" w:color="auto"/>
            </w:tcBorders>
            <w:shd w:val="clear" w:color="auto" w:fill="auto"/>
            <w:noWrap/>
            <w:vAlign w:val="center"/>
            <w:hideMark/>
          </w:tcPr>
          <w:p w14:paraId="0EC48D44"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27 624</w:t>
            </w:r>
          </w:p>
        </w:tc>
        <w:tc>
          <w:tcPr>
            <w:tcW w:w="1597" w:type="dxa"/>
            <w:tcBorders>
              <w:top w:val="nil"/>
              <w:left w:val="nil"/>
              <w:bottom w:val="single" w:sz="4" w:space="0" w:color="auto"/>
              <w:right w:val="single" w:sz="4" w:space="0" w:color="auto"/>
            </w:tcBorders>
            <w:shd w:val="clear" w:color="auto" w:fill="auto"/>
            <w:noWrap/>
            <w:vAlign w:val="center"/>
            <w:hideMark/>
          </w:tcPr>
          <w:p w14:paraId="256C113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29 293</w:t>
            </w:r>
          </w:p>
        </w:tc>
        <w:tc>
          <w:tcPr>
            <w:tcW w:w="1598" w:type="dxa"/>
            <w:tcBorders>
              <w:top w:val="nil"/>
              <w:left w:val="nil"/>
              <w:bottom w:val="single" w:sz="4" w:space="0" w:color="auto"/>
              <w:right w:val="single" w:sz="4" w:space="0" w:color="auto"/>
            </w:tcBorders>
            <w:shd w:val="clear" w:color="auto" w:fill="auto"/>
            <w:noWrap/>
            <w:vAlign w:val="center"/>
            <w:hideMark/>
          </w:tcPr>
          <w:p w14:paraId="3DDC5413" w14:textId="77777777" w:rsidR="00DF328C" w:rsidRPr="00B13812" w:rsidRDefault="00DF328C" w:rsidP="00DF328C">
            <w:pPr>
              <w:spacing w:after="0" w:line="240" w:lineRule="auto"/>
              <w:jc w:val="right"/>
              <w:rPr>
                <w:sz w:val="24"/>
                <w:lang w:val="fr-CA" w:eastAsia="en-CA"/>
              </w:rPr>
            </w:pPr>
            <w:r w:rsidRPr="00B13812">
              <w:rPr>
                <w:sz w:val="24"/>
                <w:lang w:val="fr-CA" w:eastAsia="en-CA"/>
              </w:rPr>
              <w:t>56 917</w:t>
            </w:r>
          </w:p>
        </w:tc>
      </w:tr>
      <w:tr w:rsidR="00DF328C" w:rsidRPr="00B13812" w14:paraId="1D561813"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D4D9D0F" w14:textId="77777777" w:rsidR="00DF328C" w:rsidRPr="00B13812" w:rsidRDefault="00DF328C" w:rsidP="00DF328C">
            <w:pPr>
              <w:spacing w:after="0" w:line="240" w:lineRule="auto"/>
              <w:rPr>
                <w:sz w:val="24"/>
                <w:lang w:val="fr-CA" w:eastAsia="en-CA"/>
              </w:rPr>
            </w:pPr>
            <w:r>
              <w:rPr>
                <w:sz w:val="24"/>
                <w:lang w:val="fr-CA" w:eastAsia="en-CA"/>
              </w:rPr>
              <w:t>Ouganda</w:t>
            </w:r>
          </w:p>
        </w:tc>
        <w:tc>
          <w:tcPr>
            <w:tcW w:w="1597" w:type="dxa"/>
            <w:tcBorders>
              <w:top w:val="nil"/>
              <w:left w:val="nil"/>
              <w:bottom w:val="single" w:sz="4" w:space="0" w:color="auto"/>
              <w:right w:val="single" w:sz="4" w:space="0" w:color="auto"/>
            </w:tcBorders>
            <w:shd w:val="clear" w:color="auto" w:fill="auto"/>
            <w:noWrap/>
            <w:vAlign w:val="center"/>
            <w:hideMark/>
          </w:tcPr>
          <w:p w14:paraId="158F0837"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14:paraId="2B3AEF90"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0F052907"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5403B07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2C964EB4" w14:textId="77777777" w:rsidR="00DF328C" w:rsidRPr="00B13812" w:rsidRDefault="00DF328C" w:rsidP="00DF328C">
            <w:pPr>
              <w:spacing w:after="0" w:line="240" w:lineRule="auto"/>
              <w:jc w:val="right"/>
              <w:rPr>
                <w:sz w:val="24"/>
                <w:lang w:val="fr-CA" w:eastAsia="en-CA"/>
              </w:rPr>
            </w:pPr>
            <w:r w:rsidRPr="00B13812">
              <w:rPr>
                <w:sz w:val="24"/>
                <w:lang w:val="fr-CA" w:eastAsia="en-CA"/>
              </w:rPr>
              <w:t>363</w:t>
            </w:r>
          </w:p>
        </w:tc>
      </w:tr>
      <w:tr w:rsidR="00DF328C" w:rsidRPr="00B13812" w14:paraId="443514DB"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AE64BBA" w14:textId="77777777" w:rsidR="00DF328C" w:rsidRPr="00B13812" w:rsidRDefault="00DF328C" w:rsidP="00DF328C">
            <w:pPr>
              <w:spacing w:after="0" w:line="240" w:lineRule="auto"/>
              <w:rPr>
                <w:sz w:val="24"/>
                <w:lang w:val="fr-CA" w:eastAsia="en-CA"/>
              </w:rPr>
            </w:pPr>
            <w:r w:rsidRPr="00B13812">
              <w:rPr>
                <w:sz w:val="24"/>
                <w:lang w:val="fr-CA" w:eastAsia="en-CA"/>
              </w:rPr>
              <w:t>Pakistan</w:t>
            </w:r>
          </w:p>
        </w:tc>
        <w:tc>
          <w:tcPr>
            <w:tcW w:w="1597" w:type="dxa"/>
            <w:tcBorders>
              <w:top w:val="nil"/>
              <w:left w:val="nil"/>
              <w:bottom w:val="single" w:sz="4" w:space="0" w:color="auto"/>
              <w:right w:val="single" w:sz="4" w:space="0" w:color="auto"/>
            </w:tcBorders>
            <w:shd w:val="clear" w:color="auto" w:fill="auto"/>
            <w:noWrap/>
            <w:vAlign w:val="center"/>
            <w:hideMark/>
          </w:tcPr>
          <w:p w14:paraId="3FF3C23D"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093</w:t>
            </w:r>
          </w:p>
        </w:tc>
        <w:tc>
          <w:tcPr>
            <w:tcW w:w="1597" w:type="dxa"/>
            <w:tcBorders>
              <w:top w:val="nil"/>
              <w:left w:val="nil"/>
              <w:bottom w:val="single" w:sz="4" w:space="0" w:color="auto"/>
              <w:right w:val="single" w:sz="4" w:space="0" w:color="auto"/>
            </w:tcBorders>
            <w:shd w:val="clear" w:color="auto" w:fill="auto"/>
            <w:noWrap/>
            <w:vAlign w:val="center"/>
            <w:hideMark/>
          </w:tcPr>
          <w:p w14:paraId="056F6353"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172</w:t>
            </w:r>
          </w:p>
        </w:tc>
        <w:tc>
          <w:tcPr>
            <w:tcW w:w="1597" w:type="dxa"/>
            <w:tcBorders>
              <w:top w:val="nil"/>
              <w:left w:val="nil"/>
              <w:bottom w:val="single" w:sz="4" w:space="0" w:color="auto"/>
              <w:right w:val="single" w:sz="4" w:space="0" w:color="auto"/>
            </w:tcBorders>
            <w:shd w:val="clear" w:color="auto" w:fill="auto"/>
            <w:noWrap/>
            <w:vAlign w:val="center"/>
            <w:hideMark/>
          </w:tcPr>
          <w:p w14:paraId="1D420D5E"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3 026</w:t>
            </w:r>
          </w:p>
        </w:tc>
        <w:tc>
          <w:tcPr>
            <w:tcW w:w="1597" w:type="dxa"/>
            <w:tcBorders>
              <w:top w:val="nil"/>
              <w:left w:val="nil"/>
              <w:bottom w:val="single" w:sz="4" w:space="0" w:color="auto"/>
              <w:right w:val="single" w:sz="4" w:space="0" w:color="auto"/>
            </w:tcBorders>
            <w:shd w:val="clear" w:color="auto" w:fill="auto"/>
            <w:noWrap/>
            <w:vAlign w:val="center"/>
            <w:hideMark/>
          </w:tcPr>
          <w:p w14:paraId="0A079B0E"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3 209</w:t>
            </w:r>
          </w:p>
        </w:tc>
        <w:tc>
          <w:tcPr>
            <w:tcW w:w="1598" w:type="dxa"/>
            <w:tcBorders>
              <w:top w:val="nil"/>
              <w:left w:val="nil"/>
              <w:bottom w:val="single" w:sz="4" w:space="0" w:color="auto"/>
              <w:right w:val="single" w:sz="4" w:space="0" w:color="auto"/>
            </w:tcBorders>
            <w:shd w:val="clear" w:color="auto" w:fill="auto"/>
            <w:noWrap/>
            <w:vAlign w:val="center"/>
            <w:hideMark/>
          </w:tcPr>
          <w:p w14:paraId="60D41BA3" w14:textId="77777777" w:rsidR="00DF328C" w:rsidRPr="00B13812" w:rsidRDefault="00DF328C" w:rsidP="00DF328C">
            <w:pPr>
              <w:spacing w:after="0" w:line="240" w:lineRule="auto"/>
              <w:jc w:val="right"/>
              <w:rPr>
                <w:sz w:val="24"/>
                <w:lang w:val="fr-CA" w:eastAsia="en-CA"/>
              </w:rPr>
            </w:pPr>
            <w:r w:rsidRPr="00B13812">
              <w:rPr>
                <w:sz w:val="24"/>
                <w:lang w:val="fr-CA" w:eastAsia="en-CA"/>
              </w:rPr>
              <w:t>6 235</w:t>
            </w:r>
          </w:p>
        </w:tc>
      </w:tr>
      <w:tr w:rsidR="00DF328C" w:rsidRPr="00B13812" w14:paraId="681E7FC8"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36DEAD4" w14:textId="77777777" w:rsidR="00DF328C" w:rsidRPr="00B13812" w:rsidRDefault="00DF328C" w:rsidP="00DF328C">
            <w:pPr>
              <w:spacing w:after="0" w:line="240" w:lineRule="auto"/>
              <w:rPr>
                <w:sz w:val="24"/>
                <w:lang w:val="fr-CA" w:eastAsia="en-CA"/>
              </w:rPr>
            </w:pPr>
            <w:r w:rsidRPr="00B13812">
              <w:rPr>
                <w:sz w:val="24"/>
                <w:lang w:val="fr-CA" w:eastAsia="en-CA"/>
              </w:rPr>
              <w:t>Palau</w:t>
            </w:r>
          </w:p>
        </w:tc>
        <w:tc>
          <w:tcPr>
            <w:tcW w:w="1597" w:type="dxa"/>
            <w:tcBorders>
              <w:top w:val="nil"/>
              <w:left w:val="nil"/>
              <w:bottom w:val="single" w:sz="4" w:space="0" w:color="auto"/>
              <w:right w:val="single" w:sz="4" w:space="0" w:color="auto"/>
            </w:tcBorders>
            <w:shd w:val="clear" w:color="auto" w:fill="auto"/>
            <w:noWrap/>
            <w:vAlign w:val="center"/>
            <w:hideMark/>
          </w:tcPr>
          <w:p w14:paraId="6AD6959D"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453696A1"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5A3D7C39"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03D37977"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2E78D24"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3AA12459"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5191676" w14:textId="77777777" w:rsidR="00DF328C" w:rsidRPr="00B13812" w:rsidRDefault="00DF328C" w:rsidP="00DF328C">
            <w:pPr>
              <w:spacing w:after="0" w:line="240" w:lineRule="auto"/>
              <w:rPr>
                <w:sz w:val="24"/>
                <w:lang w:val="fr-CA" w:eastAsia="en-CA"/>
              </w:rPr>
            </w:pPr>
            <w:r w:rsidRPr="00B13812">
              <w:rPr>
                <w:sz w:val="24"/>
                <w:lang w:val="fr-CA" w:eastAsia="en-CA"/>
              </w:rPr>
              <w:t>Panama</w:t>
            </w:r>
          </w:p>
        </w:tc>
        <w:tc>
          <w:tcPr>
            <w:tcW w:w="1597" w:type="dxa"/>
            <w:tcBorders>
              <w:top w:val="nil"/>
              <w:left w:val="nil"/>
              <w:bottom w:val="single" w:sz="4" w:space="0" w:color="auto"/>
              <w:right w:val="single" w:sz="4" w:space="0" w:color="auto"/>
            </w:tcBorders>
            <w:shd w:val="clear" w:color="auto" w:fill="auto"/>
            <w:noWrap/>
            <w:vAlign w:val="center"/>
            <w:hideMark/>
          </w:tcPr>
          <w:p w14:paraId="5E7FA1E7"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034</w:t>
            </w:r>
          </w:p>
        </w:tc>
        <w:tc>
          <w:tcPr>
            <w:tcW w:w="1597" w:type="dxa"/>
            <w:tcBorders>
              <w:top w:val="nil"/>
              <w:left w:val="nil"/>
              <w:bottom w:val="single" w:sz="4" w:space="0" w:color="auto"/>
              <w:right w:val="single" w:sz="4" w:space="0" w:color="auto"/>
            </w:tcBorders>
            <w:shd w:val="clear" w:color="auto" w:fill="auto"/>
            <w:noWrap/>
            <w:vAlign w:val="center"/>
            <w:hideMark/>
          </w:tcPr>
          <w:p w14:paraId="617310A1"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063</w:t>
            </w:r>
          </w:p>
        </w:tc>
        <w:tc>
          <w:tcPr>
            <w:tcW w:w="1597" w:type="dxa"/>
            <w:tcBorders>
              <w:top w:val="nil"/>
              <w:left w:val="nil"/>
              <w:bottom w:val="single" w:sz="4" w:space="0" w:color="auto"/>
              <w:right w:val="single" w:sz="4" w:space="0" w:color="auto"/>
            </w:tcBorders>
            <w:shd w:val="clear" w:color="auto" w:fill="auto"/>
            <w:noWrap/>
            <w:vAlign w:val="center"/>
            <w:hideMark/>
          </w:tcPr>
          <w:p w14:paraId="1651D80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1 106</w:t>
            </w:r>
          </w:p>
        </w:tc>
        <w:tc>
          <w:tcPr>
            <w:tcW w:w="1597" w:type="dxa"/>
            <w:tcBorders>
              <w:top w:val="nil"/>
              <w:left w:val="nil"/>
              <w:bottom w:val="single" w:sz="4" w:space="0" w:color="auto"/>
              <w:right w:val="single" w:sz="4" w:space="0" w:color="auto"/>
            </w:tcBorders>
            <w:shd w:val="clear" w:color="auto" w:fill="auto"/>
            <w:noWrap/>
            <w:vAlign w:val="center"/>
            <w:hideMark/>
          </w:tcPr>
          <w:p w14:paraId="5CD9D28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1 173</w:t>
            </w:r>
          </w:p>
        </w:tc>
        <w:tc>
          <w:tcPr>
            <w:tcW w:w="1598" w:type="dxa"/>
            <w:tcBorders>
              <w:top w:val="nil"/>
              <w:left w:val="nil"/>
              <w:bottom w:val="single" w:sz="4" w:space="0" w:color="auto"/>
              <w:right w:val="single" w:sz="4" w:space="0" w:color="auto"/>
            </w:tcBorders>
            <w:shd w:val="clear" w:color="auto" w:fill="auto"/>
            <w:noWrap/>
            <w:vAlign w:val="center"/>
            <w:hideMark/>
          </w:tcPr>
          <w:p w14:paraId="2B6E1ED2" w14:textId="77777777" w:rsidR="00DF328C" w:rsidRPr="00B13812" w:rsidRDefault="00DF328C" w:rsidP="00DF328C">
            <w:pPr>
              <w:spacing w:after="0" w:line="240" w:lineRule="auto"/>
              <w:jc w:val="right"/>
              <w:rPr>
                <w:sz w:val="24"/>
                <w:lang w:val="fr-CA" w:eastAsia="en-CA"/>
              </w:rPr>
            </w:pPr>
            <w:r w:rsidRPr="00B13812">
              <w:rPr>
                <w:sz w:val="24"/>
                <w:lang w:val="fr-CA" w:eastAsia="en-CA"/>
              </w:rPr>
              <w:t>2 279</w:t>
            </w:r>
          </w:p>
        </w:tc>
      </w:tr>
      <w:tr w:rsidR="00DF328C" w:rsidRPr="00B13812" w14:paraId="5AD1A36A"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2FC3DCD" w14:textId="77777777" w:rsidR="00DF328C" w:rsidRPr="00B13812" w:rsidRDefault="00DF328C" w:rsidP="00DF328C">
            <w:pPr>
              <w:spacing w:after="0" w:line="240" w:lineRule="auto"/>
              <w:rPr>
                <w:sz w:val="24"/>
                <w:lang w:val="fr-CA" w:eastAsia="en-CA"/>
              </w:rPr>
            </w:pPr>
            <w:r>
              <w:rPr>
                <w:sz w:val="24"/>
                <w:lang w:val="fr-CA" w:eastAsia="en-CA"/>
              </w:rPr>
              <w:t>Pays-Bas</w:t>
            </w:r>
          </w:p>
        </w:tc>
        <w:tc>
          <w:tcPr>
            <w:tcW w:w="1597" w:type="dxa"/>
            <w:tcBorders>
              <w:top w:val="nil"/>
              <w:left w:val="nil"/>
              <w:bottom w:val="single" w:sz="4" w:space="0" w:color="auto"/>
              <w:right w:val="single" w:sz="4" w:space="0" w:color="auto"/>
            </w:tcBorders>
            <w:shd w:val="clear" w:color="auto" w:fill="auto"/>
            <w:noWrap/>
            <w:vAlign w:val="center"/>
            <w:hideMark/>
          </w:tcPr>
          <w:p w14:paraId="31DBC8A6" w14:textId="77777777" w:rsidR="00DF328C" w:rsidRPr="00B13812" w:rsidRDefault="00DF328C" w:rsidP="00DF328C">
            <w:pPr>
              <w:spacing w:after="0" w:line="240" w:lineRule="auto"/>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482</w:t>
            </w:r>
          </w:p>
        </w:tc>
        <w:tc>
          <w:tcPr>
            <w:tcW w:w="1597" w:type="dxa"/>
            <w:tcBorders>
              <w:top w:val="nil"/>
              <w:left w:val="nil"/>
              <w:bottom w:val="single" w:sz="4" w:space="0" w:color="auto"/>
              <w:right w:val="single" w:sz="4" w:space="0" w:color="auto"/>
            </w:tcBorders>
            <w:shd w:val="clear" w:color="auto" w:fill="auto"/>
            <w:noWrap/>
            <w:vAlign w:val="center"/>
            <w:hideMark/>
          </w:tcPr>
          <w:p w14:paraId="57AD66B7" w14:textId="77777777" w:rsidR="00DF328C" w:rsidRPr="00B13812" w:rsidRDefault="00DF328C" w:rsidP="00DF328C">
            <w:pPr>
              <w:spacing w:after="0" w:line="240" w:lineRule="auto"/>
              <w:jc w:val="right"/>
              <w:rPr>
                <w:sz w:val="24"/>
                <w:lang w:val="fr-CA" w:eastAsia="en-CA"/>
              </w:rPr>
            </w:pPr>
            <w:r w:rsidRPr="00B13812">
              <w:rPr>
                <w:sz w:val="24"/>
                <w:lang w:val="fr-CA" w:eastAsia="en-CA"/>
              </w:rPr>
              <w:t>2</w:t>
            </w:r>
            <w:r>
              <w:rPr>
                <w:sz w:val="24"/>
                <w:lang w:val="fr-CA" w:eastAsia="en-CA"/>
              </w:rPr>
              <w:t>,</w:t>
            </w:r>
            <w:r w:rsidRPr="00B13812">
              <w:rPr>
                <w:sz w:val="24"/>
                <w:lang w:val="fr-CA" w:eastAsia="en-CA"/>
              </w:rPr>
              <w:t>738</w:t>
            </w:r>
          </w:p>
        </w:tc>
        <w:tc>
          <w:tcPr>
            <w:tcW w:w="1597" w:type="dxa"/>
            <w:tcBorders>
              <w:top w:val="nil"/>
              <w:left w:val="nil"/>
              <w:bottom w:val="single" w:sz="4" w:space="0" w:color="auto"/>
              <w:right w:val="single" w:sz="4" w:space="0" w:color="auto"/>
            </w:tcBorders>
            <w:shd w:val="clear" w:color="auto" w:fill="auto"/>
            <w:noWrap/>
            <w:vAlign w:val="center"/>
            <w:hideMark/>
          </w:tcPr>
          <w:p w14:paraId="324A4F3A"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48 220</w:t>
            </w:r>
          </w:p>
        </w:tc>
        <w:tc>
          <w:tcPr>
            <w:tcW w:w="1597" w:type="dxa"/>
            <w:tcBorders>
              <w:top w:val="nil"/>
              <w:left w:val="nil"/>
              <w:bottom w:val="single" w:sz="4" w:space="0" w:color="auto"/>
              <w:right w:val="single" w:sz="4" w:space="0" w:color="auto"/>
            </w:tcBorders>
            <w:shd w:val="clear" w:color="auto" w:fill="auto"/>
            <w:noWrap/>
            <w:vAlign w:val="center"/>
            <w:hideMark/>
          </w:tcPr>
          <w:p w14:paraId="67CE284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51 133</w:t>
            </w:r>
          </w:p>
        </w:tc>
        <w:tc>
          <w:tcPr>
            <w:tcW w:w="1598" w:type="dxa"/>
            <w:tcBorders>
              <w:top w:val="nil"/>
              <w:left w:val="nil"/>
              <w:bottom w:val="single" w:sz="4" w:space="0" w:color="auto"/>
              <w:right w:val="single" w:sz="4" w:space="0" w:color="auto"/>
            </w:tcBorders>
            <w:shd w:val="clear" w:color="auto" w:fill="auto"/>
            <w:noWrap/>
            <w:vAlign w:val="center"/>
            <w:hideMark/>
          </w:tcPr>
          <w:p w14:paraId="6AEB2AB0" w14:textId="77777777" w:rsidR="00DF328C" w:rsidRPr="00B13812" w:rsidRDefault="00DF328C" w:rsidP="00DF328C">
            <w:pPr>
              <w:spacing w:after="0" w:line="240" w:lineRule="auto"/>
              <w:jc w:val="right"/>
              <w:rPr>
                <w:sz w:val="24"/>
                <w:lang w:val="fr-CA" w:eastAsia="en-CA"/>
              </w:rPr>
            </w:pPr>
            <w:r w:rsidRPr="00B13812">
              <w:rPr>
                <w:sz w:val="24"/>
                <w:lang w:val="fr-CA" w:eastAsia="en-CA"/>
              </w:rPr>
              <w:t>99 353</w:t>
            </w:r>
          </w:p>
        </w:tc>
      </w:tr>
      <w:tr w:rsidR="00DF328C" w:rsidRPr="00B13812" w14:paraId="5036120D"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776EE8D" w14:textId="77777777" w:rsidR="00DF328C" w:rsidRPr="00B13812" w:rsidRDefault="00DF328C" w:rsidP="00DF328C">
            <w:pPr>
              <w:spacing w:after="0" w:line="240" w:lineRule="auto"/>
              <w:rPr>
                <w:sz w:val="24"/>
                <w:lang w:val="fr-CA" w:eastAsia="en-CA"/>
              </w:rPr>
            </w:pPr>
            <w:r>
              <w:rPr>
                <w:sz w:val="24"/>
                <w:lang w:val="fr-CA" w:eastAsia="en-CA"/>
              </w:rPr>
              <w:t>Pérou</w:t>
            </w:r>
          </w:p>
        </w:tc>
        <w:tc>
          <w:tcPr>
            <w:tcW w:w="1597" w:type="dxa"/>
            <w:tcBorders>
              <w:top w:val="nil"/>
              <w:left w:val="nil"/>
              <w:bottom w:val="single" w:sz="4" w:space="0" w:color="auto"/>
              <w:right w:val="single" w:sz="4" w:space="0" w:color="auto"/>
            </w:tcBorders>
            <w:shd w:val="clear" w:color="auto" w:fill="auto"/>
            <w:noWrap/>
            <w:vAlign w:val="center"/>
            <w:hideMark/>
          </w:tcPr>
          <w:p w14:paraId="68AA7747"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136</w:t>
            </w:r>
          </w:p>
        </w:tc>
        <w:tc>
          <w:tcPr>
            <w:tcW w:w="1597" w:type="dxa"/>
            <w:tcBorders>
              <w:top w:val="nil"/>
              <w:left w:val="nil"/>
              <w:bottom w:val="single" w:sz="4" w:space="0" w:color="auto"/>
              <w:right w:val="single" w:sz="4" w:space="0" w:color="auto"/>
            </w:tcBorders>
            <w:shd w:val="clear" w:color="auto" w:fill="auto"/>
            <w:noWrap/>
            <w:vAlign w:val="center"/>
            <w:hideMark/>
          </w:tcPr>
          <w:p w14:paraId="6EAED9B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251</w:t>
            </w:r>
          </w:p>
        </w:tc>
        <w:tc>
          <w:tcPr>
            <w:tcW w:w="1597" w:type="dxa"/>
            <w:tcBorders>
              <w:top w:val="nil"/>
              <w:left w:val="nil"/>
              <w:bottom w:val="single" w:sz="4" w:space="0" w:color="auto"/>
              <w:right w:val="single" w:sz="4" w:space="0" w:color="auto"/>
            </w:tcBorders>
            <w:shd w:val="clear" w:color="auto" w:fill="auto"/>
            <w:noWrap/>
            <w:vAlign w:val="center"/>
            <w:hideMark/>
          </w:tcPr>
          <w:p w14:paraId="44E4775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4 425</w:t>
            </w:r>
          </w:p>
        </w:tc>
        <w:tc>
          <w:tcPr>
            <w:tcW w:w="1597" w:type="dxa"/>
            <w:tcBorders>
              <w:top w:val="nil"/>
              <w:left w:val="nil"/>
              <w:bottom w:val="single" w:sz="4" w:space="0" w:color="auto"/>
              <w:right w:val="single" w:sz="4" w:space="0" w:color="auto"/>
            </w:tcBorders>
            <w:shd w:val="clear" w:color="auto" w:fill="auto"/>
            <w:noWrap/>
            <w:vAlign w:val="center"/>
            <w:hideMark/>
          </w:tcPr>
          <w:p w14:paraId="0BC3F1BF"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4 692</w:t>
            </w:r>
          </w:p>
        </w:tc>
        <w:tc>
          <w:tcPr>
            <w:tcW w:w="1598" w:type="dxa"/>
            <w:tcBorders>
              <w:top w:val="nil"/>
              <w:left w:val="nil"/>
              <w:bottom w:val="single" w:sz="4" w:space="0" w:color="auto"/>
              <w:right w:val="single" w:sz="4" w:space="0" w:color="auto"/>
            </w:tcBorders>
            <w:shd w:val="clear" w:color="auto" w:fill="auto"/>
            <w:noWrap/>
            <w:vAlign w:val="center"/>
            <w:hideMark/>
          </w:tcPr>
          <w:p w14:paraId="771DE062" w14:textId="77777777" w:rsidR="00DF328C" w:rsidRPr="00B13812" w:rsidRDefault="00DF328C" w:rsidP="00DF328C">
            <w:pPr>
              <w:spacing w:after="0" w:line="240" w:lineRule="auto"/>
              <w:jc w:val="right"/>
              <w:rPr>
                <w:sz w:val="24"/>
                <w:lang w:val="fr-CA" w:eastAsia="en-CA"/>
              </w:rPr>
            </w:pPr>
            <w:r w:rsidRPr="00B13812">
              <w:rPr>
                <w:sz w:val="24"/>
                <w:lang w:val="fr-CA" w:eastAsia="en-CA"/>
              </w:rPr>
              <w:t>9 117</w:t>
            </w:r>
          </w:p>
        </w:tc>
      </w:tr>
      <w:tr w:rsidR="00DF328C" w:rsidRPr="00B13812" w14:paraId="4C775F5B"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55F5FB4" w14:textId="77777777" w:rsidR="00DF328C" w:rsidRPr="00B13812" w:rsidRDefault="00DF328C" w:rsidP="00DF328C">
            <w:pPr>
              <w:spacing w:after="0" w:line="240" w:lineRule="auto"/>
              <w:rPr>
                <w:sz w:val="24"/>
                <w:lang w:val="fr-CA" w:eastAsia="en-CA"/>
              </w:rPr>
            </w:pPr>
            <w:r w:rsidRPr="00B13812">
              <w:rPr>
                <w:sz w:val="24"/>
                <w:lang w:val="fr-CA" w:eastAsia="en-CA"/>
              </w:rPr>
              <w:lastRenderedPageBreak/>
              <w:t>Philippines</w:t>
            </w:r>
          </w:p>
        </w:tc>
        <w:tc>
          <w:tcPr>
            <w:tcW w:w="1597" w:type="dxa"/>
            <w:tcBorders>
              <w:top w:val="nil"/>
              <w:left w:val="nil"/>
              <w:bottom w:val="single" w:sz="4" w:space="0" w:color="auto"/>
              <w:right w:val="single" w:sz="4" w:space="0" w:color="auto"/>
            </w:tcBorders>
            <w:shd w:val="clear" w:color="auto" w:fill="auto"/>
            <w:noWrap/>
            <w:vAlign w:val="center"/>
            <w:hideMark/>
          </w:tcPr>
          <w:p w14:paraId="76E75434"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165</w:t>
            </w:r>
          </w:p>
        </w:tc>
        <w:tc>
          <w:tcPr>
            <w:tcW w:w="1597" w:type="dxa"/>
            <w:tcBorders>
              <w:top w:val="nil"/>
              <w:left w:val="nil"/>
              <w:bottom w:val="single" w:sz="4" w:space="0" w:color="auto"/>
              <w:right w:val="single" w:sz="4" w:space="0" w:color="auto"/>
            </w:tcBorders>
            <w:shd w:val="clear" w:color="auto" w:fill="auto"/>
            <w:noWrap/>
            <w:vAlign w:val="center"/>
            <w:hideMark/>
          </w:tcPr>
          <w:p w14:paraId="23964A99"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305</w:t>
            </w:r>
          </w:p>
        </w:tc>
        <w:tc>
          <w:tcPr>
            <w:tcW w:w="1597" w:type="dxa"/>
            <w:tcBorders>
              <w:top w:val="nil"/>
              <w:left w:val="nil"/>
              <w:bottom w:val="single" w:sz="4" w:space="0" w:color="auto"/>
              <w:right w:val="single" w:sz="4" w:space="0" w:color="auto"/>
            </w:tcBorders>
            <w:shd w:val="clear" w:color="auto" w:fill="auto"/>
            <w:noWrap/>
            <w:vAlign w:val="center"/>
            <w:hideMark/>
          </w:tcPr>
          <w:p w14:paraId="57B8A539"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5 369</w:t>
            </w:r>
          </w:p>
        </w:tc>
        <w:tc>
          <w:tcPr>
            <w:tcW w:w="1597" w:type="dxa"/>
            <w:tcBorders>
              <w:top w:val="nil"/>
              <w:left w:val="nil"/>
              <w:bottom w:val="single" w:sz="4" w:space="0" w:color="auto"/>
              <w:right w:val="single" w:sz="4" w:space="0" w:color="auto"/>
            </w:tcBorders>
            <w:shd w:val="clear" w:color="auto" w:fill="auto"/>
            <w:noWrap/>
            <w:vAlign w:val="center"/>
            <w:hideMark/>
          </w:tcPr>
          <w:p w14:paraId="61A76D26"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5 693</w:t>
            </w:r>
          </w:p>
        </w:tc>
        <w:tc>
          <w:tcPr>
            <w:tcW w:w="1598" w:type="dxa"/>
            <w:tcBorders>
              <w:top w:val="nil"/>
              <w:left w:val="nil"/>
              <w:bottom w:val="single" w:sz="4" w:space="0" w:color="auto"/>
              <w:right w:val="single" w:sz="4" w:space="0" w:color="auto"/>
            </w:tcBorders>
            <w:shd w:val="clear" w:color="auto" w:fill="auto"/>
            <w:noWrap/>
            <w:vAlign w:val="center"/>
            <w:hideMark/>
          </w:tcPr>
          <w:p w14:paraId="6F1324CB" w14:textId="77777777" w:rsidR="00DF328C" w:rsidRPr="00B13812" w:rsidRDefault="00DF328C" w:rsidP="00DF328C">
            <w:pPr>
              <w:spacing w:after="0" w:line="240" w:lineRule="auto"/>
              <w:jc w:val="right"/>
              <w:rPr>
                <w:sz w:val="24"/>
                <w:lang w:val="fr-CA" w:eastAsia="en-CA"/>
              </w:rPr>
            </w:pPr>
            <w:r w:rsidRPr="00B13812">
              <w:rPr>
                <w:sz w:val="24"/>
                <w:lang w:val="fr-CA" w:eastAsia="en-CA"/>
              </w:rPr>
              <w:t>11 062</w:t>
            </w:r>
          </w:p>
        </w:tc>
      </w:tr>
      <w:tr w:rsidR="00DF328C" w:rsidRPr="00B13812" w14:paraId="4AA98DE2"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A91F735" w14:textId="77777777" w:rsidR="00DF328C" w:rsidRPr="00B13812" w:rsidRDefault="00DF328C" w:rsidP="00DF328C">
            <w:pPr>
              <w:spacing w:after="0" w:line="240" w:lineRule="auto"/>
              <w:rPr>
                <w:sz w:val="24"/>
                <w:lang w:val="fr-CA" w:eastAsia="en-CA"/>
              </w:rPr>
            </w:pPr>
            <w:r w:rsidRPr="00B13812">
              <w:rPr>
                <w:sz w:val="24"/>
                <w:lang w:val="fr-CA" w:eastAsia="en-CA"/>
              </w:rPr>
              <w:t>Portugal</w:t>
            </w:r>
          </w:p>
        </w:tc>
        <w:tc>
          <w:tcPr>
            <w:tcW w:w="1597" w:type="dxa"/>
            <w:tcBorders>
              <w:top w:val="nil"/>
              <w:left w:val="nil"/>
              <w:bottom w:val="single" w:sz="4" w:space="0" w:color="auto"/>
              <w:right w:val="single" w:sz="4" w:space="0" w:color="auto"/>
            </w:tcBorders>
            <w:shd w:val="clear" w:color="auto" w:fill="auto"/>
            <w:noWrap/>
            <w:vAlign w:val="center"/>
            <w:hideMark/>
          </w:tcPr>
          <w:p w14:paraId="6CC57B3A"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392</w:t>
            </w:r>
          </w:p>
        </w:tc>
        <w:tc>
          <w:tcPr>
            <w:tcW w:w="1597" w:type="dxa"/>
            <w:tcBorders>
              <w:top w:val="nil"/>
              <w:left w:val="nil"/>
              <w:bottom w:val="single" w:sz="4" w:space="0" w:color="auto"/>
              <w:right w:val="single" w:sz="4" w:space="0" w:color="auto"/>
            </w:tcBorders>
            <w:shd w:val="clear" w:color="auto" w:fill="auto"/>
            <w:noWrap/>
            <w:vAlign w:val="center"/>
            <w:hideMark/>
          </w:tcPr>
          <w:p w14:paraId="6F154B24"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724</w:t>
            </w:r>
          </w:p>
        </w:tc>
        <w:tc>
          <w:tcPr>
            <w:tcW w:w="1597" w:type="dxa"/>
            <w:tcBorders>
              <w:top w:val="nil"/>
              <w:left w:val="nil"/>
              <w:bottom w:val="single" w:sz="4" w:space="0" w:color="auto"/>
              <w:right w:val="single" w:sz="4" w:space="0" w:color="auto"/>
            </w:tcBorders>
            <w:shd w:val="clear" w:color="auto" w:fill="auto"/>
            <w:noWrap/>
            <w:vAlign w:val="center"/>
            <w:hideMark/>
          </w:tcPr>
          <w:p w14:paraId="1EF093A6"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12 755</w:t>
            </w:r>
          </w:p>
        </w:tc>
        <w:tc>
          <w:tcPr>
            <w:tcW w:w="1597" w:type="dxa"/>
            <w:tcBorders>
              <w:top w:val="nil"/>
              <w:left w:val="nil"/>
              <w:bottom w:val="single" w:sz="4" w:space="0" w:color="auto"/>
              <w:right w:val="single" w:sz="4" w:space="0" w:color="auto"/>
            </w:tcBorders>
            <w:shd w:val="clear" w:color="auto" w:fill="auto"/>
            <w:noWrap/>
            <w:vAlign w:val="center"/>
            <w:hideMark/>
          </w:tcPr>
          <w:p w14:paraId="0E5D0C9E"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13 525</w:t>
            </w:r>
          </w:p>
        </w:tc>
        <w:tc>
          <w:tcPr>
            <w:tcW w:w="1598" w:type="dxa"/>
            <w:tcBorders>
              <w:top w:val="nil"/>
              <w:left w:val="nil"/>
              <w:bottom w:val="single" w:sz="4" w:space="0" w:color="auto"/>
              <w:right w:val="single" w:sz="4" w:space="0" w:color="auto"/>
            </w:tcBorders>
            <w:shd w:val="clear" w:color="auto" w:fill="auto"/>
            <w:noWrap/>
            <w:vAlign w:val="center"/>
            <w:hideMark/>
          </w:tcPr>
          <w:p w14:paraId="22B9BD8D" w14:textId="77777777" w:rsidR="00DF328C" w:rsidRPr="00B13812" w:rsidRDefault="00DF328C" w:rsidP="00DF328C">
            <w:pPr>
              <w:spacing w:after="0" w:line="240" w:lineRule="auto"/>
              <w:jc w:val="right"/>
              <w:rPr>
                <w:sz w:val="24"/>
                <w:lang w:val="fr-CA" w:eastAsia="en-CA"/>
              </w:rPr>
            </w:pPr>
            <w:r w:rsidRPr="00B13812">
              <w:rPr>
                <w:sz w:val="24"/>
                <w:lang w:val="fr-CA" w:eastAsia="en-CA"/>
              </w:rPr>
              <w:t>26 280</w:t>
            </w:r>
          </w:p>
        </w:tc>
      </w:tr>
      <w:tr w:rsidR="00DF328C" w:rsidRPr="00B13812" w14:paraId="0FA20B86"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5B4F1C3" w14:textId="77777777" w:rsidR="00DF328C" w:rsidRPr="00B13812" w:rsidRDefault="00DF328C" w:rsidP="00DF328C">
            <w:pPr>
              <w:spacing w:after="0" w:line="240" w:lineRule="auto"/>
              <w:rPr>
                <w:sz w:val="24"/>
                <w:lang w:val="fr-CA" w:eastAsia="en-CA"/>
              </w:rPr>
            </w:pPr>
            <w:r w:rsidRPr="00B13812">
              <w:rPr>
                <w:sz w:val="24"/>
                <w:lang w:val="fr-CA" w:eastAsia="en-CA"/>
              </w:rPr>
              <w:t>Qatar</w:t>
            </w:r>
          </w:p>
        </w:tc>
        <w:tc>
          <w:tcPr>
            <w:tcW w:w="1597" w:type="dxa"/>
            <w:tcBorders>
              <w:top w:val="nil"/>
              <w:left w:val="nil"/>
              <w:bottom w:val="single" w:sz="4" w:space="0" w:color="auto"/>
              <w:right w:val="single" w:sz="4" w:space="0" w:color="auto"/>
            </w:tcBorders>
            <w:shd w:val="clear" w:color="auto" w:fill="auto"/>
            <w:noWrap/>
            <w:vAlign w:val="center"/>
            <w:hideMark/>
          </w:tcPr>
          <w:p w14:paraId="69ABBDCC"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269</w:t>
            </w:r>
          </w:p>
        </w:tc>
        <w:tc>
          <w:tcPr>
            <w:tcW w:w="1597" w:type="dxa"/>
            <w:tcBorders>
              <w:top w:val="nil"/>
              <w:left w:val="nil"/>
              <w:bottom w:val="single" w:sz="4" w:space="0" w:color="auto"/>
              <w:right w:val="single" w:sz="4" w:space="0" w:color="auto"/>
            </w:tcBorders>
            <w:shd w:val="clear" w:color="auto" w:fill="auto"/>
            <w:noWrap/>
            <w:vAlign w:val="center"/>
            <w:hideMark/>
          </w:tcPr>
          <w:p w14:paraId="7C9D33E4"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497</w:t>
            </w:r>
          </w:p>
        </w:tc>
        <w:tc>
          <w:tcPr>
            <w:tcW w:w="1597" w:type="dxa"/>
            <w:tcBorders>
              <w:top w:val="nil"/>
              <w:left w:val="nil"/>
              <w:bottom w:val="single" w:sz="4" w:space="0" w:color="auto"/>
              <w:right w:val="single" w:sz="4" w:space="0" w:color="auto"/>
            </w:tcBorders>
            <w:shd w:val="clear" w:color="auto" w:fill="auto"/>
            <w:noWrap/>
            <w:vAlign w:val="center"/>
            <w:hideMark/>
          </w:tcPr>
          <w:p w14:paraId="35DCAA8A"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8 753</w:t>
            </w:r>
          </w:p>
        </w:tc>
        <w:tc>
          <w:tcPr>
            <w:tcW w:w="1597" w:type="dxa"/>
            <w:tcBorders>
              <w:top w:val="nil"/>
              <w:left w:val="nil"/>
              <w:bottom w:val="single" w:sz="4" w:space="0" w:color="auto"/>
              <w:right w:val="single" w:sz="4" w:space="0" w:color="auto"/>
            </w:tcBorders>
            <w:shd w:val="clear" w:color="auto" w:fill="auto"/>
            <w:noWrap/>
            <w:vAlign w:val="center"/>
            <w:hideMark/>
          </w:tcPr>
          <w:p w14:paraId="6D873B9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9 281</w:t>
            </w:r>
          </w:p>
        </w:tc>
        <w:tc>
          <w:tcPr>
            <w:tcW w:w="1598" w:type="dxa"/>
            <w:tcBorders>
              <w:top w:val="nil"/>
              <w:left w:val="nil"/>
              <w:bottom w:val="single" w:sz="4" w:space="0" w:color="auto"/>
              <w:right w:val="single" w:sz="4" w:space="0" w:color="auto"/>
            </w:tcBorders>
            <w:shd w:val="clear" w:color="auto" w:fill="auto"/>
            <w:noWrap/>
            <w:vAlign w:val="center"/>
            <w:hideMark/>
          </w:tcPr>
          <w:p w14:paraId="7805BFF5" w14:textId="77777777" w:rsidR="00DF328C" w:rsidRPr="00B13812" w:rsidRDefault="00DF328C" w:rsidP="00DF328C">
            <w:pPr>
              <w:spacing w:after="0" w:line="240" w:lineRule="auto"/>
              <w:jc w:val="right"/>
              <w:rPr>
                <w:sz w:val="24"/>
                <w:lang w:val="fr-CA" w:eastAsia="en-CA"/>
              </w:rPr>
            </w:pPr>
            <w:r w:rsidRPr="00B13812">
              <w:rPr>
                <w:sz w:val="24"/>
                <w:lang w:val="fr-CA" w:eastAsia="en-CA"/>
              </w:rPr>
              <w:t>18 034</w:t>
            </w:r>
          </w:p>
        </w:tc>
      </w:tr>
      <w:tr w:rsidR="00DF328C" w:rsidRPr="00B13812" w14:paraId="46335A2F"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6A0CE59" w14:textId="77777777" w:rsidR="00DF328C" w:rsidRPr="00B13812" w:rsidRDefault="00DF328C" w:rsidP="00DF328C">
            <w:pPr>
              <w:spacing w:after="0" w:line="240" w:lineRule="auto"/>
              <w:rPr>
                <w:sz w:val="24"/>
                <w:lang w:val="fr-CA" w:eastAsia="en-CA"/>
              </w:rPr>
            </w:pPr>
            <w:r>
              <w:rPr>
                <w:sz w:val="24"/>
                <w:lang w:val="fr-CA" w:eastAsia="en-CA"/>
              </w:rPr>
              <w:t>République arabe syrienne</w:t>
            </w:r>
          </w:p>
        </w:tc>
        <w:tc>
          <w:tcPr>
            <w:tcW w:w="1597" w:type="dxa"/>
            <w:tcBorders>
              <w:top w:val="nil"/>
              <w:left w:val="nil"/>
              <w:bottom w:val="single" w:sz="4" w:space="0" w:color="auto"/>
              <w:right w:val="single" w:sz="4" w:space="0" w:color="auto"/>
            </w:tcBorders>
            <w:shd w:val="clear" w:color="auto" w:fill="auto"/>
            <w:noWrap/>
            <w:vAlign w:val="center"/>
            <w:hideMark/>
          </w:tcPr>
          <w:p w14:paraId="72190EC9"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024</w:t>
            </w:r>
          </w:p>
        </w:tc>
        <w:tc>
          <w:tcPr>
            <w:tcW w:w="1597" w:type="dxa"/>
            <w:tcBorders>
              <w:top w:val="nil"/>
              <w:left w:val="nil"/>
              <w:bottom w:val="single" w:sz="4" w:space="0" w:color="auto"/>
              <w:right w:val="single" w:sz="4" w:space="0" w:color="auto"/>
            </w:tcBorders>
            <w:shd w:val="clear" w:color="auto" w:fill="auto"/>
            <w:noWrap/>
            <w:vAlign w:val="center"/>
            <w:hideMark/>
          </w:tcPr>
          <w:p w14:paraId="465928C9"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044</w:t>
            </w:r>
          </w:p>
        </w:tc>
        <w:tc>
          <w:tcPr>
            <w:tcW w:w="1597" w:type="dxa"/>
            <w:tcBorders>
              <w:top w:val="nil"/>
              <w:left w:val="nil"/>
              <w:bottom w:val="single" w:sz="4" w:space="0" w:color="auto"/>
              <w:right w:val="single" w:sz="4" w:space="0" w:color="auto"/>
            </w:tcBorders>
            <w:shd w:val="clear" w:color="auto" w:fill="auto"/>
            <w:noWrap/>
            <w:vAlign w:val="center"/>
            <w:hideMark/>
          </w:tcPr>
          <w:p w14:paraId="657E72EC"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781</w:t>
            </w:r>
          </w:p>
        </w:tc>
        <w:tc>
          <w:tcPr>
            <w:tcW w:w="1597" w:type="dxa"/>
            <w:tcBorders>
              <w:top w:val="nil"/>
              <w:left w:val="nil"/>
              <w:bottom w:val="single" w:sz="4" w:space="0" w:color="auto"/>
              <w:right w:val="single" w:sz="4" w:space="0" w:color="auto"/>
            </w:tcBorders>
            <w:shd w:val="clear" w:color="auto" w:fill="auto"/>
            <w:noWrap/>
            <w:vAlign w:val="center"/>
            <w:hideMark/>
          </w:tcPr>
          <w:p w14:paraId="3F0BA1A6"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828</w:t>
            </w:r>
          </w:p>
        </w:tc>
        <w:tc>
          <w:tcPr>
            <w:tcW w:w="1598" w:type="dxa"/>
            <w:tcBorders>
              <w:top w:val="nil"/>
              <w:left w:val="nil"/>
              <w:bottom w:val="single" w:sz="4" w:space="0" w:color="auto"/>
              <w:right w:val="single" w:sz="4" w:space="0" w:color="auto"/>
            </w:tcBorders>
            <w:shd w:val="clear" w:color="auto" w:fill="auto"/>
            <w:noWrap/>
            <w:vAlign w:val="center"/>
            <w:hideMark/>
          </w:tcPr>
          <w:p w14:paraId="3C4535F2" w14:textId="77777777" w:rsidR="00DF328C" w:rsidRPr="00B13812" w:rsidRDefault="00DF328C" w:rsidP="00DF328C">
            <w:pPr>
              <w:spacing w:after="0" w:line="240" w:lineRule="auto"/>
              <w:jc w:val="right"/>
              <w:rPr>
                <w:sz w:val="24"/>
                <w:lang w:val="fr-CA" w:eastAsia="en-CA"/>
              </w:rPr>
            </w:pPr>
            <w:r w:rsidRPr="00B13812">
              <w:rPr>
                <w:sz w:val="24"/>
                <w:lang w:val="fr-CA" w:eastAsia="en-CA"/>
              </w:rPr>
              <w:t>1 609</w:t>
            </w:r>
          </w:p>
        </w:tc>
      </w:tr>
      <w:tr w:rsidR="00DF328C" w:rsidRPr="00B13812" w14:paraId="5D284DED"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B178BAD" w14:textId="77777777" w:rsidR="00DF328C" w:rsidRPr="00B13812" w:rsidRDefault="00DF328C" w:rsidP="00DF328C">
            <w:pPr>
              <w:spacing w:after="0" w:line="240" w:lineRule="auto"/>
              <w:rPr>
                <w:sz w:val="24"/>
                <w:lang w:val="fr-CA" w:eastAsia="en-CA"/>
              </w:rPr>
            </w:pPr>
            <w:r>
              <w:rPr>
                <w:sz w:val="24"/>
                <w:lang w:val="fr-CA" w:eastAsia="en-CA"/>
              </w:rPr>
              <w:t>République centrafricaine</w:t>
            </w:r>
          </w:p>
        </w:tc>
        <w:tc>
          <w:tcPr>
            <w:tcW w:w="1597" w:type="dxa"/>
            <w:tcBorders>
              <w:top w:val="nil"/>
              <w:left w:val="nil"/>
              <w:bottom w:val="single" w:sz="4" w:space="0" w:color="auto"/>
              <w:right w:val="single" w:sz="4" w:space="0" w:color="auto"/>
            </w:tcBorders>
            <w:shd w:val="clear" w:color="auto" w:fill="auto"/>
            <w:noWrap/>
            <w:vAlign w:val="center"/>
            <w:hideMark/>
          </w:tcPr>
          <w:p w14:paraId="1156341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3318C101"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57B0FFC1"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3C507863"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76274FAB"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50636CA5"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E427235" w14:textId="77777777" w:rsidR="00DF328C" w:rsidRPr="00B13812" w:rsidRDefault="00DF328C" w:rsidP="00DF328C">
            <w:pPr>
              <w:spacing w:after="0" w:line="240" w:lineRule="auto"/>
              <w:rPr>
                <w:sz w:val="24"/>
                <w:lang w:val="fr-CA" w:eastAsia="en-CA"/>
              </w:rPr>
            </w:pPr>
            <w:r>
              <w:rPr>
                <w:sz w:val="24"/>
                <w:lang w:val="fr-CA" w:eastAsia="en-CA"/>
              </w:rPr>
              <w:t>République de Corée</w:t>
            </w:r>
          </w:p>
        </w:tc>
        <w:tc>
          <w:tcPr>
            <w:tcW w:w="1597" w:type="dxa"/>
            <w:tcBorders>
              <w:top w:val="nil"/>
              <w:left w:val="nil"/>
              <w:bottom w:val="single" w:sz="4" w:space="0" w:color="auto"/>
              <w:right w:val="single" w:sz="4" w:space="0" w:color="auto"/>
            </w:tcBorders>
            <w:shd w:val="clear" w:color="auto" w:fill="auto"/>
            <w:noWrap/>
            <w:vAlign w:val="center"/>
            <w:hideMark/>
          </w:tcPr>
          <w:p w14:paraId="062457CA" w14:textId="77777777" w:rsidR="00DF328C" w:rsidRPr="00B13812" w:rsidRDefault="00DF328C" w:rsidP="00DF328C">
            <w:pPr>
              <w:spacing w:after="0" w:line="240" w:lineRule="auto"/>
              <w:jc w:val="right"/>
              <w:rPr>
                <w:sz w:val="24"/>
                <w:lang w:val="fr-CA" w:eastAsia="en-CA"/>
              </w:rPr>
            </w:pPr>
            <w:r w:rsidRPr="00B13812">
              <w:rPr>
                <w:sz w:val="24"/>
                <w:lang w:val="fr-CA" w:eastAsia="en-CA"/>
              </w:rPr>
              <w:t>2</w:t>
            </w:r>
            <w:r>
              <w:rPr>
                <w:sz w:val="24"/>
                <w:lang w:val="fr-CA" w:eastAsia="en-CA"/>
              </w:rPr>
              <w:t>,</w:t>
            </w:r>
            <w:r w:rsidRPr="00B13812">
              <w:rPr>
                <w:sz w:val="24"/>
                <w:lang w:val="fr-CA" w:eastAsia="en-CA"/>
              </w:rPr>
              <w:t>039</w:t>
            </w:r>
          </w:p>
        </w:tc>
        <w:tc>
          <w:tcPr>
            <w:tcW w:w="1597" w:type="dxa"/>
            <w:tcBorders>
              <w:top w:val="nil"/>
              <w:left w:val="nil"/>
              <w:bottom w:val="single" w:sz="4" w:space="0" w:color="auto"/>
              <w:right w:val="single" w:sz="4" w:space="0" w:color="auto"/>
            </w:tcBorders>
            <w:shd w:val="clear" w:color="auto" w:fill="auto"/>
            <w:noWrap/>
            <w:vAlign w:val="center"/>
            <w:hideMark/>
          </w:tcPr>
          <w:p w14:paraId="3B488FAA" w14:textId="77777777" w:rsidR="00DF328C" w:rsidRPr="00B13812" w:rsidRDefault="00DF328C" w:rsidP="00DF328C">
            <w:pPr>
              <w:spacing w:after="0" w:line="240" w:lineRule="auto"/>
              <w:jc w:val="right"/>
              <w:rPr>
                <w:sz w:val="24"/>
                <w:lang w:val="fr-CA" w:eastAsia="en-CA"/>
              </w:rPr>
            </w:pPr>
            <w:r w:rsidRPr="00B13812">
              <w:rPr>
                <w:sz w:val="24"/>
                <w:lang w:val="fr-CA" w:eastAsia="en-CA"/>
              </w:rPr>
              <w:t>3</w:t>
            </w:r>
            <w:r>
              <w:rPr>
                <w:sz w:val="24"/>
                <w:lang w:val="fr-CA" w:eastAsia="en-CA"/>
              </w:rPr>
              <w:t>,</w:t>
            </w:r>
            <w:r w:rsidRPr="00B13812">
              <w:rPr>
                <w:sz w:val="24"/>
                <w:lang w:val="fr-CA" w:eastAsia="en-CA"/>
              </w:rPr>
              <w:t>767</w:t>
            </w:r>
          </w:p>
        </w:tc>
        <w:tc>
          <w:tcPr>
            <w:tcW w:w="1597" w:type="dxa"/>
            <w:tcBorders>
              <w:top w:val="nil"/>
              <w:left w:val="nil"/>
              <w:bottom w:val="single" w:sz="4" w:space="0" w:color="auto"/>
              <w:right w:val="single" w:sz="4" w:space="0" w:color="auto"/>
            </w:tcBorders>
            <w:shd w:val="clear" w:color="auto" w:fill="auto"/>
            <w:noWrap/>
            <w:vAlign w:val="center"/>
            <w:hideMark/>
          </w:tcPr>
          <w:p w14:paraId="69BC37D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66 344</w:t>
            </w:r>
          </w:p>
        </w:tc>
        <w:tc>
          <w:tcPr>
            <w:tcW w:w="1597" w:type="dxa"/>
            <w:tcBorders>
              <w:top w:val="nil"/>
              <w:left w:val="nil"/>
              <w:bottom w:val="single" w:sz="4" w:space="0" w:color="auto"/>
              <w:right w:val="single" w:sz="4" w:space="0" w:color="auto"/>
            </w:tcBorders>
            <w:shd w:val="clear" w:color="auto" w:fill="auto"/>
            <w:noWrap/>
            <w:vAlign w:val="center"/>
            <w:hideMark/>
          </w:tcPr>
          <w:p w14:paraId="74B6E6BA"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70 351</w:t>
            </w:r>
          </w:p>
        </w:tc>
        <w:tc>
          <w:tcPr>
            <w:tcW w:w="1598" w:type="dxa"/>
            <w:tcBorders>
              <w:top w:val="nil"/>
              <w:left w:val="nil"/>
              <w:bottom w:val="single" w:sz="4" w:space="0" w:color="auto"/>
              <w:right w:val="single" w:sz="4" w:space="0" w:color="auto"/>
            </w:tcBorders>
            <w:shd w:val="clear" w:color="auto" w:fill="auto"/>
            <w:noWrap/>
            <w:vAlign w:val="center"/>
            <w:hideMark/>
          </w:tcPr>
          <w:p w14:paraId="27BE738B" w14:textId="77777777" w:rsidR="00DF328C" w:rsidRPr="00B13812" w:rsidRDefault="00DF328C" w:rsidP="00DF328C">
            <w:pPr>
              <w:spacing w:after="0" w:line="240" w:lineRule="auto"/>
              <w:jc w:val="right"/>
              <w:rPr>
                <w:sz w:val="24"/>
                <w:lang w:val="fr-CA" w:eastAsia="en-CA"/>
              </w:rPr>
            </w:pPr>
            <w:r w:rsidRPr="00B13812">
              <w:rPr>
                <w:sz w:val="24"/>
                <w:lang w:val="fr-CA" w:eastAsia="en-CA"/>
              </w:rPr>
              <w:t>136 695</w:t>
            </w:r>
          </w:p>
        </w:tc>
      </w:tr>
      <w:tr w:rsidR="00DF328C" w:rsidRPr="00B13812" w14:paraId="1133FC62" w14:textId="77777777" w:rsidTr="00DF328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BC4EB" w14:textId="77777777" w:rsidR="00DF328C" w:rsidRPr="00B13812" w:rsidRDefault="00DF328C" w:rsidP="00DF328C">
            <w:pPr>
              <w:spacing w:after="0" w:line="240" w:lineRule="auto"/>
              <w:rPr>
                <w:sz w:val="24"/>
                <w:lang w:val="fr-CA" w:eastAsia="en-CA"/>
              </w:rPr>
            </w:pPr>
            <w:r>
              <w:rPr>
                <w:sz w:val="24"/>
                <w:lang w:val="fr-CA" w:eastAsia="en-CA"/>
              </w:rPr>
              <w:t>République de Moldavie</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22CE301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5B175EC2"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007</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2A9B1D1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130</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1BB86C7A"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138</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0D264BBB" w14:textId="77777777" w:rsidR="00DF328C" w:rsidRPr="00B13812" w:rsidRDefault="00DF328C" w:rsidP="00DF328C">
            <w:pPr>
              <w:spacing w:after="0" w:line="240" w:lineRule="auto"/>
              <w:jc w:val="right"/>
              <w:rPr>
                <w:sz w:val="24"/>
                <w:lang w:val="fr-CA" w:eastAsia="en-CA"/>
              </w:rPr>
            </w:pPr>
            <w:r w:rsidRPr="00B13812">
              <w:rPr>
                <w:sz w:val="24"/>
                <w:lang w:val="fr-CA" w:eastAsia="en-CA"/>
              </w:rPr>
              <w:t>268</w:t>
            </w:r>
          </w:p>
        </w:tc>
      </w:tr>
      <w:tr w:rsidR="00DF328C" w:rsidRPr="00B13812" w14:paraId="5FE71238"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265FEF7" w14:textId="77777777" w:rsidR="00DF328C" w:rsidRPr="00B13812" w:rsidRDefault="00DF328C" w:rsidP="00DF328C">
            <w:pPr>
              <w:spacing w:after="0" w:line="240" w:lineRule="auto"/>
              <w:rPr>
                <w:sz w:val="24"/>
                <w:lang w:val="fr-CA" w:eastAsia="en-CA"/>
              </w:rPr>
            </w:pPr>
            <w:r>
              <w:rPr>
                <w:sz w:val="24"/>
                <w:lang w:val="fr-CA" w:eastAsia="en-CA"/>
              </w:rPr>
              <w:t>République démocratique du Congo</w:t>
            </w:r>
          </w:p>
        </w:tc>
        <w:tc>
          <w:tcPr>
            <w:tcW w:w="1597" w:type="dxa"/>
            <w:tcBorders>
              <w:top w:val="nil"/>
              <w:left w:val="nil"/>
              <w:bottom w:val="single" w:sz="4" w:space="0" w:color="auto"/>
              <w:right w:val="single" w:sz="4" w:space="0" w:color="auto"/>
            </w:tcBorders>
            <w:shd w:val="clear" w:color="auto" w:fill="auto"/>
            <w:noWrap/>
            <w:vAlign w:val="center"/>
            <w:hideMark/>
          </w:tcPr>
          <w:p w14:paraId="6DF3088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008</w:t>
            </w:r>
          </w:p>
        </w:tc>
        <w:tc>
          <w:tcPr>
            <w:tcW w:w="1597" w:type="dxa"/>
            <w:tcBorders>
              <w:top w:val="nil"/>
              <w:left w:val="nil"/>
              <w:bottom w:val="single" w:sz="4" w:space="0" w:color="auto"/>
              <w:right w:val="single" w:sz="4" w:space="0" w:color="auto"/>
            </w:tcBorders>
            <w:shd w:val="clear" w:color="auto" w:fill="auto"/>
            <w:noWrap/>
            <w:vAlign w:val="center"/>
            <w:hideMark/>
          </w:tcPr>
          <w:p w14:paraId="1F9AB866"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0DA0F20E"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7272C41F"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37DACC94" w14:textId="77777777" w:rsidR="00DF328C" w:rsidRPr="00B13812" w:rsidRDefault="00DF328C" w:rsidP="00DF328C">
            <w:pPr>
              <w:spacing w:after="0" w:line="240" w:lineRule="auto"/>
              <w:jc w:val="right"/>
              <w:rPr>
                <w:sz w:val="24"/>
                <w:lang w:val="fr-CA" w:eastAsia="en-CA"/>
              </w:rPr>
            </w:pPr>
            <w:r w:rsidRPr="00B13812">
              <w:rPr>
                <w:sz w:val="24"/>
                <w:lang w:val="fr-CA" w:eastAsia="en-CA"/>
              </w:rPr>
              <w:t>363</w:t>
            </w:r>
          </w:p>
        </w:tc>
      </w:tr>
      <w:tr w:rsidR="00DF328C" w:rsidRPr="00B13812" w14:paraId="262E37F6"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EB2E0FC" w14:textId="77777777" w:rsidR="00DF328C" w:rsidRPr="00B13812" w:rsidRDefault="00DF328C" w:rsidP="00DF328C">
            <w:pPr>
              <w:spacing w:after="0" w:line="240" w:lineRule="auto"/>
              <w:rPr>
                <w:sz w:val="24"/>
                <w:lang w:val="fr-CA" w:eastAsia="en-CA"/>
              </w:rPr>
            </w:pPr>
            <w:r>
              <w:rPr>
                <w:sz w:val="24"/>
                <w:lang w:val="fr-CA" w:eastAsia="en-CA"/>
              </w:rPr>
              <w:t>République démocratique populaire lao</w:t>
            </w:r>
          </w:p>
        </w:tc>
        <w:tc>
          <w:tcPr>
            <w:tcW w:w="1597" w:type="dxa"/>
            <w:tcBorders>
              <w:top w:val="nil"/>
              <w:left w:val="nil"/>
              <w:bottom w:val="single" w:sz="4" w:space="0" w:color="auto"/>
              <w:right w:val="single" w:sz="4" w:space="0" w:color="auto"/>
            </w:tcBorders>
            <w:shd w:val="clear" w:color="auto" w:fill="auto"/>
            <w:noWrap/>
            <w:vAlign w:val="center"/>
            <w:hideMark/>
          </w:tcPr>
          <w:p w14:paraId="6F6DF9F0"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003</w:t>
            </w:r>
          </w:p>
        </w:tc>
        <w:tc>
          <w:tcPr>
            <w:tcW w:w="1597" w:type="dxa"/>
            <w:tcBorders>
              <w:top w:val="nil"/>
              <w:left w:val="nil"/>
              <w:bottom w:val="single" w:sz="4" w:space="0" w:color="auto"/>
              <w:right w:val="single" w:sz="4" w:space="0" w:color="auto"/>
            </w:tcBorders>
            <w:shd w:val="clear" w:color="auto" w:fill="auto"/>
            <w:noWrap/>
            <w:vAlign w:val="center"/>
            <w:hideMark/>
          </w:tcPr>
          <w:p w14:paraId="691A569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006</w:t>
            </w:r>
          </w:p>
        </w:tc>
        <w:tc>
          <w:tcPr>
            <w:tcW w:w="1597" w:type="dxa"/>
            <w:tcBorders>
              <w:top w:val="nil"/>
              <w:left w:val="nil"/>
              <w:bottom w:val="single" w:sz="4" w:space="0" w:color="auto"/>
              <w:right w:val="single" w:sz="4" w:space="0" w:color="auto"/>
            </w:tcBorders>
            <w:shd w:val="clear" w:color="auto" w:fill="auto"/>
            <w:noWrap/>
            <w:vAlign w:val="center"/>
            <w:hideMark/>
          </w:tcPr>
          <w:p w14:paraId="32788FA3"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98</w:t>
            </w:r>
          </w:p>
        </w:tc>
        <w:tc>
          <w:tcPr>
            <w:tcW w:w="1597" w:type="dxa"/>
            <w:tcBorders>
              <w:top w:val="nil"/>
              <w:left w:val="nil"/>
              <w:bottom w:val="single" w:sz="4" w:space="0" w:color="auto"/>
              <w:right w:val="single" w:sz="4" w:space="0" w:color="auto"/>
            </w:tcBorders>
            <w:shd w:val="clear" w:color="auto" w:fill="auto"/>
            <w:noWrap/>
            <w:vAlign w:val="center"/>
            <w:hideMark/>
          </w:tcPr>
          <w:p w14:paraId="562B1D3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104</w:t>
            </w:r>
          </w:p>
        </w:tc>
        <w:tc>
          <w:tcPr>
            <w:tcW w:w="1598" w:type="dxa"/>
            <w:tcBorders>
              <w:top w:val="nil"/>
              <w:left w:val="nil"/>
              <w:bottom w:val="single" w:sz="4" w:space="0" w:color="auto"/>
              <w:right w:val="single" w:sz="4" w:space="0" w:color="auto"/>
            </w:tcBorders>
            <w:shd w:val="clear" w:color="auto" w:fill="auto"/>
            <w:noWrap/>
            <w:vAlign w:val="center"/>
            <w:hideMark/>
          </w:tcPr>
          <w:p w14:paraId="4F0C4E8C" w14:textId="77777777" w:rsidR="00DF328C" w:rsidRPr="00B13812" w:rsidRDefault="00DF328C" w:rsidP="00DF328C">
            <w:pPr>
              <w:spacing w:after="0" w:line="240" w:lineRule="auto"/>
              <w:jc w:val="right"/>
              <w:rPr>
                <w:sz w:val="24"/>
                <w:lang w:val="fr-CA" w:eastAsia="en-CA"/>
              </w:rPr>
            </w:pPr>
            <w:r w:rsidRPr="00B13812">
              <w:rPr>
                <w:sz w:val="24"/>
                <w:lang w:val="fr-CA" w:eastAsia="en-CA"/>
              </w:rPr>
              <w:t>201</w:t>
            </w:r>
          </w:p>
        </w:tc>
      </w:tr>
      <w:tr w:rsidR="00DF328C" w:rsidRPr="00B13812" w14:paraId="2889CAAF"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625AFCF" w14:textId="77777777" w:rsidR="00DF328C" w:rsidRPr="00B13812" w:rsidRDefault="00DF328C" w:rsidP="00DF328C">
            <w:pPr>
              <w:spacing w:after="0" w:line="240" w:lineRule="auto"/>
              <w:rPr>
                <w:sz w:val="24"/>
                <w:lang w:val="fr-CA" w:eastAsia="en-CA"/>
              </w:rPr>
            </w:pPr>
            <w:r>
              <w:rPr>
                <w:sz w:val="24"/>
                <w:lang w:val="fr-CA" w:eastAsia="en-CA"/>
              </w:rPr>
              <w:t>République dominicaine</w:t>
            </w:r>
          </w:p>
        </w:tc>
        <w:tc>
          <w:tcPr>
            <w:tcW w:w="1597" w:type="dxa"/>
            <w:tcBorders>
              <w:top w:val="nil"/>
              <w:left w:val="nil"/>
              <w:bottom w:val="single" w:sz="4" w:space="0" w:color="auto"/>
              <w:right w:val="single" w:sz="4" w:space="0" w:color="auto"/>
            </w:tcBorders>
            <w:shd w:val="clear" w:color="auto" w:fill="auto"/>
            <w:noWrap/>
            <w:vAlign w:val="center"/>
            <w:hideMark/>
          </w:tcPr>
          <w:p w14:paraId="7ED67110"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046</w:t>
            </w:r>
          </w:p>
        </w:tc>
        <w:tc>
          <w:tcPr>
            <w:tcW w:w="1597" w:type="dxa"/>
            <w:tcBorders>
              <w:top w:val="nil"/>
              <w:left w:val="nil"/>
              <w:bottom w:val="single" w:sz="4" w:space="0" w:color="auto"/>
              <w:right w:val="single" w:sz="4" w:space="0" w:color="auto"/>
            </w:tcBorders>
            <w:shd w:val="clear" w:color="auto" w:fill="auto"/>
            <w:noWrap/>
            <w:vAlign w:val="center"/>
            <w:hideMark/>
          </w:tcPr>
          <w:p w14:paraId="03BC5CFD"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085</w:t>
            </w:r>
          </w:p>
        </w:tc>
        <w:tc>
          <w:tcPr>
            <w:tcW w:w="1597" w:type="dxa"/>
            <w:tcBorders>
              <w:top w:val="nil"/>
              <w:left w:val="nil"/>
              <w:bottom w:val="single" w:sz="4" w:space="0" w:color="auto"/>
              <w:right w:val="single" w:sz="4" w:space="0" w:color="auto"/>
            </w:tcBorders>
            <w:shd w:val="clear" w:color="auto" w:fill="auto"/>
            <w:noWrap/>
            <w:vAlign w:val="center"/>
            <w:hideMark/>
          </w:tcPr>
          <w:p w14:paraId="6C481838"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1 497</w:t>
            </w:r>
          </w:p>
        </w:tc>
        <w:tc>
          <w:tcPr>
            <w:tcW w:w="1597" w:type="dxa"/>
            <w:tcBorders>
              <w:top w:val="nil"/>
              <w:left w:val="nil"/>
              <w:bottom w:val="single" w:sz="4" w:space="0" w:color="auto"/>
              <w:right w:val="single" w:sz="4" w:space="0" w:color="auto"/>
            </w:tcBorders>
            <w:shd w:val="clear" w:color="auto" w:fill="auto"/>
            <w:noWrap/>
            <w:vAlign w:val="center"/>
            <w:hideMark/>
          </w:tcPr>
          <w:p w14:paraId="24D61308"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1 587</w:t>
            </w:r>
          </w:p>
        </w:tc>
        <w:tc>
          <w:tcPr>
            <w:tcW w:w="1598" w:type="dxa"/>
            <w:tcBorders>
              <w:top w:val="nil"/>
              <w:left w:val="nil"/>
              <w:bottom w:val="single" w:sz="4" w:space="0" w:color="auto"/>
              <w:right w:val="single" w:sz="4" w:space="0" w:color="auto"/>
            </w:tcBorders>
            <w:shd w:val="clear" w:color="auto" w:fill="auto"/>
            <w:noWrap/>
            <w:vAlign w:val="center"/>
            <w:hideMark/>
          </w:tcPr>
          <w:p w14:paraId="43A4E8F5" w14:textId="77777777" w:rsidR="00DF328C" w:rsidRPr="00B13812" w:rsidRDefault="00DF328C" w:rsidP="00DF328C">
            <w:pPr>
              <w:spacing w:after="0" w:line="240" w:lineRule="auto"/>
              <w:jc w:val="right"/>
              <w:rPr>
                <w:sz w:val="24"/>
                <w:lang w:val="fr-CA" w:eastAsia="en-CA"/>
              </w:rPr>
            </w:pPr>
            <w:r w:rsidRPr="00B13812">
              <w:rPr>
                <w:sz w:val="24"/>
                <w:lang w:val="fr-CA" w:eastAsia="en-CA"/>
              </w:rPr>
              <w:t>3 084</w:t>
            </w:r>
          </w:p>
        </w:tc>
      </w:tr>
      <w:tr w:rsidR="00DF328C" w:rsidRPr="00B13812" w14:paraId="5096F4A8"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9316095" w14:textId="77777777" w:rsidR="00DF328C" w:rsidRPr="00B13812" w:rsidRDefault="00DF328C" w:rsidP="00DF328C">
            <w:pPr>
              <w:spacing w:after="0" w:line="240" w:lineRule="auto"/>
              <w:rPr>
                <w:sz w:val="24"/>
                <w:lang w:val="fr-CA" w:eastAsia="en-CA"/>
              </w:rPr>
            </w:pPr>
            <w:r>
              <w:rPr>
                <w:sz w:val="24"/>
                <w:lang w:val="fr-CA" w:eastAsia="en-CA"/>
              </w:rPr>
              <w:t>République tchèque</w:t>
            </w:r>
          </w:p>
        </w:tc>
        <w:tc>
          <w:tcPr>
            <w:tcW w:w="1597" w:type="dxa"/>
            <w:tcBorders>
              <w:top w:val="nil"/>
              <w:left w:val="nil"/>
              <w:bottom w:val="single" w:sz="4" w:space="0" w:color="auto"/>
              <w:right w:val="single" w:sz="4" w:space="0" w:color="auto"/>
            </w:tcBorders>
            <w:shd w:val="clear" w:color="auto" w:fill="auto"/>
            <w:noWrap/>
            <w:vAlign w:val="center"/>
            <w:hideMark/>
          </w:tcPr>
          <w:p w14:paraId="06531923"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344</w:t>
            </w:r>
          </w:p>
        </w:tc>
        <w:tc>
          <w:tcPr>
            <w:tcW w:w="1597" w:type="dxa"/>
            <w:tcBorders>
              <w:top w:val="nil"/>
              <w:left w:val="nil"/>
              <w:bottom w:val="single" w:sz="4" w:space="0" w:color="auto"/>
              <w:right w:val="single" w:sz="4" w:space="0" w:color="auto"/>
            </w:tcBorders>
            <w:shd w:val="clear" w:color="auto" w:fill="auto"/>
            <w:noWrap/>
            <w:vAlign w:val="center"/>
            <w:hideMark/>
          </w:tcPr>
          <w:p w14:paraId="3CF8017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636</w:t>
            </w:r>
          </w:p>
        </w:tc>
        <w:tc>
          <w:tcPr>
            <w:tcW w:w="1597" w:type="dxa"/>
            <w:tcBorders>
              <w:top w:val="nil"/>
              <w:left w:val="nil"/>
              <w:bottom w:val="single" w:sz="4" w:space="0" w:color="auto"/>
              <w:right w:val="single" w:sz="4" w:space="0" w:color="auto"/>
            </w:tcBorders>
            <w:shd w:val="clear" w:color="auto" w:fill="auto"/>
            <w:noWrap/>
            <w:vAlign w:val="center"/>
            <w:hideMark/>
          </w:tcPr>
          <w:p w14:paraId="115E3E4E"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11 193</w:t>
            </w:r>
          </w:p>
        </w:tc>
        <w:tc>
          <w:tcPr>
            <w:tcW w:w="1597" w:type="dxa"/>
            <w:tcBorders>
              <w:top w:val="nil"/>
              <w:left w:val="nil"/>
              <w:bottom w:val="single" w:sz="4" w:space="0" w:color="auto"/>
              <w:right w:val="single" w:sz="4" w:space="0" w:color="auto"/>
            </w:tcBorders>
            <w:shd w:val="clear" w:color="auto" w:fill="auto"/>
            <w:noWrap/>
            <w:vAlign w:val="center"/>
            <w:hideMark/>
          </w:tcPr>
          <w:p w14:paraId="6788EFA7"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11 869</w:t>
            </w:r>
          </w:p>
        </w:tc>
        <w:tc>
          <w:tcPr>
            <w:tcW w:w="1598" w:type="dxa"/>
            <w:tcBorders>
              <w:top w:val="nil"/>
              <w:left w:val="nil"/>
              <w:bottom w:val="single" w:sz="4" w:space="0" w:color="auto"/>
              <w:right w:val="single" w:sz="4" w:space="0" w:color="auto"/>
            </w:tcBorders>
            <w:shd w:val="clear" w:color="auto" w:fill="auto"/>
            <w:noWrap/>
            <w:vAlign w:val="center"/>
            <w:hideMark/>
          </w:tcPr>
          <w:p w14:paraId="0B5ED827" w14:textId="77777777" w:rsidR="00DF328C" w:rsidRPr="00B13812" w:rsidRDefault="00DF328C" w:rsidP="00DF328C">
            <w:pPr>
              <w:spacing w:after="0" w:line="240" w:lineRule="auto"/>
              <w:jc w:val="right"/>
              <w:rPr>
                <w:sz w:val="24"/>
                <w:lang w:val="fr-CA" w:eastAsia="en-CA"/>
              </w:rPr>
            </w:pPr>
            <w:r w:rsidRPr="00B13812">
              <w:rPr>
                <w:sz w:val="24"/>
                <w:lang w:val="fr-CA" w:eastAsia="en-CA"/>
              </w:rPr>
              <w:t>23 062</w:t>
            </w:r>
          </w:p>
        </w:tc>
      </w:tr>
      <w:tr w:rsidR="00DF328C" w:rsidRPr="00B13812" w14:paraId="2BB44C52"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A34BC7A" w14:textId="77777777" w:rsidR="00DF328C" w:rsidRPr="00B13812" w:rsidRDefault="00DF328C" w:rsidP="00DF328C">
            <w:pPr>
              <w:spacing w:after="0" w:line="240" w:lineRule="auto"/>
              <w:rPr>
                <w:sz w:val="24"/>
                <w:lang w:val="fr-CA" w:eastAsia="en-CA"/>
              </w:rPr>
            </w:pPr>
            <w:r>
              <w:rPr>
                <w:sz w:val="24"/>
                <w:lang w:val="fr-CA" w:eastAsia="en-CA"/>
              </w:rPr>
              <w:t>République unie de Tanzanie</w:t>
            </w:r>
          </w:p>
        </w:tc>
        <w:tc>
          <w:tcPr>
            <w:tcW w:w="1597" w:type="dxa"/>
            <w:tcBorders>
              <w:top w:val="nil"/>
              <w:left w:val="nil"/>
              <w:bottom w:val="single" w:sz="4" w:space="0" w:color="auto"/>
              <w:right w:val="single" w:sz="4" w:space="0" w:color="auto"/>
            </w:tcBorders>
            <w:shd w:val="clear" w:color="auto" w:fill="auto"/>
            <w:noWrap/>
            <w:vAlign w:val="center"/>
            <w:hideMark/>
          </w:tcPr>
          <w:p w14:paraId="642F804A"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0D598D46"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018</w:t>
            </w:r>
          </w:p>
        </w:tc>
        <w:tc>
          <w:tcPr>
            <w:tcW w:w="1597" w:type="dxa"/>
            <w:tcBorders>
              <w:top w:val="nil"/>
              <w:left w:val="nil"/>
              <w:bottom w:val="single" w:sz="4" w:space="0" w:color="auto"/>
              <w:right w:val="single" w:sz="4" w:space="0" w:color="auto"/>
            </w:tcBorders>
            <w:shd w:val="clear" w:color="auto" w:fill="auto"/>
            <w:noWrap/>
            <w:vAlign w:val="center"/>
            <w:hideMark/>
          </w:tcPr>
          <w:p w14:paraId="3F8D699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325</w:t>
            </w:r>
          </w:p>
        </w:tc>
        <w:tc>
          <w:tcPr>
            <w:tcW w:w="1597" w:type="dxa"/>
            <w:tcBorders>
              <w:top w:val="nil"/>
              <w:left w:val="nil"/>
              <w:bottom w:val="single" w:sz="4" w:space="0" w:color="auto"/>
              <w:right w:val="single" w:sz="4" w:space="0" w:color="auto"/>
            </w:tcBorders>
            <w:shd w:val="clear" w:color="auto" w:fill="auto"/>
            <w:noWrap/>
            <w:vAlign w:val="center"/>
            <w:hideMark/>
          </w:tcPr>
          <w:p w14:paraId="2F193B79"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345</w:t>
            </w:r>
          </w:p>
        </w:tc>
        <w:tc>
          <w:tcPr>
            <w:tcW w:w="1598" w:type="dxa"/>
            <w:tcBorders>
              <w:top w:val="nil"/>
              <w:left w:val="nil"/>
              <w:bottom w:val="single" w:sz="4" w:space="0" w:color="auto"/>
              <w:right w:val="single" w:sz="4" w:space="0" w:color="auto"/>
            </w:tcBorders>
            <w:shd w:val="clear" w:color="auto" w:fill="auto"/>
            <w:noWrap/>
            <w:vAlign w:val="center"/>
            <w:hideMark/>
          </w:tcPr>
          <w:p w14:paraId="760B5477" w14:textId="77777777" w:rsidR="00DF328C" w:rsidRPr="00B13812" w:rsidRDefault="00DF328C" w:rsidP="00DF328C">
            <w:pPr>
              <w:spacing w:after="0" w:line="240" w:lineRule="auto"/>
              <w:jc w:val="right"/>
              <w:rPr>
                <w:sz w:val="24"/>
                <w:lang w:val="fr-CA" w:eastAsia="en-CA"/>
              </w:rPr>
            </w:pPr>
            <w:r w:rsidRPr="00B13812">
              <w:rPr>
                <w:sz w:val="24"/>
                <w:lang w:val="fr-CA" w:eastAsia="en-CA"/>
              </w:rPr>
              <w:t>670</w:t>
            </w:r>
          </w:p>
        </w:tc>
      </w:tr>
      <w:tr w:rsidR="00DF328C" w:rsidRPr="00B13812" w14:paraId="461D8EF8" w14:textId="77777777" w:rsidTr="00DF328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0BFA1" w14:textId="77777777" w:rsidR="00DF328C" w:rsidRPr="00B13812" w:rsidRDefault="00DF328C" w:rsidP="00DF328C">
            <w:pPr>
              <w:spacing w:after="0" w:line="240" w:lineRule="auto"/>
              <w:rPr>
                <w:sz w:val="24"/>
                <w:lang w:val="fr-CA" w:eastAsia="en-CA"/>
              </w:rPr>
            </w:pPr>
            <w:r>
              <w:rPr>
                <w:sz w:val="24"/>
                <w:lang w:val="fr-CA" w:eastAsia="en-CA"/>
              </w:rPr>
              <w:t>Royaume-Uni de Grande-Bretagne et d’Irlande du Nord</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4F245529" w14:textId="77777777" w:rsidR="00DF328C" w:rsidRPr="00B13812" w:rsidRDefault="00DF328C" w:rsidP="00DF328C">
            <w:pPr>
              <w:spacing w:after="0" w:line="240" w:lineRule="auto"/>
              <w:jc w:val="right"/>
              <w:rPr>
                <w:sz w:val="24"/>
                <w:lang w:val="fr-CA" w:eastAsia="en-CA"/>
              </w:rPr>
            </w:pPr>
            <w:r w:rsidRPr="00B13812">
              <w:rPr>
                <w:sz w:val="24"/>
                <w:lang w:val="fr-CA" w:eastAsia="en-CA"/>
              </w:rPr>
              <w:t>4</w:t>
            </w:r>
            <w:r>
              <w:rPr>
                <w:sz w:val="24"/>
                <w:lang w:val="fr-CA" w:eastAsia="en-CA"/>
              </w:rPr>
              <w:t>,</w:t>
            </w:r>
            <w:r w:rsidRPr="00B13812">
              <w:rPr>
                <w:sz w:val="24"/>
                <w:lang w:val="fr-CA" w:eastAsia="en-CA"/>
              </w:rPr>
              <w:t>463</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3FE3DF49" w14:textId="77777777" w:rsidR="00DF328C" w:rsidRPr="00B13812" w:rsidRDefault="00DF328C" w:rsidP="00DF328C">
            <w:pPr>
              <w:spacing w:after="0" w:line="240" w:lineRule="auto"/>
              <w:jc w:val="right"/>
              <w:rPr>
                <w:sz w:val="24"/>
                <w:lang w:val="fr-CA" w:eastAsia="en-CA"/>
              </w:rPr>
            </w:pPr>
            <w:r w:rsidRPr="00B13812">
              <w:rPr>
                <w:sz w:val="24"/>
                <w:lang w:val="fr-CA" w:eastAsia="en-CA"/>
              </w:rPr>
              <w:t>8</w:t>
            </w:r>
            <w:r>
              <w:rPr>
                <w:sz w:val="24"/>
                <w:lang w:val="fr-CA" w:eastAsia="en-CA"/>
              </w:rPr>
              <w:t>,</w:t>
            </w:r>
            <w:r w:rsidRPr="00B13812">
              <w:rPr>
                <w:sz w:val="24"/>
                <w:lang w:val="fr-CA" w:eastAsia="en-CA"/>
              </w:rPr>
              <w:t>246</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23F9C1BF"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145 214</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14:paraId="3F8A8824"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153 986</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095990E" w14:textId="77777777" w:rsidR="00DF328C" w:rsidRPr="00B13812" w:rsidRDefault="00DF328C" w:rsidP="00DF328C">
            <w:pPr>
              <w:spacing w:after="0" w:line="240" w:lineRule="auto"/>
              <w:jc w:val="right"/>
              <w:rPr>
                <w:sz w:val="24"/>
                <w:lang w:val="fr-CA" w:eastAsia="en-CA"/>
              </w:rPr>
            </w:pPr>
            <w:r w:rsidRPr="00B13812">
              <w:rPr>
                <w:sz w:val="24"/>
                <w:lang w:val="fr-CA" w:eastAsia="en-CA"/>
              </w:rPr>
              <w:t>299 200</w:t>
            </w:r>
          </w:p>
        </w:tc>
      </w:tr>
      <w:tr w:rsidR="00DF328C" w:rsidRPr="00B13812" w14:paraId="3930CCFD"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702949C" w14:textId="77777777" w:rsidR="00DF328C" w:rsidRPr="00B13812" w:rsidRDefault="00DF328C" w:rsidP="00DF328C">
            <w:pPr>
              <w:spacing w:after="0" w:line="240" w:lineRule="auto"/>
              <w:rPr>
                <w:sz w:val="24"/>
                <w:lang w:val="fr-CA" w:eastAsia="en-CA"/>
              </w:rPr>
            </w:pPr>
            <w:r w:rsidRPr="00B13812">
              <w:rPr>
                <w:sz w:val="24"/>
                <w:lang w:val="fr-CA" w:eastAsia="en-CA"/>
              </w:rPr>
              <w:t>Rwanda</w:t>
            </w:r>
          </w:p>
        </w:tc>
        <w:tc>
          <w:tcPr>
            <w:tcW w:w="1597" w:type="dxa"/>
            <w:tcBorders>
              <w:top w:val="nil"/>
              <w:left w:val="nil"/>
              <w:bottom w:val="single" w:sz="4" w:space="0" w:color="auto"/>
              <w:right w:val="single" w:sz="4" w:space="0" w:color="auto"/>
            </w:tcBorders>
            <w:shd w:val="clear" w:color="auto" w:fill="auto"/>
            <w:noWrap/>
            <w:vAlign w:val="center"/>
            <w:hideMark/>
          </w:tcPr>
          <w:p w14:paraId="390C20AE"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214E7E5E"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5B5296BE"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65</w:t>
            </w:r>
          </w:p>
        </w:tc>
        <w:tc>
          <w:tcPr>
            <w:tcW w:w="1597" w:type="dxa"/>
            <w:tcBorders>
              <w:top w:val="nil"/>
              <w:left w:val="nil"/>
              <w:bottom w:val="single" w:sz="4" w:space="0" w:color="auto"/>
              <w:right w:val="single" w:sz="4" w:space="0" w:color="auto"/>
            </w:tcBorders>
            <w:shd w:val="clear" w:color="auto" w:fill="auto"/>
            <w:noWrap/>
            <w:vAlign w:val="center"/>
            <w:hideMark/>
          </w:tcPr>
          <w:p w14:paraId="0A6DD284"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69</w:t>
            </w:r>
          </w:p>
        </w:tc>
        <w:tc>
          <w:tcPr>
            <w:tcW w:w="1598" w:type="dxa"/>
            <w:tcBorders>
              <w:top w:val="nil"/>
              <w:left w:val="nil"/>
              <w:bottom w:val="single" w:sz="4" w:space="0" w:color="auto"/>
              <w:right w:val="single" w:sz="4" w:space="0" w:color="auto"/>
            </w:tcBorders>
            <w:shd w:val="clear" w:color="auto" w:fill="auto"/>
            <w:noWrap/>
            <w:vAlign w:val="center"/>
            <w:hideMark/>
          </w:tcPr>
          <w:p w14:paraId="3231BD1D" w14:textId="77777777" w:rsidR="00DF328C" w:rsidRPr="00B13812" w:rsidRDefault="00DF328C" w:rsidP="00DF328C">
            <w:pPr>
              <w:spacing w:after="0" w:line="240" w:lineRule="auto"/>
              <w:jc w:val="right"/>
              <w:rPr>
                <w:sz w:val="24"/>
                <w:lang w:val="fr-CA" w:eastAsia="en-CA"/>
              </w:rPr>
            </w:pPr>
            <w:r w:rsidRPr="00B13812">
              <w:rPr>
                <w:sz w:val="24"/>
                <w:lang w:val="fr-CA" w:eastAsia="en-CA"/>
              </w:rPr>
              <w:t>134</w:t>
            </w:r>
          </w:p>
        </w:tc>
      </w:tr>
      <w:tr w:rsidR="00DF328C" w:rsidRPr="00B13812" w14:paraId="512984EF"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034DC61" w14:textId="77777777" w:rsidR="00DF328C" w:rsidRPr="00B13812" w:rsidRDefault="00DF328C" w:rsidP="00DF328C">
            <w:pPr>
              <w:spacing w:after="0" w:line="240" w:lineRule="auto"/>
              <w:rPr>
                <w:sz w:val="24"/>
                <w:lang w:val="fr-CA" w:eastAsia="en-CA"/>
              </w:rPr>
            </w:pPr>
            <w:r w:rsidRPr="00B13812">
              <w:rPr>
                <w:sz w:val="24"/>
                <w:lang w:val="fr-CA" w:eastAsia="en-CA"/>
              </w:rPr>
              <w:t>Saint</w:t>
            </w:r>
            <w:r>
              <w:rPr>
                <w:sz w:val="24"/>
                <w:lang w:val="fr-CA" w:eastAsia="en-CA"/>
              </w:rPr>
              <w:t>-</w:t>
            </w:r>
            <w:r w:rsidRPr="00B13812">
              <w:rPr>
                <w:sz w:val="24"/>
                <w:lang w:val="fr-CA" w:eastAsia="en-CA"/>
              </w:rPr>
              <w:t>Kitts</w:t>
            </w:r>
            <w:r>
              <w:rPr>
                <w:sz w:val="24"/>
                <w:lang w:val="fr-CA" w:eastAsia="en-CA"/>
              </w:rPr>
              <w:t>-et-</w:t>
            </w:r>
            <w:r w:rsidRPr="00B13812">
              <w:rPr>
                <w:sz w:val="24"/>
                <w:lang w:val="fr-CA" w:eastAsia="en-CA"/>
              </w:rPr>
              <w:t>Nevis</w:t>
            </w:r>
          </w:p>
        </w:tc>
        <w:tc>
          <w:tcPr>
            <w:tcW w:w="1597" w:type="dxa"/>
            <w:tcBorders>
              <w:top w:val="nil"/>
              <w:left w:val="nil"/>
              <w:bottom w:val="single" w:sz="4" w:space="0" w:color="auto"/>
              <w:right w:val="single" w:sz="4" w:space="0" w:color="auto"/>
            </w:tcBorders>
            <w:shd w:val="clear" w:color="auto" w:fill="auto"/>
            <w:noWrap/>
            <w:vAlign w:val="center"/>
            <w:hideMark/>
          </w:tcPr>
          <w:p w14:paraId="26F7403E"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76685D8A"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1CD9813A"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F3F5EE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1D2936D7"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3BCADA28"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0DDB2D2" w14:textId="77777777" w:rsidR="00DF328C" w:rsidRPr="00B13812" w:rsidRDefault="00DF328C" w:rsidP="00DF328C">
            <w:pPr>
              <w:spacing w:after="0" w:line="240" w:lineRule="auto"/>
              <w:rPr>
                <w:sz w:val="24"/>
                <w:lang w:val="fr-CA" w:eastAsia="en-CA"/>
              </w:rPr>
            </w:pPr>
            <w:r w:rsidRPr="00B13812">
              <w:rPr>
                <w:sz w:val="24"/>
                <w:lang w:val="fr-CA" w:eastAsia="en-CA"/>
              </w:rPr>
              <w:t>Samoa</w:t>
            </w:r>
          </w:p>
        </w:tc>
        <w:tc>
          <w:tcPr>
            <w:tcW w:w="1597" w:type="dxa"/>
            <w:tcBorders>
              <w:top w:val="nil"/>
              <w:left w:val="nil"/>
              <w:bottom w:val="single" w:sz="4" w:space="0" w:color="auto"/>
              <w:right w:val="single" w:sz="4" w:space="0" w:color="auto"/>
            </w:tcBorders>
            <w:shd w:val="clear" w:color="auto" w:fill="auto"/>
            <w:noWrap/>
            <w:vAlign w:val="center"/>
            <w:hideMark/>
          </w:tcPr>
          <w:p w14:paraId="1421EEA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74CCE6F0"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73C46B76"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15B8BD2"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400FDE2A"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605001BD"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02015C2" w14:textId="77777777" w:rsidR="00DF328C" w:rsidRPr="00B13812" w:rsidRDefault="00DF328C" w:rsidP="00DF328C">
            <w:pPr>
              <w:spacing w:after="0" w:line="240" w:lineRule="auto"/>
              <w:rPr>
                <w:sz w:val="24"/>
                <w:lang w:val="fr-CA" w:eastAsia="en-CA"/>
              </w:rPr>
            </w:pPr>
            <w:r>
              <w:rPr>
                <w:sz w:val="24"/>
                <w:lang w:val="fr-CA" w:eastAsia="en-CA"/>
              </w:rPr>
              <w:t>Sao Tomé-et-Principe</w:t>
            </w:r>
          </w:p>
        </w:tc>
        <w:tc>
          <w:tcPr>
            <w:tcW w:w="1597" w:type="dxa"/>
            <w:tcBorders>
              <w:top w:val="nil"/>
              <w:left w:val="nil"/>
              <w:bottom w:val="single" w:sz="4" w:space="0" w:color="auto"/>
              <w:right w:val="single" w:sz="4" w:space="0" w:color="auto"/>
            </w:tcBorders>
            <w:shd w:val="clear" w:color="auto" w:fill="auto"/>
            <w:noWrap/>
            <w:vAlign w:val="center"/>
            <w:hideMark/>
          </w:tcPr>
          <w:p w14:paraId="19EF9C87"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1854B3F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048A060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3E15B320"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185AD23"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4CE48EF7"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85F8A52" w14:textId="77777777" w:rsidR="00DF328C" w:rsidRPr="00B13812" w:rsidRDefault="00DF328C" w:rsidP="00DF328C">
            <w:pPr>
              <w:spacing w:after="0" w:line="240" w:lineRule="auto"/>
              <w:rPr>
                <w:sz w:val="24"/>
                <w:lang w:val="fr-CA" w:eastAsia="en-CA"/>
              </w:rPr>
            </w:pPr>
            <w:r>
              <w:rPr>
                <w:sz w:val="24"/>
                <w:lang w:val="fr-CA" w:eastAsia="en-CA"/>
              </w:rPr>
              <w:t>Sénégal</w:t>
            </w:r>
          </w:p>
        </w:tc>
        <w:tc>
          <w:tcPr>
            <w:tcW w:w="1597" w:type="dxa"/>
            <w:tcBorders>
              <w:top w:val="nil"/>
              <w:left w:val="nil"/>
              <w:bottom w:val="single" w:sz="4" w:space="0" w:color="auto"/>
              <w:right w:val="single" w:sz="4" w:space="0" w:color="auto"/>
            </w:tcBorders>
            <w:shd w:val="clear" w:color="auto" w:fill="auto"/>
            <w:noWrap/>
            <w:vAlign w:val="center"/>
            <w:hideMark/>
          </w:tcPr>
          <w:p w14:paraId="044A63C1"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005</w:t>
            </w:r>
          </w:p>
        </w:tc>
        <w:tc>
          <w:tcPr>
            <w:tcW w:w="1597" w:type="dxa"/>
            <w:tcBorders>
              <w:top w:val="nil"/>
              <w:left w:val="nil"/>
              <w:bottom w:val="single" w:sz="4" w:space="0" w:color="auto"/>
              <w:right w:val="single" w:sz="4" w:space="0" w:color="auto"/>
            </w:tcBorders>
            <w:shd w:val="clear" w:color="auto" w:fill="auto"/>
            <w:noWrap/>
            <w:vAlign w:val="center"/>
            <w:hideMark/>
          </w:tcPr>
          <w:p w14:paraId="34E18F3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14:paraId="4C413D33"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14:paraId="7DD5BB2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14:paraId="0B7970AF" w14:textId="77777777" w:rsidR="00DF328C" w:rsidRPr="00B13812" w:rsidRDefault="00DF328C" w:rsidP="00DF328C">
            <w:pPr>
              <w:spacing w:after="0" w:line="240" w:lineRule="auto"/>
              <w:jc w:val="right"/>
              <w:rPr>
                <w:sz w:val="24"/>
                <w:lang w:val="fr-CA" w:eastAsia="en-CA"/>
              </w:rPr>
            </w:pPr>
            <w:r w:rsidRPr="00B13812">
              <w:rPr>
                <w:sz w:val="24"/>
                <w:lang w:val="fr-CA" w:eastAsia="en-CA"/>
              </w:rPr>
              <w:t>335</w:t>
            </w:r>
          </w:p>
        </w:tc>
      </w:tr>
      <w:tr w:rsidR="00DF328C" w:rsidRPr="00B13812" w14:paraId="3B123C80"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774D65B4" w14:textId="77777777" w:rsidR="00DF328C" w:rsidRPr="00B13812" w:rsidRDefault="00DF328C" w:rsidP="00DF328C">
            <w:pPr>
              <w:spacing w:after="0" w:line="240" w:lineRule="auto"/>
              <w:rPr>
                <w:sz w:val="24"/>
                <w:lang w:val="fr-CA" w:eastAsia="en-CA"/>
              </w:rPr>
            </w:pPr>
            <w:r w:rsidRPr="00B13812">
              <w:rPr>
                <w:sz w:val="24"/>
                <w:lang w:val="fr-CA" w:eastAsia="en-CA"/>
              </w:rPr>
              <w:t>Seychelles</w:t>
            </w:r>
          </w:p>
        </w:tc>
        <w:tc>
          <w:tcPr>
            <w:tcW w:w="1597" w:type="dxa"/>
            <w:tcBorders>
              <w:top w:val="nil"/>
              <w:left w:val="nil"/>
              <w:bottom w:val="single" w:sz="4" w:space="0" w:color="auto"/>
              <w:right w:val="single" w:sz="4" w:space="0" w:color="auto"/>
            </w:tcBorders>
            <w:shd w:val="clear" w:color="auto" w:fill="auto"/>
            <w:noWrap/>
            <w:vAlign w:val="center"/>
            <w:hideMark/>
          </w:tcPr>
          <w:p w14:paraId="6F43B1A2"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13028ED0"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642D77E2"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3F5D0D64"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6FD78B91"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0519807C"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5A7DA09" w14:textId="77777777" w:rsidR="00DF328C" w:rsidRPr="00B13812" w:rsidRDefault="00DF328C" w:rsidP="00DF328C">
            <w:pPr>
              <w:spacing w:after="0" w:line="240" w:lineRule="auto"/>
              <w:rPr>
                <w:sz w:val="24"/>
                <w:lang w:val="fr-CA" w:eastAsia="en-CA"/>
              </w:rPr>
            </w:pPr>
            <w:r w:rsidRPr="00B13812">
              <w:rPr>
                <w:sz w:val="24"/>
                <w:lang w:val="fr-CA" w:eastAsia="en-CA"/>
              </w:rPr>
              <w:t>Sierra Leone</w:t>
            </w:r>
          </w:p>
        </w:tc>
        <w:tc>
          <w:tcPr>
            <w:tcW w:w="1597" w:type="dxa"/>
            <w:tcBorders>
              <w:top w:val="nil"/>
              <w:left w:val="nil"/>
              <w:bottom w:val="single" w:sz="4" w:space="0" w:color="auto"/>
              <w:right w:val="single" w:sz="4" w:space="0" w:color="auto"/>
            </w:tcBorders>
            <w:shd w:val="clear" w:color="auto" w:fill="auto"/>
            <w:noWrap/>
            <w:vAlign w:val="center"/>
            <w:hideMark/>
          </w:tcPr>
          <w:p w14:paraId="53645573"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4B2EEFD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62B528B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AE79AC4"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02294A71"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3C84AEFD"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E62C7B3" w14:textId="77777777" w:rsidR="00DF328C" w:rsidRPr="00B13812" w:rsidRDefault="00DF328C" w:rsidP="00DF328C">
            <w:pPr>
              <w:spacing w:after="0" w:line="240" w:lineRule="auto"/>
              <w:rPr>
                <w:sz w:val="24"/>
                <w:lang w:val="fr-CA" w:eastAsia="en-CA"/>
              </w:rPr>
            </w:pPr>
            <w:r>
              <w:rPr>
                <w:sz w:val="24"/>
                <w:lang w:val="fr-CA" w:eastAsia="en-CA"/>
              </w:rPr>
              <w:t>Slovaquie</w:t>
            </w:r>
          </w:p>
        </w:tc>
        <w:tc>
          <w:tcPr>
            <w:tcW w:w="1597" w:type="dxa"/>
            <w:tcBorders>
              <w:top w:val="nil"/>
              <w:left w:val="nil"/>
              <w:bottom w:val="single" w:sz="4" w:space="0" w:color="auto"/>
              <w:right w:val="single" w:sz="4" w:space="0" w:color="auto"/>
            </w:tcBorders>
            <w:shd w:val="clear" w:color="auto" w:fill="auto"/>
            <w:noWrap/>
            <w:vAlign w:val="center"/>
            <w:hideMark/>
          </w:tcPr>
          <w:p w14:paraId="6E9406C4"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160</w:t>
            </w:r>
          </w:p>
        </w:tc>
        <w:tc>
          <w:tcPr>
            <w:tcW w:w="1597" w:type="dxa"/>
            <w:tcBorders>
              <w:top w:val="nil"/>
              <w:left w:val="nil"/>
              <w:bottom w:val="single" w:sz="4" w:space="0" w:color="auto"/>
              <w:right w:val="single" w:sz="4" w:space="0" w:color="auto"/>
            </w:tcBorders>
            <w:shd w:val="clear" w:color="auto" w:fill="auto"/>
            <w:noWrap/>
            <w:vAlign w:val="center"/>
            <w:hideMark/>
          </w:tcPr>
          <w:p w14:paraId="3FD47B93"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296</w:t>
            </w:r>
          </w:p>
        </w:tc>
        <w:tc>
          <w:tcPr>
            <w:tcW w:w="1597" w:type="dxa"/>
            <w:tcBorders>
              <w:top w:val="nil"/>
              <w:left w:val="nil"/>
              <w:bottom w:val="single" w:sz="4" w:space="0" w:color="auto"/>
              <w:right w:val="single" w:sz="4" w:space="0" w:color="auto"/>
            </w:tcBorders>
            <w:shd w:val="clear" w:color="auto" w:fill="auto"/>
            <w:noWrap/>
            <w:vAlign w:val="center"/>
            <w:hideMark/>
          </w:tcPr>
          <w:p w14:paraId="55957F4E"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5 206</w:t>
            </w:r>
          </w:p>
        </w:tc>
        <w:tc>
          <w:tcPr>
            <w:tcW w:w="1597" w:type="dxa"/>
            <w:tcBorders>
              <w:top w:val="nil"/>
              <w:left w:val="nil"/>
              <w:bottom w:val="single" w:sz="4" w:space="0" w:color="auto"/>
              <w:right w:val="single" w:sz="4" w:space="0" w:color="auto"/>
            </w:tcBorders>
            <w:shd w:val="clear" w:color="auto" w:fill="auto"/>
            <w:noWrap/>
            <w:vAlign w:val="center"/>
            <w:hideMark/>
          </w:tcPr>
          <w:p w14:paraId="6341C96C"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5 520</w:t>
            </w:r>
          </w:p>
        </w:tc>
        <w:tc>
          <w:tcPr>
            <w:tcW w:w="1598" w:type="dxa"/>
            <w:tcBorders>
              <w:top w:val="nil"/>
              <w:left w:val="nil"/>
              <w:bottom w:val="single" w:sz="4" w:space="0" w:color="auto"/>
              <w:right w:val="single" w:sz="4" w:space="0" w:color="auto"/>
            </w:tcBorders>
            <w:shd w:val="clear" w:color="auto" w:fill="auto"/>
            <w:noWrap/>
            <w:vAlign w:val="center"/>
            <w:hideMark/>
          </w:tcPr>
          <w:p w14:paraId="6DD91843" w14:textId="77777777" w:rsidR="00DF328C" w:rsidRPr="00B13812" w:rsidRDefault="00DF328C" w:rsidP="00DF328C">
            <w:pPr>
              <w:spacing w:after="0" w:line="240" w:lineRule="auto"/>
              <w:jc w:val="right"/>
              <w:rPr>
                <w:sz w:val="24"/>
                <w:lang w:val="fr-CA" w:eastAsia="en-CA"/>
              </w:rPr>
            </w:pPr>
            <w:r w:rsidRPr="00B13812">
              <w:rPr>
                <w:sz w:val="24"/>
                <w:lang w:val="fr-CA" w:eastAsia="en-CA"/>
              </w:rPr>
              <w:t>10 726</w:t>
            </w:r>
          </w:p>
        </w:tc>
      </w:tr>
      <w:tr w:rsidR="00DF328C" w:rsidRPr="00B13812" w14:paraId="408B3B30"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4939E212" w14:textId="77777777" w:rsidR="00DF328C" w:rsidRPr="00B13812" w:rsidRDefault="00DF328C" w:rsidP="00DF328C">
            <w:pPr>
              <w:spacing w:after="0" w:line="240" w:lineRule="auto"/>
              <w:rPr>
                <w:sz w:val="24"/>
                <w:lang w:val="fr-CA" w:eastAsia="en-CA"/>
              </w:rPr>
            </w:pPr>
            <w:r w:rsidRPr="00B13812">
              <w:rPr>
                <w:sz w:val="24"/>
                <w:lang w:val="fr-CA" w:eastAsia="en-CA"/>
              </w:rPr>
              <w:t>S</w:t>
            </w:r>
            <w:r>
              <w:rPr>
                <w:sz w:val="24"/>
                <w:lang w:val="fr-CA" w:eastAsia="en-CA"/>
              </w:rPr>
              <w:t>o</w:t>
            </w:r>
            <w:r w:rsidRPr="00B13812">
              <w:rPr>
                <w:sz w:val="24"/>
                <w:lang w:val="fr-CA" w:eastAsia="en-CA"/>
              </w:rPr>
              <w:t>udan</w:t>
            </w:r>
          </w:p>
        </w:tc>
        <w:tc>
          <w:tcPr>
            <w:tcW w:w="1597" w:type="dxa"/>
            <w:tcBorders>
              <w:top w:val="nil"/>
              <w:left w:val="nil"/>
              <w:bottom w:val="single" w:sz="4" w:space="0" w:color="auto"/>
              <w:right w:val="single" w:sz="4" w:space="0" w:color="auto"/>
            </w:tcBorders>
            <w:shd w:val="clear" w:color="auto" w:fill="auto"/>
            <w:noWrap/>
            <w:vAlign w:val="center"/>
            <w:hideMark/>
          </w:tcPr>
          <w:p w14:paraId="4CA2B54A"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1911AF2D"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010</w:t>
            </w:r>
          </w:p>
        </w:tc>
        <w:tc>
          <w:tcPr>
            <w:tcW w:w="1597" w:type="dxa"/>
            <w:tcBorders>
              <w:top w:val="nil"/>
              <w:left w:val="nil"/>
              <w:bottom w:val="single" w:sz="4" w:space="0" w:color="auto"/>
              <w:right w:val="single" w:sz="4" w:space="0" w:color="auto"/>
            </w:tcBorders>
            <w:shd w:val="clear" w:color="auto" w:fill="auto"/>
            <w:noWrap/>
            <w:vAlign w:val="center"/>
            <w:hideMark/>
          </w:tcPr>
          <w:p w14:paraId="567A1C46"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176</w:t>
            </w:r>
          </w:p>
        </w:tc>
        <w:tc>
          <w:tcPr>
            <w:tcW w:w="1597" w:type="dxa"/>
            <w:tcBorders>
              <w:top w:val="nil"/>
              <w:left w:val="nil"/>
              <w:bottom w:val="single" w:sz="4" w:space="0" w:color="auto"/>
              <w:right w:val="single" w:sz="4" w:space="0" w:color="auto"/>
            </w:tcBorders>
            <w:shd w:val="clear" w:color="auto" w:fill="auto"/>
            <w:noWrap/>
            <w:vAlign w:val="center"/>
            <w:hideMark/>
          </w:tcPr>
          <w:p w14:paraId="259B9BD9"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187</w:t>
            </w:r>
          </w:p>
        </w:tc>
        <w:tc>
          <w:tcPr>
            <w:tcW w:w="1598" w:type="dxa"/>
            <w:tcBorders>
              <w:top w:val="nil"/>
              <w:left w:val="nil"/>
              <w:bottom w:val="single" w:sz="4" w:space="0" w:color="auto"/>
              <w:right w:val="single" w:sz="4" w:space="0" w:color="auto"/>
            </w:tcBorders>
            <w:shd w:val="clear" w:color="auto" w:fill="auto"/>
            <w:noWrap/>
            <w:vAlign w:val="center"/>
            <w:hideMark/>
          </w:tcPr>
          <w:p w14:paraId="5DB69551" w14:textId="77777777" w:rsidR="00DF328C" w:rsidRPr="00B13812" w:rsidRDefault="00DF328C" w:rsidP="00DF328C">
            <w:pPr>
              <w:spacing w:after="0" w:line="240" w:lineRule="auto"/>
              <w:jc w:val="right"/>
              <w:rPr>
                <w:sz w:val="24"/>
                <w:lang w:val="fr-CA" w:eastAsia="en-CA"/>
              </w:rPr>
            </w:pPr>
            <w:r w:rsidRPr="00B13812">
              <w:rPr>
                <w:sz w:val="24"/>
                <w:lang w:val="fr-CA" w:eastAsia="en-CA"/>
              </w:rPr>
              <w:t>363</w:t>
            </w:r>
          </w:p>
        </w:tc>
      </w:tr>
      <w:tr w:rsidR="00DF328C" w:rsidRPr="00B13812" w14:paraId="4753614D"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86A7675" w14:textId="77777777" w:rsidR="00DF328C" w:rsidRPr="00B13812" w:rsidRDefault="00DF328C" w:rsidP="00DF328C">
            <w:pPr>
              <w:spacing w:after="0" w:line="240" w:lineRule="auto"/>
              <w:rPr>
                <w:sz w:val="24"/>
                <w:lang w:val="fr-CA" w:eastAsia="en-CA"/>
              </w:rPr>
            </w:pPr>
            <w:r>
              <w:rPr>
                <w:sz w:val="24"/>
                <w:lang w:val="fr-CA" w:eastAsia="en-CA"/>
              </w:rPr>
              <w:t>Suède</w:t>
            </w:r>
          </w:p>
        </w:tc>
        <w:tc>
          <w:tcPr>
            <w:tcW w:w="1597" w:type="dxa"/>
            <w:tcBorders>
              <w:top w:val="nil"/>
              <w:left w:val="nil"/>
              <w:bottom w:val="single" w:sz="4" w:space="0" w:color="auto"/>
              <w:right w:val="single" w:sz="4" w:space="0" w:color="auto"/>
            </w:tcBorders>
            <w:shd w:val="clear" w:color="auto" w:fill="auto"/>
            <w:noWrap/>
            <w:vAlign w:val="center"/>
            <w:hideMark/>
          </w:tcPr>
          <w:p w14:paraId="674F2E0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956</w:t>
            </w:r>
          </w:p>
        </w:tc>
        <w:tc>
          <w:tcPr>
            <w:tcW w:w="1597" w:type="dxa"/>
            <w:tcBorders>
              <w:top w:val="nil"/>
              <w:left w:val="nil"/>
              <w:bottom w:val="single" w:sz="4" w:space="0" w:color="auto"/>
              <w:right w:val="single" w:sz="4" w:space="0" w:color="auto"/>
            </w:tcBorders>
            <w:shd w:val="clear" w:color="auto" w:fill="auto"/>
            <w:noWrap/>
            <w:vAlign w:val="center"/>
            <w:hideMark/>
          </w:tcPr>
          <w:p w14:paraId="63A6E132" w14:textId="77777777" w:rsidR="00DF328C" w:rsidRPr="00B13812" w:rsidRDefault="00DF328C" w:rsidP="00DF328C">
            <w:pPr>
              <w:spacing w:after="0" w:line="240" w:lineRule="auto"/>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766</w:t>
            </w:r>
          </w:p>
        </w:tc>
        <w:tc>
          <w:tcPr>
            <w:tcW w:w="1597" w:type="dxa"/>
            <w:tcBorders>
              <w:top w:val="nil"/>
              <w:left w:val="nil"/>
              <w:bottom w:val="single" w:sz="4" w:space="0" w:color="auto"/>
              <w:right w:val="single" w:sz="4" w:space="0" w:color="auto"/>
            </w:tcBorders>
            <w:shd w:val="clear" w:color="auto" w:fill="auto"/>
            <w:noWrap/>
            <w:vAlign w:val="center"/>
            <w:hideMark/>
          </w:tcPr>
          <w:p w14:paraId="141A1CA6"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31 106</w:t>
            </w:r>
          </w:p>
        </w:tc>
        <w:tc>
          <w:tcPr>
            <w:tcW w:w="1597" w:type="dxa"/>
            <w:tcBorders>
              <w:top w:val="nil"/>
              <w:left w:val="nil"/>
              <w:bottom w:val="single" w:sz="4" w:space="0" w:color="auto"/>
              <w:right w:val="single" w:sz="4" w:space="0" w:color="auto"/>
            </w:tcBorders>
            <w:shd w:val="clear" w:color="auto" w:fill="auto"/>
            <w:noWrap/>
            <w:vAlign w:val="center"/>
            <w:hideMark/>
          </w:tcPr>
          <w:p w14:paraId="48C9CBD8"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32 985</w:t>
            </w:r>
          </w:p>
        </w:tc>
        <w:tc>
          <w:tcPr>
            <w:tcW w:w="1598" w:type="dxa"/>
            <w:tcBorders>
              <w:top w:val="nil"/>
              <w:left w:val="nil"/>
              <w:bottom w:val="single" w:sz="4" w:space="0" w:color="auto"/>
              <w:right w:val="single" w:sz="4" w:space="0" w:color="auto"/>
            </w:tcBorders>
            <w:shd w:val="clear" w:color="auto" w:fill="auto"/>
            <w:noWrap/>
            <w:vAlign w:val="center"/>
            <w:hideMark/>
          </w:tcPr>
          <w:p w14:paraId="009DF883" w14:textId="77777777" w:rsidR="00DF328C" w:rsidRPr="00B13812" w:rsidRDefault="00DF328C" w:rsidP="00DF328C">
            <w:pPr>
              <w:spacing w:after="0" w:line="240" w:lineRule="auto"/>
              <w:jc w:val="right"/>
              <w:rPr>
                <w:sz w:val="24"/>
                <w:lang w:val="fr-CA" w:eastAsia="en-CA"/>
              </w:rPr>
            </w:pPr>
            <w:r w:rsidRPr="00B13812">
              <w:rPr>
                <w:sz w:val="24"/>
                <w:lang w:val="fr-CA" w:eastAsia="en-CA"/>
              </w:rPr>
              <w:t>64 090</w:t>
            </w:r>
          </w:p>
        </w:tc>
      </w:tr>
      <w:tr w:rsidR="00DF328C" w:rsidRPr="00B13812" w14:paraId="0FA9CCC7"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64C8AB27" w14:textId="77777777" w:rsidR="00DF328C" w:rsidRPr="00B13812" w:rsidRDefault="00DF328C" w:rsidP="00DF328C">
            <w:pPr>
              <w:spacing w:after="0" w:line="240" w:lineRule="auto"/>
              <w:rPr>
                <w:sz w:val="24"/>
                <w:lang w:val="fr-CA" w:eastAsia="en-CA"/>
              </w:rPr>
            </w:pPr>
            <w:r>
              <w:rPr>
                <w:sz w:val="24"/>
                <w:lang w:val="fr-CA" w:eastAsia="en-CA"/>
              </w:rPr>
              <w:t>Suisse</w:t>
            </w:r>
          </w:p>
        </w:tc>
        <w:tc>
          <w:tcPr>
            <w:tcW w:w="1597" w:type="dxa"/>
            <w:tcBorders>
              <w:top w:val="nil"/>
              <w:left w:val="nil"/>
              <w:bottom w:val="single" w:sz="4" w:space="0" w:color="auto"/>
              <w:right w:val="single" w:sz="4" w:space="0" w:color="auto"/>
            </w:tcBorders>
            <w:shd w:val="clear" w:color="auto" w:fill="auto"/>
            <w:noWrap/>
            <w:vAlign w:val="center"/>
            <w:hideMark/>
          </w:tcPr>
          <w:p w14:paraId="015AD6DB" w14:textId="77777777" w:rsidR="00DF328C" w:rsidRPr="00B13812" w:rsidRDefault="00DF328C" w:rsidP="00DF328C">
            <w:pPr>
              <w:spacing w:after="0" w:line="240" w:lineRule="auto"/>
              <w:jc w:val="right"/>
              <w:rPr>
                <w:sz w:val="24"/>
                <w:lang w:val="fr-CA" w:eastAsia="en-CA"/>
              </w:rPr>
            </w:pPr>
            <w:r w:rsidRPr="00B13812">
              <w:rPr>
                <w:sz w:val="24"/>
                <w:lang w:val="fr-CA" w:eastAsia="en-CA"/>
              </w:rPr>
              <w:t>1</w:t>
            </w:r>
            <w:r>
              <w:rPr>
                <w:sz w:val="24"/>
                <w:lang w:val="fr-CA" w:eastAsia="en-CA"/>
              </w:rPr>
              <w:t>,</w:t>
            </w:r>
            <w:r w:rsidRPr="00B13812">
              <w:rPr>
                <w:sz w:val="24"/>
                <w:lang w:val="fr-CA" w:eastAsia="en-CA"/>
              </w:rPr>
              <w:t>140</w:t>
            </w:r>
          </w:p>
        </w:tc>
        <w:tc>
          <w:tcPr>
            <w:tcW w:w="1597" w:type="dxa"/>
            <w:tcBorders>
              <w:top w:val="nil"/>
              <w:left w:val="nil"/>
              <w:bottom w:val="single" w:sz="4" w:space="0" w:color="auto"/>
              <w:right w:val="single" w:sz="4" w:space="0" w:color="auto"/>
            </w:tcBorders>
            <w:shd w:val="clear" w:color="auto" w:fill="auto"/>
            <w:noWrap/>
            <w:vAlign w:val="center"/>
            <w:hideMark/>
          </w:tcPr>
          <w:p w14:paraId="14F14150" w14:textId="77777777" w:rsidR="00DF328C" w:rsidRPr="00B13812" w:rsidRDefault="00DF328C" w:rsidP="00DF328C">
            <w:pPr>
              <w:spacing w:after="0" w:line="240" w:lineRule="auto"/>
              <w:jc w:val="right"/>
              <w:rPr>
                <w:sz w:val="24"/>
                <w:lang w:val="fr-CA" w:eastAsia="en-CA"/>
              </w:rPr>
            </w:pPr>
            <w:r w:rsidRPr="00B13812">
              <w:rPr>
                <w:sz w:val="24"/>
                <w:lang w:val="fr-CA" w:eastAsia="en-CA"/>
              </w:rPr>
              <w:t>2</w:t>
            </w:r>
            <w:r>
              <w:rPr>
                <w:sz w:val="24"/>
                <w:lang w:val="fr-CA" w:eastAsia="en-CA"/>
              </w:rPr>
              <w:t>,</w:t>
            </w:r>
            <w:r w:rsidRPr="00B13812">
              <w:rPr>
                <w:sz w:val="24"/>
                <w:lang w:val="fr-CA" w:eastAsia="en-CA"/>
              </w:rPr>
              <w:t>106</w:t>
            </w:r>
          </w:p>
        </w:tc>
        <w:tc>
          <w:tcPr>
            <w:tcW w:w="1597" w:type="dxa"/>
            <w:tcBorders>
              <w:top w:val="nil"/>
              <w:left w:val="nil"/>
              <w:bottom w:val="single" w:sz="4" w:space="0" w:color="auto"/>
              <w:right w:val="single" w:sz="4" w:space="0" w:color="auto"/>
            </w:tcBorders>
            <w:shd w:val="clear" w:color="auto" w:fill="auto"/>
            <w:noWrap/>
            <w:vAlign w:val="center"/>
            <w:hideMark/>
          </w:tcPr>
          <w:p w14:paraId="066364EC"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37 093</w:t>
            </w:r>
          </w:p>
        </w:tc>
        <w:tc>
          <w:tcPr>
            <w:tcW w:w="1597" w:type="dxa"/>
            <w:tcBorders>
              <w:top w:val="nil"/>
              <w:left w:val="nil"/>
              <w:bottom w:val="single" w:sz="4" w:space="0" w:color="auto"/>
              <w:right w:val="single" w:sz="4" w:space="0" w:color="auto"/>
            </w:tcBorders>
            <w:shd w:val="clear" w:color="auto" w:fill="auto"/>
            <w:noWrap/>
            <w:vAlign w:val="center"/>
            <w:hideMark/>
          </w:tcPr>
          <w:p w14:paraId="2E235BF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39 333</w:t>
            </w:r>
          </w:p>
        </w:tc>
        <w:tc>
          <w:tcPr>
            <w:tcW w:w="1598" w:type="dxa"/>
            <w:tcBorders>
              <w:top w:val="nil"/>
              <w:left w:val="nil"/>
              <w:bottom w:val="single" w:sz="4" w:space="0" w:color="auto"/>
              <w:right w:val="single" w:sz="4" w:space="0" w:color="auto"/>
            </w:tcBorders>
            <w:shd w:val="clear" w:color="auto" w:fill="auto"/>
            <w:noWrap/>
            <w:vAlign w:val="center"/>
            <w:hideMark/>
          </w:tcPr>
          <w:p w14:paraId="1D8B9A43" w14:textId="77777777" w:rsidR="00DF328C" w:rsidRPr="00B13812" w:rsidRDefault="00DF328C" w:rsidP="00DF328C">
            <w:pPr>
              <w:spacing w:after="0" w:line="240" w:lineRule="auto"/>
              <w:jc w:val="right"/>
              <w:rPr>
                <w:sz w:val="24"/>
                <w:lang w:val="fr-CA" w:eastAsia="en-CA"/>
              </w:rPr>
            </w:pPr>
            <w:r w:rsidRPr="00B13812">
              <w:rPr>
                <w:sz w:val="24"/>
                <w:lang w:val="fr-CA" w:eastAsia="en-CA"/>
              </w:rPr>
              <w:t>76 426</w:t>
            </w:r>
          </w:p>
        </w:tc>
      </w:tr>
      <w:tr w:rsidR="00DF328C" w:rsidRPr="00B13812" w14:paraId="6E03D239"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021B49E" w14:textId="77777777" w:rsidR="00DF328C" w:rsidRPr="00B13812" w:rsidRDefault="00DF328C" w:rsidP="00DF328C">
            <w:pPr>
              <w:spacing w:after="0" w:line="240" w:lineRule="auto"/>
              <w:rPr>
                <w:sz w:val="24"/>
                <w:lang w:val="fr-CA" w:eastAsia="en-CA"/>
              </w:rPr>
            </w:pPr>
            <w:r w:rsidRPr="00B13812">
              <w:rPr>
                <w:sz w:val="24"/>
                <w:lang w:val="fr-CA" w:eastAsia="en-CA"/>
              </w:rPr>
              <w:t>Ta</w:t>
            </w:r>
            <w:r>
              <w:rPr>
                <w:sz w:val="24"/>
                <w:lang w:val="fr-CA" w:eastAsia="en-CA"/>
              </w:rPr>
              <w:t>d</w:t>
            </w:r>
            <w:r w:rsidRPr="00B13812">
              <w:rPr>
                <w:sz w:val="24"/>
                <w:lang w:val="fr-CA" w:eastAsia="en-CA"/>
              </w:rPr>
              <w:t>jikistan</w:t>
            </w:r>
          </w:p>
        </w:tc>
        <w:tc>
          <w:tcPr>
            <w:tcW w:w="1597" w:type="dxa"/>
            <w:tcBorders>
              <w:top w:val="nil"/>
              <w:left w:val="nil"/>
              <w:bottom w:val="single" w:sz="4" w:space="0" w:color="auto"/>
              <w:right w:val="single" w:sz="4" w:space="0" w:color="auto"/>
            </w:tcBorders>
            <w:shd w:val="clear" w:color="auto" w:fill="auto"/>
            <w:noWrap/>
            <w:vAlign w:val="center"/>
            <w:hideMark/>
          </w:tcPr>
          <w:p w14:paraId="281AC3B7"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25D3090E"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14:paraId="2C0F25D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5C2B2000"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7D778A5B" w14:textId="77777777" w:rsidR="00DF328C" w:rsidRPr="00B13812" w:rsidRDefault="00DF328C" w:rsidP="00DF328C">
            <w:pPr>
              <w:spacing w:after="0" w:line="240" w:lineRule="auto"/>
              <w:jc w:val="right"/>
              <w:rPr>
                <w:sz w:val="24"/>
                <w:lang w:val="fr-CA" w:eastAsia="en-CA"/>
              </w:rPr>
            </w:pPr>
            <w:r w:rsidRPr="00B13812">
              <w:rPr>
                <w:sz w:val="24"/>
                <w:lang w:val="fr-CA" w:eastAsia="en-CA"/>
              </w:rPr>
              <w:t>268</w:t>
            </w:r>
          </w:p>
        </w:tc>
      </w:tr>
      <w:tr w:rsidR="00DF328C" w:rsidRPr="00B13812" w14:paraId="50B550A6"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23A4B6A4" w14:textId="77777777" w:rsidR="00DF328C" w:rsidRPr="00B13812" w:rsidRDefault="00DF328C" w:rsidP="00DF328C">
            <w:pPr>
              <w:spacing w:after="0" w:line="240" w:lineRule="auto"/>
              <w:rPr>
                <w:sz w:val="24"/>
                <w:lang w:val="fr-CA" w:eastAsia="en-CA"/>
              </w:rPr>
            </w:pPr>
            <w:r>
              <w:rPr>
                <w:sz w:val="24"/>
                <w:lang w:val="fr-CA" w:eastAsia="en-CA"/>
              </w:rPr>
              <w:t>Tc</w:t>
            </w:r>
            <w:r w:rsidRPr="00B13812">
              <w:rPr>
                <w:sz w:val="24"/>
                <w:lang w:val="fr-CA" w:eastAsia="en-CA"/>
              </w:rPr>
              <w:t>had</w:t>
            </w:r>
          </w:p>
        </w:tc>
        <w:tc>
          <w:tcPr>
            <w:tcW w:w="1597" w:type="dxa"/>
            <w:tcBorders>
              <w:top w:val="nil"/>
              <w:left w:val="nil"/>
              <w:bottom w:val="single" w:sz="4" w:space="0" w:color="auto"/>
              <w:right w:val="single" w:sz="4" w:space="0" w:color="auto"/>
            </w:tcBorders>
            <w:shd w:val="clear" w:color="auto" w:fill="auto"/>
            <w:noWrap/>
            <w:vAlign w:val="center"/>
            <w:hideMark/>
          </w:tcPr>
          <w:p w14:paraId="00FF74A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005</w:t>
            </w:r>
          </w:p>
        </w:tc>
        <w:tc>
          <w:tcPr>
            <w:tcW w:w="1597" w:type="dxa"/>
            <w:tcBorders>
              <w:top w:val="nil"/>
              <w:left w:val="nil"/>
              <w:bottom w:val="single" w:sz="4" w:space="0" w:color="auto"/>
              <w:right w:val="single" w:sz="4" w:space="0" w:color="auto"/>
            </w:tcBorders>
            <w:shd w:val="clear" w:color="auto" w:fill="auto"/>
            <w:noWrap/>
            <w:vAlign w:val="center"/>
            <w:hideMark/>
          </w:tcPr>
          <w:p w14:paraId="632A80DB"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009</w:t>
            </w:r>
          </w:p>
        </w:tc>
        <w:tc>
          <w:tcPr>
            <w:tcW w:w="1597" w:type="dxa"/>
            <w:tcBorders>
              <w:top w:val="nil"/>
              <w:left w:val="nil"/>
              <w:bottom w:val="single" w:sz="4" w:space="0" w:color="auto"/>
              <w:right w:val="single" w:sz="4" w:space="0" w:color="auto"/>
            </w:tcBorders>
            <w:shd w:val="clear" w:color="auto" w:fill="auto"/>
            <w:noWrap/>
            <w:vAlign w:val="center"/>
            <w:hideMark/>
          </w:tcPr>
          <w:p w14:paraId="709E441F"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163</w:t>
            </w:r>
          </w:p>
        </w:tc>
        <w:tc>
          <w:tcPr>
            <w:tcW w:w="1597" w:type="dxa"/>
            <w:tcBorders>
              <w:top w:val="nil"/>
              <w:left w:val="nil"/>
              <w:bottom w:val="single" w:sz="4" w:space="0" w:color="auto"/>
              <w:right w:val="single" w:sz="4" w:space="0" w:color="auto"/>
            </w:tcBorders>
            <w:shd w:val="clear" w:color="auto" w:fill="auto"/>
            <w:noWrap/>
            <w:vAlign w:val="center"/>
            <w:hideMark/>
          </w:tcPr>
          <w:p w14:paraId="02A85A84"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173</w:t>
            </w:r>
          </w:p>
        </w:tc>
        <w:tc>
          <w:tcPr>
            <w:tcW w:w="1598" w:type="dxa"/>
            <w:tcBorders>
              <w:top w:val="nil"/>
              <w:left w:val="nil"/>
              <w:bottom w:val="single" w:sz="4" w:space="0" w:color="auto"/>
              <w:right w:val="single" w:sz="4" w:space="0" w:color="auto"/>
            </w:tcBorders>
            <w:shd w:val="clear" w:color="auto" w:fill="auto"/>
            <w:noWrap/>
            <w:vAlign w:val="center"/>
            <w:hideMark/>
          </w:tcPr>
          <w:p w14:paraId="0FA53A2C" w14:textId="77777777" w:rsidR="00DF328C" w:rsidRPr="00B13812" w:rsidRDefault="00DF328C" w:rsidP="00DF328C">
            <w:pPr>
              <w:spacing w:after="0" w:line="240" w:lineRule="auto"/>
              <w:jc w:val="right"/>
              <w:rPr>
                <w:sz w:val="24"/>
                <w:lang w:val="fr-CA" w:eastAsia="en-CA"/>
              </w:rPr>
            </w:pPr>
            <w:r w:rsidRPr="00B13812">
              <w:rPr>
                <w:sz w:val="24"/>
                <w:lang w:val="fr-CA" w:eastAsia="en-CA"/>
              </w:rPr>
              <w:t>335</w:t>
            </w:r>
          </w:p>
        </w:tc>
      </w:tr>
      <w:tr w:rsidR="00DF328C" w:rsidRPr="00B13812" w14:paraId="0817EF66"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6E3D6A8" w14:textId="77777777" w:rsidR="00DF328C" w:rsidRPr="00B13812" w:rsidRDefault="00DF328C" w:rsidP="00DF328C">
            <w:pPr>
              <w:spacing w:after="0" w:line="240" w:lineRule="auto"/>
              <w:rPr>
                <w:sz w:val="24"/>
                <w:lang w:val="fr-CA" w:eastAsia="en-CA"/>
              </w:rPr>
            </w:pPr>
            <w:r w:rsidRPr="00B13812">
              <w:rPr>
                <w:sz w:val="24"/>
                <w:lang w:val="fr-CA" w:eastAsia="en-CA"/>
              </w:rPr>
              <w:t>Togo</w:t>
            </w:r>
          </w:p>
        </w:tc>
        <w:tc>
          <w:tcPr>
            <w:tcW w:w="1597" w:type="dxa"/>
            <w:tcBorders>
              <w:top w:val="nil"/>
              <w:left w:val="nil"/>
              <w:bottom w:val="single" w:sz="4" w:space="0" w:color="auto"/>
              <w:right w:val="single" w:sz="4" w:space="0" w:color="auto"/>
            </w:tcBorders>
            <w:shd w:val="clear" w:color="auto" w:fill="auto"/>
            <w:noWrap/>
            <w:vAlign w:val="center"/>
            <w:hideMark/>
          </w:tcPr>
          <w:p w14:paraId="7DAEC983"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3575A8AB"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7DD4682E"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58ADB887"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1B8CEAC9"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3B3F9C6C"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947CF62" w14:textId="77777777" w:rsidR="00DF328C" w:rsidRPr="00B13812" w:rsidRDefault="00DF328C" w:rsidP="00DF328C">
            <w:pPr>
              <w:spacing w:after="0" w:line="240" w:lineRule="auto"/>
              <w:rPr>
                <w:sz w:val="24"/>
                <w:lang w:val="fr-CA" w:eastAsia="en-CA"/>
              </w:rPr>
            </w:pPr>
            <w:r w:rsidRPr="00B13812">
              <w:rPr>
                <w:sz w:val="24"/>
                <w:lang w:val="fr-CA" w:eastAsia="en-CA"/>
              </w:rPr>
              <w:t>Tuvalu</w:t>
            </w:r>
          </w:p>
        </w:tc>
        <w:tc>
          <w:tcPr>
            <w:tcW w:w="1597" w:type="dxa"/>
            <w:tcBorders>
              <w:top w:val="nil"/>
              <w:left w:val="nil"/>
              <w:bottom w:val="single" w:sz="4" w:space="0" w:color="auto"/>
              <w:right w:val="single" w:sz="4" w:space="0" w:color="auto"/>
            </w:tcBorders>
            <w:shd w:val="clear" w:color="auto" w:fill="auto"/>
            <w:noWrap/>
            <w:vAlign w:val="center"/>
            <w:hideMark/>
          </w:tcPr>
          <w:p w14:paraId="72EBA65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555912DF"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5535E8E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1035A5D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7528D9FC"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544B0E63"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260A917" w14:textId="77777777" w:rsidR="00DF328C" w:rsidRPr="00B13812" w:rsidRDefault="00DF328C" w:rsidP="00DF328C">
            <w:pPr>
              <w:spacing w:after="0" w:line="240" w:lineRule="auto"/>
              <w:rPr>
                <w:sz w:val="24"/>
                <w:lang w:val="fr-CA" w:eastAsia="en-CA"/>
              </w:rPr>
            </w:pPr>
            <w:r>
              <w:rPr>
                <w:sz w:val="24"/>
                <w:lang w:val="fr-CA" w:eastAsia="en-CA"/>
              </w:rPr>
              <w:lastRenderedPageBreak/>
              <w:t>Union européenne</w:t>
            </w:r>
          </w:p>
        </w:tc>
        <w:tc>
          <w:tcPr>
            <w:tcW w:w="1597" w:type="dxa"/>
            <w:tcBorders>
              <w:top w:val="nil"/>
              <w:left w:val="nil"/>
              <w:bottom w:val="single" w:sz="4" w:space="0" w:color="auto"/>
              <w:right w:val="single" w:sz="4" w:space="0" w:color="auto"/>
            </w:tcBorders>
            <w:shd w:val="clear" w:color="auto" w:fill="auto"/>
            <w:noWrap/>
            <w:vAlign w:val="center"/>
            <w:hideMark/>
          </w:tcPr>
          <w:p w14:paraId="21438045"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000</w:t>
            </w:r>
          </w:p>
        </w:tc>
        <w:tc>
          <w:tcPr>
            <w:tcW w:w="1597" w:type="dxa"/>
            <w:tcBorders>
              <w:top w:val="nil"/>
              <w:left w:val="nil"/>
              <w:bottom w:val="single" w:sz="4" w:space="0" w:color="auto"/>
              <w:right w:val="single" w:sz="4" w:space="0" w:color="auto"/>
            </w:tcBorders>
            <w:shd w:val="clear" w:color="auto" w:fill="auto"/>
            <w:noWrap/>
            <w:vAlign w:val="center"/>
            <w:hideMark/>
          </w:tcPr>
          <w:p w14:paraId="359C9149" w14:textId="77777777" w:rsidR="00DF328C" w:rsidRPr="00B13812" w:rsidRDefault="00DF328C" w:rsidP="00DF328C">
            <w:pPr>
              <w:spacing w:after="0" w:line="240" w:lineRule="auto"/>
              <w:jc w:val="right"/>
              <w:rPr>
                <w:sz w:val="24"/>
                <w:lang w:val="fr-CA" w:eastAsia="en-CA"/>
              </w:rPr>
            </w:pPr>
            <w:r w:rsidRPr="00B13812">
              <w:rPr>
                <w:sz w:val="24"/>
                <w:lang w:val="fr-CA" w:eastAsia="en-CA"/>
              </w:rPr>
              <w:t>2</w:t>
            </w:r>
            <w:r>
              <w:rPr>
                <w:sz w:val="24"/>
                <w:lang w:val="fr-CA" w:eastAsia="en-CA"/>
              </w:rPr>
              <w:t>,</w:t>
            </w:r>
            <w:r w:rsidRPr="00B13812">
              <w:rPr>
                <w:sz w:val="24"/>
                <w:lang w:val="fr-CA" w:eastAsia="en-CA"/>
              </w:rPr>
              <w:t>500</w:t>
            </w:r>
          </w:p>
        </w:tc>
        <w:tc>
          <w:tcPr>
            <w:tcW w:w="1597" w:type="dxa"/>
            <w:tcBorders>
              <w:top w:val="nil"/>
              <w:left w:val="nil"/>
              <w:bottom w:val="single" w:sz="4" w:space="0" w:color="auto"/>
              <w:right w:val="single" w:sz="4" w:space="0" w:color="auto"/>
            </w:tcBorders>
            <w:shd w:val="clear" w:color="auto" w:fill="auto"/>
            <w:noWrap/>
            <w:vAlign w:val="center"/>
            <w:hideMark/>
          </w:tcPr>
          <w:p w14:paraId="527E7C87"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44 024</w:t>
            </w:r>
          </w:p>
        </w:tc>
        <w:tc>
          <w:tcPr>
            <w:tcW w:w="1597" w:type="dxa"/>
            <w:tcBorders>
              <w:top w:val="nil"/>
              <w:left w:val="nil"/>
              <w:bottom w:val="single" w:sz="4" w:space="0" w:color="auto"/>
              <w:right w:val="single" w:sz="4" w:space="0" w:color="auto"/>
            </w:tcBorders>
            <w:shd w:val="clear" w:color="auto" w:fill="auto"/>
            <w:noWrap/>
            <w:vAlign w:val="center"/>
            <w:hideMark/>
          </w:tcPr>
          <w:p w14:paraId="597C2D2B"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46 683</w:t>
            </w:r>
          </w:p>
        </w:tc>
        <w:tc>
          <w:tcPr>
            <w:tcW w:w="1598" w:type="dxa"/>
            <w:tcBorders>
              <w:top w:val="nil"/>
              <w:left w:val="nil"/>
              <w:bottom w:val="single" w:sz="4" w:space="0" w:color="auto"/>
              <w:right w:val="single" w:sz="4" w:space="0" w:color="auto"/>
            </w:tcBorders>
            <w:shd w:val="clear" w:color="auto" w:fill="auto"/>
            <w:noWrap/>
            <w:vAlign w:val="center"/>
            <w:hideMark/>
          </w:tcPr>
          <w:p w14:paraId="0BDDBA91" w14:textId="77777777" w:rsidR="00DF328C" w:rsidRPr="00B13812" w:rsidRDefault="00DF328C" w:rsidP="00DF328C">
            <w:pPr>
              <w:spacing w:after="0" w:line="240" w:lineRule="auto"/>
              <w:jc w:val="right"/>
              <w:rPr>
                <w:sz w:val="24"/>
                <w:lang w:val="fr-CA" w:eastAsia="en-CA"/>
              </w:rPr>
            </w:pPr>
            <w:r w:rsidRPr="00B13812">
              <w:rPr>
                <w:sz w:val="24"/>
                <w:lang w:val="fr-CA" w:eastAsia="en-CA"/>
              </w:rPr>
              <w:t>90 708</w:t>
            </w:r>
          </w:p>
        </w:tc>
      </w:tr>
      <w:tr w:rsidR="00DF328C" w:rsidRPr="00B13812" w14:paraId="5F8BFAE2"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E73D144" w14:textId="77777777" w:rsidR="00DF328C" w:rsidRPr="00B13812" w:rsidRDefault="00DF328C" w:rsidP="00DF328C">
            <w:pPr>
              <w:spacing w:after="0" w:line="240" w:lineRule="auto"/>
              <w:rPr>
                <w:sz w:val="24"/>
                <w:lang w:val="fr-CA" w:eastAsia="en-CA"/>
              </w:rPr>
            </w:pPr>
            <w:r w:rsidRPr="00B13812">
              <w:rPr>
                <w:sz w:val="24"/>
                <w:lang w:val="fr-CA" w:eastAsia="en-CA"/>
              </w:rPr>
              <w:t>Uruguay</w:t>
            </w:r>
          </w:p>
        </w:tc>
        <w:tc>
          <w:tcPr>
            <w:tcW w:w="1597" w:type="dxa"/>
            <w:tcBorders>
              <w:top w:val="nil"/>
              <w:left w:val="nil"/>
              <w:bottom w:val="single" w:sz="4" w:space="0" w:color="auto"/>
              <w:right w:val="single" w:sz="4" w:space="0" w:color="auto"/>
            </w:tcBorders>
            <w:shd w:val="clear" w:color="auto" w:fill="auto"/>
            <w:noWrap/>
            <w:vAlign w:val="center"/>
            <w:hideMark/>
          </w:tcPr>
          <w:p w14:paraId="1C300DB9"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079</w:t>
            </w:r>
          </w:p>
        </w:tc>
        <w:tc>
          <w:tcPr>
            <w:tcW w:w="1597" w:type="dxa"/>
            <w:tcBorders>
              <w:top w:val="nil"/>
              <w:left w:val="nil"/>
              <w:bottom w:val="single" w:sz="4" w:space="0" w:color="auto"/>
              <w:right w:val="single" w:sz="4" w:space="0" w:color="auto"/>
            </w:tcBorders>
            <w:shd w:val="clear" w:color="auto" w:fill="auto"/>
            <w:noWrap/>
            <w:vAlign w:val="center"/>
            <w:hideMark/>
          </w:tcPr>
          <w:p w14:paraId="7A8B3AE2"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146</w:t>
            </w:r>
          </w:p>
        </w:tc>
        <w:tc>
          <w:tcPr>
            <w:tcW w:w="1597" w:type="dxa"/>
            <w:tcBorders>
              <w:top w:val="nil"/>
              <w:left w:val="nil"/>
              <w:bottom w:val="single" w:sz="4" w:space="0" w:color="auto"/>
              <w:right w:val="single" w:sz="4" w:space="0" w:color="auto"/>
            </w:tcBorders>
            <w:shd w:val="clear" w:color="auto" w:fill="auto"/>
            <w:noWrap/>
            <w:vAlign w:val="center"/>
            <w:hideMark/>
          </w:tcPr>
          <w:p w14:paraId="4A5EF7A6"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2 570</w:t>
            </w:r>
          </w:p>
        </w:tc>
        <w:tc>
          <w:tcPr>
            <w:tcW w:w="1597" w:type="dxa"/>
            <w:tcBorders>
              <w:top w:val="nil"/>
              <w:left w:val="nil"/>
              <w:bottom w:val="single" w:sz="4" w:space="0" w:color="auto"/>
              <w:right w:val="single" w:sz="4" w:space="0" w:color="auto"/>
            </w:tcBorders>
            <w:shd w:val="clear" w:color="auto" w:fill="auto"/>
            <w:noWrap/>
            <w:vAlign w:val="center"/>
            <w:hideMark/>
          </w:tcPr>
          <w:p w14:paraId="384F6569"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2 726</w:t>
            </w:r>
          </w:p>
        </w:tc>
        <w:tc>
          <w:tcPr>
            <w:tcW w:w="1598" w:type="dxa"/>
            <w:tcBorders>
              <w:top w:val="nil"/>
              <w:left w:val="nil"/>
              <w:bottom w:val="single" w:sz="4" w:space="0" w:color="auto"/>
              <w:right w:val="single" w:sz="4" w:space="0" w:color="auto"/>
            </w:tcBorders>
            <w:shd w:val="clear" w:color="auto" w:fill="auto"/>
            <w:noWrap/>
            <w:vAlign w:val="center"/>
            <w:hideMark/>
          </w:tcPr>
          <w:p w14:paraId="58F23945" w14:textId="77777777" w:rsidR="00DF328C" w:rsidRPr="00B13812" w:rsidRDefault="00DF328C" w:rsidP="00DF328C">
            <w:pPr>
              <w:spacing w:after="0" w:line="240" w:lineRule="auto"/>
              <w:jc w:val="right"/>
              <w:rPr>
                <w:sz w:val="24"/>
                <w:lang w:val="fr-CA" w:eastAsia="en-CA"/>
              </w:rPr>
            </w:pPr>
            <w:r w:rsidRPr="00B13812">
              <w:rPr>
                <w:sz w:val="24"/>
                <w:lang w:val="fr-CA" w:eastAsia="en-CA"/>
              </w:rPr>
              <w:t>5 296</w:t>
            </w:r>
          </w:p>
        </w:tc>
      </w:tr>
      <w:tr w:rsidR="00DF328C" w:rsidRPr="00B13812" w14:paraId="7FC82DCB"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1824A2BF" w14:textId="77777777" w:rsidR="00DF328C" w:rsidRPr="00B13812" w:rsidRDefault="00DF328C" w:rsidP="00DF328C">
            <w:pPr>
              <w:spacing w:after="0" w:line="240" w:lineRule="auto"/>
              <w:rPr>
                <w:sz w:val="24"/>
                <w:lang w:val="fr-CA" w:eastAsia="en-CA"/>
              </w:rPr>
            </w:pPr>
            <w:r w:rsidRPr="00B13812">
              <w:rPr>
                <w:sz w:val="24"/>
                <w:lang w:val="fr-CA" w:eastAsia="en-CA"/>
              </w:rPr>
              <w:t>Vanuatu</w:t>
            </w:r>
          </w:p>
        </w:tc>
        <w:tc>
          <w:tcPr>
            <w:tcW w:w="1597" w:type="dxa"/>
            <w:tcBorders>
              <w:top w:val="nil"/>
              <w:left w:val="nil"/>
              <w:bottom w:val="single" w:sz="4" w:space="0" w:color="auto"/>
              <w:right w:val="single" w:sz="4" w:space="0" w:color="auto"/>
            </w:tcBorders>
            <w:shd w:val="clear" w:color="auto" w:fill="auto"/>
            <w:noWrap/>
            <w:vAlign w:val="center"/>
            <w:hideMark/>
          </w:tcPr>
          <w:p w14:paraId="5084296A"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001</w:t>
            </w:r>
          </w:p>
        </w:tc>
        <w:tc>
          <w:tcPr>
            <w:tcW w:w="1597" w:type="dxa"/>
            <w:tcBorders>
              <w:top w:val="nil"/>
              <w:left w:val="nil"/>
              <w:bottom w:val="single" w:sz="4" w:space="0" w:color="auto"/>
              <w:right w:val="single" w:sz="4" w:space="0" w:color="auto"/>
            </w:tcBorders>
            <w:shd w:val="clear" w:color="auto" w:fill="auto"/>
            <w:noWrap/>
            <w:vAlign w:val="center"/>
            <w:hideMark/>
          </w:tcPr>
          <w:p w14:paraId="7935B1E7"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002</w:t>
            </w:r>
          </w:p>
        </w:tc>
        <w:tc>
          <w:tcPr>
            <w:tcW w:w="1597" w:type="dxa"/>
            <w:tcBorders>
              <w:top w:val="nil"/>
              <w:left w:val="nil"/>
              <w:bottom w:val="single" w:sz="4" w:space="0" w:color="auto"/>
              <w:right w:val="single" w:sz="4" w:space="0" w:color="auto"/>
            </w:tcBorders>
            <w:shd w:val="clear" w:color="auto" w:fill="auto"/>
            <w:noWrap/>
            <w:vAlign w:val="center"/>
            <w:hideMark/>
          </w:tcPr>
          <w:p w14:paraId="1BF6E86D"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33</w:t>
            </w:r>
          </w:p>
        </w:tc>
        <w:tc>
          <w:tcPr>
            <w:tcW w:w="1597" w:type="dxa"/>
            <w:tcBorders>
              <w:top w:val="nil"/>
              <w:left w:val="nil"/>
              <w:bottom w:val="single" w:sz="4" w:space="0" w:color="auto"/>
              <w:right w:val="single" w:sz="4" w:space="0" w:color="auto"/>
            </w:tcBorders>
            <w:shd w:val="clear" w:color="auto" w:fill="auto"/>
            <w:noWrap/>
            <w:vAlign w:val="center"/>
            <w:hideMark/>
          </w:tcPr>
          <w:p w14:paraId="6A3F5AA9"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35</w:t>
            </w:r>
          </w:p>
        </w:tc>
        <w:tc>
          <w:tcPr>
            <w:tcW w:w="1598" w:type="dxa"/>
            <w:tcBorders>
              <w:top w:val="nil"/>
              <w:left w:val="nil"/>
              <w:bottom w:val="single" w:sz="4" w:space="0" w:color="auto"/>
              <w:right w:val="single" w:sz="4" w:space="0" w:color="auto"/>
            </w:tcBorders>
            <w:shd w:val="clear" w:color="auto" w:fill="auto"/>
            <w:noWrap/>
            <w:vAlign w:val="center"/>
            <w:hideMark/>
          </w:tcPr>
          <w:p w14:paraId="1B860706" w14:textId="77777777" w:rsidR="00DF328C" w:rsidRPr="00B13812" w:rsidRDefault="00DF328C" w:rsidP="00DF328C">
            <w:pPr>
              <w:spacing w:after="0" w:line="240" w:lineRule="auto"/>
              <w:jc w:val="right"/>
              <w:rPr>
                <w:sz w:val="24"/>
                <w:lang w:val="fr-CA" w:eastAsia="en-CA"/>
              </w:rPr>
            </w:pPr>
            <w:r w:rsidRPr="00B13812">
              <w:rPr>
                <w:sz w:val="24"/>
                <w:lang w:val="fr-CA" w:eastAsia="en-CA"/>
              </w:rPr>
              <w:t>67</w:t>
            </w:r>
          </w:p>
        </w:tc>
      </w:tr>
      <w:tr w:rsidR="00DF328C" w:rsidRPr="00B13812" w14:paraId="1A236FCF"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3D91C2ED" w14:textId="77777777" w:rsidR="00DF328C" w:rsidRPr="00B13812" w:rsidRDefault="00DF328C" w:rsidP="00DF328C">
            <w:pPr>
              <w:spacing w:after="0" w:line="240" w:lineRule="auto"/>
              <w:rPr>
                <w:sz w:val="24"/>
                <w:lang w:val="fr-CA" w:eastAsia="en-CA"/>
              </w:rPr>
            </w:pPr>
            <w:r w:rsidRPr="00B13812">
              <w:rPr>
                <w:sz w:val="24"/>
                <w:lang w:val="fr-CA" w:eastAsia="en-CA"/>
              </w:rPr>
              <w:t>Viet Nam</w:t>
            </w:r>
          </w:p>
        </w:tc>
        <w:tc>
          <w:tcPr>
            <w:tcW w:w="1597" w:type="dxa"/>
            <w:tcBorders>
              <w:top w:val="nil"/>
              <w:left w:val="nil"/>
              <w:bottom w:val="single" w:sz="4" w:space="0" w:color="auto"/>
              <w:right w:val="single" w:sz="4" w:space="0" w:color="auto"/>
            </w:tcBorders>
            <w:shd w:val="clear" w:color="auto" w:fill="auto"/>
            <w:noWrap/>
            <w:vAlign w:val="center"/>
            <w:hideMark/>
          </w:tcPr>
          <w:p w14:paraId="1BEFD372"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058</w:t>
            </w:r>
          </w:p>
        </w:tc>
        <w:tc>
          <w:tcPr>
            <w:tcW w:w="1597" w:type="dxa"/>
            <w:tcBorders>
              <w:top w:val="nil"/>
              <w:left w:val="nil"/>
              <w:bottom w:val="single" w:sz="4" w:space="0" w:color="auto"/>
              <w:right w:val="single" w:sz="4" w:space="0" w:color="auto"/>
            </w:tcBorders>
            <w:shd w:val="clear" w:color="auto" w:fill="auto"/>
            <w:noWrap/>
            <w:vAlign w:val="center"/>
            <w:hideMark/>
          </w:tcPr>
          <w:p w14:paraId="5A8F6B9E"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107</w:t>
            </w:r>
          </w:p>
        </w:tc>
        <w:tc>
          <w:tcPr>
            <w:tcW w:w="1597" w:type="dxa"/>
            <w:tcBorders>
              <w:top w:val="nil"/>
              <w:left w:val="nil"/>
              <w:bottom w:val="single" w:sz="4" w:space="0" w:color="auto"/>
              <w:right w:val="single" w:sz="4" w:space="0" w:color="auto"/>
            </w:tcBorders>
            <w:shd w:val="clear" w:color="auto" w:fill="auto"/>
            <w:noWrap/>
            <w:vAlign w:val="center"/>
            <w:hideMark/>
          </w:tcPr>
          <w:p w14:paraId="4B2076DF"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1 887</w:t>
            </w:r>
          </w:p>
        </w:tc>
        <w:tc>
          <w:tcPr>
            <w:tcW w:w="1597" w:type="dxa"/>
            <w:tcBorders>
              <w:top w:val="nil"/>
              <w:left w:val="nil"/>
              <w:bottom w:val="single" w:sz="4" w:space="0" w:color="auto"/>
              <w:right w:val="single" w:sz="4" w:space="0" w:color="auto"/>
            </w:tcBorders>
            <w:shd w:val="clear" w:color="auto" w:fill="auto"/>
            <w:noWrap/>
            <w:vAlign w:val="center"/>
            <w:hideMark/>
          </w:tcPr>
          <w:p w14:paraId="377D271F"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2 001</w:t>
            </w:r>
          </w:p>
        </w:tc>
        <w:tc>
          <w:tcPr>
            <w:tcW w:w="1598" w:type="dxa"/>
            <w:tcBorders>
              <w:top w:val="nil"/>
              <w:left w:val="nil"/>
              <w:bottom w:val="single" w:sz="4" w:space="0" w:color="auto"/>
              <w:right w:val="single" w:sz="4" w:space="0" w:color="auto"/>
            </w:tcBorders>
            <w:shd w:val="clear" w:color="auto" w:fill="auto"/>
            <w:noWrap/>
            <w:vAlign w:val="center"/>
            <w:hideMark/>
          </w:tcPr>
          <w:p w14:paraId="5752AF7F" w14:textId="77777777" w:rsidR="00DF328C" w:rsidRPr="00B13812" w:rsidRDefault="00DF328C" w:rsidP="00DF328C">
            <w:pPr>
              <w:spacing w:after="0" w:line="240" w:lineRule="auto"/>
              <w:jc w:val="right"/>
              <w:rPr>
                <w:sz w:val="24"/>
                <w:lang w:val="fr-CA" w:eastAsia="en-CA"/>
              </w:rPr>
            </w:pPr>
            <w:r w:rsidRPr="00B13812">
              <w:rPr>
                <w:sz w:val="24"/>
                <w:lang w:val="fr-CA" w:eastAsia="en-CA"/>
              </w:rPr>
              <w:t>3 888</w:t>
            </w:r>
          </w:p>
        </w:tc>
      </w:tr>
      <w:tr w:rsidR="00DF328C" w:rsidRPr="00B13812" w14:paraId="3F0A602A"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5C85156A" w14:textId="77777777" w:rsidR="00DF328C" w:rsidRPr="00B13812" w:rsidRDefault="00DF328C" w:rsidP="00DF328C">
            <w:pPr>
              <w:spacing w:after="0" w:line="240" w:lineRule="auto"/>
              <w:rPr>
                <w:sz w:val="24"/>
                <w:lang w:val="fr-CA" w:eastAsia="en-CA"/>
              </w:rPr>
            </w:pPr>
            <w:r>
              <w:rPr>
                <w:sz w:val="24"/>
                <w:lang w:val="fr-CA" w:eastAsia="en-CA"/>
              </w:rPr>
              <w:t>Zambie</w:t>
            </w:r>
          </w:p>
        </w:tc>
        <w:tc>
          <w:tcPr>
            <w:tcW w:w="1597" w:type="dxa"/>
            <w:tcBorders>
              <w:top w:val="nil"/>
              <w:left w:val="nil"/>
              <w:bottom w:val="single" w:sz="4" w:space="0" w:color="auto"/>
              <w:right w:val="single" w:sz="4" w:space="0" w:color="auto"/>
            </w:tcBorders>
            <w:shd w:val="clear" w:color="auto" w:fill="auto"/>
            <w:noWrap/>
            <w:vAlign w:val="center"/>
            <w:hideMark/>
          </w:tcPr>
          <w:p w14:paraId="78936CB4"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14:paraId="4ABE367E"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013</w:t>
            </w:r>
          </w:p>
        </w:tc>
        <w:tc>
          <w:tcPr>
            <w:tcW w:w="1597" w:type="dxa"/>
            <w:tcBorders>
              <w:top w:val="nil"/>
              <w:left w:val="nil"/>
              <w:bottom w:val="single" w:sz="4" w:space="0" w:color="auto"/>
              <w:right w:val="single" w:sz="4" w:space="0" w:color="auto"/>
            </w:tcBorders>
            <w:shd w:val="clear" w:color="auto" w:fill="auto"/>
            <w:noWrap/>
            <w:vAlign w:val="center"/>
            <w:hideMark/>
          </w:tcPr>
          <w:p w14:paraId="7E3D5869"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228</w:t>
            </w:r>
          </w:p>
        </w:tc>
        <w:tc>
          <w:tcPr>
            <w:tcW w:w="1597" w:type="dxa"/>
            <w:tcBorders>
              <w:top w:val="nil"/>
              <w:left w:val="nil"/>
              <w:bottom w:val="single" w:sz="4" w:space="0" w:color="auto"/>
              <w:right w:val="single" w:sz="4" w:space="0" w:color="auto"/>
            </w:tcBorders>
            <w:shd w:val="clear" w:color="auto" w:fill="auto"/>
            <w:noWrap/>
            <w:vAlign w:val="center"/>
            <w:hideMark/>
          </w:tcPr>
          <w:p w14:paraId="1275AFC8"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242</w:t>
            </w:r>
          </w:p>
        </w:tc>
        <w:tc>
          <w:tcPr>
            <w:tcW w:w="1598" w:type="dxa"/>
            <w:tcBorders>
              <w:top w:val="nil"/>
              <w:left w:val="nil"/>
              <w:bottom w:val="single" w:sz="4" w:space="0" w:color="auto"/>
              <w:right w:val="single" w:sz="4" w:space="0" w:color="auto"/>
            </w:tcBorders>
            <w:shd w:val="clear" w:color="auto" w:fill="auto"/>
            <w:noWrap/>
            <w:vAlign w:val="center"/>
            <w:hideMark/>
          </w:tcPr>
          <w:p w14:paraId="47E5340B" w14:textId="77777777" w:rsidR="00DF328C" w:rsidRPr="00B13812" w:rsidRDefault="00DF328C" w:rsidP="00DF328C">
            <w:pPr>
              <w:spacing w:after="0" w:line="240" w:lineRule="auto"/>
              <w:jc w:val="right"/>
              <w:rPr>
                <w:sz w:val="24"/>
                <w:lang w:val="fr-CA" w:eastAsia="en-CA"/>
              </w:rPr>
            </w:pPr>
            <w:r w:rsidRPr="00B13812">
              <w:rPr>
                <w:sz w:val="24"/>
                <w:lang w:val="fr-CA" w:eastAsia="en-CA"/>
              </w:rPr>
              <w:t>469</w:t>
            </w:r>
          </w:p>
        </w:tc>
      </w:tr>
      <w:tr w:rsidR="00DF328C" w:rsidRPr="00B13812" w14:paraId="0D9C2E9A" w14:textId="77777777" w:rsidTr="00DF328C">
        <w:trPr>
          <w:cantSplit/>
          <w:jc w:val="center"/>
        </w:trPr>
        <w:tc>
          <w:tcPr>
            <w:tcW w:w="5617" w:type="dxa"/>
            <w:tcBorders>
              <w:top w:val="nil"/>
              <w:left w:val="single" w:sz="4" w:space="0" w:color="auto"/>
              <w:bottom w:val="single" w:sz="4" w:space="0" w:color="auto"/>
              <w:right w:val="single" w:sz="4" w:space="0" w:color="auto"/>
            </w:tcBorders>
            <w:shd w:val="clear" w:color="auto" w:fill="auto"/>
            <w:vAlign w:val="center"/>
            <w:hideMark/>
          </w:tcPr>
          <w:p w14:paraId="0C1800C1" w14:textId="77777777" w:rsidR="00DF328C" w:rsidRPr="00B13812" w:rsidRDefault="00DF328C" w:rsidP="00DF328C">
            <w:pPr>
              <w:spacing w:after="0" w:line="240" w:lineRule="auto"/>
              <w:rPr>
                <w:sz w:val="24"/>
                <w:lang w:val="fr-CA" w:eastAsia="en-CA"/>
              </w:rPr>
            </w:pPr>
            <w:r w:rsidRPr="00B13812">
              <w:rPr>
                <w:sz w:val="24"/>
                <w:lang w:val="fr-CA" w:eastAsia="en-CA"/>
              </w:rPr>
              <w:t>Zimbabwe</w:t>
            </w:r>
          </w:p>
        </w:tc>
        <w:tc>
          <w:tcPr>
            <w:tcW w:w="1597" w:type="dxa"/>
            <w:tcBorders>
              <w:top w:val="nil"/>
              <w:left w:val="nil"/>
              <w:bottom w:val="single" w:sz="4" w:space="0" w:color="auto"/>
              <w:right w:val="single" w:sz="4" w:space="0" w:color="auto"/>
            </w:tcBorders>
            <w:shd w:val="clear" w:color="auto" w:fill="auto"/>
            <w:noWrap/>
            <w:vAlign w:val="center"/>
            <w:hideMark/>
          </w:tcPr>
          <w:p w14:paraId="0FE1A942"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004</w:t>
            </w:r>
          </w:p>
        </w:tc>
        <w:tc>
          <w:tcPr>
            <w:tcW w:w="1597" w:type="dxa"/>
            <w:tcBorders>
              <w:top w:val="nil"/>
              <w:left w:val="nil"/>
              <w:bottom w:val="single" w:sz="4" w:space="0" w:color="auto"/>
              <w:right w:val="single" w:sz="4" w:space="0" w:color="auto"/>
            </w:tcBorders>
            <w:shd w:val="clear" w:color="auto" w:fill="auto"/>
            <w:noWrap/>
            <w:vAlign w:val="center"/>
            <w:hideMark/>
          </w:tcPr>
          <w:p w14:paraId="5F2704D8" w14:textId="77777777" w:rsidR="00DF328C" w:rsidRPr="00B13812" w:rsidRDefault="00DF328C" w:rsidP="00DF328C">
            <w:pPr>
              <w:spacing w:after="0" w:line="240" w:lineRule="auto"/>
              <w:jc w:val="right"/>
              <w:rPr>
                <w:sz w:val="24"/>
                <w:lang w:val="fr-CA" w:eastAsia="en-CA"/>
              </w:rPr>
            </w:pPr>
            <w:r w:rsidRPr="00B13812">
              <w:rPr>
                <w:sz w:val="24"/>
                <w:lang w:val="fr-CA" w:eastAsia="en-CA"/>
              </w:rPr>
              <w:t>0</w:t>
            </w:r>
            <w:r>
              <w:rPr>
                <w:sz w:val="24"/>
                <w:lang w:val="fr-CA" w:eastAsia="en-CA"/>
              </w:rPr>
              <w:t>,</w:t>
            </w:r>
            <w:r w:rsidRPr="00B13812">
              <w:rPr>
                <w:sz w:val="24"/>
                <w:lang w:val="fr-CA" w:eastAsia="en-CA"/>
              </w:rPr>
              <w:t>007</w:t>
            </w:r>
          </w:p>
        </w:tc>
        <w:tc>
          <w:tcPr>
            <w:tcW w:w="1597" w:type="dxa"/>
            <w:tcBorders>
              <w:top w:val="nil"/>
              <w:left w:val="nil"/>
              <w:bottom w:val="single" w:sz="4" w:space="0" w:color="auto"/>
              <w:right w:val="single" w:sz="4" w:space="0" w:color="auto"/>
            </w:tcBorders>
            <w:shd w:val="clear" w:color="auto" w:fill="auto"/>
            <w:noWrap/>
            <w:vAlign w:val="center"/>
            <w:hideMark/>
          </w:tcPr>
          <w:p w14:paraId="76F1B153"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130</w:t>
            </w:r>
          </w:p>
        </w:tc>
        <w:tc>
          <w:tcPr>
            <w:tcW w:w="1597" w:type="dxa"/>
            <w:tcBorders>
              <w:top w:val="nil"/>
              <w:left w:val="nil"/>
              <w:bottom w:val="single" w:sz="4" w:space="0" w:color="auto"/>
              <w:right w:val="single" w:sz="4" w:space="0" w:color="auto"/>
            </w:tcBorders>
            <w:shd w:val="clear" w:color="auto" w:fill="auto"/>
            <w:noWrap/>
            <w:vAlign w:val="center"/>
            <w:hideMark/>
          </w:tcPr>
          <w:p w14:paraId="312CBBB5" w14:textId="77777777" w:rsidR="00DF328C" w:rsidRPr="00B13812" w:rsidRDefault="00DF328C" w:rsidP="00DF328C">
            <w:pPr>
              <w:spacing w:after="0" w:line="240" w:lineRule="auto"/>
              <w:jc w:val="right"/>
              <w:rPr>
                <w:color w:val="000000"/>
                <w:sz w:val="24"/>
                <w:lang w:val="fr-CA" w:eastAsia="en-CA"/>
              </w:rPr>
            </w:pPr>
            <w:r w:rsidRPr="00B13812">
              <w:rPr>
                <w:color w:val="000000"/>
                <w:sz w:val="24"/>
                <w:lang w:val="fr-CA" w:eastAsia="en-CA"/>
              </w:rPr>
              <w:t>138</w:t>
            </w:r>
          </w:p>
        </w:tc>
        <w:tc>
          <w:tcPr>
            <w:tcW w:w="1598" w:type="dxa"/>
            <w:tcBorders>
              <w:top w:val="nil"/>
              <w:left w:val="nil"/>
              <w:bottom w:val="single" w:sz="4" w:space="0" w:color="auto"/>
              <w:right w:val="single" w:sz="4" w:space="0" w:color="auto"/>
            </w:tcBorders>
            <w:shd w:val="clear" w:color="auto" w:fill="auto"/>
            <w:noWrap/>
            <w:vAlign w:val="center"/>
            <w:hideMark/>
          </w:tcPr>
          <w:p w14:paraId="1C29E0A7" w14:textId="77777777" w:rsidR="00DF328C" w:rsidRPr="00B13812" w:rsidRDefault="00DF328C" w:rsidP="00DF328C">
            <w:pPr>
              <w:spacing w:after="0" w:line="240" w:lineRule="auto"/>
              <w:jc w:val="right"/>
              <w:rPr>
                <w:sz w:val="24"/>
                <w:lang w:val="fr-CA" w:eastAsia="en-CA"/>
              </w:rPr>
            </w:pPr>
            <w:r w:rsidRPr="00B13812">
              <w:rPr>
                <w:sz w:val="24"/>
                <w:lang w:val="fr-CA" w:eastAsia="en-CA"/>
              </w:rPr>
              <w:t>268</w:t>
            </w:r>
          </w:p>
        </w:tc>
      </w:tr>
      <w:tr w:rsidR="00DF328C" w:rsidRPr="00B13812" w14:paraId="2F0A0565" w14:textId="77777777" w:rsidTr="00DF328C">
        <w:trPr>
          <w:cantSplit/>
          <w:jc w:val="center"/>
        </w:trPr>
        <w:tc>
          <w:tcPr>
            <w:tcW w:w="5617" w:type="dxa"/>
            <w:tcBorders>
              <w:top w:val="single" w:sz="4" w:space="0" w:color="auto"/>
              <w:left w:val="single" w:sz="4" w:space="0" w:color="auto"/>
              <w:bottom w:val="single" w:sz="4" w:space="0" w:color="auto"/>
              <w:right w:val="single" w:sz="4" w:space="0" w:color="auto"/>
            </w:tcBorders>
            <w:shd w:val="clear" w:color="auto" w:fill="auto"/>
            <w:vAlign w:val="center"/>
          </w:tcPr>
          <w:p w14:paraId="3BB48BCF" w14:textId="77777777" w:rsidR="00DF328C" w:rsidRPr="00B13812" w:rsidRDefault="00DF328C" w:rsidP="00DF328C">
            <w:pPr>
              <w:spacing w:after="0" w:line="240" w:lineRule="auto"/>
              <w:rPr>
                <w:b/>
                <w:bCs/>
                <w:sz w:val="24"/>
                <w:lang w:val="fr-CA" w:eastAsia="en-CA"/>
              </w:rPr>
            </w:pPr>
            <w:r w:rsidRPr="00B13812">
              <w:rPr>
                <w:b/>
                <w:bCs/>
                <w:sz w:val="24"/>
                <w:lang w:val="fr-CA" w:eastAsia="en-CA"/>
              </w:rPr>
              <w:t>Total</w:t>
            </w:r>
          </w:p>
        </w:tc>
        <w:tc>
          <w:tcPr>
            <w:tcW w:w="1597" w:type="dxa"/>
            <w:tcBorders>
              <w:top w:val="single" w:sz="4" w:space="0" w:color="auto"/>
              <w:left w:val="nil"/>
              <w:bottom w:val="single" w:sz="4" w:space="0" w:color="auto"/>
              <w:right w:val="single" w:sz="4" w:space="0" w:color="auto"/>
            </w:tcBorders>
            <w:shd w:val="clear" w:color="auto" w:fill="auto"/>
            <w:noWrap/>
            <w:vAlign w:val="center"/>
          </w:tcPr>
          <w:p w14:paraId="18645114" w14:textId="77777777" w:rsidR="00DF328C" w:rsidRPr="00B13812" w:rsidRDefault="00DF328C" w:rsidP="00DF328C">
            <w:pPr>
              <w:spacing w:after="0" w:line="240" w:lineRule="auto"/>
              <w:jc w:val="right"/>
              <w:rPr>
                <w:b/>
                <w:bCs/>
                <w:color w:val="000000"/>
                <w:sz w:val="24"/>
                <w:lang w:val="fr-CA" w:eastAsia="en-CA"/>
              </w:rPr>
            </w:pPr>
            <w:r w:rsidRPr="00B13812">
              <w:rPr>
                <w:b/>
                <w:bCs/>
                <w:color w:val="000000"/>
                <w:sz w:val="24"/>
                <w:lang w:val="fr-CA" w:eastAsia="en-CA"/>
              </w:rPr>
              <w:t>52</w:t>
            </w:r>
            <w:r>
              <w:rPr>
                <w:b/>
                <w:bCs/>
                <w:color w:val="000000"/>
                <w:sz w:val="24"/>
                <w:lang w:val="fr-CA" w:eastAsia="en-CA"/>
              </w:rPr>
              <w:t>,</w:t>
            </w:r>
            <w:r w:rsidRPr="00B13812">
              <w:rPr>
                <w:b/>
                <w:bCs/>
                <w:color w:val="000000"/>
                <w:sz w:val="24"/>
                <w:lang w:val="fr-CA" w:eastAsia="en-CA"/>
              </w:rPr>
              <w:t>793</w:t>
            </w:r>
          </w:p>
        </w:tc>
        <w:tc>
          <w:tcPr>
            <w:tcW w:w="1597" w:type="dxa"/>
            <w:tcBorders>
              <w:top w:val="single" w:sz="4" w:space="0" w:color="auto"/>
              <w:left w:val="nil"/>
              <w:bottom w:val="single" w:sz="4" w:space="0" w:color="auto"/>
              <w:right w:val="single" w:sz="4" w:space="0" w:color="auto"/>
            </w:tcBorders>
            <w:shd w:val="clear" w:color="auto" w:fill="auto"/>
            <w:noWrap/>
            <w:vAlign w:val="center"/>
          </w:tcPr>
          <w:p w14:paraId="5B872DAD" w14:textId="77777777" w:rsidR="00DF328C" w:rsidRPr="00B13812" w:rsidRDefault="00DF328C" w:rsidP="00DF328C">
            <w:pPr>
              <w:spacing w:after="0" w:line="240" w:lineRule="auto"/>
              <w:jc w:val="right"/>
              <w:rPr>
                <w:b/>
                <w:bCs/>
                <w:color w:val="000000"/>
                <w:sz w:val="24"/>
                <w:lang w:val="fr-CA" w:eastAsia="en-CA"/>
              </w:rPr>
            </w:pPr>
            <w:r w:rsidRPr="00B13812">
              <w:rPr>
                <w:b/>
                <w:bCs/>
                <w:color w:val="000000"/>
                <w:sz w:val="24"/>
                <w:lang w:val="fr-CA" w:eastAsia="en-CA"/>
              </w:rPr>
              <w:t>100</w:t>
            </w:r>
            <w:r>
              <w:rPr>
                <w:b/>
                <w:bCs/>
                <w:color w:val="000000"/>
                <w:sz w:val="24"/>
                <w:lang w:val="fr-CA" w:eastAsia="en-CA"/>
              </w:rPr>
              <w:t>,</w:t>
            </w:r>
            <w:r w:rsidRPr="00B13812">
              <w:rPr>
                <w:b/>
                <w:bCs/>
                <w:color w:val="000000"/>
                <w:sz w:val="24"/>
                <w:lang w:val="fr-CA" w:eastAsia="en-CA"/>
              </w:rPr>
              <w:t>000</w:t>
            </w:r>
          </w:p>
        </w:tc>
        <w:tc>
          <w:tcPr>
            <w:tcW w:w="1597" w:type="dxa"/>
            <w:tcBorders>
              <w:top w:val="single" w:sz="4" w:space="0" w:color="auto"/>
              <w:left w:val="nil"/>
              <w:bottom w:val="single" w:sz="4" w:space="0" w:color="auto"/>
              <w:right w:val="single" w:sz="4" w:space="0" w:color="auto"/>
            </w:tcBorders>
            <w:shd w:val="clear" w:color="auto" w:fill="auto"/>
            <w:noWrap/>
            <w:vAlign w:val="center"/>
          </w:tcPr>
          <w:p w14:paraId="6BF035A3" w14:textId="77777777" w:rsidR="00DF328C" w:rsidRPr="00B13812" w:rsidRDefault="00DF328C" w:rsidP="00DF328C">
            <w:pPr>
              <w:spacing w:after="0" w:line="240" w:lineRule="auto"/>
              <w:jc w:val="right"/>
              <w:rPr>
                <w:b/>
                <w:bCs/>
                <w:color w:val="000000"/>
                <w:sz w:val="24"/>
                <w:lang w:val="fr-CA" w:eastAsia="en-CA"/>
              </w:rPr>
            </w:pPr>
            <w:r w:rsidRPr="00B13812">
              <w:rPr>
                <w:b/>
                <w:bCs/>
                <w:color w:val="000000"/>
                <w:sz w:val="24"/>
                <w:lang w:val="fr-CA" w:eastAsia="en-CA"/>
              </w:rPr>
              <w:t>1 760 968</w:t>
            </w:r>
          </w:p>
        </w:tc>
        <w:tc>
          <w:tcPr>
            <w:tcW w:w="1597" w:type="dxa"/>
            <w:tcBorders>
              <w:top w:val="single" w:sz="4" w:space="0" w:color="auto"/>
              <w:left w:val="nil"/>
              <w:bottom w:val="single" w:sz="4" w:space="0" w:color="auto"/>
              <w:right w:val="single" w:sz="4" w:space="0" w:color="auto"/>
            </w:tcBorders>
            <w:shd w:val="clear" w:color="auto" w:fill="auto"/>
            <w:noWrap/>
            <w:vAlign w:val="center"/>
          </w:tcPr>
          <w:p w14:paraId="7946AEB7" w14:textId="77777777" w:rsidR="00DF328C" w:rsidRPr="00B13812" w:rsidRDefault="00DF328C" w:rsidP="00DF328C">
            <w:pPr>
              <w:spacing w:after="0" w:line="240" w:lineRule="auto"/>
              <w:jc w:val="right"/>
              <w:rPr>
                <w:b/>
                <w:bCs/>
                <w:color w:val="000000"/>
                <w:sz w:val="24"/>
                <w:lang w:val="fr-CA" w:eastAsia="en-CA"/>
              </w:rPr>
            </w:pPr>
            <w:r w:rsidRPr="00B13812">
              <w:rPr>
                <w:b/>
                <w:bCs/>
                <w:color w:val="000000"/>
                <w:sz w:val="24"/>
                <w:lang w:val="fr-CA" w:eastAsia="en-CA"/>
              </w:rPr>
              <w:t>1 867 338</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27A9901A" w14:textId="77777777" w:rsidR="00DF328C" w:rsidRPr="00B13812" w:rsidRDefault="00DF328C" w:rsidP="00DF328C">
            <w:pPr>
              <w:spacing w:after="0" w:line="240" w:lineRule="auto"/>
              <w:jc w:val="right"/>
              <w:rPr>
                <w:b/>
                <w:bCs/>
                <w:color w:val="000000"/>
                <w:sz w:val="24"/>
                <w:lang w:val="fr-CA" w:eastAsia="en-CA"/>
              </w:rPr>
            </w:pPr>
            <w:r w:rsidRPr="00B13812">
              <w:rPr>
                <w:b/>
                <w:bCs/>
                <w:color w:val="000000"/>
                <w:sz w:val="24"/>
                <w:lang w:val="fr-CA" w:eastAsia="en-CA"/>
              </w:rPr>
              <w:t>3 628 306</w:t>
            </w:r>
          </w:p>
        </w:tc>
      </w:tr>
    </w:tbl>
    <w:p w14:paraId="2E7DC644" w14:textId="77777777" w:rsidR="00DF328C" w:rsidRPr="0069295C" w:rsidRDefault="00DF328C" w:rsidP="00DF328C">
      <w:pPr>
        <w:jc w:val="left"/>
        <w:rPr>
          <w:kern w:val="22"/>
        </w:rPr>
      </w:pPr>
    </w:p>
    <w:p w14:paraId="7B2CD3D8" w14:textId="2CBCA98F" w:rsidR="00DE347C" w:rsidRPr="00EE0850" w:rsidRDefault="00DE347C" w:rsidP="00DE347C">
      <w:pPr>
        <w:shd w:val="clear" w:color="auto" w:fill="FFFFFF" w:themeFill="background1"/>
        <w:jc w:val="center"/>
        <w:rPr>
          <w:kern w:val="22"/>
        </w:rPr>
      </w:pPr>
    </w:p>
    <w:p w14:paraId="0948BE83" w14:textId="77777777" w:rsidR="003438E6" w:rsidRPr="00EE0850" w:rsidRDefault="003438E6">
      <w:pPr>
        <w:jc w:val="left"/>
        <w:sectPr w:rsidR="003438E6" w:rsidRPr="00EE0850" w:rsidSect="008635B2">
          <w:headerReference w:type="first" r:id="rId26"/>
          <w:pgSz w:w="15842" w:h="12242" w:orient="landscape" w:code="1"/>
          <w:pgMar w:top="1138" w:right="1138" w:bottom="1138" w:left="1022" w:header="403" w:footer="720" w:gutter="0"/>
          <w:cols w:space="720"/>
          <w:docGrid w:linePitch="299"/>
        </w:sectPr>
      </w:pPr>
    </w:p>
    <w:p w14:paraId="096AD523" w14:textId="5CC1939C" w:rsidR="00682B7B" w:rsidRPr="00EE0850" w:rsidRDefault="00682B7B">
      <w:pPr>
        <w:jc w:val="left"/>
      </w:pPr>
    </w:p>
    <w:p w14:paraId="76422605" w14:textId="77777777" w:rsidR="003438E6" w:rsidRPr="0044626D" w:rsidRDefault="003438E6" w:rsidP="003A15C6">
      <w:pPr>
        <w:pStyle w:val="Heading1report"/>
        <w:numPr>
          <w:ilvl w:val="0"/>
          <w:numId w:val="0"/>
        </w:numPr>
        <w:rPr>
          <w:rFonts w:ascii="Times New Roman" w:hAnsi="Times New Roman" w:cs="Times New Roman"/>
          <w:lang w:val="fr-CA"/>
        </w:rPr>
        <w:sectPr w:rsidR="003438E6" w:rsidRPr="0044626D" w:rsidSect="000C6220">
          <w:headerReference w:type="even" r:id="rId27"/>
          <w:headerReference w:type="first" r:id="rId28"/>
          <w:pgSz w:w="12242" w:h="15842" w:code="1"/>
          <w:pgMar w:top="1138" w:right="1138" w:bottom="1022" w:left="1138" w:header="403" w:footer="720" w:gutter="0"/>
          <w:cols w:num="3" w:space="720"/>
          <w:docGrid w:linePitch="299"/>
        </w:sectPr>
      </w:pPr>
      <w:bookmarkStart w:id="18" w:name="_Toc256217"/>
    </w:p>
    <w:p w14:paraId="0A011A8C" w14:textId="2E034B26" w:rsidR="00F729B5" w:rsidRPr="0044626D" w:rsidRDefault="00F729B5" w:rsidP="000C6220">
      <w:pPr>
        <w:pStyle w:val="Heading1report"/>
        <w:numPr>
          <w:ilvl w:val="0"/>
          <w:numId w:val="0"/>
        </w:numPr>
        <w:spacing w:before="120" w:line="240" w:lineRule="auto"/>
        <w:rPr>
          <w:rFonts w:ascii="Times New Roman" w:hAnsi="Times New Roman" w:cs="Times New Roman"/>
          <w:lang w:val="fr-CA"/>
        </w:rPr>
      </w:pPr>
      <w:r w:rsidRPr="0044626D">
        <w:rPr>
          <w:rFonts w:ascii="Times New Roman" w:hAnsi="Times New Roman" w:cs="Times New Roman"/>
          <w:lang w:val="fr-CA"/>
        </w:rPr>
        <w:t>II.</w:t>
      </w:r>
      <w:r w:rsidRPr="0044626D">
        <w:rPr>
          <w:rFonts w:ascii="Times New Roman" w:hAnsi="Times New Roman" w:cs="Times New Roman"/>
          <w:lang w:val="fr-CA"/>
        </w:rPr>
        <w:tab/>
      </w:r>
      <w:bookmarkEnd w:id="18"/>
      <w:r w:rsidR="00664B58" w:rsidRPr="0044626D">
        <w:rPr>
          <w:rFonts w:ascii="Times New Roman" w:hAnsi="Times New Roman" w:cs="Times New Roman"/>
          <w:lang w:val="fr-CA"/>
        </w:rPr>
        <w:t>COMPTE RENDU DES DÉBATS DE LA RÉUNION</w:t>
      </w:r>
    </w:p>
    <w:p w14:paraId="078CB12B" w14:textId="6A2274D9" w:rsidR="006B7FB5" w:rsidRPr="0044626D" w:rsidRDefault="006B7FB5" w:rsidP="000C6220">
      <w:pPr>
        <w:pStyle w:val="Titre2"/>
        <w:spacing w:before="120" w:line="240" w:lineRule="auto"/>
        <w:rPr>
          <w:lang w:val="fr-CA"/>
        </w:rPr>
      </w:pPr>
      <w:r w:rsidRPr="0044626D">
        <w:rPr>
          <w:lang w:val="fr-CA"/>
        </w:rPr>
        <w:t>A.</w:t>
      </w:r>
      <w:r w:rsidRPr="0044626D">
        <w:rPr>
          <w:lang w:val="fr-CA"/>
        </w:rPr>
        <w:tab/>
      </w:r>
      <w:r w:rsidR="00664B58" w:rsidRPr="0044626D">
        <w:rPr>
          <w:lang w:val="fr-CA"/>
        </w:rPr>
        <w:t>Contexte</w:t>
      </w:r>
    </w:p>
    <w:p w14:paraId="3B756D3A" w14:textId="560E964B" w:rsidR="004C648F" w:rsidRPr="0044626D" w:rsidRDefault="00664B58" w:rsidP="000C6220">
      <w:pPr>
        <w:pStyle w:val="Para1"/>
        <w:tabs>
          <w:tab w:val="clear" w:pos="360"/>
          <w:tab w:val="clear" w:pos="567"/>
          <w:tab w:val="clear" w:pos="2912"/>
        </w:tabs>
        <w:spacing w:line="240" w:lineRule="auto"/>
        <w:rPr>
          <w:lang w:val="fr-CA"/>
        </w:rPr>
      </w:pPr>
      <w:bookmarkStart w:id="19" w:name="_Hlk530336722"/>
      <w:r w:rsidRPr="0044626D">
        <w:rPr>
          <w:lang w:val="fr-CA"/>
        </w:rPr>
        <w:t xml:space="preserve">Suite à une offre du gouvernement de l'Égypte, qui a été accueillie avec satisfaction par la Conférence des Parties à la Convention sur la diversité biologique dans la décision </w:t>
      </w:r>
      <w:hyperlink r:id="rId29" w:history="1">
        <w:r w:rsidRPr="0044626D">
          <w:rPr>
            <w:rStyle w:val="Lienhypertexte"/>
            <w:lang w:val="fr-CA"/>
          </w:rPr>
          <w:t>XIII/33</w:t>
        </w:r>
      </w:hyperlink>
      <w:r w:rsidRPr="0044626D">
        <w:rPr>
          <w:lang w:val="fr-CA"/>
        </w:rPr>
        <w:t>,</w:t>
      </w:r>
      <w:bookmarkEnd w:id="19"/>
      <w:r w:rsidRPr="0044626D">
        <w:rPr>
          <w:lang w:val="fr-CA"/>
        </w:rPr>
        <w:t xml:space="preserve"> </w:t>
      </w:r>
      <w:bookmarkStart w:id="20" w:name="_Hlk530373832"/>
      <w:r w:rsidRPr="0044626D">
        <w:rPr>
          <w:lang w:val="fr-CA"/>
        </w:rPr>
        <w:t>et conformément au paragraphe 6 de l'article 26 du Protocole de Nagoya</w:t>
      </w:r>
      <w:bookmarkEnd w:id="20"/>
      <w:r w:rsidRPr="0044626D">
        <w:rPr>
          <w:lang w:val="fr-CA"/>
        </w:rPr>
        <w:t xml:space="preserve"> sur l'accès aux ressources génétiques et le partage juste et équitable des avantages découlant de leur utilisation à la Convention sur la diversité biol</w:t>
      </w:r>
      <w:r w:rsidR="00ED0ABE" w:rsidRPr="0044626D">
        <w:rPr>
          <w:lang w:val="fr-CA"/>
        </w:rPr>
        <w:t>ogique</w:t>
      </w:r>
      <w:r w:rsidRPr="0044626D">
        <w:rPr>
          <w:lang w:val="fr-CA"/>
        </w:rPr>
        <w:t xml:space="preserve">, la troisième réunion </w:t>
      </w:r>
      <w:r w:rsidR="00665662">
        <w:rPr>
          <w:lang w:val="fr-CA"/>
        </w:rPr>
        <w:t>de</w:t>
      </w:r>
      <w:r w:rsidRPr="0044626D">
        <w:rPr>
          <w:lang w:val="fr-CA"/>
        </w:rPr>
        <w:t xml:space="preserve"> la Conférence des Parties siégeant en tant que réunion des Parties au Protocole de Nagoya s'est tenue à </w:t>
      </w:r>
      <w:r w:rsidR="000220FB">
        <w:rPr>
          <w:lang w:val="fr-CA"/>
        </w:rPr>
        <w:t>C</w:t>
      </w:r>
      <w:r w:rsidRPr="0044626D">
        <w:rPr>
          <w:lang w:val="fr-CA"/>
        </w:rPr>
        <w:t>harm El-</w:t>
      </w:r>
      <w:r w:rsidR="000220FB">
        <w:rPr>
          <w:lang w:val="fr-CA"/>
        </w:rPr>
        <w:t>C</w:t>
      </w:r>
      <w:r w:rsidRPr="0044626D">
        <w:rPr>
          <w:lang w:val="fr-CA"/>
        </w:rPr>
        <w:t>heikh (Égypte), du 17 au 29 novembre 2018, parallèlement à la quatorzième réunion de la Conférence des Parties</w:t>
      </w:r>
      <w:r w:rsidR="004C648F" w:rsidRPr="0044626D">
        <w:rPr>
          <w:lang w:val="fr-CA"/>
        </w:rPr>
        <w:t>.</w:t>
      </w:r>
    </w:p>
    <w:p w14:paraId="22EC232A" w14:textId="2B9A5703" w:rsidR="00DA4DAF" w:rsidRPr="0044626D" w:rsidRDefault="00DA4DAF" w:rsidP="000C6220">
      <w:pPr>
        <w:pStyle w:val="Titre2"/>
        <w:spacing w:before="120" w:line="240" w:lineRule="auto"/>
        <w:rPr>
          <w:lang w:val="fr-CA"/>
        </w:rPr>
      </w:pPr>
      <w:r w:rsidRPr="0044626D">
        <w:rPr>
          <w:lang w:val="fr-CA"/>
        </w:rPr>
        <w:t>B.</w:t>
      </w:r>
      <w:r w:rsidRPr="0044626D">
        <w:rPr>
          <w:lang w:val="fr-CA"/>
        </w:rPr>
        <w:tab/>
      </w:r>
      <w:r w:rsidR="0044626D">
        <w:rPr>
          <w:lang w:val="fr-CA"/>
        </w:rPr>
        <w:t>P</w:t>
      </w:r>
      <w:r w:rsidR="00665662">
        <w:rPr>
          <w:lang w:val="fr-CA"/>
        </w:rPr>
        <w:t>articipati</w:t>
      </w:r>
      <w:r w:rsidR="0044626D">
        <w:rPr>
          <w:lang w:val="fr-CA"/>
        </w:rPr>
        <w:t>on</w:t>
      </w:r>
    </w:p>
    <w:p w14:paraId="45BC7FE2" w14:textId="07497537" w:rsidR="003438E6" w:rsidRPr="0044626D" w:rsidRDefault="00664B58" w:rsidP="000C6220">
      <w:pPr>
        <w:pStyle w:val="Para1"/>
        <w:tabs>
          <w:tab w:val="clear" w:pos="360"/>
          <w:tab w:val="clear" w:pos="567"/>
          <w:tab w:val="clear" w:pos="2912"/>
        </w:tabs>
        <w:spacing w:line="240" w:lineRule="auto"/>
        <w:rPr>
          <w:lang w:val="fr-CA"/>
        </w:rPr>
      </w:pPr>
      <w:r w:rsidRPr="0044626D">
        <w:rPr>
          <w:lang w:val="fr-CA"/>
        </w:rPr>
        <w:t>Tous les États ont été invités à participer à la réunion. Y ont pris part les Parties au Protocole de Nagoya ci-après </w:t>
      </w:r>
      <w:r w:rsidR="00DA4DAF" w:rsidRPr="0044626D">
        <w:rPr>
          <w:lang w:val="fr-CA"/>
        </w:rPr>
        <w:t>:</w:t>
      </w:r>
    </w:p>
    <w:p w14:paraId="0111C405" w14:textId="77777777" w:rsidR="001D4A8D" w:rsidRPr="0044626D" w:rsidRDefault="001D4A8D" w:rsidP="000C6220">
      <w:pPr>
        <w:pStyle w:val="Para1"/>
        <w:numPr>
          <w:ilvl w:val="0"/>
          <w:numId w:val="0"/>
        </w:numPr>
        <w:tabs>
          <w:tab w:val="clear" w:pos="567"/>
          <w:tab w:val="clear" w:pos="2912"/>
        </w:tabs>
        <w:spacing w:line="240" w:lineRule="auto"/>
        <w:rPr>
          <w:lang w:val="fr-CA"/>
        </w:rPr>
        <w:sectPr w:rsidR="001D4A8D" w:rsidRPr="0044626D" w:rsidSect="000C6220">
          <w:type w:val="continuous"/>
          <w:pgSz w:w="12242" w:h="15842" w:code="1"/>
          <w:pgMar w:top="1138" w:right="1138" w:bottom="1022" w:left="1138" w:header="403" w:footer="720" w:gutter="0"/>
          <w:cols w:space="720"/>
          <w:titlePg/>
          <w:docGrid w:linePitch="299"/>
        </w:sectPr>
      </w:pPr>
    </w:p>
    <w:p w14:paraId="3A68E1A8" w14:textId="77777777" w:rsidR="00FB1ACC" w:rsidRPr="0044626D" w:rsidRDefault="00AA2E04" w:rsidP="00FB1ACC">
      <w:pPr>
        <w:pStyle w:val="Para1"/>
        <w:numPr>
          <w:ilvl w:val="0"/>
          <w:numId w:val="0"/>
        </w:numPr>
        <w:spacing w:line="240" w:lineRule="auto"/>
        <w:rPr>
          <w:szCs w:val="22"/>
          <w:lang w:val="fr-CA"/>
        </w:rPr>
      </w:pPr>
      <w:r w:rsidRPr="0044626D">
        <w:rPr>
          <w:szCs w:val="22"/>
          <w:lang w:val="fr-CA"/>
        </w:rPr>
        <w:t>Afghanistan</w:t>
      </w:r>
    </w:p>
    <w:p w14:paraId="3309508D" w14:textId="64A5C43E" w:rsidR="0026306C" w:rsidRPr="0044626D" w:rsidRDefault="0026306C" w:rsidP="00FB1ACC">
      <w:pPr>
        <w:pStyle w:val="Para1"/>
        <w:numPr>
          <w:ilvl w:val="0"/>
          <w:numId w:val="0"/>
        </w:numPr>
        <w:spacing w:line="240" w:lineRule="auto"/>
        <w:rPr>
          <w:szCs w:val="22"/>
          <w:lang w:val="fr-CA"/>
        </w:rPr>
      </w:pPr>
      <w:r w:rsidRPr="0044626D">
        <w:rPr>
          <w:szCs w:val="22"/>
          <w:lang w:val="fr-CA"/>
        </w:rPr>
        <w:t>Afrique du Sud</w:t>
      </w:r>
    </w:p>
    <w:p w14:paraId="0ECCEE58" w14:textId="07640D2A" w:rsidR="00AA2E04" w:rsidRPr="0044626D" w:rsidRDefault="00ED0ABE" w:rsidP="000C6220">
      <w:pPr>
        <w:pStyle w:val="Para1"/>
        <w:numPr>
          <w:ilvl w:val="0"/>
          <w:numId w:val="0"/>
        </w:numPr>
        <w:spacing w:before="0" w:after="0" w:line="240" w:lineRule="auto"/>
        <w:rPr>
          <w:szCs w:val="22"/>
          <w:lang w:val="fr-CA"/>
        </w:rPr>
      </w:pPr>
      <w:r w:rsidRPr="0044626D">
        <w:rPr>
          <w:szCs w:val="22"/>
          <w:lang w:val="fr-CA"/>
        </w:rPr>
        <w:t>Albanie</w:t>
      </w:r>
    </w:p>
    <w:p w14:paraId="34E86FB2" w14:textId="71CD68AD" w:rsidR="00F63FF3" w:rsidRPr="0044626D" w:rsidRDefault="00F63FF3"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Allemagne</w:t>
      </w:r>
    </w:p>
    <w:p w14:paraId="089BEE0B" w14:textId="5411C07A" w:rsidR="00AA2E04" w:rsidRPr="0044626D" w:rsidRDefault="00AA2E04"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Angola</w:t>
      </w:r>
    </w:p>
    <w:p w14:paraId="066F36DB" w14:textId="5FFF27B0" w:rsidR="00AA2E04" w:rsidRPr="0044626D" w:rsidRDefault="00AA2E04"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Antigu</w:t>
      </w:r>
      <w:r w:rsidR="00ED0ABE" w:rsidRPr="0044626D">
        <w:rPr>
          <w:kern w:val="22"/>
          <w:szCs w:val="22"/>
          <w:lang w:val="fr-CA"/>
        </w:rPr>
        <w:t>a-et-</w:t>
      </w:r>
      <w:r w:rsidRPr="0044626D">
        <w:rPr>
          <w:kern w:val="22"/>
          <w:szCs w:val="22"/>
          <w:lang w:val="fr-CA"/>
        </w:rPr>
        <w:t>Barbuda</w:t>
      </w:r>
    </w:p>
    <w:p w14:paraId="382A33AA" w14:textId="253A1E5C" w:rsidR="00A808D0" w:rsidRPr="0044626D" w:rsidRDefault="00ED0ABE"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Argentine</w:t>
      </w:r>
    </w:p>
    <w:p w14:paraId="2F1A5B38" w14:textId="3A3B3939" w:rsidR="00AA2E04" w:rsidRPr="0044626D" w:rsidRDefault="00ED0ABE"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Autriche</w:t>
      </w:r>
    </w:p>
    <w:p w14:paraId="532BB2BE" w14:textId="6EFCA8EE" w:rsidR="00AA2E04" w:rsidRPr="0044626D" w:rsidRDefault="00AA2E04"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B</w:t>
      </w:r>
      <w:r w:rsidR="00205566">
        <w:rPr>
          <w:rFonts w:eastAsia="Times New Roman"/>
          <w:snapToGrid w:val="0"/>
          <w:kern w:val="22"/>
          <w:szCs w:val="22"/>
          <w:lang w:val="fr-CA"/>
        </w:rPr>
        <w:t>é</w:t>
      </w:r>
      <w:r w:rsidRPr="0044626D">
        <w:rPr>
          <w:rFonts w:eastAsia="Times New Roman"/>
          <w:snapToGrid w:val="0"/>
          <w:kern w:val="22"/>
          <w:szCs w:val="22"/>
          <w:lang w:val="fr-CA"/>
        </w:rPr>
        <w:t>larus</w:t>
      </w:r>
    </w:p>
    <w:p w14:paraId="4E74F7C5" w14:textId="25420366" w:rsidR="00AA2E04" w:rsidRPr="0044626D" w:rsidRDefault="00ED0ABE"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Belgique</w:t>
      </w:r>
    </w:p>
    <w:p w14:paraId="21EECF73" w14:textId="56ADAF58" w:rsidR="00AA2E04" w:rsidRPr="0044626D" w:rsidRDefault="00AA2E04"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B</w:t>
      </w:r>
      <w:r w:rsidR="00ED0ABE" w:rsidRPr="0044626D">
        <w:rPr>
          <w:rFonts w:eastAsia="Times New Roman"/>
          <w:snapToGrid w:val="0"/>
          <w:kern w:val="22"/>
          <w:szCs w:val="22"/>
          <w:lang w:val="fr-CA"/>
        </w:rPr>
        <w:t>é</w:t>
      </w:r>
      <w:r w:rsidRPr="0044626D">
        <w:rPr>
          <w:rFonts w:eastAsia="Times New Roman"/>
          <w:snapToGrid w:val="0"/>
          <w:kern w:val="22"/>
          <w:szCs w:val="22"/>
          <w:lang w:val="fr-CA"/>
        </w:rPr>
        <w:t>nin</w:t>
      </w:r>
    </w:p>
    <w:p w14:paraId="6199386E" w14:textId="3085363F" w:rsidR="00AA2E04" w:rsidRPr="0044626D" w:rsidRDefault="00ED0ABE"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Bhoutan</w:t>
      </w:r>
    </w:p>
    <w:p w14:paraId="4E16C301" w14:textId="4BEE2734" w:rsidR="00AA2E04" w:rsidRPr="0044626D" w:rsidRDefault="00AA2E04"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Bolivi</w:t>
      </w:r>
      <w:r w:rsidR="00ED0ABE" w:rsidRPr="0044626D">
        <w:rPr>
          <w:rFonts w:eastAsia="Times New Roman"/>
          <w:snapToGrid w:val="0"/>
          <w:kern w:val="22"/>
          <w:szCs w:val="22"/>
          <w:lang w:val="fr-CA"/>
        </w:rPr>
        <w:t>e</w:t>
      </w:r>
      <w:r w:rsidRPr="0044626D">
        <w:rPr>
          <w:rFonts w:eastAsia="Times New Roman"/>
          <w:snapToGrid w:val="0"/>
          <w:kern w:val="22"/>
          <w:szCs w:val="22"/>
          <w:lang w:val="fr-CA"/>
        </w:rPr>
        <w:t xml:space="preserve"> (</w:t>
      </w:r>
      <w:r w:rsidR="00ED0ABE" w:rsidRPr="0044626D">
        <w:rPr>
          <w:rFonts w:eastAsia="Times New Roman"/>
          <w:snapToGrid w:val="0"/>
          <w:kern w:val="22"/>
          <w:szCs w:val="22"/>
          <w:lang w:val="fr-CA"/>
        </w:rPr>
        <w:t>État plurinational de</w:t>
      </w:r>
      <w:r w:rsidRPr="0044626D">
        <w:rPr>
          <w:rFonts w:eastAsia="Times New Roman"/>
          <w:snapToGrid w:val="0"/>
          <w:kern w:val="22"/>
          <w:szCs w:val="22"/>
          <w:lang w:val="fr-CA"/>
        </w:rPr>
        <w:t>)</w:t>
      </w:r>
    </w:p>
    <w:p w14:paraId="2FBDE329" w14:textId="759B1494" w:rsidR="00AA2E04" w:rsidRPr="00E6278A" w:rsidRDefault="00AA2E04" w:rsidP="000C6220">
      <w:pPr>
        <w:pStyle w:val="Para1"/>
        <w:numPr>
          <w:ilvl w:val="0"/>
          <w:numId w:val="0"/>
        </w:numPr>
        <w:spacing w:before="0" w:after="0" w:line="240" w:lineRule="auto"/>
        <w:ind w:left="284" w:hanging="284"/>
        <w:jc w:val="left"/>
        <w:rPr>
          <w:kern w:val="22"/>
          <w:szCs w:val="22"/>
          <w:lang w:val="en-US"/>
        </w:rPr>
      </w:pPr>
      <w:r w:rsidRPr="00E6278A">
        <w:rPr>
          <w:kern w:val="22"/>
          <w:szCs w:val="22"/>
          <w:lang w:val="en-US"/>
        </w:rPr>
        <w:t>Botswana</w:t>
      </w:r>
    </w:p>
    <w:p w14:paraId="750E4E81" w14:textId="0E4ECD83" w:rsidR="00A44021" w:rsidRPr="00E6278A" w:rsidRDefault="00ED0ABE" w:rsidP="000C6220">
      <w:pPr>
        <w:tabs>
          <w:tab w:val="left" w:pos="567"/>
        </w:tabs>
        <w:spacing w:after="0" w:line="240" w:lineRule="auto"/>
        <w:ind w:left="284" w:hanging="284"/>
        <w:jc w:val="left"/>
        <w:rPr>
          <w:rFonts w:eastAsia="Times New Roman"/>
          <w:snapToGrid w:val="0"/>
          <w:kern w:val="22"/>
          <w:szCs w:val="22"/>
          <w:lang w:val="en-US"/>
        </w:rPr>
      </w:pPr>
      <w:r w:rsidRPr="00E6278A">
        <w:rPr>
          <w:rFonts w:eastAsia="Times New Roman"/>
          <w:snapToGrid w:val="0"/>
          <w:kern w:val="22"/>
          <w:szCs w:val="22"/>
          <w:lang w:val="en-US"/>
        </w:rPr>
        <w:t>Bulgarie</w:t>
      </w:r>
    </w:p>
    <w:p w14:paraId="40E69CD4" w14:textId="77777777" w:rsidR="00A44021" w:rsidRPr="00E6278A" w:rsidRDefault="00A44021" w:rsidP="000C6220">
      <w:pPr>
        <w:tabs>
          <w:tab w:val="left" w:pos="567"/>
        </w:tabs>
        <w:spacing w:after="0" w:line="240" w:lineRule="auto"/>
        <w:ind w:left="284" w:hanging="284"/>
        <w:jc w:val="left"/>
        <w:rPr>
          <w:rFonts w:eastAsia="Times New Roman"/>
          <w:snapToGrid w:val="0"/>
          <w:kern w:val="22"/>
          <w:szCs w:val="22"/>
          <w:lang w:val="en-US"/>
        </w:rPr>
      </w:pPr>
      <w:r w:rsidRPr="00E6278A">
        <w:rPr>
          <w:rFonts w:eastAsia="Times New Roman"/>
          <w:snapToGrid w:val="0"/>
          <w:kern w:val="22"/>
          <w:szCs w:val="22"/>
          <w:lang w:val="en-US"/>
        </w:rPr>
        <w:t>Burkina Faso</w:t>
      </w:r>
    </w:p>
    <w:p w14:paraId="59716108" w14:textId="6298DD90" w:rsidR="00AA2E04" w:rsidRPr="00E6278A" w:rsidRDefault="00A44021" w:rsidP="000C6220">
      <w:pPr>
        <w:pStyle w:val="Para1"/>
        <w:numPr>
          <w:ilvl w:val="0"/>
          <w:numId w:val="0"/>
        </w:numPr>
        <w:spacing w:before="0" w:after="0" w:line="240" w:lineRule="auto"/>
        <w:ind w:left="284" w:hanging="284"/>
        <w:jc w:val="left"/>
        <w:rPr>
          <w:rFonts w:eastAsia="Times New Roman"/>
          <w:kern w:val="22"/>
          <w:szCs w:val="22"/>
          <w:lang w:val="en-US"/>
        </w:rPr>
      </w:pPr>
      <w:r w:rsidRPr="00E6278A">
        <w:rPr>
          <w:rFonts w:eastAsia="Times New Roman"/>
          <w:kern w:val="22"/>
          <w:szCs w:val="22"/>
          <w:lang w:val="en-US"/>
        </w:rPr>
        <w:t>Burundi</w:t>
      </w:r>
    </w:p>
    <w:p w14:paraId="07663E89" w14:textId="0CD16D65" w:rsidR="00A44021" w:rsidRPr="00E6278A" w:rsidRDefault="00A44021" w:rsidP="000C6220">
      <w:pPr>
        <w:pStyle w:val="Para1"/>
        <w:numPr>
          <w:ilvl w:val="0"/>
          <w:numId w:val="0"/>
        </w:numPr>
        <w:spacing w:before="0" w:after="0" w:line="240" w:lineRule="auto"/>
        <w:ind w:left="284" w:hanging="284"/>
        <w:jc w:val="left"/>
        <w:rPr>
          <w:kern w:val="22"/>
          <w:szCs w:val="22"/>
          <w:lang w:val="en-US"/>
        </w:rPr>
      </w:pPr>
      <w:r w:rsidRPr="00E6278A">
        <w:rPr>
          <w:kern w:val="22"/>
          <w:szCs w:val="22"/>
          <w:lang w:val="en-US"/>
        </w:rPr>
        <w:t>Cambod</w:t>
      </w:r>
      <w:r w:rsidR="00ED0ABE" w:rsidRPr="00E6278A">
        <w:rPr>
          <w:kern w:val="22"/>
          <w:szCs w:val="22"/>
          <w:lang w:val="en-US"/>
        </w:rPr>
        <w:t>ge</w:t>
      </w:r>
    </w:p>
    <w:p w14:paraId="7879D10D" w14:textId="17CD0B6F" w:rsidR="00A44021" w:rsidRPr="00E6278A" w:rsidRDefault="00ED0ABE" w:rsidP="000C6220">
      <w:pPr>
        <w:pStyle w:val="Para1"/>
        <w:numPr>
          <w:ilvl w:val="0"/>
          <w:numId w:val="0"/>
        </w:numPr>
        <w:spacing w:before="0" w:after="0" w:line="240" w:lineRule="auto"/>
        <w:ind w:left="284" w:hanging="284"/>
        <w:jc w:val="left"/>
        <w:rPr>
          <w:kern w:val="22"/>
          <w:szCs w:val="22"/>
          <w:lang w:val="en-US"/>
        </w:rPr>
      </w:pPr>
      <w:r w:rsidRPr="00E6278A">
        <w:rPr>
          <w:kern w:val="22"/>
          <w:szCs w:val="22"/>
          <w:lang w:val="en-US"/>
        </w:rPr>
        <w:t>Camerou</w:t>
      </w:r>
      <w:r w:rsidR="00A44021" w:rsidRPr="00E6278A">
        <w:rPr>
          <w:kern w:val="22"/>
          <w:szCs w:val="22"/>
          <w:lang w:val="en-US"/>
        </w:rPr>
        <w:t>n</w:t>
      </w:r>
    </w:p>
    <w:p w14:paraId="1D78D174" w14:textId="6CA24E79" w:rsidR="00A44021" w:rsidRPr="00E6278A" w:rsidRDefault="00A44021" w:rsidP="000C6220">
      <w:pPr>
        <w:pStyle w:val="Para1"/>
        <w:numPr>
          <w:ilvl w:val="0"/>
          <w:numId w:val="0"/>
        </w:numPr>
        <w:spacing w:before="0" w:after="0" w:line="240" w:lineRule="auto"/>
        <w:ind w:left="284" w:hanging="284"/>
        <w:jc w:val="left"/>
        <w:rPr>
          <w:kern w:val="22"/>
          <w:szCs w:val="22"/>
          <w:lang w:val="en-US"/>
        </w:rPr>
      </w:pPr>
      <w:r w:rsidRPr="00E6278A">
        <w:rPr>
          <w:kern w:val="22"/>
          <w:szCs w:val="22"/>
          <w:lang w:val="en-US"/>
        </w:rPr>
        <w:t>Chin</w:t>
      </w:r>
      <w:r w:rsidR="00ED0ABE" w:rsidRPr="00E6278A">
        <w:rPr>
          <w:kern w:val="22"/>
          <w:szCs w:val="22"/>
          <w:lang w:val="en-US"/>
        </w:rPr>
        <w:t>e</w:t>
      </w:r>
    </w:p>
    <w:p w14:paraId="4E30E0DB" w14:textId="61743CAE" w:rsidR="00A44021" w:rsidRPr="00E6278A" w:rsidRDefault="00A44021" w:rsidP="000C6220">
      <w:pPr>
        <w:pStyle w:val="Para1"/>
        <w:numPr>
          <w:ilvl w:val="0"/>
          <w:numId w:val="0"/>
        </w:numPr>
        <w:spacing w:before="0" w:after="0" w:line="240" w:lineRule="auto"/>
        <w:ind w:left="284" w:hanging="284"/>
        <w:jc w:val="left"/>
        <w:rPr>
          <w:kern w:val="22"/>
          <w:szCs w:val="22"/>
          <w:lang w:val="en-US"/>
        </w:rPr>
      </w:pPr>
      <w:r w:rsidRPr="00E6278A">
        <w:rPr>
          <w:kern w:val="22"/>
          <w:szCs w:val="22"/>
          <w:lang w:val="en-US"/>
        </w:rPr>
        <w:t>Comor</w:t>
      </w:r>
      <w:r w:rsidR="00ED0ABE" w:rsidRPr="00E6278A">
        <w:rPr>
          <w:kern w:val="22"/>
          <w:szCs w:val="22"/>
          <w:lang w:val="en-US"/>
        </w:rPr>
        <w:t>e</w:t>
      </w:r>
      <w:r w:rsidRPr="00E6278A">
        <w:rPr>
          <w:kern w:val="22"/>
          <w:szCs w:val="22"/>
          <w:lang w:val="en-US"/>
        </w:rPr>
        <w:t>s</w:t>
      </w:r>
    </w:p>
    <w:p w14:paraId="442F1776" w14:textId="77777777" w:rsidR="00A44021" w:rsidRPr="00E6278A" w:rsidRDefault="00A44021" w:rsidP="000C6220">
      <w:pPr>
        <w:pStyle w:val="Para1"/>
        <w:numPr>
          <w:ilvl w:val="0"/>
          <w:numId w:val="0"/>
        </w:numPr>
        <w:spacing w:before="0" w:after="0" w:line="240" w:lineRule="auto"/>
        <w:ind w:left="284" w:hanging="284"/>
        <w:jc w:val="left"/>
        <w:rPr>
          <w:kern w:val="22"/>
          <w:szCs w:val="22"/>
          <w:lang w:val="en-US"/>
        </w:rPr>
      </w:pPr>
      <w:r w:rsidRPr="00E6278A">
        <w:rPr>
          <w:kern w:val="22"/>
          <w:szCs w:val="22"/>
          <w:lang w:val="en-US"/>
        </w:rPr>
        <w:t>Congo</w:t>
      </w:r>
    </w:p>
    <w:p w14:paraId="2C10953D" w14:textId="5A4E7E1B" w:rsidR="00A44021" w:rsidRPr="00E6278A" w:rsidRDefault="00ED0ABE" w:rsidP="000C6220">
      <w:pPr>
        <w:pStyle w:val="Para1"/>
        <w:numPr>
          <w:ilvl w:val="0"/>
          <w:numId w:val="0"/>
        </w:numPr>
        <w:spacing w:before="0" w:after="0" w:line="240" w:lineRule="auto"/>
        <w:ind w:left="284" w:hanging="284"/>
        <w:jc w:val="left"/>
        <w:rPr>
          <w:kern w:val="22"/>
          <w:szCs w:val="22"/>
          <w:lang w:val="en-US"/>
        </w:rPr>
      </w:pPr>
      <w:r w:rsidRPr="00E6278A">
        <w:rPr>
          <w:kern w:val="22"/>
          <w:szCs w:val="22"/>
          <w:lang w:val="en-US"/>
        </w:rPr>
        <w:t>Croatie</w:t>
      </w:r>
    </w:p>
    <w:p w14:paraId="133A1975" w14:textId="77777777" w:rsidR="00A44021" w:rsidRPr="00E6278A" w:rsidRDefault="00A44021" w:rsidP="000C6220">
      <w:pPr>
        <w:pStyle w:val="Para1"/>
        <w:numPr>
          <w:ilvl w:val="0"/>
          <w:numId w:val="0"/>
        </w:numPr>
        <w:spacing w:before="0" w:after="0" w:line="240" w:lineRule="auto"/>
        <w:ind w:left="284" w:hanging="284"/>
        <w:jc w:val="left"/>
        <w:rPr>
          <w:kern w:val="22"/>
          <w:szCs w:val="22"/>
          <w:lang w:val="en-US"/>
        </w:rPr>
      </w:pPr>
      <w:r w:rsidRPr="00E6278A">
        <w:rPr>
          <w:kern w:val="22"/>
          <w:szCs w:val="22"/>
          <w:lang w:val="en-US"/>
        </w:rPr>
        <w:t>Cuba</w:t>
      </w:r>
    </w:p>
    <w:p w14:paraId="159DDF87" w14:textId="2FDAD47E" w:rsidR="00A44021" w:rsidRPr="0044626D" w:rsidRDefault="00A44021"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Côte d</w:t>
      </w:r>
      <w:r w:rsidR="007B2AEA" w:rsidRPr="0044626D">
        <w:rPr>
          <w:kern w:val="22"/>
          <w:szCs w:val="22"/>
          <w:lang w:val="fr-CA"/>
        </w:rPr>
        <w:t>’</w:t>
      </w:r>
      <w:r w:rsidRPr="0044626D">
        <w:rPr>
          <w:kern w:val="22"/>
          <w:szCs w:val="22"/>
          <w:lang w:val="fr-CA"/>
        </w:rPr>
        <w:t>Ivoire</w:t>
      </w:r>
    </w:p>
    <w:p w14:paraId="1D2521B3" w14:textId="3F057DAE" w:rsidR="00A44021" w:rsidRPr="0044626D" w:rsidRDefault="00F63FF3"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Danemark</w:t>
      </w:r>
    </w:p>
    <w:p w14:paraId="348A9BB5"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Djibouti</w:t>
      </w:r>
    </w:p>
    <w:p w14:paraId="2C3AC69D" w14:textId="4FC1864C" w:rsidR="00A44021" w:rsidRPr="0044626D" w:rsidRDefault="00F63FF3"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Égypte</w:t>
      </w:r>
    </w:p>
    <w:p w14:paraId="4ECCAB27" w14:textId="77777777" w:rsidR="0026306C" w:rsidRPr="0044626D" w:rsidRDefault="0026306C"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Émirats arabes unis</w:t>
      </w:r>
    </w:p>
    <w:p w14:paraId="4E49E3A8" w14:textId="1CCEE072" w:rsidR="00F63FF3" w:rsidRPr="0044626D" w:rsidRDefault="00F63FF3"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Équateur</w:t>
      </w:r>
    </w:p>
    <w:p w14:paraId="2459B2DD" w14:textId="0D0C5518" w:rsidR="0026306C" w:rsidRPr="0044626D" w:rsidRDefault="0026306C"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Espagne</w:t>
      </w:r>
    </w:p>
    <w:p w14:paraId="1226FB07" w14:textId="202FA161"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Eswatini</w:t>
      </w:r>
    </w:p>
    <w:p w14:paraId="7C7900D9" w14:textId="0282E24B" w:rsidR="00A44021" w:rsidRPr="0044626D" w:rsidRDefault="00F63FF3"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É</w:t>
      </w:r>
      <w:r w:rsidR="00A44021" w:rsidRPr="0044626D">
        <w:rPr>
          <w:rFonts w:eastAsia="Times New Roman"/>
          <w:snapToGrid w:val="0"/>
          <w:kern w:val="22"/>
          <w:szCs w:val="22"/>
          <w:lang w:val="fr-CA"/>
        </w:rPr>
        <w:t>thiopi</w:t>
      </w:r>
      <w:r w:rsidRPr="0044626D">
        <w:rPr>
          <w:rFonts w:eastAsia="Times New Roman"/>
          <w:snapToGrid w:val="0"/>
          <w:kern w:val="22"/>
          <w:szCs w:val="22"/>
          <w:lang w:val="fr-CA"/>
        </w:rPr>
        <w:t>e</w:t>
      </w:r>
    </w:p>
    <w:p w14:paraId="4C705AC7" w14:textId="7230186E"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Fi</w:t>
      </w:r>
      <w:r w:rsidR="00F63FF3" w:rsidRPr="0044626D">
        <w:rPr>
          <w:rFonts w:eastAsia="Times New Roman"/>
          <w:snapToGrid w:val="0"/>
          <w:kern w:val="22"/>
          <w:szCs w:val="22"/>
          <w:lang w:val="fr-CA"/>
        </w:rPr>
        <w:t>d</w:t>
      </w:r>
      <w:r w:rsidRPr="0044626D">
        <w:rPr>
          <w:rFonts w:eastAsia="Times New Roman"/>
          <w:snapToGrid w:val="0"/>
          <w:kern w:val="22"/>
          <w:szCs w:val="22"/>
          <w:lang w:val="fr-CA"/>
        </w:rPr>
        <w:t>ji</w:t>
      </w:r>
    </w:p>
    <w:p w14:paraId="0D575EF6" w14:textId="3A26353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Finland</w:t>
      </w:r>
      <w:r w:rsidR="00F63FF3" w:rsidRPr="0044626D">
        <w:rPr>
          <w:rFonts w:eastAsia="Times New Roman"/>
          <w:snapToGrid w:val="0"/>
          <w:kern w:val="22"/>
          <w:szCs w:val="22"/>
          <w:lang w:val="fr-CA"/>
        </w:rPr>
        <w:t>e</w:t>
      </w:r>
    </w:p>
    <w:p w14:paraId="6BE2AE99"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France</w:t>
      </w:r>
    </w:p>
    <w:p w14:paraId="72511C5D"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Gabon</w:t>
      </w:r>
    </w:p>
    <w:p w14:paraId="2CBA147F" w14:textId="7AF8C69D"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Gambi</w:t>
      </w:r>
      <w:r w:rsidR="00F63FF3" w:rsidRPr="0044626D">
        <w:rPr>
          <w:rFonts w:eastAsia="Times New Roman"/>
          <w:snapToGrid w:val="0"/>
          <w:kern w:val="22"/>
          <w:szCs w:val="22"/>
          <w:lang w:val="fr-CA"/>
        </w:rPr>
        <w:t>e</w:t>
      </w:r>
    </w:p>
    <w:p w14:paraId="40AE4E50" w14:textId="77777777" w:rsidR="00A44021" w:rsidRPr="0044626D" w:rsidRDefault="00A44021"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Guatemala</w:t>
      </w:r>
    </w:p>
    <w:p w14:paraId="79FF36CA" w14:textId="75CC15E7" w:rsidR="00A44021" w:rsidRPr="0044626D" w:rsidRDefault="00F63FF3"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Guinée</w:t>
      </w:r>
    </w:p>
    <w:p w14:paraId="4EE5DA85" w14:textId="610254D5" w:rsidR="00A44021" w:rsidRPr="0044626D" w:rsidRDefault="00F63FF3"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Guinée</w:t>
      </w:r>
      <w:r w:rsidR="00A44021" w:rsidRPr="0044626D">
        <w:rPr>
          <w:kern w:val="22"/>
          <w:szCs w:val="22"/>
          <w:lang w:val="fr-CA"/>
        </w:rPr>
        <w:t>-Bissau</w:t>
      </w:r>
    </w:p>
    <w:p w14:paraId="2825E24C" w14:textId="1D01AE9F" w:rsidR="00A44021" w:rsidRPr="0044626D" w:rsidRDefault="00A44021"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Guyana</w:t>
      </w:r>
    </w:p>
    <w:p w14:paraId="10C7E754" w14:textId="77777777" w:rsidR="00A44021" w:rsidRPr="0044626D" w:rsidRDefault="00A44021"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Honduras</w:t>
      </w:r>
    </w:p>
    <w:p w14:paraId="60023211" w14:textId="75FC46F7" w:rsidR="00A44021" w:rsidRPr="0044626D" w:rsidRDefault="00F63FF3"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Hongrie</w:t>
      </w:r>
    </w:p>
    <w:p w14:paraId="34554AFE" w14:textId="77777777" w:rsidR="001A0095" w:rsidRPr="0044626D" w:rsidRDefault="001A0095"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Îles Marshall</w:t>
      </w:r>
    </w:p>
    <w:p w14:paraId="59615ACD" w14:textId="472AC72B" w:rsidR="00A44021" w:rsidRPr="0044626D" w:rsidRDefault="00F63FF3"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Inde</w:t>
      </w:r>
    </w:p>
    <w:p w14:paraId="06E54F08" w14:textId="285CA070" w:rsidR="00A44021" w:rsidRPr="0044626D" w:rsidRDefault="00F63FF3"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Indonésie</w:t>
      </w:r>
    </w:p>
    <w:p w14:paraId="067F7D58" w14:textId="49527A30"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Jap</w:t>
      </w:r>
      <w:r w:rsidR="00F63FF3" w:rsidRPr="0044626D">
        <w:rPr>
          <w:rFonts w:eastAsia="Times New Roman"/>
          <w:snapToGrid w:val="0"/>
          <w:kern w:val="22"/>
          <w:szCs w:val="22"/>
          <w:lang w:val="fr-CA"/>
        </w:rPr>
        <w:t>o</w:t>
      </w:r>
      <w:r w:rsidRPr="0044626D">
        <w:rPr>
          <w:rFonts w:eastAsia="Times New Roman"/>
          <w:snapToGrid w:val="0"/>
          <w:kern w:val="22"/>
          <w:szCs w:val="22"/>
          <w:lang w:val="fr-CA"/>
        </w:rPr>
        <w:t>n</w:t>
      </w:r>
    </w:p>
    <w:p w14:paraId="63F84F97" w14:textId="7C265362" w:rsidR="00A44021" w:rsidRPr="00E6278A" w:rsidRDefault="00A44021" w:rsidP="000C6220">
      <w:pPr>
        <w:tabs>
          <w:tab w:val="left" w:pos="567"/>
        </w:tabs>
        <w:spacing w:after="0" w:line="240" w:lineRule="auto"/>
        <w:ind w:left="284" w:hanging="284"/>
        <w:jc w:val="left"/>
        <w:rPr>
          <w:rFonts w:eastAsia="Times New Roman"/>
          <w:snapToGrid w:val="0"/>
          <w:kern w:val="22"/>
          <w:szCs w:val="22"/>
          <w:lang w:val="en-US"/>
        </w:rPr>
      </w:pPr>
      <w:r w:rsidRPr="00E6278A">
        <w:rPr>
          <w:rFonts w:eastAsia="Times New Roman"/>
          <w:snapToGrid w:val="0"/>
          <w:kern w:val="22"/>
          <w:szCs w:val="22"/>
          <w:lang w:val="en-US"/>
        </w:rPr>
        <w:t>Jordan</w:t>
      </w:r>
      <w:r w:rsidR="00F63FF3" w:rsidRPr="00E6278A">
        <w:rPr>
          <w:rFonts w:eastAsia="Times New Roman"/>
          <w:snapToGrid w:val="0"/>
          <w:kern w:val="22"/>
          <w:szCs w:val="22"/>
          <w:lang w:val="en-US"/>
        </w:rPr>
        <w:t>ie</w:t>
      </w:r>
    </w:p>
    <w:p w14:paraId="48123DA7" w14:textId="77777777" w:rsidR="00A44021" w:rsidRPr="00E6278A" w:rsidRDefault="00A44021" w:rsidP="000C6220">
      <w:pPr>
        <w:tabs>
          <w:tab w:val="left" w:pos="567"/>
        </w:tabs>
        <w:spacing w:after="0" w:line="240" w:lineRule="auto"/>
        <w:ind w:left="284" w:hanging="284"/>
        <w:jc w:val="left"/>
        <w:rPr>
          <w:rFonts w:eastAsia="Times New Roman"/>
          <w:snapToGrid w:val="0"/>
          <w:kern w:val="22"/>
          <w:szCs w:val="22"/>
          <w:lang w:val="en-US"/>
        </w:rPr>
      </w:pPr>
      <w:r w:rsidRPr="00E6278A">
        <w:rPr>
          <w:rFonts w:eastAsia="Times New Roman"/>
          <w:snapToGrid w:val="0"/>
          <w:kern w:val="22"/>
          <w:szCs w:val="22"/>
          <w:lang w:val="en-US"/>
        </w:rPr>
        <w:t>Kenya</w:t>
      </w:r>
    </w:p>
    <w:p w14:paraId="17CD6E88" w14:textId="77777777" w:rsidR="00F63FF3" w:rsidRPr="00E6278A" w:rsidRDefault="00F63FF3" w:rsidP="000C6220">
      <w:pPr>
        <w:tabs>
          <w:tab w:val="left" w:pos="567"/>
        </w:tabs>
        <w:spacing w:after="0" w:line="240" w:lineRule="auto"/>
        <w:ind w:left="284" w:hanging="284"/>
        <w:jc w:val="left"/>
        <w:rPr>
          <w:rFonts w:eastAsia="Times New Roman"/>
          <w:snapToGrid w:val="0"/>
          <w:kern w:val="22"/>
          <w:szCs w:val="22"/>
          <w:lang w:val="en-US"/>
        </w:rPr>
      </w:pPr>
      <w:r w:rsidRPr="00E6278A">
        <w:rPr>
          <w:rFonts w:eastAsia="Times New Roman"/>
          <w:snapToGrid w:val="0"/>
          <w:kern w:val="22"/>
          <w:szCs w:val="22"/>
          <w:lang w:val="en-US"/>
        </w:rPr>
        <w:t>Kirghizistan</w:t>
      </w:r>
    </w:p>
    <w:p w14:paraId="7F109FEE" w14:textId="3F161932" w:rsidR="00A44021" w:rsidRPr="00E6278A" w:rsidRDefault="00F63FF3" w:rsidP="000C6220">
      <w:pPr>
        <w:tabs>
          <w:tab w:val="left" w:pos="567"/>
        </w:tabs>
        <w:spacing w:after="0" w:line="240" w:lineRule="auto"/>
        <w:ind w:left="284" w:hanging="284"/>
        <w:jc w:val="left"/>
        <w:rPr>
          <w:rFonts w:eastAsia="Times New Roman"/>
          <w:snapToGrid w:val="0"/>
          <w:kern w:val="22"/>
          <w:szCs w:val="22"/>
          <w:lang w:val="en-US"/>
        </w:rPr>
      </w:pPr>
      <w:r w:rsidRPr="00E6278A">
        <w:rPr>
          <w:rFonts w:eastAsia="Times New Roman"/>
          <w:snapToGrid w:val="0"/>
          <w:kern w:val="22"/>
          <w:szCs w:val="22"/>
          <w:lang w:val="en-US"/>
        </w:rPr>
        <w:t>Koweït</w:t>
      </w:r>
    </w:p>
    <w:p w14:paraId="1C5D5A29" w14:textId="77777777" w:rsidR="00A44021" w:rsidRPr="00E6278A" w:rsidRDefault="00A44021" w:rsidP="000C6220">
      <w:pPr>
        <w:tabs>
          <w:tab w:val="left" w:pos="567"/>
        </w:tabs>
        <w:spacing w:after="0" w:line="240" w:lineRule="auto"/>
        <w:ind w:left="284" w:hanging="284"/>
        <w:jc w:val="left"/>
        <w:rPr>
          <w:rFonts w:eastAsia="Times New Roman"/>
          <w:snapToGrid w:val="0"/>
          <w:kern w:val="22"/>
          <w:szCs w:val="22"/>
          <w:lang w:val="en-US"/>
        </w:rPr>
      </w:pPr>
      <w:r w:rsidRPr="00E6278A">
        <w:rPr>
          <w:rFonts w:eastAsia="Times New Roman"/>
          <w:snapToGrid w:val="0"/>
          <w:kern w:val="22"/>
          <w:szCs w:val="22"/>
          <w:lang w:val="en-US"/>
        </w:rPr>
        <w:t>Lesotho</w:t>
      </w:r>
    </w:p>
    <w:p w14:paraId="1425C282" w14:textId="77777777" w:rsidR="001A0095" w:rsidRPr="00E6278A" w:rsidRDefault="001A0095" w:rsidP="000C6220">
      <w:pPr>
        <w:tabs>
          <w:tab w:val="left" w:pos="567"/>
        </w:tabs>
        <w:spacing w:after="0" w:line="240" w:lineRule="auto"/>
        <w:ind w:left="284" w:hanging="284"/>
        <w:jc w:val="left"/>
        <w:rPr>
          <w:rFonts w:eastAsia="Times New Roman"/>
          <w:snapToGrid w:val="0"/>
          <w:kern w:val="22"/>
          <w:szCs w:val="22"/>
          <w:lang w:val="en-US"/>
        </w:rPr>
      </w:pPr>
      <w:r w:rsidRPr="00E6278A">
        <w:rPr>
          <w:rFonts w:eastAsia="Times New Roman"/>
          <w:snapToGrid w:val="0"/>
          <w:kern w:val="22"/>
          <w:szCs w:val="22"/>
          <w:lang w:val="en-US"/>
        </w:rPr>
        <w:t>Liban</w:t>
      </w:r>
    </w:p>
    <w:p w14:paraId="44589190" w14:textId="07A3AB9C"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Liberia</w:t>
      </w:r>
    </w:p>
    <w:p w14:paraId="6BFA42AD"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Luxembourg</w:t>
      </w:r>
    </w:p>
    <w:p w14:paraId="7ADCE9F8"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Madagascar</w:t>
      </w:r>
    </w:p>
    <w:p w14:paraId="0808CA81"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Malawi</w:t>
      </w:r>
    </w:p>
    <w:p w14:paraId="63BF7D15"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Mali</w:t>
      </w:r>
    </w:p>
    <w:p w14:paraId="442E7428" w14:textId="3C556D77" w:rsidR="00A44021" w:rsidRPr="0044626D" w:rsidRDefault="001A0095"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Malte</w:t>
      </w:r>
    </w:p>
    <w:p w14:paraId="508FFCE2" w14:textId="77777777" w:rsidR="001A0095" w:rsidRPr="0044626D" w:rsidRDefault="001A0095"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Maurice</w:t>
      </w:r>
    </w:p>
    <w:p w14:paraId="1DD5B20A" w14:textId="3EE549DC"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Mauritani</w:t>
      </w:r>
      <w:r w:rsidR="001A0095" w:rsidRPr="0044626D">
        <w:rPr>
          <w:rFonts w:eastAsia="Times New Roman"/>
          <w:snapToGrid w:val="0"/>
          <w:kern w:val="22"/>
          <w:szCs w:val="22"/>
          <w:lang w:val="fr-CA"/>
        </w:rPr>
        <w:t>e</w:t>
      </w:r>
    </w:p>
    <w:p w14:paraId="0B431E3C" w14:textId="7DEB9752" w:rsidR="00A44021" w:rsidRPr="0044626D" w:rsidRDefault="001A0095"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Mexique</w:t>
      </w:r>
    </w:p>
    <w:p w14:paraId="6494C8C6" w14:textId="2BD120C3" w:rsidR="00A44021" w:rsidRPr="0044626D" w:rsidRDefault="00A44021" w:rsidP="000C6220">
      <w:pPr>
        <w:pStyle w:val="Para1"/>
        <w:numPr>
          <w:ilvl w:val="0"/>
          <w:numId w:val="0"/>
        </w:numPr>
        <w:spacing w:before="0" w:after="0" w:line="240" w:lineRule="auto"/>
        <w:ind w:left="284" w:hanging="284"/>
        <w:jc w:val="left"/>
        <w:rPr>
          <w:kern w:val="22"/>
          <w:szCs w:val="22"/>
          <w:lang w:val="fr-CA"/>
        </w:rPr>
      </w:pPr>
      <w:r w:rsidRPr="0044626D">
        <w:rPr>
          <w:rFonts w:eastAsia="Times New Roman"/>
          <w:kern w:val="22"/>
          <w:szCs w:val="22"/>
          <w:lang w:val="fr-CA"/>
        </w:rPr>
        <w:t>Micron</w:t>
      </w:r>
      <w:r w:rsidR="001A0095" w:rsidRPr="0044626D">
        <w:rPr>
          <w:rFonts w:eastAsia="Times New Roman"/>
          <w:kern w:val="22"/>
          <w:szCs w:val="22"/>
          <w:lang w:val="fr-CA"/>
        </w:rPr>
        <w:t>ésie</w:t>
      </w:r>
      <w:r w:rsidRPr="0044626D">
        <w:rPr>
          <w:rFonts w:eastAsia="Times New Roman"/>
          <w:kern w:val="22"/>
          <w:szCs w:val="22"/>
          <w:lang w:val="fr-CA"/>
        </w:rPr>
        <w:t xml:space="preserve"> (</w:t>
      </w:r>
      <w:r w:rsidR="001A0095" w:rsidRPr="0044626D">
        <w:rPr>
          <w:rFonts w:eastAsia="Times New Roman"/>
          <w:kern w:val="22"/>
          <w:szCs w:val="22"/>
          <w:lang w:val="fr-CA"/>
        </w:rPr>
        <w:t>États fédérés de</w:t>
      </w:r>
      <w:r w:rsidRPr="0044626D">
        <w:rPr>
          <w:rFonts w:eastAsia="Times New Roman"/>
          <w:kern w:val="22"/>
          <w:szCs w:val="22"/>
          <w:lang w:val="fr-CA"/>
        </w:rPr>
        <w:t>)</w:t>
      </w:r>
    </w:p>
    <w:p w14:paraId="136328E3" w14:textId="5F58C3A5" w:rsidR="00A44021" w:rsidRPr="0044626D" w:rsidRDefault="001A0095"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Mongolie</w:t>
      </w:r>
    </w:p>
    <w:p w14:paraId="1B5D2490"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Mozambique</w:t>
      </w:r>
    </w:p>
    <w:p w14:paraId="5F5071F7"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Myanmar</w:t>
      </w:r>
    </w:p>
    <w:p w14:paraId="2C30FFC7" w14:textId="71FCD644" w:rsidR="00A44021" w:rsidRPr="0044626D" w:rsidRDefault="001A0095"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Namibie</w:t>
      </w:r>
    </w:p>
    <w:p w14:paraId="0B778C92" w14:textId="37AAB9A0" w:rsidR="00A44021" w:rsidRPr="0044626D" w:rsidRDefault="00A44021"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Niger</w:t>
      </w:r>
    </w:p>
    <w:p w14:paraId="2B9FFB54" w14:textId="5533D90A" w:rsidR="00A44021" w:rsidRPr="0044626D" w:rsidRDefault="001A0095"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Norvège</w:t>
      </w:r>
    </w:p>
    <w:p w14:paraId="11C83F4B" w14:textId="77777777" w:rsidR="0026306C" w:rsidRPr="0044626D" w:rsidRDefault="0026306C"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Ouganda</w:t>
      </w:r>
    </w:p>
    <w:p w14:paraId="3BA2C61E" w14:textId="4A30D79E"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Palau</w:t>
      </w:r>
    </w:p>
    <w:p w14:paraId="6E9748D5"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Panama</w:t>
      </w:r>
    </w:p>
    <w:p w14:paraId="0BB4F235" w14:textId="77777777" w:rsidR="001A0095" w:rsidRPr="0044626D" w:rsidRDefault="001A0095"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Pays-Bas</w:t>
      </w:r>
    </w:p>
    <w:p w14:paraId="348ACAB6" w14:textId="2F6CC6AD"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P</w:t>
      </w:r>
      <w:r w:rsidR="001A0095" w:rsidRPr="0044626D">
        <w:rPr>
          <w:rFonts w:eastAsia="Times New Roman"/>
          <w:snapToGrid w:val="0"/>
          <w:kern w:val="22"/>
          <w:szCs w:val="22"/>
          <w:lang w:val="fr-CA"/>
        </w:rPr>
        <w:t>érou</w:t>
      </w:r>
    </w:p>
    <w:p w14:paraId="4B8F7C1D"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Philippines</w:t>
      </w:r>
    </w:p>
    <w:p w14:paraId="2F04CE1F"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Portugal</w:t>
      </w:r>
    </w:p>
    <w:p w14:paraId="66643D1F"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Qatar</w:t>
      </w:r>
    </w:p>
    <w:p w14:paraId="03BAFF41" w14:textId="77777777" w:rsidR="0026306C" w:rsidRPr="0044626D" w:rsidRDefault="0026306C"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République arabe syrienne</w:t>
      </w:r>
    </w:p>
    <w:p w14:paraId="303C5374" w14:textId="37DF0AB9" w:rsidR="00ED0ABE" w:rsidRPr="0044626D" w:rsidRDefault="00ED0ABE"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République centrafricaine</w:t>
      </w:r>
    </w:p>
    <w:p w14:paraId="2E89C181" w14:textId="627E11EB" w:rsidR="00A44021" w:rsidRPr="0044626D" w:rsidRDefault="001A0095"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République de Corée</w:t>
      </w:r>
    </w:p>
    <w:p w14:paraId="75D13346" w14:textId="0ADDB9F0" w:rsidR="00A44021" w:rsidRPr="0044626D" w:rsidRDefault="001A0095"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République de Moldavie</w:t>
      </w:r>
    </w:p>
    <w:p w14:paraId="36DD0415" w14:textId="77777777" w:rsidR="00F63FF3" w:rsidRPr="0044626D" w:rsidRDefault="00F63FF3"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République démocratique du Congo</w:t>
      </w:r>
    </w:p>
    <w:p w14:paraId="038B8442" w14:textId="77777777" w:rsidR="001A0095" w:rsidRPr="0044626D" w:rsidRDefault="001A0095"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République démocratique populaire lao</w:t>
      </w:r>
    </w:p>
    <w:p w14:paraId="0C8B704B" w14:textId="1A5D9B91" w:rsidR="00F63FF3" w:rsidRPr="0044626D" w:rsidRDefault="00F63FF3"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République dominicaine</w:t>
      </w:r>
    </w:p>
    <w:p w14:paraId="0439728B" w14:textId="5C5F9EC6" w:rsidR="00F63FF3" w:rsidRPr="0044626D" w:rsidRDefault="00F63FF3"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République tchèque</w:t>
      </w:r>
    </w:p>
    <w:p w14:paraId="0D367B97" w14:textId="77777777" w:rsidR="0026306C" w:rsidRPr="0044626D" w:rsidRDefault="0026306C"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République unie de Tanzanie</w:t>
      </w:r>
    </w:p>
    <w:p w14:paraId="4D47FB14" w14:textId="7E2FFB4F" w:rsidR="0026306C" w:rsidRPr="0044626D" w:rsidRDefault="0026306C"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Royaume Uni de Grande-Bretagne et d’Irlande du Nord</w:t>
      </w:r>
    </w:p>
    <w:p w14:paraId="6DAE08D8" w14:textId="5D78046F"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Rwanda</w:t>
      </w:r>
    </w:p>
    <w:p w14:paraId="081F50E9"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Samoa</w:t>
      </w:r>
    </w:p>
    <w:p w14:paraId="346FB491" w14:textId="5E557ADD" w:rsidR="00A44021" w:rsidRPr="0044626D" w:rsidRDefault="0026306C"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Sao Tomé-et-Principe</w:t>
      </w:r>
    </w:p>
    <w:p w14:paraId="0D970A4C" w14:textId="7F5EE3D2" w:rsidR="00A44021" w:rsidRPr="0044626D" w:rsidRDefault="0026306C"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Séné</w:t>
      </w:r>
      <w:r w:rsidR="00A44021" w:rsidRPr="0044626D">
        <w:rPr>
          <w:kern w:val="22"/>
          <w:szCs w:val="22"/>
          <w:lang w:val="fr-CA"/>
        </w:rPr>
        <w:t>gal</w:t>
      </w:r>
    </w:p>
    <w:p w14:paraId="1C308068"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Seychelles</w:t>
      </w:r>
    </w:p>
    <w:p w14:paraId="0BBADC98" w14:textId="77777777" w:rsidR="00A44021" w:rsidRPr="0044626D" w:rsidRDefault="00A44021"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Sierra Leone</w:t>
      </w:r>
    </w:p>
    <w:p w14:paraId="53F848BD" w14:textId="10EFA2A2" w:rsidR="00A44021" w:rsidRPr="0044626D" w:rsidRDefault="00A44021"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Slova</w:t>
      </w:r>
      <w:r w:rsidR="0026306C" w:rsidRPr="0044626D">
        <w:rPr>
          <w:kern w:val="22"/>
          <w:szCs w:val="22"/>
          <w:lang w:val="fr-CA"/>
        </w:rPr>
        <w:t>quie</w:t>
      </w:r>
    </w:p>
    <w:p w14:paraId="27EB49F9" w14:textId="2D294433" w:rsidR="00A44021" w:rsidRPr="0044626D" w:rsidRDefault="00A44021"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S</w:t>
      </w:r>
      <w:r w:rsidR="0026306C" w:rsidRPr="0044626D">
        <w:rPr>
          <w:kern w:val="22"/>
          <w:szCs w:val="22"/>
          <w:lang w:val="fr-CA"/>
        </w:rPr>
        <w:t>o</w:t>
      </w:r>
      <w:r w:rsidRPr="0044626D">
        <w:rPr>
          <w:kern w:val="22"/>
          <w:szCs w:val="22"/>
          <w:lang w:val="fr-CA"/>
        </w:rPr>
        <w:t>udan</w:t>
      </w:r>
    </w:p>
    <w:p w14:paraId="3EB7E7AF" w14:textId="724398CC" w:rsidR="00A44021" w:rsidRPr="0044626D" w:rsidRDefault="0026306C"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Suède</w:t>
      </w:r>
    </w:p>
    <w:p w14:paraId="303FF785" w14:textId="3E9F638D" w:rsidR="00A44021" w:rsidRPr="0044626D" w:rsidRDefault="0026306C"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Suisse</w:t>
      </w:r>
    </w:p>
    <w:p w14:paraId="0FEF6931" w14:textId="02AB3832" w:rsidR="00A44021" w:rsidRPr="0044626D" w:rsidRDefault="00A44021" w:rsidP="000C6220">
      <w:pPr>
        <w:pStyle w:val="Para1"/>
        <w:numPr>
          <w:ilvl w:val="0"/>
          <w:numId w:val="0"/>
        </w:numPr>
        <w:spacing w:before="0" w:after="0" w:line="240" w:lineRule="auto"/>
        <w:ind w:left="284" w:hanging="284"/>
        <w:jc w:val="left"/>
        <w:rPr>
          <w:rFonts w:eastAsia="Times New Roman"/>
          <w:kern w:val="22"/>
          <w:szCs w:val="22"/>
          <w:lang w:val="fr-CA"/>
        </w:rPr>
      </w:pPr>
      <w:r w:rsidRPr="0044626D">
        <w:rPr>
          <w:rFonts w:eastAsia="Times New Roman"/>
          <w:kern w:val="22"/>
          <w:szCs w:val="22"/>
          <w:lang w:val="fr-CA"/>
        </w:rPr>
        <w:t>Ta</w:t>
      </w:r>
      <w:r w:rsidR="0026306C" w:rsidRPr="0044626D">
        <w:rPr>
          <w:rFonts w:eastAsia="Times New Roman"/>
          <w:kern w:val="22"/>
          <w:szCs w:val="22"/>
          <w:lang w:val="fr-CA"/>
        </w:rPr>
        <w:t>d</w:t>
      </w:r>
      <w:r w:rsidRPr="0044626D">
        <w:rPr>
          <w:rFonts w:eastAsia="Times New Roman"/>
          <w:kern w:val="22"/>
          <w:szCs w:val="22"/>
          <w:lang w:val="fr-CA"/>
        </w:rPr>
        <w:t>jikistan</w:t>
      </w:r>
    </w:p>
    <w:p w14:paraId="7D979999" w14:textId="77777777" w:rsidR="0026306C" w:rsidRPr="0044626D" w:rsidRDefault="00ED0ABE" w:rsidP="000C6220">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Tchad</w:t>
      </w:r>
    </w:p>
    <w:p w14:paraId="6F749DDC" w14:textId="0EAC90AA" w:rsidR="00A44021" w:rsidRPr="0044626D" w:rsidRDefault="0026306C" w:rsidP="0026306C">
      <w:pPr>
        <w:pStyle w:val="Para1"/>
        <w:numPr>
          <w:ilvl w:val="0"/>
          <w:numId w:val="0"/>
        </w:numPr>
        <w:spacing w:before="0" w:after="0" w:line="240" w:lineRule="auto"/>
        <w:ind w:left="284" w:hanging="284"/>
        <w:jc w:val="left"/>
        <w:rPr>
          <w:kern w:val="22"/>
          <w:szCs w:val="22"/>
          <w:lang w:val="fr-CA"/>
        </w:rPr>
      </w:pPr>
      <w:r w:rsidRPr="0044626D">
        <w:rPr>
          <w:kern w:val="22"/>
          <w:szCs w:val="22"/>
          <w:lang w:val="fr-CA"/>
        </w:rPr>
        <w:t>T</w:t>
      </w:r>
      <w:r w:rsidR="00A44021" w:rsidRPr="0044626D">
        <w:rPr>
          <w:kern w:val="22"/>
          <w:szCs w:val="22"/>
          <w:lang w:val="fr-CA"/>
        </w:rPr>
        <w:t>ogo</w:t>
      </w:r>
    </w:p>
    <w:p w14:paraId="6B7164A5" w14:textId="77777777" w:rsidR="00F63FF3" w:rsidRPr="0044626D" w:rsidRDefault="00F63FF3" w:rsidP="000C6220">
      <w:pPr>
        <w:tabs>
          <w:tab w:val="left" w:pos="567"/>
        </w:tabs>
        <w:spacing w:after="0" w:line="240" w:lineRule="auto"/>
        <w:ind w:left="284" w:hanging="284"/>
        <w:jc w:val="left"/>
        <w:rPr>
          <w:rFonts w:eastAsia="Times New Roman"/>
          <w:snapToGrid w:val="0"/>
          <w:kern w:val="22"/>
          <w:szCs w:val="22"/>
          <w:lang w:val="fr-CA"/>
        </w:rPr>
      </w:pPr>
      <w:r w:rsidRPr="0044626D">
        <w:rPr>
          <w:rFonts w:eastAsia="Times New Roman"/>
          <w:snapToGrid w:val="0"/>
          <w:kern w:val="22"/>
          <w:szCs w:val="22"/>
          <w:lang w:val="fr-CA"/>
        </w:rPr>
        <w:t>Union européenne</w:t>
      </w:r>
    </w:p>
    <w:p w14:paraId="2587A2B7" w14:textId="1C1DF83D" w:rsidR="00A44021" w:rsidRPr="00E6278A" w:rsidRDefault="00A44021" w:rsidP="000C6220">
      <w:pPr>
        <w:pStyle w:val="Para1"/>
        <w:numPr>
          <w:ilvl w:val="0"/>
          <w:numId w:val="0"/>
        </w:numPr>
        <w:spacing w:before="0" w:after="0" w:line="240" w:lineRule="auto"/>
        <w:ind w:left="284" w:hanging="284"/>
        <w:jc w:val="left"/>
        <w:rPr>
          <w:rFonts w:eastAsia="Times New Roman"/>
          <w:kern w:val="22"/>
          <w:szCs w:val="22"/>
          <w:lang w:val="en-US"/>
        </w:rPr>
      </w:pPr>
      <w:r w:rsidRPr="00E6278A">
        <w:rPr>
          <w:rFonts w:eastAsia="Times New Roman"/>
          <w:kern w:val="22"/>
          <w:szCs w:val="22"/>
          <w:lang w:val="en-US"/>
        </w:rPr>
        <w:t>Uruguay</w:t>
      </w:r>
    </w:p>
    <w:p w14:paraId="74264384" w14:textId="77777777" w:rsidR="00A44021" w:rsidRPr="00E6278A" w:rsidRDefault="00A44021" w:rsidP="000C6220">
      <w:pPr>
        <w:tabs>
          <w:tab w:val="left" w:pos="567"/>
        </w:tabs>
        <w:spacing w:after="0" w:line="240" w:lineRule="auto"/>
        <w:ind w:left="284" w:hanging="284"/>
        <w:jc w:val="left"/>
        <w:rPr>
          <w:rFonts w:eastAsia="Times New Roman"/>
          <w:snapToGrid w:val="0"/>
          <w:kern w:val="22"/>
          <w:szCs w:val="22"/>
          <w:lang w:val="en-US"/>
        </w:rPr>
      </w:pPr>
      <w:r w:rsidRPr="00E6278A">
        <w:rPr>
          <w:rFonts w:eastAsia="Times New Roman"/>
          <w:snapToGrid w:val="0"/>
          <w:kern w:val="22"/>
          <w:szCs w:val="22"/>
          <w:lang w:val="en-US"/>
        </w:rPr>
        <w:lastRenderedPageBreak/>
        <w:t>Viet Nam</w:t>
      </w:r>
    </w:p>
    <w:p w14:paraId="50C85194" w14:textId="5430CAEB" w:rsidR="00A44021" w:rsidRPr="00E6278A" w:rsidRDefault="00F63FF3" w:rsidP="000C6220">
      <w:pPr>
        <w:tabs>
          <w:tab w:val="left" w:pos="567"/>
        </w:tabs>
        <w:spacing w:after="0" w:line="240" w:lineRule="auto"/>
        <w:ind w:left="284" w:hanging="284"/>
        <w:jc w:val="left"/>
        <w:rPr>
          <w:rFonts w:eastAsia="Times New Roman"/>
          <w:snapToGrid w:val="0"/>
          <w:kern w:val="22"/>
          <w:szCs w:val="22"/>
          <w:lang w:val="en-US"/>
        </w:rPr>
      </w:pPr>
      <w:r w:rsidRPr="00E6278A">
        <w:rPr>
          <w:rFonts w:eastAsia="Times New Roman"/>
          <w:snapToGrid w:val="0"/>
          <w:kern w:val="22"/>
          <w:szCs w:val="22"/>
          <w:lang w:val="en-US"/>
        </w:rPr>
        <w:t>Zambie</w:t>
      </w:r>
    </w:p>
    <w:p w14:paraId="0030DCEE" w14:textId="77777777" w:rsidR="00544AB3" w:rsidRPr="00E6278A" w:rsidRDefault="00A44021" w:rsidP="000C6220">
      <w:pPr>
        <w:pStyle w:val="Para1"/>
        <w:numPr>
          <w:ilvl w:val="0"/>
          <w:numId w:val="0"/>
        </w:numPr>
        <w:spacing w:before="0" w:after="0" w:line="240" w:lineRule="auto"/>
        <w:ind w:left="284" w:hanging="284"/>
        <w:jc w:val="left"/>
        <w:rPr>
          <w:rFonts w:eastAsia="Times New Roman"/>
          <w:kern w:val="22"/>
          <w:szCs w:val="22"/>
          <w:lang w:val="en-US"/>
        </w:rPr>
        <w:sectPr w:rsidR="00544AB3" w:rsidRPr="00E6278A" w:rsidSect="000C6220">
          <w:type w:val="continuous"/>
          <w:pgSz w:w="12242" w:h="15842" w:code="1"/>
          <w:pgMar w:top="1138" w:right="1138" w:bottom="1022" w:left="1138" w:header="403" w:footer="720" w:gutter="0"/>
          <w:cols w:num="3" w:space="720"/>
          <w:titlePg/>
          <w:docGrid w:linePitch="299"/>
        </w:sectPr>
      </w:pPr>
      <w:r w:rsidRPr="00E6278A">
        <w:rPr>
          <w:rFonts w:eastAsia="Times New Roman"/>
          <w:kern w:val="22"/>
          <w:szCs w:val="22"/>
          <w:lang w:val="en-US"/>
        </w:rPr>
        <w:t>Zimbabwe</w:t>
      </w:r>
    </w:p>
    <w:p w14:paraId="70A3107E" w14:textId="7155120F" w:rsidR="00A44021" w:rsidRPr="0044626D" w:rsidRDefault="00664B58" w:rsidP="000C6220">
      <w:pPr>
        <w:pStyle w:val="Para1"/>
        <w:keepNext/>
        <w:tabs>
          <w:tab w:val="clear" w:pos="360"/>
          <w:tab w:val="clear" w:pos="567"/>
          <w:tab w:val="clear" w:pos="2912"/>
        </w:tabs>
        <w:spacing w:line="240" w:lineRule="auto"/>
        <w:rPr>
          <w:lang w:val="fr-CA"/>
        </w:rPr>
      </w:pPr>
      <w:bookmarkStart w:id="21" w:name="_Hlk530317937"/>
      <w:r w:rsidRPr="0044626D">
        <w:rPr>
          <w:lang w:val="fr-CA"/>
        </w:rPr>
        <w:t>Les États suivants non Parties au Protocole de Nagoya étaient également représentés </w:t>
      </w:r>
      <w:r w:rsidR="008E2E46" w:rsidRPr="0044626D">
        <w:rPr>
          <w:lang w:val="fr-CA"/>
        </w:rPr>
        <w:t>:</w:t>
      </w:r>
    </w:p>
    <w:p w14:paraId="7E6E85A8" w14:textId="0145DFB0" w:rsidR="001D4A8D" w:rsidRPr="0044626D" w:rsidRDefault="001D4A8D" w:rsidP="000C6220">
      <w:pPr>
        <w:pStyle w:val="Para1"/>
        <w:numPr>
          <w:ilvl w:val="0"/>
          <w:numId w:val="0"/>
        </w:numPr>
        <w:tabs>
          <w:tab w:val="clear" w:pos="2912"/>
        </w:tabs>
        <w:spacing w:line="240" w:lineRule="auto"/>
        <w:rPr>
          <w:lang w:val="fr-CA"/>
        </w:rPr>
        <w:sectPr w:rsidR="001D4A8D" w:rsidRPr="0044626D" w:rsidSect="00A44021">
          <w:type w:val="continuous"/>
          <w:pgSz w:w="12242" w:h="15842" w:code="1"/>
          <w:pgMar w:top="1138" w:right="1138" w:bottom="1022" w:left="1138" w:header="403" w:footer="720" w:gutter="0"/>
          <w:cols w:space="720"/>
          <w:titlePg/>
          <w:docGrid w:linePitch="299"/>
        </w:sectPr>
      </w:pPr>
    </w:p>
    <w:p w14:paraId="710A6D72" w14:textId="71FC2599" w:rsidR="00A44021" w:rsidRPr="0044626D" w:rsidRDefault="00FB1AC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Algé</w:t>
      </w:r>
      <w:r w:rsidR="00A44021" w:rsidRPr="0044626D">
        <w:rPr>
          <w:szCs w:val="22"/>
          <w:lang w:val="fr-CA"/>
        </w:rPr>
        <w:t>ri</w:t>
      </w:r>
      <w:r w:rsidRPr="0044626D">
        <w:rPr>
          <w:szCs w:val="22"/>
          <w:lang w:val="fr-CA"/>
        </w:rPr>
        <w:t>e</w:t>
      </w:r>
    </w:p>
    <w:p w14:paraId="3815B283" w14:textId="0D6B19E0"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Andorr</w:t>
      </w:r>
      <w:r w:rsidR="00FB1ACC" w:rsidRPr="0044626D">
        <w:rPr>
          <w:szCs w:val="22"/>
          <w:lang w:val="fr-CA"/>
        </w:rPr>
        <w:t>e</w:t>
      </w:r>
    </w:p>
    <w:p w14:paraId="446989E6" w14:textId="77777777" w:rsidR="0015696C" w:rsidRPr="0044626D" w:rsidRDefault="0015696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Arabie saoudite</w:t>
      </w:r>
    </w:p>
    <w:p w14:paraId="336E2E6C" w14:textId="1FDC1100" w:rsidR="00A44021" w:rsidRPr="0044626D" w:rsidRDefault="00FB1AC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Arménie</w:t>
      </w:r>
    </w:p>
    <w:p w14:paraId="24F7AF1E" w14:textId="4591C7CD" w:rsidR="00A44021" w:rsidRPr="0044626D" w:rsidRDefault="00FB1AC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Azerbaïdj</w:t>
      </w:r>
      <w:r w:rsidR="00A44021" w:rsidRPr="0044626D">
        <w:rPr>
          <w:szCs w:val="22"/>
          <w:lang w:val="fr-CA"/>
        </w:rPr>
        <w:t>an</w:t>
      </w:r>
    </w:p>
    <w:p w14:paraId="4D05C91F" w14:textId="149CB357" w:rsidR="00A44021" w:rsidRPr="00E6278A" w:rsidRDefault="00FB1ACC" w:rsidP="000C6220">
      <w:pPr>
        <w:pStyle w:val="Para1"/>
        <w:widowControl w:val="0"/>
        <w:numPr>
          <w:ilvl w:val="0"/>
          <w:numId w:val="0"/>
        </w:numPr>
        <w:spacing w:before="0" w:after="0" w:line="240" w:lineRule="auto"/>
        <w:ind w:left="284" w:hanging="284"/>
        <w:jc w:val="left"/>
        <w:rPr>
          <w:szCs w:val="22"/>
          <w:lang w:val="en-US"/>
        </w:rPr>
      </w:pPr>
      <w:r w:rsidRPr="00E6278A">
        <w:rPr>
          <w:szCs w:val="22"/>
          <w:lang w:val="en-US"/>
        </w:rPr>
        <w:t>Bahreïn</w:t>
      </w:r>
    </w:p>
    <w:p w14:paraId="72017F14" w14:textId="77777777" w:rsidR="00A44021" w:rsidRPr="00E6278A" w:rsidRDefault="00A44021" w:rsidP="000C6220">
      <w:pPr>
        <w:pStyle w:val="Para1"/>
        <w:widowControl w:val="0"/>
        <w:numPr>
          <w:ilvl w:val="0"/>
          <w:numId w:val="0"/>
        </w:numPr>
        <w:spacing w:before="0" w:after="0" w:line="240" w:lineRule="auto"/>
        <w:ind w:left="284" w:hanging="284"/>
        <w:jc w:val="left"/>
        <w:rPr>
          <w:szCs w:val="22"/>
          <w:lang w:val="en-US"/>
        </w:rPr>
      </w:pPr>
      <w:r w:rsidRPr="00E6278A">
        <w:rPr>
          <w:szCs w:val="22"/>
          <w:lang w:val="en-US"/>
        </w:rPr>
        <w:t>Bangladesh</w:t>
      </w:r>
    </w:p>
    <w:p w14:paraId="3E7513C8" w14:textId="77777777" w:rsidR="00A44021" w:rsidRPr="00E6278A" w:rsidRDefault="00A44021" w:rsidP="000C6220">
      <w:pPr>
        <w:pStyle w:val="Para1"/>
        <w:widowControl w:val="0"/>
        <w:numPr>
          <w:ilvl w:val="0"/>
          <w:numId w:val="0"/>
        </w:numPr>
        <w:spacing w:before="0" w:after="0" w:line="240" w:lineRule="auto"/>
        <w:ind w:left="284" w:hanging="284"/>
        <w:jc w:val="left"/>
        <w:rPr>
          <w:szCs w:val="22"/>
          <w:lang w:val="en-US"/>
        </w:rPr>
      </w:pPr>
      <w:r w:rsidRPr="00E6278A">
        <w:rPr>
          <w:szCs w:val="22"/>
          <w:lang w:val="en-US"/>
        </w:rPr>
        <w:t>Belize</w:t>
      </w:r>
    </w:p>
    <w:p w14:paraId="2C84C0B1" w14:textId="474678F8" w:rsidR="00A44021" w:rsidRPr="00E6278A" w:rsidRDefault="00FB1ACC" w:rsidP="000C6220">
      <w:pPr>
        <w:pStyle w:val="Para1"/>
        <w:widowControl w:val="0"/>
        <w:numPr>
          <w:ilvl w:val="0"/>
          <w:numId w:val="0"/>
        </w:numPr>
        <w:spacing w:before="0" w:after="0" w:line="240" w:lineRule="auto"/>
        <w:ind w:left="284" w:hanging="284"/>
        <w:jc w:val="left"/>
        <w:rPr>
          <w:szCs w:val="22"/>
          <w:lang w:val="en-US"/>
        </w:rPr>
      </w:pPr>
      <w:r w:rsidRPr="00E6278A">
        <w:rPr>
          <w:szCs w:val="22"/>
          <w:lang w:val="en-US"/>
        </w:rPr>
        <w:t>Bosnie-Herzégovine</w:t>
      </w:r>
    </w:p>
    <w:p w14:paraId="7BE10264" w14:textId="40AC4A86" w:rsidR="00A44021" w:rsidRPr="00E6278A" w:rsidRDefault="00FB1ACC" w:rsidP="000C6220">
      <w:pPr>
        <w:pStyle w:val="Para1"/>
        <w:widowControl w:val="0"/>
        <w:numPr>
          <w:ilvl w:val="0"/>
          <w:numId w:val="0"/>
        </w:numPr>
        <w:spacing w:before="0" w:after="0" w:line="240" w:lineRule="auto"/>
        <w:ind w:left="284" w:hanging="284"/>
        <w:jc w:val="left"/>
        <w:rPr>
          <w:szCs w:val="22"/>
          <w:lang w:val="en-US"/>
        </w:rPr>
      </w:pPr>
      <w:r w:rsidRPr="00E6278A">
        <w:rPr>
          <w:szCs w:val="22"/>
          <w:lang w:val="en-US"/>
        </w:rPr>
        <w:t>Brésil</w:t>
      </w:r>
    </w:p>
    <w:p w14:paraId="0225AA19"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Cabo Verde</w:t>
      </w:r>
    </w:p>
    <w:p w14:paraId="79FB269E"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Canada</w:t>
      </w:r>
    </w:p>
    <w:p w14:paraId="33057BAE"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Chile</w:t>
      </w:r>
    </w:p>
    <w:p w14:paraId="2483A8D4" w14:textId="77777777" w:rsidR="00FB1ACC" w:rsidRPr="0044626D" w:rsidRDefault="00FB1AC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Chypre</w:t>
      </w:r>
    </w:p>
    <w:p w14:paraId="74668B90" w14:textId="69F09A6A"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Colombi</w:t>
      </w:r>
      <w:r w:rsidR="00FB1ACC" w:rsidRPr="0044626D">
        <w:rPr>
          <w:szCs w:val="22"/>
          <w:lang w:val="fr-CA"/>
        </w:rPr>
        <w:t>e</w:t>
      </w:r>
    </w:p>
    <w:p w14:paraId="65CAAC48"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Costa Rica</w:t>
      </w:r>
    </w:p>
    <w:p w14:paraId="27811A08"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El Salvador</w:t>
      </w:r>
    </w:p>
    <w:p w14:paraId="3B56E834" w14:textId="291FB149" w:rsidR="00A44021" w:rsidRPr="0044626D" w:rsidRDefault="00FB1AC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Érythrée</w:t>
      </w:r>
    </w:p>
    <w:p w14:paraId="1016E564" w14:textId="353964E9"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Estoni</w:t>
      </w:r>
      <w:r w:rsidR="00FB1ACC" w:rsidRPr="0044626D">
        <w:rPr>
          <w:szCs w:val="22"/>
          <w:lang w:val="fr-CA"/>
        </w:rPr>
        <w:t>e</w:t>
      </w:r>
    </w:p>
    <w:p w14:paraId="581398B1" w14:textId="7F944CE3" w:rsidR="00AB7698" w:rsidRPr="0044626D" w:rsidRDefault="00AB7698" w:rsidP="000C6220">
      <w:pPr>
        <w:pStyle w:val="Para1"/>
        <w:widowControl w:val="0"/>
        <w:numPr>
          <w:ilvl w:val="0"/>
          <w:numId w:val="0"/>
        </w:numPr>
        <w:spacing w:before="0" w:after="0" w:line="240" w:lineRule="auto"/>
        <w:ind w:left="284" w:hanging="284"/>
        <w:jc w:val="left"/>
        <w:rPr>
          <w:szCs w:val="22"/>
          <w:lang w:val="fr-CA"/>
        </w:rPr>
      </w:pPr>
      <w:r w:rsidRPr="0044626D">
        <w:rPr>
          <w:rFonts w:eastAsia="Times New Roman"/>
          <w:szCs w:val="22"/>
          <w:lang w:val="fr-CA"/>
        </w:rPr>
        <w:t>États-Unis</w:t>
      </w:r>
      <w:r w:rsidRPr="0044626D">
        <w:rPr>
          <w:szCs w:val="22"/>
          <w:lang w:val="fr-CA"/>
        </w:rPr>
        <w:t xml:space="preserve"> d’Amérique</w:t>
      </w:r>
    </w:p>
    <w:p w14:paraId="3B91B90C" w14:textId="02D5AFF9" w:rsidR="00100198"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Fédération de Russie</w:t>
      </w:r>
    </w:p>
    <w:p w14:paraId="596AE047" w14:textId="6074DE92"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G</w:t>
      </w:r>
      <w:r w:rsidR="00FB1ACC" w:rsidRPr="0044626D">
        <w:rPr>
          <w:szCs w:val="22"/>
          <w:lang w:val="fr-CA"/>
        </w:rPr>
        <w:t>éorgie</w:t>
      </w:r>
    </w:p>
    <w:p w14:paraId="742AF169"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Ghana</w:t>
      </w:r>
    </w:p>
    <w:p w14:paraId="2E7C3F62" w14:textId="71B794E5" w:rsidR="00A44021" w:rsidRPr="0044626D" w:rsidRDefault="00FB1AC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Grèce</w:t>
      </w:r>
    </w:p>
    <w:p w14:paraId="6F985E5A" w14:textId="3ECDB49C" w:rsidR="00A44021" w:rsidRPr="0044626D" w:rsidRDefault="00FB1AC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Grenade</w:t>
      </w:r>
    </w:p>
    <w:p w14:paraId="11409439" w14:textId="77777777" w:rsidR="00FB1ACC" w:rsidRPr="0044626D" w:rsidRDefault="00FB1AC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Guinée équatoriale</w:t>
      </w:r>
    </w:p>
    <w:p w14:paraId="43689509" w14:textId="4EFE93C6"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Ha</w:t>
      </w:r>
      <w:r w:rsidR="00FB1ACC" w:rsidRPr="0044626D">
        <w:rPr>
          <w:szCs w:val="22"/>
          <w:lang w:val="fr-CA"/>
        </w:rPr>
        <w:t>ï</w:t>
      </w:r>
      <w:r w:rsidRPr="0044626D">
        <w:rPr>
          <w:szCs w:val="22"/>
          <w:lang w:val="fr-CA"/>
        </w:rPr>
        <w:t>ti</w:t>
      </w:r>
    </w:p>
    <w:p w14:paraId="018A8696" w14:textId="77777777" w:rsidR="00FB1ACC" w:rsidRPr="0044626D" w:rsidRDefault="00FB1AC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Îles Cook</w:t>
      </w:r>
    </w:p>
    <w:p w14:paraId="0934765D" w14:textId="77777777" w:rsidR="0015696C" w:rsidRPr="0044626D" w:rsidRDefault="0015696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Îles Salomon</w:t>
      </w:r>
    </w:p>
    <w:p w14:paraId="66C24DDB" w14:textId="3CAD90C6" w:rsidR="00100198"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Islande</w:t>
      </w:r>
    </w:p>
    <w:p w14:paraId="59FD7B6D" w14:textId="432B3263"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Iran (</w:t>
      </w:r>
      <w:r w:rsidR="00100198" w:rsidRPr="0044626D">
        <w:rPr>
          <w:szCs w:val="22"/>
          <w:lang w:val="fr-CA"/>
        </w:rPr>
        <w:t>République islamique d’</w:t>
      </w:r>
      <w:r w:rsidRPr="0044626D">
        <w:rPr>
          <w:szCs w:val="22"/>
          <w:lang w:val="fr-CA"/>
        </w:rPr>
        <w:t>)</w:t>
      </w:r>
    </w:p>
    <w:p w14:paraId="6C74F85C"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Iraq</w:t>
      </w:r>
    </w:p>
    <w:p w14:paraId="5E68D39C" w14:textId="40164E6D" w:rsidR="00A44021"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Ir</w:t>
      </w:r>
      <w:r w:rsidR="00A44021" w:rsidRPr="0044626D">
        <w:rPr>
          <w:szCs w:val="22"/>
          <w:lang w:val="fr-CA"/>
        </w:rPr>
        <w:t>land</w:t>
      </w:r>
      <w:r w:rsidRPr="0044626D">
        <w:rPr>
          <w:szCs w:val="22"/>
          <w:lang w:val="fr-CA"/>
        </w:rPr>
        <w:t>e</w:t>
      </w:r>
    </w:p>
    <w:p w14:paraId="768B00FA" w14:textId="188B1227" w:rsidR="00A44021"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Israë</w:t>
      </w:r>
      <w:r w:rsidR="00A44021" w:rsidRPr="0044626D">
        <w:rPr>
          <w:szCs w:val="22"/>
          <w:lang w:val="fr-CA"/>
        </w:rPr>
        <w:t>l</w:t>
      </w:r>
    </w:p>
    <w:p w14:paraId="4DB179F2" w14:textId="104FD481" w:rsidR="00A44021"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Italie</w:t>
      </w:r>
    </w:p>
    <w:p w14:paraId="2CA00DF6" w14:textId="16A0416B" w:rsidR="00A44021"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Jamaïque</w:t>
      </w:r>
    </w:p>
    <w:p w14:paraId="13445011"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Kiribati</w:t>
      </w:r>
    </w:p>
    <w:p w14:paraId="3EC04A68" w14:textId="59E785C0" w:rsidR="00A44021"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Lettonie</w:t>
      </w:r>
    </w:p>
    <w:p w14:paraId="71F35464" w14:textId="67E58ABB"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Liby</w:t>
      </w:r>
      <w:r w:rsidR="00100198" w:rsidRPr="0044626D">
        <w:rPr>
          <w:szCs w:val="22"/>
          <w:lang w:val="fr-CA"/>
        </w:rPr>
        <w:t>e</w:t>
      </w:r>
    </w:p>
    <w:p w14:paraId="1EF96DA7"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Liechtenstein</w:t>
      </w:r>
    </w:p>
    <w:p w14:paraId="61F053BE" w14:textId="69E5AB95" w:rsidR="00A44021"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Lituanie</w:t>
      </w:r>
    </w:p>
    <w:p w14:paraId="5BC98314" w14:textId="359FF482" w:rsidR="00A44021"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Malaisie</w:t>
      </w:r>
    </w:p>
    <w:p w14:paraId="5CB6750C"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Maldives</w:t>
      </w:r>
    </w:p>
    <w:p w14:paraId="3D27A631" w14:textId="77777777" w:rsidR="00100198"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Maroc</w:t>
      </w:r>
    </w:p>
    <w:p w14:paraId="5EB544F2" w14:textId="351F6DF5"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Monaco</w:t>
      </w:r>
    </w:p>
    <w:p w14:paraId="31403183" w14:textId="133E3A72"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N</w:t>
      </w:r>
      <w:r w:rsidR="00100198" w:rsidRPr="0044626D">
        <w:rPr>
          <w:szCs w:val="22"/>
          <w:lang w:val="fr-CA"/>
        </w:rPr>
        <w:t>é</w:t>
      </w:r>
      <w:r w:rsidRPr="0044626D">
        <w:rPr>
          <w:szCs w:val="22"/>
          <w:lang w:val="fr-CA"/>
        </w:rPr>
        <w:t>pal</w:t>
      </w:r>
    </w:p>
    <w:p w14:paraId="64529191"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Nicaragua</w:t>
      </w:r>
    </w:p>
    <w:p w14:paraId="4EA748DB"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Nigeria</w:t>
      </w:r>
    </w:p>
    <w:p w14:paraId="5473E1E9" w14:textId="77777777" w:rsidR="00100198"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Nouvelle-Zélande</w:t>
      </w:r>
    </w:p>
    <w:p w14:paraId="02A2E9F5" w14:textId="7CAE9ACE"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Oman</w:t>
      </w:r>
    </w:p>
    <w:p w14:paraId="6FC5415F" w14:textId="77777777" w:rsidR="00AB7698" w:rsidRPr="0044626D" w:rsidRDefault="00AB76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Palestine (État)</w:t>
      </w:r>
    </w:p>
    <w:p w14:paraId="3EF5FACD" w14:textId="7D69D1C5" w:rsidR="00A44021"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Papouasie-Nouvelle-Guinée</w:t>
      </w:r>
    </w:p>
    <w:p w14:paraId="7DA3570C"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Paraguay</w:t>
      </w:r>
    </w:p>
    <w:p w14:paraId="7E4F70A0" w14:textId="38E70182" w:rsidR="00A44021"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Pologne</w:t>
      </w:r>
    </w:p>
    <w:p w14:paraId="4E60C6B3" w14:textId="77777777" w:rsidR="00FB1ACC" w:rsidRPr="0044626D" w:rsidRDefault="00FB1AC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République populaire démocratique de Corée</w:t>
      </w:r>
    </w:p>
    <w:p w14:paraId="48A0A156" w14:textId="57AA4E7B" w:rsidR="00A44021"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Roumanie</w:t>
      </w:r>
    </w:p>
    <w:p w14:paraId="016789D2" w14:textId="06A1776A" w:rsidR="00A44021"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Saint-</w:t>
      </w:r>
      <w:r w:rsidR="00A44021" w:rsidRPr="0044626D">
        <w:rPr>
          <w:szCs w:val="22"/>
          <w:lang w:val="fr-CA"/>
        </w:rPr>
        <w:t>Kitts</w:t>
      </w:r>
      <w:r w:rsidRPr="0044626D">
        <w:rPr>
          <w:szCs w:val="22"/>
          <w:lang w:val="fr-CA"/>
        </w:rPr>
        <w:t>-et-Nevis</w:t>
      </w:r>
    </w:p>
    <w:p w14:paraId="2A924D8F" w14:textId="012E5234" w:rsidR="00100198" w:rsidRPr="0044626D" w:rsidRDefault="001001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Saint-Siège</w:t>
      </w:r>
    </w:p>
    <w:p w14:paraId="61EFE5C3" w14:textId="1997A18F" w:rsidR="0015696C" w:rsidRPr="0044626D" w:rsidRDefault="0015696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Saint-Vincent-et-les-Grenadines</w:t>
      </w:r>
    </w:p>
    <w:p w14:paraId="46F8DAE8" w14:textId="00B7EB0D" w:rsidR="00A44021" w:rsidRPr="0044626D" w:rsidRDefault="0015696C" w:rsidP="0015696C">
      <w:pPr>
        <w:pStyle w:val="Para1"/>
        <w:widowControl w:val="0"/>
        <w:numPr>
          <w:ilvl w:val="0"/>
          <w:numId w:val="0"/>
        </w:numPr>
        <w:spacing w:before="0" w:after="0" w:line="240" w:lineRule="auto"/>
        <w:ind w:left="284" w:hanging="284"/>
        <w:jc w:val="left"/>
        <w:rPr>
          <w:szCs w:val="22"/>
          <w:lang w:val="fr-CA"/>
        </w:rPr>
      </w:pPr>
      <w:r w:rsidRPr="0044626D">
        <w:rPr>
          <w:szCs w:val="22"/>
          <w:lang w:val="fr-CA"/>
        </w:rPr>
        <w:t>Sainte-Lucie</w:t>
      </w:r>
    </w:p>
    <w:p w14:paraId="53F2C6E7" w14:textId="49E8A797" w:rsidR="00A44021" w:rsidRPr="0044626D" w:rsidRDefault="0015696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Serbie</w:t>
      </w:r>
    </w:p>
    <w:p w14:paraId="23C576D8" w14:textId="1CDF791A" w:rsidR="00A44021" w:rsidRPr="0044626D" w:rsidRDefault="0015696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Singapour</w:t>
      </w:r>
    </w:p>
    <w:p w14:paraId="1465FB45" w14:textId="6997BE3D" w:rsidR="00A44021" w:rsidRPr="0044626D" w:rsidRDefault="0015696C" w:rsidP="0015696C">
      <w:pPr>
        <w:pStyle w:val="Para1"/>
        <w:widowControl w:val="0"/>
        <w:numPr>
          <w:ilvl w:val="0"/>
          <w:numId w:val="0"/>
        </w:numPr>
        <w:spacing w:before="0" w:after="0" w:line="240" w:lineRule="auto"/>
        <w:ind w:left="284" w:hanging="284"/>
        <w:jc w:val="left"/>
        <w:rPr>
          <w:szCs w:val="22"/>
          <w:lang w:val="fr-CA"/>
        </w:rPr>
      </w:pPr>
      <w:r w:rsidRPr="0044626D">
        <w:rPr>
          <w:szCs w:val="22"/>
          <w:lang w:val="fr-CA"/>
        </w:rPr>
        <w:t>Slovénie</w:t>
      </w:r>
    </w:p>
    <w:p w14:paraId="2765369F" w14:textId="6B7AF3E1" w:rsidR="00A44021" w:rsidRPr="0044626D" w:rsidRDefault="0015696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Somalie</w:t>
      </w:r>
    </w:p>
    <w:p w14:paraId="70ED4035" w14:textId="5ECF0214" w:rsidR="00A44021" w:rsidRPr="0044626D" w:rsidRDefault="0015696C"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Soudan du Sud</w:t>
      </w:r>
    </w:p>
    <w:p w14:paraId="58C53846"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Sri Lanka</w:t>
      </w:r>
    </w:p>
    <w:p w14:paraId="00842688"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Suriname</w:t>
      </w:r>
    </w:p>
    <w:p w14:paraId="68C6F11E" w14:textId="07B13B15" w:rsidR="00A44021" w:rsidRPr="0044626D" w:rsidRDefault="00AB76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Thaïlande</w:t>
      </w:r>
    </w:p>
    <w:p w14:paraId="785E2D02"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Tonga</w:t>
      </w:r>
    </w:p>
    <w:p w14:paraId="4FF18CC1" w14:textId="274BEBA2" w:rsidR="00A44021" w:rsidRPr="0044626D" w:rsidRDefault="00AB76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Trinité-et-Tobago</w:t>
      </w:r>
    </w:p>
    <w:p w14:paraId="00B198AA" w14:textId="3199335C" w:rsidR="00A44021" w:rsidRPr="0044626D" w:rsidRDefault="00AB76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Tunisie</w:t>
      </w:r>
    </w:p>
    <w:p w14:paraId="383A6F5A" w14:textId="5258F852" w:rsidR="00A44021" w:rsidRPr="0044626D" w:rsidRDefault="00AB7698"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Turquie</w:t>
      </w:r>
    </w:p>
    <w:p w14:paraId="34CE8F03" w14:textId="0C62ED10"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Turkm</w:t>
      </w:r>
      <w:r w:rsidR="00AB7698" w:rsidRPr="0044626D">
        <w:rPr>
          <w:szCs w:val="22"/>
          <w:lang w:val="fr-CA"/>
        </w:rPr>
        <w:t>é</w:t>
      </w:r>
      <w:r w:rsidRPr="0044626D">
        <w:rPr>
          <w:szCs w:val="22"/>
          <w:lang w:val="fr-CA"/>
        </w:rPr>
        <w:t>nistan</w:t>
      </w:r>
    </w:p>
    <w:p w14:paraId="735137AF" w14:textId="77777777"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Tuvalu</w:t>
      </w:r>
    </w:p>
    <w:p w14:paraId="0DD22D5D" w14:textId="1D8750DA"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Ukraine</w:t>
      </w:r>
    </w:p>
    <w:p w14:paraId="5322F4C4" w14:textId="7F3F6712" w:rsidR="00A44021" w:rsidRPr="0044626D" w:rsidRDefault="00A44021" w:rsidP="000C6220">
      <w:pPr>
        <w:pStyle w:val="Para1"/>
        <w:widowControl w:val="0"/>
        <w:numPr>
          <w:ilvl w:val="0"/>
          <w:numId w:val="0"/>
        </w:numPr>
        <w:spacing w:before="0" w:after="0" w:line="240" w:lineRule="auto"/>
        <w:ind w:left="284" w:hanging="284"/>
        <w:jc w:val="left"/>
        <w:rPr>
          <w:szCs w:val="22"/>
          <w:lang w:val="fr-CA"/>
        </w:rPr>
      </w:pPr>
      <w:r w:rsidRPr="0044626D">
        <w:rPr>
          <w:szCs w:val="22"/>
          <w:lang w:val="fr-CA"/>
        </w:rPr>
        <w:t>Venezuela (</w:t>
      </w:r>
      <w:r w:rsidR="00AB7698" w:rsidRPr="0044626D">
        <w:rPr>
          <w:szCs w:val="22"/>
          <w:lang w:val="fr-CA"/>
        </w:rPr>
        <w:t>République bolivarienne du</w:t>
      </w:r>
      <w:r w:rsidRPr="0044626D">
        <w:rPr>
          <w:szCs w:val="22"/>
          <w:lang w:val="fr-CA"/>
        </w:rPr>
        <w:t>)</w:t>
      </w:r>
    </w:p>
    <w:p w14:paraId="3D941A74" w14:textId="54837AB3" w:rsidR="001D4A8D" w:rsidRPr="0044626D" w:rsidRDefault="00AB7698" w:rsidP="000C6220">
      <w:pPr>
        <w:pStyle w:val="Para1"/>
        <w:widowControl w:val="0"/>
        <w:numPr>
          <w:ilvl w:val="0"/>
          <w:numId w:val="0"/>
        </w:numPr>
        <w:spacing w:before="0" w:after="0" w:line="240" w:lineRule="auto"/>
        <w:ind w:left="284" w:hanging="284"/>
        <w:jc w:val="left"/>
        <w:rPr>
          <w:szCs w:val="22"/>
          <w:lang w:val="fr-CA"/>
        </w:rPr>
        <w:sectPr w:rsidR="001D4A8D" w:rsidRPr="0044626D" w:rsidSect="000C6220">
          <w:type w:val="continuous"/>
          <w:pgSz w:w="12242" w:h="15842" w:code="1"/>
          <w:pgMar w:top="1138" w:right="1138" w:bottom="1022" w:left="1138" w:header="403" w:footer="720" w:gutter="0"/>
          <w:cols w:num="3" w:space="720"/>
          <w:titlePg/>
          <w:docGrid w:linePitch="299"/>
        </w:sectPr>
      </w:pPr>
      <w:r w:rsidRPr="0044626D">
        <w:rPr>
          <w:szCs w:val="22"/>
          <w:lang w:val="fr-CA"/>
        </w:rPr>
        <w:t>Yé</w:t>
      </w:r>
      <w:r w:rsidR="00A44021" w:rsidRPr="0044626D">
        <w:rPr>
          <w:szCs w:val="22"/>
          <w:lang w:val="fr-CA"/>
        </w:rPr>
        <w:t>men</w:t>
      </w:r>
    </w:p>
    <w:bookmarkEnd w:id="21"/>
    <w:p w14:paraId="64E7D51F" w14:textId="6EACB2DD" w:rsidR="008E2E46" w:rsidRPr="0044626D" w:rsidRDefault="00664B58" w:rsidP="000C6220">
      <w:pPr>
        <w:pStyle w:val="Para1"/>
        <w:tabs>
          <w:tab w:val="clear" w:pos="360"/>
          <w:tab w:val="clear" w:pos="567"/>
          <w:tab w:val="clear" w:pos="2912"/>
        </w:tabs>
        <w:spacing w:line="240" w:lineRule="auto"/>
        <w:rPr>
          <w:lang w:val="fr-CA"/>
        </w:rPr>
      </w:pPr>
      <w:r w:rsidRPr="0044626D">
        <w:rPr>
          <w:lang w:val="fr-CA"/>
        </w:rPr>
        <w:t>Pour tous les autres participants, voir l'annexe I au rapport de la quatorzième réunion de la Conférence des Parties (CBD/COP/14/14</w:t>
      </w:r>
      <w:r w:rsidR="008E2E46" w:rsidRPr="0044626D">
        <w:rPr>
          <w:lang w:val="fr-CA"/>
        </w:rPr>
        <w:t>).</w:t>
      </w:r>
    </w:p>
    <w:p w14:paraId="36DDCB14" w14:textId="77777777" w:rsidR="00664B58" w:rsidRPr="0044626D" w:rsidRDefault="00664B58" w:rsidP="00664B58">
      <w:pPr>
        <w:pStyle w:val="Titre1"/>
        <w:rPr>
          <w:rFonts w:ascii="Times New Roman" w:hAnsi="Times New Roman" w:cs="Times New Roman"/>
          <w:i/>
          <w:lang w:val="fr-CA"/>
        </w:rPr>
      </w:pPr>
      <w:r w:rsidRPr="0044626D">
        <w:rPr>
          <w:rFonts w:ascii="Times New Roman" w:hAnsi="Times New Roman" w:cs="Times New Roman"/>
          <w:lang w:val="fr-CA"/>
        </w:rPr>
        <w:t>POINT 1.</w:t>
      </w:r>
      <w:r w:rsidRPr="0044626D">
        <w:rPr>
          <w:rFonts w:ascii="Times New Roman" w:hAnsi="Times New Roman" w:cs="Times New Roman"/>
          <w:lang w:val="fr-CA"/>
        </w:rPr>
        <w:tab/>
        <w:t>OUVERTURE DE LA RÉUNION</w:t>
      </w:r>
    </w:p>
    <w:p w14:paraId="75C499E6" w14:textId="6CC90D6D" w:rsidR="00664B58" w:rsidRPr="0044626D" w:rsidRDefault="00664B58" w:rsidP="00664B58">
      <w:pPr>
        <w:pStyle w:val="Para1"/>
        <w:tabs>
          <w:tab w:val="clear" w:pos="360"/>
          <w:tab w:val="clear" w:pos="567"/>
          <w:tab w:val="clear" w:pos="2912"/>
        </w:tabs>
        <w:spacing w:line="240" w:lineRule="auto"/>
        <w:rPr>
          <w:lang w:val="fr-CA"/>
        </w:rPr>
      </w:pPr>
      <w:r w:rsidRPr="0044626D">
        <w:rPr>
          <w:lang w:val="fr-CA"/>
        </w:rPr>
        <w:t>La troisième réunion de la Conférence des Parties siégeant en tant que réunion des Parties au Protocole de Nagoya a été déclarée ouverte à 11</w:t>
      </w:r>
      <w:r w:rsidR="00AB7698" w:rsidRPr="0044626D">
        <w:rPr>
          <w:lang w:val="fr-CA"/>
        </w:rPr>
        <w:t xml:space="preserve"> </w:t>
      </w:r>
      <w:r w:rsidRPr="0044626D">
        <w:rPr>
          <w:lang w:val="fr-CA"/>
        </w:rPr>
        <w:t>h</w:t>
      </w:r>
      <w:r w:rsidR="00AB7698" w:rsidRPr="0044626D">
        <w:rPr>
          <w:lang w:val="fr-CA"/>
        </w:rPr>
        <w:t>,</w:t>
      </w:r>
      <w:r w:rsidRPr="0044626D">
        <w:rPr>
          <w:lang w:val="fr-CA"/>
        </w:rPr>
        <w:t xml:space="preserve"> le 17 novembre 2018</w:t>
      </w:r>
      <w:r w:rsidR="00AB7698" w:rsidRPr="0044626D">
        <w:rPr>
          <w:lang w:val="fr-CA"/>
        </w:rPr>
        <w:t>,</w:t>
      </w:r>
      <w:r w:rsidRPr="0044626D">
        <w:rPr>
          <w:lang w:val="fr-CA"/>
        </w:rPr>
        <w:t xml:space="preserve"> par M. </w:t>
      </w:r>
      <w:r w:rsidRPr="0044626D">
        <w:rPr>
          <w:bCs/>
          <w:lang w:val="fr-CA"/>
        </w:rPr>
        <w:t>José Octavio</w:t>
      </w:r>
      <w:r w:rsidRPr="0044626D">
        <w:rPr>
          <w:lang w:val="fr-CA"/>
        </w:rPr>
        <w:t> Tripp Villanueva, ambassadeur du Mexique en Égypte,</w:t>
      </w:r>
      <w:r w:rsidRPr="0044626D">
        <w:rPr>
          <w:bCs/>
          <w:i/>
          <w:lang w:val="fr-CA"/>
        </w:rPr>
        <w:t xml:space="preserve"> </w:t>
      </w:r>
      <w:r w:rsidRPr="0044626D">
        <w:rPr>
          <w:bCs/>
          <w:lang w:val="fr-CA"/>
        </w:rPr>
        <w:t xml:space="preserve">au nom de M. Rafael Pacchiano Alamán, ministre de l'Environnement et des Ressources naturelles du Mexique et président sortant de la Conférence des Parties, qui a également siégé en tant que président de la deuxième </w:t>
      </w:r>
      <w:r w:rsidRPr="0044626D">
        <w:rPr>
          <w:lang w:val="fr-CA"/>
        </w:rPr>
        <w:t xml:space="preserve">Conférence des Parties siégeant en tant que réunion des Parties au Protocole de Nagoya. </w:t>
      </w:r>
    </w:p>
    <w:p w14:paraId="12511261" w14:textId="29CA78F3" w:rsidR="00664B58" w:rsidRPr="0044626D" w:rsidRDefault="00664B58" w:rsidP="00664B58">
      <w:pPr>
        <w:pStyle w:val="Para1"/>
        <w:tabs>
          <w:tab w:val="clear" w:pos="360"/>
          <w:tab w:val="clear" w:pos="567"/>
          <w:tab w:val="clear" w:pos="2912"/>
        </w:tabs>
        <w:spacing w:line="240" w:lineRule="auto"/>
        <w:rPr>
          <w:lang w:val="fr-CA"/>
        </w:rPr>
      </w:pPr>
      <w:r w:rsidRPr="0044626D">
        <w:rPr>
          <w:lang w:val="fr-CA"/>
        </w:rPr>
        <w:t>M</w:t>
      </w:r>
      <w:r w:rsidRPr="0044626D">
        <w:rPr>
          <w:vertAlign w:val="superscript"/>
          <w:lang w:val="fr-CA"/>
        </w:rPr>
        <w:t>me</w:t>
      </w:r>
      <w:r w:rsidRPr="0044626D">
        <w:rPr>
          <w:lang w:val="fr-CA"/>
        </w:rPr>
        <w:t> Yasmine Fouad, ministre de l'Environnement de l'Égypte et présidente de la Conférence des Parties à sa quatorzième réunion, siégeant également en tant que présidente de la troisième réunion de la Conférence des Parties siégeant en tant que réunion des</w:t>
      </w:r>
      <w:r w:rsidR="00AB7698" w:rsidRPr="0044626D">
        <w:rPr>
          <w:lang w:val="fr-CA"/>
        </w:rPr>
        <w:t xml:space="preserve"> Parties au Protocole de Nagoya </w:t>
      </w:r>
      <w:r w:rsidRPr="0044626D">
        <w:rPr>
          <w:lang w:val="fr-CA"/>
        </w:rPr>
        <w:t>; M</w:t>
      </w:r>
      <w:r w:rsidRPr="0044626D">
        <w:rPr>
          <w:vertAlign w:val="superscript"/>
          <w:lang w:val="fr-CA"/>
        </w:rPr>
        <w:t>me</w:t>
      </w:r>
      <w:r w:rsidRPr="0044626D">
        <w:rPr>
          <w:lang w:val="fr-CA"/>
        </w:rPr>
        <w:t> </w:t>
      </w:r>
      <w:r w:rsidRPr="0044626D">
        <w:rPr>
          <w:noProof/>
          <w:lang w:val="fr-CA"/>
        </w:rPr>
        <w:t>Cristiana Paşca Palmer</w:t>
      </w:r>
      <w:r w:rsidRPr="0044626D">
        <w:rPr>
          <w:lang w:val="fr-CA"/>
        </w:rPr>
        <w:t>, Secrétaire exécutive du Secrétariat de la Convent</w:t>
      </w:r>
      <w:r w:rsidR="00AB7698" w:rsidRPr="0044626D">
        <w:rPr>
          <w:lang w:val="fr-CA"/>
        </w:rPr>
        <w:t>ion sur la diversité biologique</w:t>
      </w:r>
      <w:r w:rsidRPr="0044626D">
        <w:rPr>
          <w:lang w:val="fr-CA"/>
        </w:rPr>
        <w:t> ; M</w:t>
      </w:r>
      <w:r w:rsidRPr="0044626D">
        <w:rPr>
          <w:vertAlign w:val="superscript"/>
          <w:lang w:val="fr-CA"/>
        </w:rPr>
        <w:t>me</w:t>
      </w:r>
      <w:r w:rsidRPr="0044626D">
        <w:rPr>
          <w:lang w:val="fr-CA"/>
        </w:rPr>
        <w:t xml:space="preserve"> Maria Fernanda Espinosa, présidente de l'Assemblée générale des Nations Unies, par vidéo ; et M. Abdel Fattah al-Sissi, président de l'Égypte, ont prononcé des allocutions de bienvenue. </w:t>
      </w:r>
    </w:p>
    <w:p w14:paraId="4B3AD699" w14:textId="765433D2" w:rsidR="00664B58" w:rsidRPr="0044626D" w:rsidRDefault="00664B58" w:rsidP="00664B58">
      <w:pPr>
        <w:pStyle w:val="Para1"/>
        <w:tabs>
          <w:tab w:val="clear" w:pos="360"/>
          <w:tab w:val="clear" w:pos="567"/>
          <w:tab w:val="clear" w:pos="2912"/>
        </w:tabs>
        <w:spacing w:line="240" w:lineRule="auto"/>
        <w:rPr>
          <w:lang w:val="fr-CA"/>
        </w:rPr>
      </w:pPr>
      <w:bookmarkStart w:id="22" w:name="_Hlk530320314"/>
      <w:r w:rsidRPr="0044626D">
        <w:rPr>
          <w:lang w:val="fr-CA"/>
        </w:rPr>
        <w:t xml:space="preserve">Dans sa déclaration, la présidente a fait référence aux résultats du débat de haut niveau, et </w:t>
      </w:r>
      <w:r w:rsidR="00AB7698" w:rsidRPr="0044626D">
        <w:rPr>
          <w:lang w:val="fr-CA"/>
        </w:rPr>
        <w:t>notamment à la Déclaration de Charm el-C</w:t>
      </w:r>
      <w:r w:rsidRPr="0044626D">
        <w:rPr>
          <w:lang w:val="fr-CA"/>
        </w:rPr>
        <w:t xml:space="preserve">heikh : investir dans la biodiversité pour la planète et </w:t>
      </w:r>
      <w:r w:rsidR="00AB7698" w:rsidRPr="0044626D">
        <w:rPr>
          <w:lang w:val="fr-CA"/>
        </w:rPr>
        <w:t>ses peuples. La Déclaration de Charm el-C</w:t>
      </w:r>
      <w:r w:rsidRPr="0044626D">
        <w:rPr>
          <w:lang w:val="fr-CA"/>
        </w:rPr>
        <w:t xml:space="preserve">heikh a été </w:t>
      </w:r>
      <w:r w:rsidR="00AB7698" w:rsidRPr="0044626D">
        <w:rPr>
          <w:lang w:val="fr-CA"/>
        </w:rPr>
        <w:t>émise</w:t>
      </w:r>
      <w:r w:rsidRPr="0044626D">
        <w:rPr>
          <w:lang w:val="fr-CA"/>
        </w:rPr>
        <w:t xml:space="preserve"> sous la cote CBD/COP/14/12 et le rapport du débat de haut niveau sous la cote CBD/COP/14/12/Add.1.</w:t>
      </w:r>
    </w:p>
    <w:bookmarkEnd w:id="22"/>
    <w:p w14:paraId="2B4790BD" w14:textId="77777777" w:rsidR="00664B58" w:rsidRPr="0044626D" w:rsidRDefault="00664B58" w:rsidP="00664B58">
      <w:pPr>
        <w:pStyle w:val="Para1"/>
        <w:tabs>
          <w:tab w:val="clear" w:pos="360"/>
          <w:tab w:val="clear" w:pos="567"/>
          <w:tab w:val="clear" w:pos="2912"/>
        </w:tabs>
        <w:spacing w:line="240" w:lineRule="auto"/>
        <w:rPr>
          <w:lang w:val="fr-CA"/>
        </w:rPr>
      </w:pPr>
      <w:r w:rsidRPr="0044626D">
        <w:rPr>
          <w:noProof/>
          <w:lang w:val="fr-CA"/>
        </w:rPr>
        <w:t xml:space="preserve">Deux présentations vidéo ont été visionnées. La première, préparée par le gouvernement du Mexique, concernait l'intégration de la biodiversité, tandis que la deuxième, élaborée par le gouvernement de l'Égypte, </w:t>
      </w:r>
      <w:r w:rsidRPr="0044626D">
        <w:rPr>
          <w:noProof/>
          <w:lang w:val="fr-CA"/>
        </w:rPr>
        <w:lastRenderedPageBreak/>
        <w:t xml:space="preserve">concernait la biodiversité et ses liens vitaux avec la survie de l'humanité. </w:t>
      </w:r>
      <w:bookmarkStart w:id="23" w:name="_Hlk530395780"/>
      <w:r w:rsidRPr="0044626D">
        <w:rPr>
          <w:noProof/>
          <w:lang w:val="fr-CA"/>
        </w:rPr>
        <w:t>Des écoliers ont également présenté un spectacle axé sur l'importance de la biodiversité</w:t>
      </w:r>
      <w:bookmarkEnd w:id="23"/>
      <w:r w:rsidRPr="0044626D">
        <w:rPr>
          <w:lang w:val="fr-CA"/>
        </w:rPr>
        <w:t xml:space="preserve">. </w:t>
      </w:r>
    </w:p>
    <w:p w14:paraId="73885E60" w14:textId="77777777" w:rsidR="00664B58" w:rsidRPr="0044626D" w:rsidRDefault="00664B58" w:rsidP="00664B58">
      <w:pPr>
        <w:pStyle w:val="Para1"/>
        <w:tabs>
          <w:tab w:val="clear" w:pos="360"/>
          <w:tab w:val="clear" w:pos="567"/>
          <w:tab w:val="clear" w:pos="2912"/>
        </w:tabs>
        <w:spacing w:line="240" w:lineRule="auto"/>
        <w:rPr>
          <w:lang w:val="fr-CA"/>
        </w:rPr>
      </w:pPr>
      <w:r w:rsidRPr="0044626D">
        <w:rPr>
          <w:lang w:val="fr-CA"/>
        </w:rPr>
        <w:t>Lors de la deuxième séance plénière de la réunion, le 17 novembre 2018, des déclarations ont été faites par M</w:t>
      </w:r>
      <w:r w:rsidRPr="0044626D">
        <w:rPr>
          <w:vertAlign w:val="superscript"/>
          <w:lang w:val="fr-CA"/>
        </w:rPr>
        <w:t>me</w:t>
      </w:r>
      <w:r w:rsidRPr="0044626D">
        <w:rPr>
          <w:lang w:val="fr-CA"/>
        </w:rPr>
        <w:t xml:space="preserve"> Amina Mohammed, Vice-Secrétaire Générale des Nations Unies, par vidéo, et </w:t>
      </w:r>
      <w:r w:rsidRPr="0044626D">
        <w:rPr>
          <w:rFonts w:eastAsiaTheme="minorEastAsia"/>
          <w:bCs/>
          <w:szCs w:val="24"/>
          <w:lang w:val="fr-CA"/>
        </w:rPr>
        <w:t>M</w:t>
      </w:r>
      <w:r w:rsidRPr="0044626D">
        <w:rPr>
          <w:rFonts w:eastAsiaTheme="minorEastAsia"/>
          <w:szCs w:val="24"/>
          <w:vertAlign w:val="superscript"/>
          <w:lang w:val="fr-CA"/>
        </w:rPr>
        <w:t>me</w:t>
      </w:r>
      <w:r w:rsidRPr="0044626D">
        <w:rPr>
          <w:rFonts w:eastAsiaTheme="minorEastAsia"/>
          <w:bCs/>
          <w:szCs w:val="24"/>
          <w:lang w:val="fr-CA"/>
        </w:rPr>
        <w:t xml:space="preserve"> Corli Pretorius, directrice adjointe du </w:t>
      </w:r>
      <w:r w:rsidRPr="0044626D">
        <w:rPr>
          <w:lang w:val="fr-CA"/>
        </w:rPr>
        <w:t>Centre mondial de surveillance de la conservation de la nature</w:t>
      </w:r>
      <w:r w:rsidRPr="0044626D">
        <w:rPr>
          <w:rFonts w:eastAsiaTheme="minorEastAsia"/>
          <w:bCs/>
          <w:szCs w:val="24"/>
          <w:lang w:val="fr-CA"/>
        </w:rPr>
        <w:t xml:space="preserve"> du Programme des Nations Unies pour l'environnement (PNUE). </w:t>
      </w:r>
    </w:p>
    <w:p w14:paraId="51998029" w14:textId="77777777" w:rsidR="00664B58" w:rsidRPr="0044626D" w:rsidRDefault="00664B58" w:rsidP="00664B58">
      <w:pPr>
        <w:pStyle w:val="Para1"/>
        <w:tabs>
          <w:tab w:val="clear" w:pos="360"/>
          <w:tab w:val="clear" w:pos="567"/>
          <w:tab w:val="clear" w:pos="2912"/>
        </w:tabs>
        <w:spacing w:line="240" w:lineRule="auto"/>
        <w:rPr>
          <w:lang w:val="fr-CA"/>
        </w:rPr>
      </w:pPr>
      <w:r w:rsidRPr="0044626D">
        <w:rPr>
          <w:lang w:val="fr-CA"/>
        </w:rPr>
        <w:t>Les représentants ont visionné deux films, l'un réalisé par la National Geographic Society et l'autre par le Fonds Mondial pour la Nature (WWF), ainsi qu'un message vidéo de M. Paul McCartney.</w:t>
      </w:r>
    </w:p>
    <w:p w14:paraId="08D68555" w14:textId="77777777" w:rsidR="00664B58" w:rsidRPr="0044626D" w:rsidRDefault="00664B58" w:rsidP="00664B58">
      <w:pPr>
        <w:pStyle w:val="Para1"/>
        <w:tabs>
          <w:tab w:val="clear" w:pos="360"/>
          <w:tab w:val="clear" w:pos="567"/>
          <w:tab w:val="clear" w:pos="2912"/>
        </w:tabs>
        <w:spacing w:line="240" w:lineRule="auto"/>
        <w:rPr>
          <w:lang w:val="fr-CA"/>
        </w:rPr>
      </w:pPr>
      <w:r w:rsidRPr="0044626D">
        <w:rPr>
          <w:lang w:val="fr-CA"/>
        </w:rPr>
        <w:t xml:space="preserve">Des déclarations à caractère général ont été faites par les représentants de l'Argentine (au nom du groupe des États d'Amérique latine et des Caraïbes), du Canada (au nom du groupe des pays non alignés), de l'Union européenne et ses 28 États membres, du Bélarus (au nom des pays d'Europe centrale et orientale), du Rwanda (au nom du groupe des États africains) et de la Malaisie (au nom du groupe de pays hyperdivers animés du même esprit). </w:t>
      </w:r>
    </w:p>
    <w:p w14:paraId="28C5B897" w14:textId="77777777" w:rsidR="00664B58" w:rsidRPr="0044626D" w:rsidRDefault="00664B58" w:rsidP="00664B58">
      <w:pPr>
        <w:pStyle w:val="Para1"/>
        <w:tabs>
          <w:tab w:val="clear" w:pos="360"/>
          <w:tab w:val="clear" w:pos="567"/>
          <w:tab w:val="clear" w:pos="2912"/>
        </w:tabs>
        <w:spacing w:line="240" w:lineRule="auto"/>
        <w:rPr>
          <w:lang w:val="fr-CA"/>
        </w:rPr>
      </w:pPr>
      <w:r w:rsidRPr="0044626D">
        <w:rPr>
          <w:lang w:val="fr-CA"/>
        </w:rPr>
        <w:t>Les représentants du Réseau des femmes autochtones pour la biodiversité (IWBN), du Forum international des peuples autochtones sur la biodiversité (IIFB), de la CBD Alliance et du Global Youth Biodiversity Network (GYBN) ainsi que de la Plateforme intergouvernementale scientifique et politique sur la biodiversité et les services écosystémiques (IPBES) se sont exprimés également.</w:t>
      </w:r>
    </w:p>
    <w:p w14:paraId="5E90CC9E" w14:textId="468F1611" w:rsidR="0073733B" w:rsidRPr="0044626D" w:rsidRDefault="00664B58" w:rsidP="00664B58">
      <w:pPr>
        <w:pStyle w:val="Para1"/>
        <w:tabs>
          <w:tab w:val="clear" w:pos="360"/>
          <w:tab w:val="clear" w:pos="567"/>
          <w:tab w:val="clear" w:pos="2912"/>
        </w:tabs>
        <w:spacing w:line="240" w:lineRule="auto"/>
        <w:rPr>
          <w:szCs w:val="22"/>
          <w:lang w:val="fr-CA"/>
        </w:rPr>
      </w:pPr>
      <w:r w:rsidRPr="0044626D">
        <w:rPr>
          <w:lang w:val="fr-CA"/>
        </w:rPr>
        <w:t>Les allocutions de bienvenue sont résumées dans l'annexe II du rapport de la quatorzième réunion de la Conférence des Parties</w:t>
      </w:r>
      <w:r w:rsidR="0073733B" w:rsidRPr="0044626D">
        <w:rPr>
          <w:szCs w:val="22"/>
          <w:lang w:val="fr-CA"/>
        </w:rPr>
        <w:t>.</w:t>
      </w:r>
    </w:p>
    <w:p w14:paraId="529C6389" w14:textId="77777777" w:rsidR="00664B58" w:rsidRPr="0044626D" w:rsidRDefault="00664B58" w:rsidP="00664B58">
      <w:pPr>
        <w:pStyle w:val="Titre1"/>
        <w:rPr>
          <w:rFonts w:ascii="Times New Roman" w:hAnsi="Times New Roman" w:cs="Times New Roman"/>
          <w:i/>
          <w:lang w:val="fr-CA"/>
        </w:rPr>
      </w:pPr>
      <w:r w:rsidRPr="0044626D">
        <w:rPr>
          <w:rFonts w:ascii="Times New Roman" w:hAnsi="Times New Roman" w:cs="Times New Roman"/>
          <w:lang w:val="fr-CA"/>
        </w:rPr>
        <w:t>POINT 2.</w:t>
      </w:r>
      <w:bookmarkStart w:id="24" w:name="SEVEN"/>
      <w:bookmarkEnd w:id="24"/>
      <w:r w:rsidRPr="0044626D">
        <w:rPr>
          <w:rFonts w:ascii="Times New Roman" w:hAnsi="Times New Roman" w:cs="Times New Roman"/>
          <w:lang w:val="fr-CA"/>
        </w:rPr>
        <w:tab/>
        <w:t>QUESTIONS D’ORGANISATION</w:t>
      </w:r>
    </w:p>
    <w:p w14:paraId="54A3517D" w14:textId="77777777" w:rsidR="00664B58" w:rsidRPr="0044626D" w:rsidRDefault="00664B58" w:rsidP="00664B58">
      <w:pPr>
        <w:pStyle w:val="Titre2"/>
        <w:rPr>
          <w:lang w:val="fr-CA"/>
        </w:rPr>
      </w:pPr>
      <w:r w:rsidRPr="0044626D">
        <w:rPr>
          <w:lang w:val="fr-CA"/>
        </w:rPr>
        <w:t>2.1</w:t>
      </w:r>
      <w:r w:rsidRPr="0044626D">
        <w:rPr>
          <w:lang w:val="fr-CA"/>
        </w:rPr>
        <w:tab/>
        <w:t>Élection du président et des membres remplaçants du Bureau</w:t>
      </w:r>
    </w:p>
    <w:p w14:paraId="187A16A2" w14:textId="77777777" w:rsidR="00664B58" w:rsidRPr="0044626D" w:rsidRDefault="00664B58" w:rsidP="00664B58">
      <w:pPr>
        <w:pStyle w:val="Titre3"/>
        <w:rPr>
          <w:lang w:val="fr-CA"/>
        </w:rPr>
      </w:pPr>
      <w:r w:rsidRPr="0044626D">
        <w:rPr>
          <w:lang w:val="fr-CA"/>
        </w:rPr>
        <w:t>Élection du président</w:t>
      </w:r>
    </w:p>
    <w:p w14:paraId="1EC2FFBF" w14:textId="77777777" w:rsidR="00664B58" w:rsidRPr="0044626D" w:rsidRDefault="00664B58" w:rsidP="0043391E">
      <w:pPr>
        <w:pStyle w:val="Para1"/>
        <w:tabs>
          <w:tab w:val="clear" w:pos="360"/>
          <w:tab w:val="clear" w:pos="567"/>
          <w:tab w:val="clear" w:pos="2912"/>
        </w:tabs>
        <w:spacing w:line="240" w:lineRule="auto"/>
        <w:rPr>
          <w:lang w:val="fr-CA"/>
        </w:rPr>
      </w:pPr>
      <w:r w:rsidRPr="0044626D">
        <w:rPr>
          <w:lang w:val="fr-CA"/>
        </w:rPr>
        <w:t>Conformément au paragraphe 3 de l'article 26 du Protocole de Nagoya, le Bureau de la Conférence des Parties siège également en tant que Bureau de la Conférence des Parties siégeant en tant que réunion des Parties au Protocole de Nagoya. En conséquence, M</w:t>
      </w:r>
      <w:r w:rsidRPr="0044626D">
        <w:rPr>
          <w:vertAlign w:val="superscript"/>
          <w:lang w:val="fr-CA"/>
        </w:rPr>
        <w:t>me</w:t>
      </w:r>
      <w:r w:rsidRPr="0044626D">
        <w:rPr>
          <w:lang w:val="fr-CA"/>
        </w:rPr>
        <w:t> Fouad, qui a été élue présidente de la quatorzième réunion de la Conférence des Parties, a également occupé la fonction de présidente de la troisième réunion de la Conférence des Parties siégeant en tant que réunion des Parties au Protocole de Nagoya.</w:t>
      </w:r>
    </w:p>
    <w:p w14:paraId="39DA1363" w14:textId="77777777" w:rsidR="00664B58" w:rsidRPr="0044626D" w:rsidRDefault="00664B58" w:rsidP="0043391E">
      <w:pPr>
        <w:keepNext/>
        <w:suppressLineNumbers/>
        <w:suppressAutoHyphens/>
        <w:kinsoku w:val="0"/>
        <w:overflowPunct w:val="0"/>
        <w:autoSpaceDE w:val="0"/>
        <w:autoSpaceDN w:val="0"/>
        <w:spacing w:before="120"/>
        <w:outlineLvl w:val="2"/>
        <w:rPr>
          <w:rFonts w:eastAsia="Times New Roman"/>
          <w:i/>
          <w:iCs/>
          <w:snapToGrid w:val="0"/>
          <w:kern w:val="22"/>
          <w:szCs w:val="22"/>
          <w:lang w:val="fr-CA" w:eastAsia="en-CA"/>
        </w:rPr>
      </w:pPr>
      <w:r w:rsidRPr="0044626D">
        <w:rPr>
          <w:rFonts w:eastAsia="Times New Roman"/>
          <w:i/>
          <w:iCs/>
          <w:snapToGrid w:val="0"/>
          <w:kern w:val="22"/>
          <w:szCs w:val="22"/>
          <w:lang w:val="fr-CA"/>
        </w:rPr>
        <w:t>Élection des membres remplaçants du Bureau</w:t>
      </w:r>
    </w:p>
    <w:p w14:paraId="7E267E00" w14:textId="77777777" w:rsidR="00664B58" w:rsidRPr="0044626D" w:rsidRDefault="00664B58" w:rsidP="0043391E">
      <w:pPr>
        <w:pStyle w:val="Para1"/>
        <w:tabs>
          <w:tab w:val="clear" w:pos="360"/>
          <w:tab w:val="clear" w:pos="567"/>
          <w:tab w:val="clear" w:pos="2912"/>
        </w:tabs>
        <w:spacing w:line="240" w:lineRule="auto"/>
        <w:rPr>
          <w:lang w:val="fr-CA"/>
        </w:rPr>
      </w:pPr>
      <w:r w:rsidRPr="0044626D">
        <w:rPr>
          <w:iCs/>
          <w:lang w:val="fr-CA"/>
        </w:rPr>
        <w:t>Le p</w:t>
      </w:r>
      <w:r w:rsidRPr="0044626D">
        <w:rPr>
          <w:lang w:val="fr-CA"/>
        </w:rPr>
        <w:t xml:space="preserve">aragraphe 3 de l'article 26 du Protocole de Nagoya stipulait que tout membre du Bureau de la Conférence des Parties qui représentait une Partie à la Convention n'étant pas Partie au Protocole devait être remplacé par un membre élu par et parmi les Parties au Protocole. À sa treizième réunion, la Conférence des Parties a élu 10 membres du Bureau qui occuperont leurs fonctions jusqu'à la fin de la quatorzième réunion. Ensuite, à sa deuxième réunion, la </w:t>
      </w:r>
      <w:bookmarkStart w:id="25" w:name="_Hlk530401360"/>
      <w:r w:rsidRPr="0044626D">
        <w:rPr>
          <w:lang w:val="fr-CA"/>
        </w:rPr>
        <w:t xml:space="preserve">Conférence des Parties siégeant en tant que réunion des Parties </w:t>
      </w:r>
      <w:bookmarkEnd w:id="25"/>
      <w:r w:rsidRPr="0044626D">
        <w:rPr>
          <w:lang w:val="fr-CA"/>
        </w:rPr>
        <w:t xml:space="preserve">au Protocole de Nagoya a élu cinq membres remplaçants du Bureau pour les régions dans lesquelles le membre du Bureau de la Conférence des Parties représentait une Partie à la Convention qui n'était pas Partie au Protocole de Nagoya. Depuis lors, cependant, l'un de ces pays a ratifié le Protocole de Nagoya. De plus, trois représentants ont été remplacés par la Partie ou la région concernée. </w:t>
      </w:r>
    </w:p>
    <w:p w14:paraId="25BCB951" w14:textId="0E7BB73F" w:rsidR="00664B58" w:rsidRPr="0044626D" w:rsidRDefault="00CE7EFD" w:rsidP="0043391E">
      <w:pPr>
        <w:pStyle w:val="Para1"/>
        <w:tabs>
          <w:tab w:val="clear" w:pos="360"/>
          <w:tab w:val="clear" w:pos="567"/>
          <w:tab w:val="clear" w:pos="2912"/>
        </w:tabs>
        <w:spacing w:line="240" w:lineRule="auto"/>
        <w:rPr>
          <w:lang w:val="fr-CA"/>
        </w:rPr>
      </w:pPr>
      <w:r w:rsidRPr="0044626D">
        <w:rPr>
          <w:lang w:val="fr-CA"/>
        </w:rPr>
        <w:t xml:space="preserve">En conséquence, les représentants suivants ont participé en tant que remplaçants des membres du Bureau : </w:t>
      </w:r>
      <w:r w:rsidRPr="0044626D">
        <w:rPr>
          <w:szCs w:val="24"/>
          <w:lang w:val="fr-CA"/>
        </w:rPr>
        <w:t>M</w:t>
      </w:r>
      <w:r w:rsidRPr="0044626D">
        <w:rPr>
          <w:szCs w:val="24"/>
          <w:vertAlign w:val="superscript"/>
          <w:lang w:val="fr-CA"/>
        </w:rPr>
        <w:t>me</w:t>
      </w:r>
      <w:r w:rsidRPr="0044626D">
        <w:rPr>
          <w:szCs w:val="24"/>
          <w:lang w:val="fr-CA"/>
        </w:rPr>
        <w:t xml:space="preserve"> </w:t>
      </w:r>
      <w:r w:rsidRPr="0044626D">
        <w:rPr>
          <w:noProof/>
          <w:szCs w:val="24"/>
          <w:lang w:val="fr-CA"/>
        </w:rPr>
        <w:t>Marina</w:t>
      </w:r>
      <w:r w:rsidRPr="0044626D">
        <w:rPr>
          <w:szCs w:val="24"/>
          <w:lang w:val="fr-CA"/>
        </w:rPr>
        <w:t xml:space="preserve"> </w:t>
      </w:r>
      <w:r w:rsidRPr="0044626D">
        <w:rPr>
          <w:noProof/>
          <w:szCs w:val="24"/>
          <w:lang w:val="fr-CA"/>
        </w:rPr>
        <w:t>Hernandez</w:t>
      </w:r>
      <w:r w:rsidRPr="0044626D">
        <w:rPr>
          <w:szCs w:val="24"/>
          <w:lang w:val="fr-CA"/>
        </w:rPr>
        <w:t xml:space="preserve"> (République dominicaine), en remplacement de M. </w:t>
      </w:r>
      <w:r w:rsidRPr="0044626D">
        <w:rPr>
          <w:noProof/>
          <w:szCs w:val="24"/>
          <w:lang w:val="fr-CA"/>
        </w:rPr>
        <w:t>Randolf</w:t>
      </w:r>
      <w:r w:rsidRPr="0044626D">
        <w:rPr>
          <w:szCs w:val="24"/>
          <w:lang w:val="fr-CA"/>
        </w:rPr>
        <w:t xml:space="preserve"> </w:t>
      </w:r>
      <w:r w:rsidRPr="0044626D">
        <w:rPr>
          <w:noProof/>
          <w:szCs w:val="24"/>
          <w:lang w:val="fr-CA"/>
        </w:rPr>
        <w:t>Edmead</w:t>
      </w:r>
      <w:r w:rsidRPr="0044626D">
        <w:rPr>
          <w:szCs w:val="24"/>
          <w:lang w:val="fr-CA"/>
        </w:rPr>
        <w:t xml:space="preserve"> (Saint-Kitts-et-Névis); </w:t>
      </w:r>
      <w:r w:rsidRPr="0044626D">
        <w:rPr>
          <w:lang w:val="fr-CA"/>
        </w:rPr>
        <w:t xml:space="preserve">M. </w:t>
      </w:r>
      <w:r w:rsidRPr="0044626D">
        <w:rPr>
          <w:noProof/>
          <w:lang w:val="fr-CA"/>
        </w:rPr>
        <w:t>Luciano</w:t>
      </w:r>
      <w:r w:rsidRPr="0044626D">
        <w:rPr>
          <w:lang w:val="fr-CA"/>
        </w:rPr>
        <w:t xml:space="preserve"> </w:t>
      </w:r>
      <w:r w:rsidRPr="0044626D">
        <w:rPr>
          <w:noProof/>
          <w:lang w:val="fr-CA"/>
        </w:rPr>
        <w:t>Martin</w:t>
      </w:r>
      <w:r w:rsidRPr="0044626D">
        <w:rPr>
          <w:lang w:val="fr-CA"/>
        </w:rPr>
        <w:t xml:space="preserve"> </w:t>
      </w:r>
      <w:r w:rsidRPr="0044626D">
        <w:rPr>
          <w:noProof/>
          <w:lang w:val="fr-CA"/>
        </w:rPr>
        <w:t>Donadio</w:t>
      </w:r>
      <w:r w:rsidR="00440B99" w:rsidRPr="0044626D">
        <w:rPr>
          <w:lang w:val="fr-CA"/>
        </w:rPr>
        <w:t xml:space="preserve"> Linares (Argentine</w:t>
      </w:r>
      <w:r w:rsidRPr="0044626D">
        <w:rPr>
          <w:lang w:val="fr-CA"/>
        </w:rPr>
        <w:t>)</w:t>
      </w:r>
      <w:r w:rsidR="00440B99" w:rsidRPr="0044626D">
        <w:rPr>
          <w:lang w:val="fr-CA"/>
        </w:rPr>
        <w:t>, en remplacement de M</w:t>
      </w:r>
      <w:r w:rsidR="00440B99" w:rsidRPr="0044626D">
        <w:rPr>
          <w:vertAlign w:val="superscript"/>
          <w:lang w:val="fr-CA"/>
        </w:rPr>
        <w:t>me</w:t>
      </w:r>
      <w:r w:rsidRPr="0044626D">
        <w:rPr>
          <w:lang w:val="fr-CA"/>
        </w:rPr>
        <w:t xml:space="preserve"> </w:t>
      </w:r>
      <w:r w:rsidRPr="0044626D">
        <w:rPr>
          <w:noProof/>
          <w:lang w:val="fr-CA"/>
        </w:rPr>
        <w:t>Clarissa</w:t>
      </w:r>
      <w:r w:rsidRPr="0044626D">
        <w:rPr>
          <w:lang w:val="fr-CA"/>
        </w:rPr>
        <w:t xml:space="preserve"> </w:t>
      </w:r>
      <w:r w:rsidRPr="0044626D">
        <w:rPr>
          <w:noProof/>
          <w:lang w:val="fr-CA"/>
        </w:rPr>
        <w:t>Nina</w:t>
      </w:r>
      <w:r w:rsidRPr="0044626D">
        <w:rPr>
          <w:lang w:val="fr-CA"/>
        </w:rPr>
        <w:t xml:space="preserve"> (</w:t>
      </w:r>
      <w:r w:rsidR="00440B99" w:rsidRPr="0044626D">
        <w:rPr>
          <w:lang w:val="fr-CA"/>
        </w:rPr>
        <w:t>Brésil</w:t>
      </w:r>
      <w:r w:rsidRPr="0044626D">
        <w:rPr>
          <w:lang w:val="fr-CA"/>
        </w:rPr>
        <w:t xml:space="preserve">); </w:t>
      </w:r>
      <w:r w:rsidR="00440B99" w:rsidRPr="0044626D">
        <w:rPr>
          <w:lang w:val="fr-CA"/>
        </w:rPr>
        <w:t>et</w:t>
      </w:r>
      <w:r w:rsidRPr="0044626D">
        <w:rPr>
          <w:lang w:val="fr-CA"/>
        </w:rPr>
        <w:t xml:space="preserve"> </w:t>
      </w:r>
      <w:r w:rsidR="00440B99" w:rsidRPr="0044626D">
        <w:rPr>
          <w:lang w:val="fr-CA"/>
        </w:rPr>
        <w:t>M</w:t>
      </w:r>
      <w:r w:rsidRPr="0044626D">
        <w:rPr>
          <w:lang w:val="fr-CA"/>
        </w:rPr>
        <w:t xml:space="preserve">. </w:t>
      </w:r>
      <w:r w:rsidRPr="0044626D">
        <w:rPr>
          <w:noProof/>
          <w:lang w:val="fr-CA"/>
        </w:rPr>
        <w:t>Gaute</w:t>
      </w:r>
      <w:r w:rsidRPr="0044626D">
        <w:rPr>
          <w:lang w:val="fr-CA"/>
        </w:rPr>
        <w:t xml:space="preserve"> </w:t>
      </w:r>
      <w:r w:rsidRPr="0044626D">
        <w:rPr>
          <w:noProof/>
          <w:lang w:val="fr-CA"/>
        </w:rPr>
        <w:t>Voigt</w:t>
      </w:r>
      <w:r w:rsidRPr="0044626D">
        <w:rPr>
          <w:lang w:val="fr-CA"/>
        </w:rPr>
        <w:t>-</w:t>
      </w:r>
      <w:r w:rsidRPr="0044626D">
        <w:rPr>
          <w:noProof/>
          <w:lang w:val="fr-CA"/>
        </w:rPr>
        <w:t>Hanssen</w:t>
      </w:r>
      <w:r w:rsidRPr="0044626D">
        <w:rPr>
          <w:lang w:val="fr-CA"/>
        </w:rPr>
        <w:t xml:space="preserve"> (</w:t>
      </w:r>
      <w:r w:rsidR="00440B99" w:rsidRPr="0044626D">
        <w:rPr>
          <w:lang w:val="fr-CA"/>
        </w:rPr>
        <w:t>Norvège</w:t>
      </w:r>
      <w:r w:rsidRPr="0044626D">
        <w:rPr>
          <w:lang w:val="fr-CA"/>
        </w:rPr>
        <w:t>)</w:t>
      </w:r>
      <w:r w:rsidR="00440B99" w:rsidRPr="0044626D">
        <w:rPr>
          <w:lang w:val="fr-CA"/>
        </w:rPr>
        <w:t>, en remplacement de M</w:t>
      </w:r>
      <w:r w:rsidRPr="0044626D">
        <w:rPr>
          <w:lang w:val="fr-CA"/>
        </w:rPr>
        <w:t>. </w:t>
      </w:r>
      <w:r w:rsidRPr="0044626D">
        <w:rPr>
          <w:noProof/>
          <w:lang w:val="fr-CA"/>
        </w:rPr>
        <w:t>Basil</w:t>
      </w:r>
      <w:r w:rsidRPr="0044626D">
        <w:rPr>
          <w:lang w:val="fr-CA"/>
        </w:rPr>
        <w:t xml:space="preserve"> </w:t>
      </w:r>
      <w:r w:rsidRPr="0044626D">
        <w:rPr>
          <w:noProof/>
          <w:lang w:val="fr-CA"/>
        </w:rPr>
        <w:t>Van</w:t>
      </w:r>
      <w:r w:rsidRPr="0044626D">
        <w:rPr>
          <w:lang w:val="fr-CA"/>
        </w:rPr>
        <w:t xml:space="preserve"> </w:t>
      </w:r>
      <w:r w:rsidRPr="0044626D">
        <w:rPr>
          <w:noProof/>
          <w:lang w:val="fr-CA"/>
        </w:rPr>
        <w:t>Havre</w:t>
      </w:r>
      <w:r w:rsidRPr="0044626D">
        <w:rPr>
          <w:lang w:val="fr-CA"/>
        </w:rPr>
        <w:t xml:space="preserve"> (Canada)</w:t>
      </w:r>
    </w:p>
    <w:p w14:paraId="64F0F150" w14:textId="77777777" w:rsidR="00664B58" w:rsidRPr="0044626D" w:rsidRDefault="00664B58" w:rsidP="0043391E">
      <w:pPr>
        <w:pStyle w:val="Para1"/>
        <w:tabs>
          <w:tab w:val="clear" w:pos="360"/>
          <w:tab w:val="clear" w:pos="567"/>
          <w:tab w:val="clear" w:pos="2912"/>
        </w:tabs>
        <w:spacing w:line="240" w:lineRule="auto"/>
        <w:rPr>
          <w:lang w:val="fr-CA"/>
        </w:rPr>
      </w:pPr>
      <w:bookmarkStart w:id="26" w:name="_Hlk530389812"/>
      <w:r w:rsidRPr="0044626D">
        <w:rPr>
          <w:lang w:val="fr-CA"/>
        </w:rPr>
        <w:t>À la deuxième séance plénière de la réunion, le 17 novembre 2018, il a été convenu que, sur proposition du Bureau, M. </w:t>
      </w:r>
      <w:r w:rsidRPr="0044626D">
        <w:rPr>
          <w:bCs/>
          <w:iCs/>
          <w:snapToGrid w:val="0"/>
          <w:kern w:val="22"/>
          <w:szCs w:val="22"/>
          <w:lang w:val="fr-CA"/>
        </w:rPr>
        <w:t>Monyrak Meng (Cambodge)</w:t>
      </w:r>
      <w:r w:rsidRPr="0044626D">
        <w:rPr>
          <w:lang w:val="fr-CA"/>
        </w:rPr>
        <w:t xml:space="preserve"> siégerait en qualité de rapporteur de la réunion.</w:t>
      </w:r>
    </w:p>
    <w:p w14:paraId="0A6671B1" w14:textId="052854CF" w:rsidR="00664B58" w:rsidRPr="0044626D" w:rsidRDefault="00664B58" w:rsidP="0043391E">
      <w:pPr>
        <w:pStyle w:val="Para1"/>
        <w:tabs>
          <w:tab w:val="clear" w:pos="360"/>
          <w:tab w:val="clear" w:pos="567"/>
          <w:tab w:val="clear" w:pos="2912"/>
        </w:tabs>
        <w:spacing w:line="240" w:lineRule="auto"/>
        <w:rPr>
          <w:lang w:val="fr-CA"/>
        </w:rPr>
      </w:pPr>
      <w:r w:rsidRPr="0044626D">
        <w:rPr>
          <w:lang w:val="fr-CA"/>
        </w:rPr>
        <w:lastRenderedPageBreak/>
        <w:t xml:space="preserve">À sa quatrième séance plénière, le 22 novembre 2018, la Conférence des Parties a élu 10 représentants pour siéger au Bureau pour un mandat commençant à la clôture de la quatorzième réunion et prenant fin à la clôture de sa quinzième réunion. Trois des représentants élus provenaient de pays qui n'étaient pas Parties au Protocole de Nagoya. À la quatrième séance plénière, le 22 novembre, les représentants suivants ont donc été élus en tant que membres remplaçants du Bureau pour la quatrième réunion de la Conférence des Parties siégeant en tant que réunion des Parties au Protocole de Nagoya : </w:t>
      </w:r>
      <w:r w:rsidRPr="0044626D">
        <w:rPr>
          <w:szCs w:val="22"/>
          <w:lang w:val="fr-CA"/>
        </w:rPr>
        <w:t>M. Dilosharvo Dustov (Tadjikistan), en remplacement de M</w:t>
      </w:r>
      <w:r w:rsidRPr="0044626D">
        <w:rPr>
          <w:szCs w:val="22"/>
          <w:vertAlign w:val="superscript"/>
          <w:lang w:val="fr-CA"/>
        </w:rPr>
        <w:t>me</w:t>
      </w:r>
      <w:r w:rsidRPr="0044626D">
        <w:rPr>
          <w:szCs w:val="22"/>
          <w:lang w:val="fr-CA"/>
        </w:rPr>
        <w:t xml:space="preserve"> Teona Karchava</w:t>
      </w:r>
      <w:r w:rsidRPr="0044626D">
        <w:rPr>
          <w:snapToGrid w:val="0"/>
          <w:kern w:val="22"/>
          <w:szCs w:val="22"/>
          <w:lang w:val="fr-CA"/>
        </w:rPr>
        <w:t xml:space="preserve"> </w:t>
      </w:r>
      <w:r w:rsidRPr="0044626D">
        <w:rPr>
          <w:szCs w:val="22"/>
          <w:lang w:val="fr-CA"/>
        </w:rPr>
        <w:t xml:space="preserve">(Georgia) ; M. Luciano </w:t>
      </w:r>
      <w:r w:rsidR="00440B99" w:rsidRPr="0044626D">
        <w:rPr>
          <w:szCs w:val="22"/>
          <w:lang w:val="fr-CA"/>
        </w:rPr>
        <w:t xml:space="preserve">Martin </w:t>
      </w:r>
      <w:r w:rsidRPr="0044626D">
        <w:rPr>
          <w:szCs w:val="22"/>
          <w:lang w:val="fr-CA"/>
        </w:rPr>
        <w:t xml:space="preserve">Donadio </w:t>
      </w:r>
      <w:r w:rsidR="00440B99" w:rsidRPr="0044626D">
        <w:rPr>
          <w:szCs w:val="22"/>
          <w:lang w:val="fr-CA"/>
        </w:rPr>
        <w:t xml:space="preserve">Linares </w:t>
      </w:r>
      <w:r w:rsidRPr="0044626D">
        <w:rPr>
          <w:szCs w:val="22"/>
          <w:lang w:val="fr-CA"/>
        </w:rPr>
        <w:t xml:space="preserve">(Argentine), en remplacement de </w:t>
      </w:r>
      <w:r w:rsidRPr="0044626D">
        <w:rPr>
          <w:snapToGrid w:val="0"/>
          <w:kern w:val="22"/>
          <w:szCs w:val="22"/>
          <w:lang w:val="fr-CA"/>
        </w:rPr>
        <w:t xml:space="preserve">M. </w:t>
      </w:r>
      <w:r w:rsidRPr="0044626D">
        <w:rPr>
          <w:szCs w:val="22"/>
          <w:lang w:val="fr-CA"/>
        </w:rPr>
        <w:t>Carlos Manuel Rodriguez</w:t>
      </w:r>
      <w:r w:rsidRPr="0044626D">
        <w:rPr>
          <w:snapToGrid w:val="0"/>
          <w:kern w:val="22"/>
          <w:szCs w:val="22"/>
          <w:lang w:val="fr-CA"/>
        </w:rPr>
        <w:t xml:space="preserve"> </w:t>
      </w:r>
      <w:r w:rsidRPr="0044626D">
        <w:rPr>
          <w:szCs w:val="22"/>
          <w:lang w:val="fr-CA"/>
        </w:rPr>
        <w:t>(Costa Rica)</w:t>
      </w:r>
      <w:r w:rsidR="00143BB3">
        <w:rPr>
          <w:szCs w:val="22"/>
          <w:lang w:val="fr-CA"/>
        </w:rPr>
        <w:t>,</w:t>
      </w:r>
      <w:r w:rsidRPr="0044626D">
        <w:rPr>
          <w:szCs w:val="22"/>
          <w:lang w:val="fr-CA"/>
        </w:rPr>
        <w:t xml:space="preserve"> et M</w:t>
      </w:r>
      <w:r w:rsidRPr="0044626D">
        <w:rPr>
          <w:szCs w:val="22"/>
          <w:vertAlign w:val="superscript"/>
          <w:lang w:val="fr-CA"/>
        </w:rPr>
        <w:t>me</w:t>
      </w:r>
      <w:r w:rsidRPr="0044626D">
        <w:rPr>
          <w:szCs w:val="22"/>
          <w:lang w:val="fr-CA"/>
        </w:rPr>
        <w:t xml:space="preserve"> Marie Haraldstad (Norvège), en remplacement de M</w:t>
      </w:r>
      <w:r w:rsidRPr="0044626D">
        <w:rPr>
          <w:szCs w:val="22"/>
          <w:vertAlign w:val="superscript"/>
          <w:lang w:val="fr-CA"/>
        </w:rPr>
        <w:t>me</w:t>
      </w:r>
      <w:r w:rsidRPr="0044626D">
        <w:rPr>
          <w:szCs w:val="22"/>
          <w:lang w:val="fr-CA"/>
        </w:rPr>
        <w:t xml:space="preserve"> Rosemary Paterson (Nouvelle Zélande).</w:t>
      </w:r>
      <w:r w:rsidRPr="0044626D">
        <w:rPr>
          <w:lang w:val="fr-CA"/>
        </w:rPr>
        <w:t xml:space="preserve"> </w:t>
      </w:r>
    </w:p>
    <w:bookmarkEnd w:id="26"/>
    <w:p w14:paraId="17244ECC" w14:textId="77777777" w:rsidR="00664B58" w:rsidRPr="0044626D" w:rsidRDefault="00664B58" w:rsidP="0043391E">
      <w:pPr>
        <w:pStyle w:val="Titre2"/>
        <w:rPr>
          <w:lang w:val="fr-CA"/>
        </w:rPr>
      </w:pPr>
      <w:r w:rsidRPr="0044626D">
        <w:rPr>
          <w:lang w:val="fr-CA"/>
        </w:rPr>
        <w:t>2.2</w:t>
      </w:r>
      <w:r w:rsidRPr="0044626D">
        <w:rPr>
          <w:lang w:val="fr-CA"/>
        </w:rPr>
        <w:tab/>
        <w:t>Adoption de l'ordre du jour</w:t>
      </w:r>
    </w:p>
    <w:p w14:paraId="66EFA420" w14:textId="1A69744B" w:rsidR="00664B58" w:rsidRPr="0044626D" w:rsidRDefault="00664B58" w:rsidP="0043391E">
      <w:pPr>
        <w:pStyle w:val="Para1"/>
        <w:tabs>
          <w:tab w:val="clear" w:pos="360"/>
          <w:tab w:val="clear" w:pos="567"/>
          <w:tab w:val="clear" w:pos="2912"/>
        </w:tabs>
        <w:spacing w:line="240" w:lineRule="auto"/>
        <w:rPr>
          <w:snapToGrid w:val="0"/>
          <w:kern w:val="22"/>
          <w:lang w:val="fr-CA"/>
        </w:rPr>
      </w:pPr>
      <w:r w:rsidRPr="0044626D">
        <w:rPr>
          <w:lang w:val="fr-CA"/>
        </w:rPr>
        <w:t>À la deuxième</w:t>
      </w:r>
      <w:r w:rsidR="00357551" w:rsidRPr="0044626D">
        <w:rPr>
          <w:lang w:val="fr-CA"/>
        </w:rPr>
        <w:t> séance plénière</w:t>
      </w:r>
      <w:r w:rsidRPr="0044626D">
        <w:rPr>
          <w:lang w:val="fr-CA"/>
        </w:rPr>
        <w:t xml:space="preserve">, le 17 novembre 2018, la Conférence des Parties siégeant en tant que réunion des Parties au Protocole de Nagoya a adopté l’ordre du jour ci-après sur la base de l’ordre du jour établi par la Secrétaire exécutive en consultation avec le Bureau </w:t>
      </w:r>
      <w:r w:rsidRPr="0044626D">
        <w:rPr>
          <w:snapToGrid w:val="0"/>
          <w:kern w:val="22"/>
          <w:lang w:val="fr-CA"/>
        </w:rPr>
        <w:t>(CBD/NP/MOP/3/1).</w:t>
      </w:r>
    </w:p>
    <w:p w14:paraId="12784C6D"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Ouverture de la réunion.</w:t>
      </w:r>
    </w:p>
    <w:p w14:paraId="2C189B2F"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Questions d’organisation.</w:t>
      </w:r>
    </w:p>
    <w:p w14:paraId="47062CA5"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Rapport sur la vérification des pouvoirs des représentants à la troisième réunion de la Conférence des Parties siégeant en tant que réunion des Parties au Protocole de Nagoya.</w:t>
      </w:r>
    </w:p>
    <w:p w14:paraId="52EB9639"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Rapports des organes subsidiaires.</w:t>
      </w:r>
    </w:p>
    <w:p w14:paraId="32EEF235"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Rapport du Comité de conformité (article 30).</w:t>
      </w:r>
    </w:p>
    <w:p w14:paraId="13CEAB81"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Administration du Protocole et budget pour les fonds d'affectation spéciale.</w:t>
      </w:r>
    </w:p>
    <w:p w14:paraId="7A963BF1"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Évaluation et examen de l'efficacité du Protocole (article 31).</w:t>
      </w:r>
    </w:p>
    <w:p w14:paraId="708682B6"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Mécanisme de financement et ressources financières (article 25).</w:t>
      </w:r>
    </w:p>
    <w:p w14:paraId="73516B30"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Mesures d'aide à la création et au renforcement des capacités (article 22).</w:t>
      </w:r>
    </w:p>
    <w:p w14:paraId="158A0002"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Le Centre d'échange sur l'accès et le partage des avantages, et l'échange d'informations (article 14).</w:t>
      </w:r>
    </w:p>
    <w:p w14:paraId="6A2F1208"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Suivi et établissement de rapports (article 29).</w:t>
      </w:r>
    </w:p>
    <w:p w14:paraId="2AD3BDC9"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Mesures prises pour sensibiliser le public à l’importance des ressources génétiques et des connaissances traditionnelles associées (article 21).</w:t>
      </w:r>
    </w:p>
    <w:p w14:paraId="18248BAF"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szCs w:val="22"/>
          <w:lang w:val="fr-CA"/>
        </w:rPr>
        <w:t>Accroissement de l'intégration au titre de la Convention et de ses Protocoles concernant les dispositions relatives à l'accès et au partage des avantages.</w:t>
      </w:r>
    </w:p>
    <w:p w14:paraId="4D0F6CE0"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Coopération avec d'autres organisations, conventions et initiatives internationales.</w:t>
      </w:r>
    </w:p>
    <w:p w14:paraId="63D09EF8"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Examen de l'efficacité des structures et des processus.</w:t>
      </w:r>
    </w:p>
    <w:p w14:paraId="556F88E1" w14:textId="1753D755"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szCs w:val="22"/>
          <w:lang w:val="fr-CA"/>
        </w:rPr>
        <w:t>Préparation du suivi du Plan stratégique pour la diversité biologique</w:t>
      </w:r>
      <w:r w:rsidR="00574502">
        <w:rPr>
          <w:snapToGrid w:val="0"/>
          <w:kern w:val="22"/>
          <w:szCs w:val="22"/>
          <w:lang w:val="fr-CA"/>
        </w:rPr>
        <w:t xml:space="preserve"> 2011-2020</w:t>
      </w:r>
      <w:r w:rsidRPr="0044626D">
        <w:rPr>
          <w:snapToGrid w:val="0"/>
          <w:kern w:val="22"/>
          <w:szCs w:val="22"/>
          <w:lang w:val="fr-CA"/>
        </w:rPr>
        <w:t>.</w:t>
      </w:r>
    </w:p>
    <w:p w14:paraId="32E2F216"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Information de séquençage numérique sur les ressources génétiques.</w:t>
      </w:r>
    </w:p>
    <w:p w14:paraId="476E015F"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iCs/>
          <w:snapToGrid w:val="0"/>
          <w:kern w:val="22"/>
          <w:szCs w:val="22"/>
          <w:lang w:val="fr-CA"/>
        </w:rPr>
        <w:t>Instruments internationaux spécialisés en matière d'accès et de partage des avantages dans le contexte de l'article 4, paragraphe 4 du Protocole de Nagoya.</w:t>
      </w:r>
    </w:p>
    <w:p w14:paraId="62376902"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Mécanisme multilatéral mondial de partage des avantages (article 10).</w:t>
      </w:r>
    </w:p>
    <w:p w14:paraId="02C46738"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Questions diverses.</w:t>
      </w:r>
    </w:p>
    <w:p w14:paraId="43B87BA0"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Adoption du rapport.</w:t>
      </w:r>
    </w:p>
    <w:p w14:paraId="176B9062" w14:textId="77777777" w:rsidR="00664B58" w:rsidRPr="0044626D" w:rsidRDefault="00664B58" w:rsidP="0043391E">
      <w:pPr>
        <w:numPr>
          <w:ilvl w:val="0"/>
          <w:numId w:val="18"/>
        </w:numPr>
        <w:tabs>
          <w:tab w:val="clear" w:pos="1800"/>
        </w:tabs>
        <w:kinsoku w:val="0"/>
        <w:overflowPunct w:val="0"/>
        <w:autoSpaceDE w:val="0"/>
        <w:autoSpaceDN w:val="0"/>
        <w:spacing w:before="120" w:line="240" w:lineRule="auto"/>
        <w:ind w:left="1985" w:hanging="720"/>
        <w:jc w:val="left"/>
        <w:rPr>
          <w:snapToGrid w:val="0"/>
          <w:kern w:val="22"/>
          <w:lang w:val="fr-CA"/>
        </w:rPr>
      </w:pPr>
      <w:r w:rsidRPr="0044626D">
        <w:rPr>
          <w:snapToGrid w:val="0"/>
          <w:kern w:val="22"/>
          <w:lang w:val="fr-CA"/>
        </w:rPr>
        <w:t>Clôture de la réunion.</w:t>
      </w:r>
    </w:p>
    <w:p w14:paraId="148EAF42" w14:textId="77777777" w:rsidR="00664B58" w:rsidRPr="0044626D" w:rsidRDefault="00664B58" w:rsidP="0043391E">
      <w:pPr>
        <w:pStyle w:val="Titre2"/>
        <w:rPr>
          <w:lang w:val="fr-CA"/>
        </w:rPr>
      </w:pPr>
      <w:r w:rsidRPr="0044626D">
        <w:rPr>
          <w:lang w:val="fr-CA"/>
        </w:rPr>
        <w:lastRenderedPageBreak/>
        <w:t>2.3.</w:t>
      </w:r>
      <w:r w:rsidRPr="0044626D">
        <w:rPr>
          <w:lang w:val="fr-CA"/>
        </w:rPr>
        <w:tab/>
        <w:t>Organisation des travaux</w:t>
      </w:r>
    </w:p>
    <w:p w14:paraId="40E63E89" w14:textId="5E17FF2F" w:rsidR="00664B58" w:rsidRPr="0044626D" w:rsidRDefault="00664B58" w:rsidP="0043391E">
      <w:pPr>
        <w:pStyle w:val="Para1"/>
        <w:tabs>
          <w:tab w:val="clear" w:pos="360"/>
          <w:tab w:val="clear" w:pos="567"/>
          <w:tab w:val="clear" w:pos="2912"/>
        </w:tabs>
        <w:spacing w:line="240" w:lineRule="auto"/>
        <w:rPr>
          <w:lang w:val="fr-CA"/>
        </w:rPr>
      </w:pPr>
      <w:r w:rsidRPr="0044626D">
        <w:rPr>
          <w:lang w:val="fr-CA"/>
        </w:rPr>
        <w:t xml:space="preserve">À la </w:t>
      </w:r>
      <w:r w:rsidRPr="0044626D">
        <w:rPr>
          <w:color w:val="000000"/>
          <w:lang w:val="fr-CA"/>
        </w:rPr>
        <w:t xml:space="preserve">deuxième </w:t>
      </w:r>
      <w:r w:rsidR="00357551" w:rsidRPr="0044626D">
        <w:rPr>
          <w:color w:val="000000"/>
          <w:lang w:val="fr-CA"/>
        </w:rPr>
        <w:t>séance plénière</w:t>
      </w:r>
      <w:r w:rsidRPr="0044626D">
        <w:rPr>
          <w:color w:val="000000"/>
          <w:lang w:val="fr-CA"/>
        </w:rPr>
        <w:t xml:space="preserve">, </w:t>
      </w:r>
      <w:r w:rsidRPr="0044626D">
        <w:rPr>
          <w:lang w:val="fr-CA"/>
        </w:rPr>
        <w:t>le 17 novembre 2018, la Conférence des Parties siégeant en tant que réunion des Parties au Protocole de Nagoya a accepté d'organiser ses travaux comme le prévoit l'annexe II à l'organisation des travaux proposée (CBD/COP/14/1/Add.2) et a approuvé la création de deux groupes de travail par la Conférence des Parties.</w:t>
      </w:r>
    </w:p>
    <w:p w14:paraId="5BF9D327" w14:textId="77777777" w:rsidR="00664B58" w:rsidRPr="0044626D" w:rsidRDefault="00664B58" w:rsidP="0043391E">
      <w:pPr>
        <w:pStyle w:val="Titre3"/>
        <w:rPr>
          <w:lang w:val="fr-CA"/>
        </w:rPr>
      </w:pPr>
      <w:r w:rsidRPr="0044626D">
        <w:rPr>
          <w:lang w:val="fr-CA"/>
        </w:rPr>
        <w:t>Événements parallèles et remises de prix</w:t>
      </w:r>
    </w:p>
    <w:p w14:paraId="6A3A51D1" w14:textId="056E8EB9" w:rsidR="00B45E7D" w:rsidRPr="0044626D" w:rsidRDefault="00664B58" w:rsidP="0043391E">
      <w:pPr>
        <w:pStyle w:val="Para1"/>
        <w:tabs>
          <w:tab w:val="clear" w:pos="360"/>
          <w:tab w:val="clear" w:pos="567"/>
          <w:tab w:val="clear" w:pos="2912"/>
        </w:tabs>
        <w:spacing w:line="240" w:lineRule="auto"/>
        <w:rPr>
          <w:lang w:val="fr-CA"/>
        </w:rPr>
      </w:pPr>
      <w:r w:rsidRPr="0044626D">
        <w:rPr>
          <w:lang w:val="fr-CA"/>
        </w:rPr>
        <w:t>Lors de la quatorzième réunion de la Conférence des Parties, trois cérémonies de remise de prix ont eu lieu. Par ailleurs, plusieurs événements associés ont eu lieu parallèlement à la réunion. De plus amples informations sur ces cé</w:t>
      </w:r>
      <w:r w:rsidR="00357551" w:rsidRPr="0044626D">
        <w:rPr>
          <w:lang w:val="fr-CA"/>
        </w:rPr>
        <w:t xml:space="preserve">rémonies de remise de prix et </w:t>
      </w:r>
      <w:r w:rsidRPr="0044626D">
        <w:rPr>
          <w:lang w:val="fr-CA"/>
        </w:rPr>
        <w:t xml:space="preserve">événements parallèles figurent dans l'annexe IV du rapport de la </w:t>
      </w:r>
      <w:r w:rsidR="003040AF">
        <w:rPr>
          <w:lang w:val="fr-CA"/>
        </w:rPr>
        <w:t>quatorzième</w:t>
      </w:r>
      <w:r w:rsidRPr="0044626D">
        <w:rPr>
          <w:lang w:val="fr-CA"/>
        </w:rPr>
        <w:t xml:space="preserve"> réunion de la Conférence des Parties</w:t>
      </w:r>
      <w:r w:rsidR="00B45E7D" w:rsidRPr="0044626D">
        <w:rPr>
          <w:lang w:val="fr-CA"/>
        </w:rPr>
        <w:t>.</w:t>
      </w:r>
    </w:p>
    <w:p w14:paraId="33ECC26F" w14:textId="77777777" w:rsidR="0043391E" w:rsidRPr="0044626D" w:rsidRDefault="0043391E" w:rsidP="00A87F6E">
      <w:pPr>
        <w:pStyle w:val="Heading1multiline"/>
        <w:spacing w:line="240" w:lineRule="auto"/>
        <w:rPr>
          <w:rFonts w:ascii="Times New Roman" w:hAnsi="Times New Roman" w:cs="Times New Roman"/>
          <w:lang w:val="fr-CA"/>
        </w:rPr>
      </w:pPr>
      <w:r w:rsidRPr="0044626D">
        <w:rPr>
          <w:rFonts w:ascii="Times New Roman" w:hAnsi="Times New Roman" w:cs="Times New Roman"/>
          <w:lang w:val="fr-CA"/>
        </w:rPr>
        <w:t>POINT 3.</w:t>
      </w:r>
      <w:r w:rsidRPr="0044626D">
        <w:rPr>
          <w:rFonts w:ascii="Times New Roman" w:hAnsi="Times New Roman" w:cs="Times New Roman"/>
          <w:lang w:val="fr-CA"/>
        </w:rPr>
        <w:tab/>
        <w:t>RAPPORT SUR LA VÉRIFICATION DES POUVOIRS DES REPRÉSENTANTS À LA TROISIÈME RÉUNION DE LA CONFÉRENCE DES PARTIES SIÉGEANT EN TANT QUE RÉUNION DES PARTIES AU PROTOCOLE DE NAGOYA</w:t>
      </w:r>
    </w:p>
    <w:p w14:paraId="1CEBE54F" w14:textId="1C716FC9" w:rsidR="0043391E" w:rsidRPr="0044626D" w:rsidRDefault="0043391E" w:rsidP="0043391E">
      <w:pPr>
        <w:pStyle w:val="Para1"/>
        <w:tabs>
          <w:tab w:val="clear" w:pos="360"/>
          <w:tab w:val="clear" w:pos="567"/>
          <w:tab w:val="clear" w:pos="2912"/>
        </w:tabs>
        <w:spacing w:line="240" w:lineRule="auto"/>
        <w:rPr>
          <w:lang w:val="fr-CA"/>
        </w:rPr>
      </w:pPr>
      <w:r w:rsidRPr="0044626D">
        <w:rPr>
          <w:lang w:val="fr-CA"/>
        </w:rPr>
        <w:t xml:space="preserve">Le point 3 de l'ordre du jour a été examiné lors de la </w:t>
      </w:r>
      <w:bookmarkStart w:id="27" w:name="_Hlk530303786"/>
      <w:r w:rsidRPr="0044626D">
        <w:rPr>
          <w:lang w:val="fr-CA"/>
        </w:rPr>
        <w:t xml:space="preserve">deuxième </w:t>
      </w:r>
      <w:r w:rsidR="00357551" w:rsidRPr="0044626D">
        <w:rPr>
          <w:lang w:val="fr-CA"/>
        </w:rPr>
        <w:t>séance plénière</w:t>
      </w:r>
      <w:r w:rsidRPr="0044626D">
        <w:rPr>
          <w:lang w:val="fr-CA"/>
        </w:rPr>
        <w:t>, le 17 novembre 2018</w:t>
      </w:r>
      <w:bookmarkEnd w:id="27"/>
      <w:r w:rsidRPr="0044626D">
        <w:rPr>
          <w:lang w:val="fr-CA"/>
        </w:rPr>
        <w:t xml:space="preserve">. Conformément à l’article 19 du règlement intérieur, le Bureau devait examiner les pouvoirs des délégations et faire rapport sur ceux-ci. Par conséquent, le Président a informé la </w:t>
      </w:r>
      <w:r w:rsidR="00357551" w:rsidRPr="0044626D">
        <w:rPr>
          <w:lang w:val="fr-CA"/>
        </w:rPr>
        <w:t>Conférence des Parties siégeant en tant que réunion des Parties au Protocole de Nagoya</w:t>
      </w:r>
      <w:r w:rsidRPr="0044626D">
        <w:rPr>
          <w:lang w:val="fr-CA"/>
        </w:rPr>
        <w:t xml:space="preserve"> que le Bureau avait désigné M</w:t>
      </w:r>
      <w:r w:rsidRPr="0044626D">
        <w:rPr>
          <w:vertAlign w:val="superscript"/>
          <w:lang w:val="fr-CA"/>
        </w:rPr>
        <w:t>me</w:t>
      </w:r>
      <w:r w:rsidRPr="0044626D">
        <w:rPr>
          <w:lang w:val="fr-CA"/>
        </w:rPr>
        <w:t> </w:t>
      </w:r>
      <w:r w:rsidRPr="0044626D">
        <w:rPr>
          <w:rFonts w:eastAsiaTheme="minorEastAsia"/>
          <w:bCs/>
          <w:iCs/>
          <w:szCs w:val="24"/>
          <w:lang w:val="fr-CA"/>
        </w:rPr>
        <w:t xml:space="preserve">Elena Makeyeva </w:t>
      </w:r>
      <w:r w:rsidRPr="0044626D">
        <w:rPr>
          <w:lang w:val="fr-CA"/>
        </w:rPr>
        <w:t>(Bélarus), une vice-présidente du Bureau, pour examiner les pouvoirs et faire rapport sur ceux-ci.</w:t>
      </w:r>
    </w:p>
    <w:p w14:paraId="20C8B808" w14:textId="411CB1AF" w:rsidR="0043391E" w:rsidRPr="0044626D" w:rsidRDefault="0043391E" w:rsidP="0043391E">
      <w:pPr>
        <w:pStyle w:val="Para1"/>
        <w:tabs>
          <w:tab w:val="clear" w:pos="360"/>
          <w:tab w:val="clear" w:pos="567"/>
          <w:tab w:val="clear" w:pos="2912"/>
        </w:tabs>
        <w:spacing w:line="240" w:lineRule="auto"/>
        <w:rPr>
          <w:lang w:val="fr-CA"/>
        </w:rPr>
      </w:pPr>
      <w:r w:rsidRPr="0044626D">
        <w:rPr>
          <w:lang w:val="fr-CA"/>
        </w:rPr>
        <w:t>À la quatrième séance plénière de la réunion, le 22 novembre 2018, M</w:t>
      </w:r>
      <w:r w:rsidRPr="0044626D">
        <w:rPr>
          <w:vertAlign w:val="superscript"/>
          <w:lang w:val="fr-CA"/>
        </w:rPr>
        <w:t>me</w:t>
      </w:r>
      <w:r w:rsidRPr="0044626D">
        <w:rPr>
          <w:lang w:val="fr-CA"/>
        </w:rPr>
        <w:t xml:space="preserve"> </w:t>
      </w:r>
      <w:r w:rsidRPr="0044626D">
        <w:rPr>
          <w:snapToGrid w:val="0"/>
          <w:kern w:val="22"/>
          <w:szCs w:val="22"/>
          <w:lang w:val="fr-CA"/>
        </w:rPr>
        <w:t xml:space="preserve">Makeyeva a informé la Conférence des Parties siégeant en tant que réunion des Parties </w:t>
      </w:r>
      <w:r w:rsidR="00694D29" w:rsidRPr="0044626D">
        <w:rPr>
          <w:snapToGrid w:val="0"/>
          <w:kern w:val="22"/>
          <w:szCs w:val="22"/>
          <w:lang w:val="fr-CA"/>
        </w:rPr>
        <w:t xml:space="preserve">au Protocole de Nagoya </w:t>
      </w:r>
      <w:r w:rsidRPr="0044626D">
        <w:rPr>
          <w:snapToGrid w:val="0"/>
          <w:kern w:val="22"/>
          <w:szCs w:val="22"/>
          <w:lang w:val="fr-CA"/>
        </w:rPr>
        <w:t>que 111 Parties s'étaient inscrites pour participer à la réunion. Le Bureau avait examiné les pouvoirs des représentants de 94 Parties qui participaient à la réunion. Les pouvoirs de 84 délégations étaient pleinement conformes aux dispositions de l'article 18 d</w:t>
      </w:r>
      <w:r w:rsidR="00694D29" w:rsidRPr="0044626D">
        <w:rPr>
          <w:snapToGrid w:val="0"/>
          <w:kern w:val="22"/>
          <w:szCs w:val="22"/>
          <w:lang w:val="fr-CA"/>
        </w:rPr>
        <w:t xml:space="preserve">u règlement intérieur. Ceux de </w:t>
      </w:r>
      <w:r w:rsidRPr="0044626D">
        <w:rPr>
          <w:snapToGrid w:val="0"/>
          <w:kern w:val="22"/>
          <w:szCs w:val="22"/>
          <w:lang w:val="fr-CA"/>
        </w:rPr>
        <w:t>10 délégations n'étaient pas pleinement conformes aux dispositions de l'article 18 et 17 autres délégations n'avaient pas présenté leurs pouvoirs à ce jour.</w:t>
      </w:r>
    </w:p>
    <w:p w14:paraId="185357C3" w14:textId="15C949A0" w:rsidR="00852E3F" w:rsidRPr="0044626D" w:rsidRDefault="00852E3F" w:rsidP="0043391E">
      <w:pPr>
        <w:pStyle w:val="Para1"/>
        <w:tabs>
          <w:tab w:val="clear" w:pos="360"/>
          <w:tab w:val="clear" w:pos="567"/>
          <w:tab w:val="clear" w:pos="2912"/>
        </w:tabs>
        <w:spacing w:line="240" w:lineRule="auto"/>
        <w:rPr>
          <w:lang w:val="fr-CA"/>
        </w:rPr>
      </w:pPr>
      <w:r w:rsidRPr="0044626D">
        <w:rPr>
          <w:snapToGrid w:val="0"/>
          <w:kern w:val="22"/>
          <w:szCs w:val="22"/>
          <w:lang w:val="fr-CA"/>
        </w:rPr>
        <w:t>À la quatrième séance plénière de la réunion, le 29 novembre 2018, M</w:t>
      </w:r>
      <w:r w:rsidRPr="0044626D">
        <w:rPr>
          <w:snapToGrid w:val="0"/>
          <w:kern w:val="22"/>
          <w:szCs w:val="22"/>
          <w:vertAlign w:val="superscript"/>
          <w:lang w:val="fr-CA"/>
        </w:rPr>
        <w:t>me</w:t>
      </w:r>
      <w:r w:rsidRPr="0044626D">
        <w:rPr>
          <w:snapToGrid w:val="0"/>
          <w:kern w:val="22"/>
          <w:szCs w:val="22"/>
          <w:lang w:val="fr-CA"/>
        </w:rPr>
        <w:t xml:space="preserve"> Makeyeva a informé la Conférence des Parties siégeant en tant que réunion des Parties au Protocole de Nagoya que 11 Parties ou Parties en voie d’accéder au Protocole de Nagoya </w:t>
      </w:r>
      <w:r w:rsidR="00DA39FC" w:rsidRPr="0044626D">
        <w:rPr>
          <w:snapToGrid w:val="0"/>
          <w:kern w:val="22"/>
          <w:szCs w:val="22"/>
          <w:lang w:val="fr-CA"/>
        </w:rPr>
        <w:t>s’</w:t>
      </w:r>
      <w:r w:rsidRPr="0044626D">
        <w:rPr>
          <w:snapToGrid w:val="0"/>
          <w:kern w:val="22"/>
          <w:szCs w:val="22"/>
          <w:lang w:val="fr-CA"/>
        </w:rPr>
        <w:t xml:space="preserve">étaient inscrites </w:t>
      </w:r>
      <w:r w:rsidR="00DA39FC" w:rsidRPr="0044626D">
        <w:rPr>
          <w:snapToGrid w:val="0"/>
          <w:kern w:val="22"/>
          <w:szCs w:val="22"/>
          <w:lang w:val="fr-CA"/>
        </w:rPr>
        <w:t>pour participer</w:t>
      </w:r>
      <w:r w:rsidRPr="0044626D">
        <w:rPr>
          <w:snapToGrid w:val="0"/>
          <w:kern w:val="22"/>
          <w:szCs w:val="22"/>
          <w:lang w:val="fr-CA"/>
        </w:rPr>
        <w:t xml:space="preserve"> à la réunion. Le Bureau a</w:t>
      </w:r>
      <w:r w:rsidR="00617B3F" w:rsidRPr="0044626D">
        <w:rPr>
          <w:snapToGrid w:val="0"/>
          <w:kern w:val="22"/>
          <w:szCs w:val="22"/>
          <w:lang w:val="fr-CA"/>
        </w:rPr>
        <w:t>vait</w:t>
      </w:r>
      <w:r w:rsidRPr="0044626D">
        <w:rPr>
          <w:snapToGrid w:val="0"/>
          <w:kern w:val="22"/>
          <w:szCs w:val="22"/>
          <w:lang w:val="fr-CA"/>
        </w:rPr>
        <w:t xml:space="preserve"> examiné les </w:t>
      </w:r>
      <w:r w:rsidR="00DA39FC" w:rsidRPr="0044626D">
        <w:rPr>
          <w:snapToGrid w:val="0"/>
          <w:kern w:val="22"/>
          <w:szCs w:val="22"/>
          <w:lang w:val="fr-CA"/>
        </w:rPr>
        <w:t>pouvoirs</w:t>
      </w:r>
      <w:r w:rsidRPr="0044626D">
        <w:rPr>
          <w:snapToGrid w:val="0"/>
          <w:kern w:val="22"/>
          <w:szCs w:val="22"/>
          <w:lang w:val="fr-CA"/>
        </w:rPr>
        <w:t xml:space="preserve"> des représentants de 99 Parties. Les </w:t>
      </w:r>
      <w:r w:rsidR="00DA39FC" w:rsidRPr="0044626D">
        <w:rPr>
          <w:snapToGrid w:val="0"/>
          <w:kern w:val="22"/>
          <w:szCs w:val="22"/>
          <w:lang w:val="fr-CA"/>
        </w:rPr>
        <w:t>pouvoirs</w:t>
      </w:r>
      <w:r w:rsidRPr="0044626D">
        <w:rPr>
          <w:snapToGrid w:val="0"/>
          <w:kern w:val="22"/>
          <w:szCs w:val="22"/>
          <w:lang w:val="fr-CA"/>
        </w:rPr>
        <w:t xml:space="preserve"> de 93 délégations </w:t>
      </w:r>
      <w:r w:rsidR="00DA39FC" w:rsidRPr="0044626D">
        <w:rPr>
          <w:snapToGrid w:val="0"/>
          <w:kern w:val="22"/>
          <w:szCs w:val="22"/>
          <w:lang w:val="fr-CA"/>
        </w:rPr>
        <w:t>étaient pleinement conformes aux dispositions de l’article 18 du règlement intérieur. Ceux de 6 délégations n’étaient pas pleinement conformes aux dispositions de l’</w:t>
      </w:r>
      <w:r w:rsidR="00617B3F" w:rsidRPr="0044626D">
        <w:rPr>
          <w:snapToGrid w:val="0"/>
          <w:kern w:val="22"/>
          <w:szCs w:val="22"/>
          <w:lang w:val="fr-CA"/>
        </w:rPr>
        <w:t>article 18 et 12 délégations n</w:t>
      </w:r>
      <w:r w:rsidR="00DA39FC" w:rsidRPr="0044626D">
        <w:rPr>
          <w:snapToGrid w:val="0"/>
          <w:kern w:val="22"/>
          <w:szCs w:val="22"/>
          <w:lang w:val="fr-CA"/>
        </w:rPr>
        <w:t>’avaient pas présenté leurs pouvoirs. Le document CDB/COP/14/INF/49 contient plus de renseignements à cet égard.</w:t>
      </w:r>
    </w:p>
    <w:p w14:paraId="4E5D487A" w14:textId="55550B23" w:rsidR="00DA39FC" w:rsidRPr="0044626D" w:rsidRDefault="00DA39FC" w:rsidP="0043391E">
      <w:pPr>
        <w:pStyle w:val="Para1"/>
        <w:tabs>
          <w:tab w:val="clear" w:pos="360"/>
          <w:tab w:val="clear" w:pos="567"/>
          <w:tab w:val="clear" w:pos="2912"/>
        </w:tabs>
        <w:spacing w:line="240" w:lineRule="auto"/>
        <w:rPr>
          <w:lang w:val="fr-CA"/>
        </w:rPr>
      </w:pPr>
      <w:r w:rsidRPr="0044626D">
        <w:rPr>
          <w:snapToGrid w:val="0"/>
          <w:kern w:val="22"/>
          <w:szCs w:val="22"/>
          <w:lang w:val="fr-CA"/>
        </w:rPr>
        <w:t>Plusieurs chefs</w:t>
      </w:r>
      <w:r w:rsidR="00617B3F" w:rsidRPr="0044626D">
        <w:rPr>
          <w:snapToGrid w:val="0"/>
          <w:kern w:val="22"/>
          <w:szCs w:val="22"/>
          <w:lang w:val="fr-CA"/>
        </w:rPr>
        <w:t xml:space="preserve"> de délégation avaient signé une déclaration dans laquelle ils s’engageaient à présenter leurs pouvoirs en bonne et due forme</w:t>
      </w:r>
      <w:r w:rsidR="00007856">
        <w:rPr>
          <w:snapToGrid w:val="0"/>
          <w:kern w:val="22"/>
          <w:szCs w:val="22"/>
          <w:lang w:val="fr-CA"/>
        </w:rPr>
        <w:t xml:space="preserve"> et</w:t>
      </w:r>
      <w:r w:rsidR="00367302" w:rsidRPr="0044626D">
        <w:rPr>
          <w:snapToGrid w:val="0"/>
          <w:kern w:val="22"/>
          <w:szCs w:val="22"/>
          <w:lang w:val="fr-CA"/>
        </w:rPr>
        <w:t xml:space="preserve"> dans leur</w:t>
      </w:r>
      <w:r w:rsidR="00617B3F" w:rsidRPr="0044626D">
        <w:rPr>
          <w:snapToGrid w:val="0"/>
          <w:kern w:val="22"/>
          <w:szCs w:val="22"/>
          <w:lang w:val="fr-CA"/>
        </w:rPr>
        <w:t xml:space="preserve"> version originale à la Secrétaire exécutive dans les 30 jours suivant la clôture de la réunion et au plus tard le 29 décembre 2018. Conformément aux pratiques antérieures, la Conférence des Parties siégeant en tant que réunion des Parties au Protocole de Nagoya </w:t>
      </w:r>
      <w:r w:rsidR="00367302" w:rsidRPr="0044626D">
        <w:rPr>
          <w:snapToGrid w:val="0"/>
          <w:kern w:val="22"/>
          <w:szCs w:val="22"/>
          <w:lang w:val="fr-CA"/>
        </w:rPr>
        <w:t>a accepté</w:t>
      </w:r>
      <w:r w:rsidR="00617B3F" w:rsidRPr="0044626D">
        <w:rPr>
          <w:snapToGrid w:val="0"/>
          <w:kern w:val="22"/>
          <w:szCs w:val="22"/>
          <w:lang w:val="fr-CA"/>
        </w:rPr>
        <w:t xml:space="preserve"> la proposition du Bureau </w:t>
      </w:r>
      <w:r w:rsidR="00367302" w:rsidRPr="0044626D">
        <w:rPr>
          <w:snapToGrid w:val="0"/>
          <w:kern w:val="22"/>
          <w:szCs w:val="22"/>
          <w:lang w:val="fr-CA"/>
        </w:rPr>
        <w:t>voulant</w:t>
      </w:r>
      <w:r w:rsidR="00617B3F" w:rsidRPr="0044626D">
        <w:rPr>
          <w:snapToGrid w:val="0"/>
          <w:kern w:val="22"/>
          <w:szCs w:val="22"/>
          <w:lang w:val="fr-CA"/>
        </w:rPr>
        <w:t xml:space="preserve"> que les délégations qui n’avaient pas encore présenté leurs pouvoirs ou dont les pouvoirs n’étaient pas pleinement conformes aux dispositions de l’article 18 </w:t>
      </w:r>
      <w:r w:rsidR="00367302" w:rsidRPr="0044626D">
        <w:rPr>
          <w:snapToGrid w:val="0"/>
          <w:kern w:val="22"/>
          <w:szCs w:val="22"/>
          <w:lang w:val="fr-CA"/>
        </w:rPr>
        <w:t>puissent</w:t>
      </w:r>
      <w:r w:rsidR="00617B3F" w:rsidRPr="0044626D">
        <w:rPr>
          <w:snapToGrid w:val="0"/>
          <w:kern w:val="22"/>
          <w:szCs w:val="22"/>
          <w:lang w:val="fr-CA"/>
        </w:rPr>
        <w:t xml:space="preserve"> participer à part entière à la réunion à titre provisoire.</w:t>
      </w:r>
    </w:p>
    <w:p w14:paraId="22EF66FA" w14:textId="0CB17547" w:rsidR="00617B3F" w:rsidRPr="0044626D" w:rsidRDefault="00617B3F" w:rsidP="0043391E">
      <w:pPr>
        <w:pStyle w:val="Para1"/>
        <w:tabs>
          <w:tab w:val="clear" w:pos="360"/>
          <w:tab w:val="clear" w:pos="567"/>
          <w:tab w:val="clear" w:pos="2912"/>
        </w:tabs>
        <w:spacing w:line="240" w:lineRule="auto"/>
        <w:rPr>
          <w:lang w:val="fr-CA"/>
        </w:rPr>
      </w:pPr>
      <w:r w:rsidRPr="0044626D">
        <w:rPr>
          <w:lang w:val="fr-CA"/>
        </w:rPr>
        <w:t xml:space="preserve">Le président </w:t>
      </w:r>
      <w:r w:rsidR="001A40EA" w:rsidRPr="0044626D">
        <w:rPr>
          <w:lang w:val="fr-CA"/>
        </w:rPr>
        <w:t>a</w:t>
      </w:r>
      <w:r w:rsidR="00367302" w:rsidRPr="0044626D">
        <w:rPr>
          <w:lang w:val="fr-CA"/>
        </w:rPr>
        <w:t>vait</w:t>
      </w:r>
      <w:r w:rsidR="001A40EA" w:rsidRPr="0044626D">
        <w:rPr>
          <w:lang w:val="fr-CA"/>
        </w:rPr>
        <w:t xml:space="preserve"> espoir que toutes les délégations ayant été invitées à présenter leurs pouvoirs à la Secrétaire exécutive le feraient avant le 29 décembre 2018 au plus tard. Les pouvoirs de six Parties supplémentaires avaient été reçus à la fin de la </w:t>
      </w:r>
      <w:r w:rsidR="00AB4311">
        <w:rPr>
          <w:lang w:val="fr-CA"/>
        </w:rPr>
        <w:t>troisième</w:t>
      </w:r>
      <w:bookmarkStart w:id="28" w:name="_GoBack"/>
      <w:bookmarkEnd w:id="28"/>
      <w:r w:rsidR="001A40EA" w:rsidRPr="0044626D">
        <w:rPr>
          <w:lang w:val="fr-CA"/>
        </w:rPr>
        <w:t xml:space="preserve"> réunion de la Conférence des Parties siégeant en tant que réunion des Parties au Protocole de Nagoya.</w:t>
      </w:r>
    </w:p>
    <w:p w14:paraId="7FEA67A2" w14:textId="3EAE2880" w:rsidR="001A40EA" w:rsidRPr="0044626D" w:rsidRDefault="001A40EA" w:rsidP="0043391E">
      <w:pPr>
        <w:pStyle w:val="Para1"/>
        <w:tabs>
          <w:tab w:val="clear" w:pos="360"/>
          <w:tab w:val="clear" w:pos="567"/>
          <w:tab w:val="clear" w:pos="2912"/>
        </w:tabs>
        <w:spacing w:line="240" w:lineRule="auto"/>
        <w:rPr>
          <w:lang w:val="fr-CA"/>
        </w:rPr>
      </w:pPr>
      <w:r w:rsidRPr="0044626D">
        <w:rPr>
          <w:lang w:val="fr-CA"/>
        </w:rPr>
        <w:t xml:space="preserve">Les 99 Parties suivantes avaient présenté des pouvoirs pleinement conformes aux dispositions de l’article 18 du règlement intérieur au moment d’émettre le présent rapport : </w:t>
      </w:r>
      <w:r w:rsidR="0050553E" w:rsidRPr="0044626D">
        <w:rPr>
          <w:lang w:val="fr-CA"/>
        </w:rPr>
        <w:t xml:space="preserve">Allemagne, </w:t>
      </w:r>
      <w:r w:rsidR="004A608F" w:rsidRPr="0044626D">
        <w:rPr>
          <w:lang w:val="fr-CA"/>
        </w:rPr>
        <w:t xml:space="preserve">Afrique du Sud, </w:t>
      </w:r>
      <w:r w:rsidRPr="0044626D">
        <w:rPr>
          <w:lang w:val="fr-CA"/>
        </w:rPr>
        <w:t xml:space="preserve">Angola, Antigua-et-Barbuda, Argentine, Autriche, Bélarus, Belgique, Bénin, Bolivie, Botswana, Bulgarie, Burkina Faso, Burundi, </w:t>
      </w:r>
      <w:r w:rsidRPr="0044626D">
        <w:rPr>
          <w:lang w:val="fr-CA"/>
        </w:rPr>
        <w:lastRenderedPageBreak/>
        <w:t xml:space="preserve">Cambodge, Cameroun, </w:t>
      </w:r>
      <w:r w:rsidR="0050553E" w:rsidRPr="0044626D">
        <w:rPr>
          <w:lang w:val="fr-CA"/>
        </w:rPr>
        <w:t xml:space="preserve">Chine, Côte d’Ivoire, Croatie, Cuba, Danemark, Égypte, </w:t>
      </w:r>
      <w:r w:rsidR="00367302" w:rsidRPr="0044626D">
        <w:rPr>
          <w:lang w:val="fr-CA"/>
        </w:rPr>
        <w:t>Émir</w:t>
      </w:r>
      <w:r w:rsidR="00975341" w:rsidRPr="0044626D">
        <w:rPr>
          <w:lang w:val="fr-CA"/>
        </w:rPr>
        <w:t xml:space="preserve">ats arabes unis, </w:t>
      </w:r>
      <w:r w:rsidR="0050553E" w:rsidRPr="0044626D">
        <w:rPr>
          <w:lang w:val="fr-CA"/>
        </w:rPr>
        <w:t xml:space="preserve">Équateur, </w:t>
      </w:r>
      <w:r w:rsidR="004A608F" w:rsidRPr="0044626D">
        <w:rPr>
          <w:lang w:val="fr-CA"/>
        </w:rPr>
        <w:t xml:space="preserve">Espagne, </w:t>
      </w:r>
      <w:r w:rsidR="0050553E" w:rsidRPr="0044626D">
        <w:rPr>
          <w:lang w:val="fr-CA"/>
        </w:rPr>
        <w:t xml:space="preserve">Eswatini, Éthiopie, Fidji, Finlande, France, Gabon, Gambie, Guatemala, Guinée, Guinée-Bissau, Guyana, Honduras, Hongrie, </w:t>
      </w:r>
      <w:r w:rsidR="00171779" w:rsidRPr="0044626D">
        <w:rPr>
          <w:lang w:val="fr-CA"/>
        </w:rPr>
        <w:t xml:space="preserve">Îles Marshall, </w:t>
      </w:r>
      <w:r w:rsidR="0050553E" w:rsidRPr="0044626D">
        <w:rPr>
          <w:lang w:val="fr-CA"/>
        </w:rPr>
        <w:t xml:space="preserve">Inde, Indonésie, Japon, Kenya, Koweït, </w:t>
      </w:r>
      <w:r w:rsidR="00171779" w:rsidRPr="0044626D">
        <w:rPr>
          <w:lang w:val="fr-CA"/>
        </w:rPr>
        <w:t xml:space="preserve">Lesotho, Liberia, Luxembourg, Madagascar, Malawi, Malaisie, Malte, Maurice, Mauritanie, Mexique, Micronésie (États fédérés de), Mongolie, Mozambique, Myanmar, Namibie, Niger, Norvège, </w:t>
      </w:r>
      <w:r w:rsidR="00975341" w:rsidRPr="0044626D">
        <w:rPr>
          <w:lang w:val="fr-CA"/>
        </w:rPr>
        <w:t xml:space="preserve">Ouganda, </w:t>
      </w:r>
      <w:r w:rsidR="00171779" w:rsidRPr="0044626D">
        <w:rPr>
          <w:lang w:val="fr-CA"/>
        </w:rPr>
        <w:t xml:space="preserve">Palau, Panama, </w:t>
      </w:r>
      <w:r w:rsidR="005378AC">
        <w:rPr>
          <w:lang w:val="fr-CA"/>
        </w:rPr>
        <w:t xml:space="preserve">Pays-Bas, </w:t>
      </w:r>
      <w:r w:rsidR="00171779" w:rsidRPr="0044626D">
        <w:rPr>
          <w:lang w:val="fr-CA"/>
        </w:rPr>
        <w:t xml:space="preserve">Pérou, Philippines, Portugal, Qatar, </w:t>
      </w:r>
      <w:r w:rsidR="004A608F" w:rsidRPr="0044626D">
        <w:rPr>
          <w:lang w:val="fr-CA"/>
        </w:rPr>
        <w:t xml:space="preserve">République arabe syrienne, </w:t>
      </w:r>
      <w:r w:rsidRPr="0044626D">
        <w:rPr>
          <w:lang w:val="fr-CA"/>
        </w:rPr>
        <w:t xml:space="preserve">République centrafricaine, </w:t>
      </w:r>
      <w:r w:rsidR="004A608F" w:rsidRPr="0044626D">
        <w:rPr>
          <w:lang w:val="fr-CA"/>
        </w:rPr>
        <w:t xml:space="preserve">République de Corée, République de Moldavie, </w:t>
      </w:r>
      <w:r w:rsidR="00171779" w:rsidRPr="0044626D">
        <w:rPr>
          <w:lang w:val="fr-CA"/>
        </w:rPr>
        <w:t xml:space="preserve">République démocratique populaire lao, </w:t>
      </w:r>
      <w:r w:rsidR="0050553E" w:rsidRPr="0044626D">
        <w:rPr>
          <w:lang w:val="fr-CA"/>
        </w:rPr>
        <w:t xml:space="preserve">République dominicaine, République tchèque, </w:t>
      </w:r>
      <w:r w:rsidR="00975341" w:rsidRPr="0044626D">
        <w:rPr>
          <w:lang w:val="fr-CA"/>
        </w:rPr>
        <w:t>Répub</w:t>
      </w:r>
      <w:r w:rsidR="001169B6">
        <w:rPr>
          <w:lang w:val="fr-CA"/>
        </w:rPr>
        <w:t xml:space="preserve">lique unie de Tanzanie, Royaume </w:t>
      </w:r>
      <w:r w:rsidR="00975341" w:rsidRPr="0044626D">
        <w:rPr>
          <w:lang w:val="fr-CA"/>
        </w:rPr>
        <w:t xml:space="preserve">Uni de Grande-Bretagne et d’Irlande du Nord, </w:t>
      </w:r>
      <w:r w:rsidR="004A608F" w:rsidRPr="0044626D">
        <w:rPr>
          <w:lang w:val="fr-CA"/>
        </w:rPr>
        <w:t xml:space="preserve">Rwanda, Saint-Kitts-et-Nevis, Samoa, Sénégal, Serbie, Seychelles, Sierra Leone, Slovaquie, Soudan, Suède, Suisse, Tadjikistan, Tchad, Togo, Tuvalu, </w:t>
      </w:r>
      <w:r w:rsidR="0050553E" w:rsidRPr="0044626D">
        <w:rPr>
          <w:lang w:val="fr-CA"/>
        </w:rPr>
        <w:t xml:space="preserve">Union européenne, </w:t>
      </w:r>
      <w:r w:rsidR="00975341" w:rsidRPr="0044626D">
        <w:rPr>
          <w:lang w:val="fr-CA"/>
        </w:rPr>
        <w:t>Uruguay, Venezuela (République bolivarienne du), Viet Nam et Zimbabwe.</w:t>
      </w:r>
    </w:p>
    <w:p w14:paraId="35A55CCD" w14:textId="77777777" w:rsidR="0043391E" w:rsidRPr="0044626D" w:rsidRDefault="0043391E" w:rsidP="0043391E">
      <w:pPr>
        <w:pStyle w:val="Titre1"/>
        <w:rPr>
          <w:rFonts w:ascii="Times New Roman" w:hAnsi="Times New Roman" w:cs="Times New Roman"/>
          <w:i/>
          <w:lang w:val="fr-CA"/>
        </w:rPr>
      </w:pPr>
      <w:r w:rsidRPr="0044626D">
        <w:rPr>
          <w:rFonts w:ascii="Times New Roman" w:hAnsi="Times New Roman" w:cs="Times New Roman"/>
          <w:lang w:val="fr-CA"/>
        </w:rPr>
        <w:t>POINT 4.</w:t>
      </w:r>
      <w:r w:rsidRPr="0044626D">
        <w:rPr>
          <w:rFonts w:ascii="Times New Roman" w:hAnsi="Times New Roman" w:cs="Times New Roman"/>
          <w:lang w:val="fr-CA"/>
        </w:rPr>
        <w:tab/>
        <w:t>RAPPORTS DES ORGANES SUBSIDIAIRES</w:t>
      </w:r>
    </w:p>
    <w:p w14:paraId="23E5E2F7" w14:textId="3A777BDF" w:rsidR="0043391E" w:rsidRPr="0044626D" w:rsidRDefault="0043391E" w:rsidP="0043391E">
      <w:pPr>
        <w:pStyle w:val="Para1"/>
        <w:tabs>
          <w:tab w:val="clear" w:pos="360"/>
          <w:tab w:val="clear" w:pos="567"/>
          <w:tab w:val="clear" w:pos="2912"/>
        </w:tabs>
        <w:spacing w:line="240" w:lineRule="auto"/>
        <w:rPr>
          <w:rFonts w:eastAsia="Times New Roman"/>
          <w:lang w:val="fr-CA" w:eastAsia="en-CA"/>
        </w:rPr>
      </w:pPr>
      <w:r w:rsidRPr="0044626D">
        <w:rPr>
          <w:lang w:val="fr-CA"/>
        </w:rPr>
        <w:t>Le point 4 de l'ordre du jour a été examiné lors de la deuxième séance plénière de la réunion, le 17 novembre 2018. Dans le cadre de l'examen de ce point, la Conférence des Parties siégeant en tant que réunion des Parties a été saisie des rapports de la vingt-deuxième réunion de l'Organe subsidiaire chargé de fournir des avis scientifiques, techniques et technologiques</w:t>
      </w:r>
      <w:r w:rsidRPr="0044626D">
        <w:rPr>
          <w:rFonts w:eastAsia="Times New Roman"/>
          <w:lang w:val="fr-CA"/>
        </w:rPr>
        <w:t xml:space="preserve"> (CBD/SBSTTA/22/12) et de la deuxième réunion de l'Organe subsidiaire </w:t>
      </w:r>
      <w:r w:rsidR="00EC3BD1">
        <w:rPr>
          <w:rFonts w:eastAsia="Times New Roman"/>
          <w:lang w:val="fr-CA"/>
        </w:rPr>
        <w:t>chargé de l’application</w:t>
      </w:r>
      <w:r w:rsidRPr="0044626D">
        <w:rPr>
          <w:rFonts w:eastAsia="Times New Roman"/>
          <w:lang w:val="fr-CA"/>
        </w:rPr>
        <w:t xml:space="preserve"> (CBD/SBI/2/22).</w:t>
      </w:r>
    </w:p>
    <w:p w14:paraId="4540E3F0" w14:textId="77777777" w:rsidR="0043391E" w:rsidRPr="0044626D" w:rsidRDefault="0043391E" w:rsidP="0043391E">
      <w:pPr>
        <w:pStyle w:val="Para1"/>
        <w:tabs>
          <w:tab w:val="clear" w:pos="360"/>
          <w:tab w:val="clear" w:pos="567"/>
          <w:tab w:val="clear" w:pos="2912"/>
        </w:tabs>
        <w:spacing w:line="240" w:lineRule="auto"/>
        <w:rPr>
          <w:lang w:val="fr-CA"/>
        </w:rPr>
      </w:pPr>
      <w:r w:rsidRPr="0044626D">
        <w:rPr>
          <w:lang w:val="fr-CA"/>
        </w:rPr>
        <w:t>La Conférence des Parties siégeant en tant que réunion des Parties a pris note des rapports des réunions intersessions des organes subsidiaires et a accepté d'examiner les recommandations figurant dans les rapports au titre des points pertinents de l'ordre du jour.</w:t>
      </w:r>
    </w:p>
    <w:p w14:paraId="65754F98" w14:textId="77777777" w:rsidR="0043391E" w:rsidRPr="0044626D" w:rsidRDefault="0043391E" w:rsidP="0043391E">
      <w:pPr>
        <w:pStyle w:val="Titre1"/>
        <w:rPr>
          <w:rFonts w:ascii="Times New Roman" w:hAnsi="Times New Roman" w:cs="Times New Roman"/>
          <w:lang w:val="fr-CA"/>
        </w:rPr>
      </w:pPr>
      <w:r w:rsidRPr="0044626D">
        <w:rPr>
          <w:rFonts w:ascii="Times New Roman" w:hAnsi="Times New Roman" w:cs="Times New Roman"/>
          <w:lang w:val="fr-CA"/>
        </w:rPr>
        <w:t>POINT 5.</w:t>
      </w:r>
      <w:r w:rsidRPr="0044626D">
        <w:rPr>
          <w:rFonts w:ascii="Times New Roman" w:hAnsi="Times New Roman" w:cs="Times New Roman"/>
          <w:lang w:val="fr-CA"/>
        </w:rPr>
        <w:tab/>
        <w:t>RAPPORT DU COMITÉ DE CONFORMITÉ (ARTICLE 30)</w:t>
      </w:r>
    </w:p>
    <w:p w14:paraId="607B5927"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rFonts w:eastAsia="Times New Roman"/>
          <w:snapToGrid w:val="0"/>
          <w:kern w:val="22"/>
          <w:szCs w:val="22"/>
          <w:lang w:val="fr-CA" w:eastAsia="en-CA"/>
        </w:rPr>
      </w:pPr>
      <w:bookmarkStart w:id="29" w:name="_Hlk530243249"/>
      <w:r w:rsidRPr="0044626D">
        <w:rPr>
          <w:lang w:val="fr-CA"/>
        </w:rPr>
        <w:t>Le point 5 de l'ordre du jour a été examiné lors de la deuxième séance plénière de la réunion, le 17 novembre 2018.</w:t>
      </w:r>
      <w:r w:rsidRPr="0044626D">
        <w:rPr>
          <w:rFonts w:eastAsia="Times New Roman"/>
          <w:snapToGrid w:val="0"/>
          <w:kern w:val="22"/>
          <w:szCs w:val="22"/>
          <w:lang w:val="fr-CA"/>
        </w:rPr>
        <w:t xml:space="preserve"> </w:t>
      </w:r>
      <w:bookmarkEnd w:id="29"/>
    </w:p>
    <w:p w14:paraId="77180C53" w14:textId="1AF7DA7A"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rFonts w:eastAsia="Times New Roman"/>
          <w:snapToGrid w:val="0"/>
          <w:kern w:val="22"/>
          <w:szCs w:val="22"/>
          <w:lang w:val="fr-CA" w:eastAsia="en-CA"/>
        </w:rPr>
      </w:pPr>
      <w:r w:rsidRPr="0044626D">
        <w:rPr>
          <w:bCs/>
          <w:lang w:val="fr-CA"/>
        </w:rPr>
        <w:t>M. Kaspar Sollberger, président du Comité de conformité, a établi un rapport sur la deuxième réunion du Comité de conformité</w:t>
      </w:r>
      <w:r w:rsidRPr="0044626D">
        <w:rPr>
          <w:rFonts w:eastAsia="SimSun"/>
          <w:snapToGrid w:val="0"/>
          <w:kern w:val="22"/>
          <w:szCs w:val="22"/>
          <w:lang w:val="fr-CA"/>
        </w:rPr>
        <w:t>, qui s'est tenue à Montréal du 24 au 26 avril 2018</w:t>
      </w:r>
      <w:r w:rsidRPr="0044626D">
        <w:rPr>
          <w:bCs/>
          <w:lang w:val="fr-CA"/>
        </w:rPr>
        <w:t xml:space="preserve"> (</w:t>
      </w:r>
      <w:r w:rsidR="002D65C1" w:rsidRPr="0044626D">
        <w:rPr>
          <w:bCs/>
          <w:lang w:val="fr-CA"/>
        </w:rPr>
        <w:t>voir CBD/</w:t>
      </w:r>
      <w:r w:rsidRPr="0044626D">
        <w:rPr>
          <w:bCs/>
          <w:lang w:val="fr-CA"/>
        </w:rPr>
        <w:t xml:space="preserve">NP/MOP/3/2). Outre une vue d'ensemble fournie sur les informations figurant dans le rapport, il a noté que d'autres rapports nationaux provisoires avaient été reçus depuis la réunion du mois d'avril, et que 82 des 100 Parties </w:t>
      </w:r>
      <w:r w:rsidRPr="0044626D">
        <w:rPr>
          <w:snapToGrid w:val="0"/>
          <w:kern w:val="22"/>
          <w:szCs w:val="22"/>
          <w:lang w:val="fr-CA"/>
        </w:rPr>
        <w:t xml:space="preserve">qui étaient tenues de faire rapport avaient désormais soumis leurs rapports nationaux provisoires. </w:t>
      </w:r>
      <w:r w:rsidRPr="0044626D">
        <w:rPr>
          <w:bCs/>
          <w:lang w:val="fr-CA"/>
        </w:rPr>
        <w:t xml:space="preserve"> </w:t>
      </w:r>
    </w:p>
    <w:p w14:paraId="709DC037" w14:textId="1A40CFF6"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rFonts w:eastAsia="Times New Roman"/>
          <w:snapToGrid w:val="0"/>
          <w:kern w:val="22"/>
          <w:szCs w:val="22"/>
          <w:lang w:val="fr-CA" w:eastAsia="en-CA"/>
        </w:rPr>
      </w:pPr>
      <w:r w:rsidRPr="0044626D">
        <w:rPr>
          <w:rFonts w:eastAsia="Times New Roman"/>
          <w:snapToGrid w:val="0"/>
          <w:kern w:val="22"/>
          <w:szCs w:val="22"/>
          <w:lang w:val="fr-CA"/>
        </w:rPr>
        <w:t xml:space="preserve">Suite au rapport de M. Sollberger, la </w:t>
      </w:r>
      <w:r w:rsidRPr="0044626D">
        <w:rPr>
          <w:lang w:val="fr-CA"/>
        </w:rPr>
        <w:t xml:space="preserve">Conférence des Parties siégeant en tant que réunion des Parties </w:t>
      </w:r>
      <w:r w:rsidR="002D65C1" w:rsidRPr="0044626D">
        <w:rPr>
          <w:lang w:val="fr-CA"/>
        </w:rPr>
        <w:t xml:space="preserve">au Protocole de Nagoya </w:t>
      </w:r>
      <w:r w:rsidRPr="0044626D">
        <w:rPr>
          <w:rFonts w:eastAsia="Times New Roman"/>
          <w:snapToGrid w:val="0"/>
          <w:kern w:val="22"/>
          <w:szCs w:val="22"/>
          <w:lang w:val="fr-CA"/>
        </w:rPr>
        <w:t xml:space="preserve">a accepté d'examiner les recommandations du Comité au titre des points pertinents de l'ordre du jour. Pour les recommandations figurant dans la section A de l'annexe I </w:t>
      </w:r>
      <w:r w:rsidR="002D65C1" w:rsidRPr="0044626D">
        <w:rPr>
          <w:rFonts w:eastAsia="Times New Roman"/>
          <w:snapToGrid w:val="0"/>
          <w:kern w:val="22"/>
          <w:szCs w:val="22"/>
          <w:lang w:val="fr-CA"/>
        </w:rPr>
        <w:t>au rapport du comité</w:t>
      </w:r>
      <w:r w:rsidRPr="0044626D">
        <w:rPr>
          <w:bCs/>
          <w:lang w:val="fr-CA"/>
        </w:rPr>
        <w:t>, le président a déclaré qu'un projet de décision serait élaboré</w:t>
      </w:r>
      <w:r w:rsidRPr="0044626D">
        <w:rPr>
          <w:rFonts w:eastAsia="Times New Roman"/>
          <w:snapToGrid w:val="0"/>
          <w:kern w:val="22"/>
          <w:szCs w:val="22"/>
          <w:lang w:val="fr-CA"/>
        </w:rPr>
        <w:t xml:space="preserve">. </w:t>
      </w:r>
    </w:p>
    <w:p w14:paraId="6EE3E5C1" w14:textId="2560B481" w:rsidR="0043391E" w:rsidRPr="0044626D" w:rsidRDefault="0043391E" w:rsidP="0043391E">
      <w:pPr>
        <w:pStyle w:val="Para1"/>
        <w:tabs>
          <w:tab w:val="clear" w:pos="360"/>
          <w:tab w:val="clear" w:pos="567"/>
          <w:tab w:val="clear" w:pos="2912"/>
        </w:tabs>
        <w:spacing w:line="240" w:lineRule="auto"/>
        <w:rPr>
          <w:lang w:val="fr-CA"/>
        </w:rPr>
      </w:pPr>
      <w:r w:rsidRPr="0044626D">
        <w:rPr>
          <w:lang w:val="fr-CA"/>
        </w:rPr>
        <w:t xml:space="preserve">À la quatrième séance plénière de la réunion, le 22 novembre 2018, la Conférence des Parties siégeant en tant que réunion des Parties </w:t>
      </w:r>
      <w:r w:rsidR="002D65C1" w:rsidRPr="0044626D">
        <w:rPr>
          <w:lang w:val="fr-CA"/>
        </w:rPr>
        <w:t xml:space="preserve">au Protocole de Nagoya </w:t>
      </w:r>
      <w:r w:rsidRPr="0044626D">
        <w:rPr>
          <w:lang w:val="fr-CA"/>
        </w:rPr>
        <w:t>a examiné un projet de décision soumis par la présidence et l</w:t>
      </w:r>
      <w:r w:rsidR="002D65C1" w:rsidRPr="0044626D">
        <w:rPr>
          <w:lang w:val="fr-CA"/>
        </w:rPr>
        <w:t>'a adopté comme décision  NP</w:t>
      </w:r>
      <w:r w:rsidR="002D65C1" w:rsidRPr="0044626D">
        <w:rPr>
          <w:lang w:val="fr-CA"/>
        </w:rPr>
        <w:noBreakHyphen/>
        <w:t>3/2</w:t>
      </w:r>
      <w:r w:rsidRPr="0044626D">
        <w:rPr>
          <w:lang w:val="fr-CA"/>
        </w:rPr>
        <w:t>.</w:t>
      </w:r>
    </w:p>
    <w:p w14:paraId="09F97F73" w14:textId="18A54D50" w:rsidR="002D65C1" w:rsidRPr="0044626D" w:rsidRDefault="002D65C1" w:rsidP="0043391E">
      <w:pPr>
        <w:pStyle w:val="Para1"/>
        <w:tabs>
          <w:tab w:val="clear" w:pos="360"/>
          <w:tab w:val="clear" w:pos="567"/>
          <w:tab w:val="clear" w:pos="2912"/>
        </w:tabs>
        <w:spacing w:line="240" w:lineRule="auto"/>
        <w:rPr>
          <w:lang w:val="fr-CA"/>
        </w:rPr>
      </w:pPr>
      <w:r w:rsidRPr="0044626D">
        <w:rPr>
          <w:lang w:val="fr-CA"/>
        </w:rPr>
        <w:t>À la septième séance plénière de la réunion, le 28 novembre 2018, la Conférence des Parties siégeant en tant que réunion des Parties au Protocole de Nagoya a élu</w:t>
      </w:r>
      <w:r w:rsidR="00136509">
        <w:rPr>
          <w:lang w:val="fr-CA"/>
        </w:rPr>
        <w:t xml:space="preserve"> les membres suivants au C</w:t>
      </w:r>
      <w:r w:rsidR="008C0ABE" w:rsidRPr="0044626D">
        <w:rPr>
          <w:lang w:val="fr-CA"/>
        </w:rPr>
        <w:t>omité d</w:t>
      </w:r>
      <w:r w:rsidR="00136509">
        <w:rPr>
          <w:lang w:val="fr-CA"/>
        </w:rPr>
        <w:t>e conformité</w:t>
      </w:r>
      <w:r w:rsidR="00760AA4">
        <w:rPr>
          <w:lang w:val="fr-CA"/>
        </w:rPr>
        <w:t xml:space="preserve">, qui siégeront </w:t>
      </w:r>
      <w:r w:rsidR="00136509">
        <w:rPr>
          <w:lang w:val="fr-CA"/>
        </w:rPr>
        <w:t>au C</w:t>
      </w:r>
      <w:r w:rsidR="008C0ABE" w:rsidRPr="0044626D">
        <w:rPr>
          <w:lang w:val="fr-CA"/>
        </w:rPr>
        <w:t>omité de conformité à partir de 2019 :</w:t>
      </w:r>
    </w:p>
    <w:p w14:paraId="06D730FE" w14:textId="30A10B84" w:rsidR="008C0ABE" w:rsidRPr="0044626D" w:rsidRDefault="008C0ABE" w:rsidP="008C0ABE">
      <w:pPr>
        <w:pStyle w:val="Para1"/>
        <w:numPr>
          <w:ilvl w:val="0"/>
          <w:numId w:val="0"/>
        </w:numPr>
        <w:tabs>
          <w:tab w:val="clear" w:pos="567"/>
          <w:tab w:val="clear" w:pos="2912"/>
        </w:tabs>
        <w:spacing w:line="240" w:lineRule="auto"/>
        <w:ind w:firstLine="720"/>
        <w:rPr>
          <w:i/>
          <w:szCs w:val="22"/>
          <w:lang w:val="fr-CA"/>
        </w:rPr>
      </w:pPr>
      <w:r w:rsidRPr="0044626D">
        <w:rPr>
          <w:i/>
          <w:szCs w:val="22"/>
          <w:lang w:val="fr-CA"/>
        </w:rPr>
        <w:t>Afrique</w:t>
      </w:r>
    </w:p>
    <w:p w14:paraId="087F39AC" w14:textId="58EB85FC" w:rsidR="008C0ABE" w:rsidRPr="0044626D" w:rsidRDefault="008C0ABE" w:rsidP="008C0ABE">
      <w:pPr>
        <w:pStyle w:val="Para1"/>
        <w:numPr>
          <w:ilvl w:val="0"/>
          <w:numId w:val="0"/>
        </w:numPr>
        <w:tabs>
          <w:tab w:val="clear" w:pos="567"/>
          <w:tab w:val="clear" w:pos="2912"/>
        </w:tabs>
        <w:spacing w:before="0" w:after="0" w:line="240" w:lineRule="auto"/>
        <w:ind w:left="1134"/>
        <w:rPr>
          <w:szCs w:val="22"/>
          <w:lang w:val="fr-CA"/>
        </w:rPr>
      </w:pPr>
      <w:r w:rsidRPr="0044626D">
        <w:rPr>
          <w:szCs w:val="22"/>
          <w:lang w:val="fr-CA"/>
        </w:rPr>
        <w:t>M</w:t>
      </w:r>
      <w:r w:rsidRPr="0044626D">
        <w:rPr>
          <w:szCs w:val="22"/>
          <w:vertAlign w:val="superscript"/>
          <w:lang w:val="fr-CA"/>
        </w:rPr>
        <w:t>me</w:t>
      </w:r>
      <w:r w:rsidRPr="0044626D">
        <w:rPr>
          <w:szCs w:val="22"/>
          <w:lang w:val="fr-CA"/>
        </w:rPr>
        <w:t xml:space="preserve"> Betty Kauna Schroder (Namibie)</w:t>
      </w:r>
    </w:p>
    <w:p w14:paraId="13D43435" w14:textId="057E20CD" w:rsidR="008C0ABE" w:rsidRPr="00E6278A" w:rsidRDefault="008C0ABE" w:rsidP="008C0ABE">
      <w:pPr>
        <w:pStyle w:val="Para1"/>
        <w:numPr>
          <w:ilvl w:val="0"/>
          <w:numId w:val="0"/>
        </w:numPr>
        <w:tabs>
          <w:tab w:val="clear" w:pos="567"/>
          <w:tab w:val="clear" w:pos="2912"/>
        </w:tabs>
        <w:spacing w:before="0" w:after="0" w:line="240" w:lineRule="auto"/>
        <w:ind w:left="1134"/>
        <w:rPr>
          <w:szCs w:val="22"/>
          <w:lang w:val="en-US"/>
        </w:rPr>
      </w:pPr>
      <w:r w:rsidRPr="00E6278A">
        <w:rPr>
          <w:szCs w:val="22"/>
          <w:lang w:val="en-US"/>
        </w:rPr>
        <w:t>M</w:t>
      </w:r>
      <w:r w:rsidRPr="00E6278A">
        <w:rPr>
          <w:szCs w:val="22"/>
          <w:vertAlign w:val="superscript"/>
          <w:lang w:val="en-US"/>
        </w:rPr>
        <w:t>me</w:t>
      </w:r>
      <w:r w:rsidRPr="00E6278A">
        <w:rPr>
          <w:szCs w:val="22"/>
          <w:lang w:val="en-US"/>
        </w:rPr>
        <w:t xml:space="preserve"> El Kitma El Awad Mohammed (Soudan)</w:t>
      </w:r>
    </w:p>
    <w:p w14:paraId="4EE39BFC" w14:textId="1893A87E" w:rsidR="008C0ABE" w:rsidRPr="0044626D" w:rsidRDefault="008C0ABE" w:rsidP="008C0ABE">
      <w:pPr>
        <w:pStyle w:val="Para1"/>
        <w:numPr>
          <w:ilvl w:val="0"/>
          <w:numId w:val="0"/>
        </w:numPr>
        <w:tabs>
          <w:tab w:val="clear" w:pos="567"/>
          <w:tab w:val="clear" w:pos="2912"/>
        </w:tabs>
        <w:spacing w:before="0" w:after="0" w:line="240" w:lineRule="auto"/>
        <w:ind w:left="1134"/>
        <w:rPr>
          <w:szCs w:val="22"/>
          <w:lang w:val="fr-CA"/>
        </w:rPr>
      </w:pPr>
      <w:r w:rsidRPr="0044626D">
        <w:rPr>
          <w:szCs w:val="22"/>
          <w:lang w:val="fr-CA"/>
        </w:rPr>
        <w:t>M. Ashenafi Ayenew (Éthiopie) (</w:t>
      </w:r>
      <w:r w:rsidR="00760AA4">
        <w:rPr>
          <w:szCs w:val="22"/>
          <w:lang w:val="fr-CA"/>
        </w:rPr>
        <w:t xml:space="preserve">membre </w:t>
      </w:r>
      <w:r w:rsidRPr="0044626D">
        <w:rPr>
          <w:szCs w:val="22"/>
          <w:lang w:val="fr-CA"/>
        </w:rPr>
        <w:t>remplaçant)</w:t>
      </w:r>
    </w:p>
    <w:p w14:paraId="0CE3FE5F" w14:textId="73B3A69D" w:rsidR="008C0ABE" w:rsidRPr="0044626D" w:rsidRDefault="008C0ABE" w:rsidP="008C0ABE">
      <w:pPr>
        <w:pStyle w:val="Para1"/>
        <w:numPr>
          <w:ilvl w:val="0"/>
          <w:numId w:val="0"/>
        </w:numPr>
        <w:tabs>
          <w:tab w:val="clear" w:pos="567"/>
          <w:tab w:val="clear" w:pos="2912"/>
        </w:tabs>
        <w:spacing w:before="0" w:after="0" w:line="240" w:lineRule="auto"/>
        <w:ind w:left="1134"/>
        <w:rPr>
          <w:szCs w:val="22"/>
          <w:lang w:val="fr-CA"/>
        </w:rPr>
      </w:pPr>
      <w:r w:rsidRPr="0044626D">
        <w:rPr>
          <w:szCs w:val="22"/>
          <w:lang w:val="fr-CA"/>
        </w:rPr>
        <w:t>M. William Etim Okin (Nigeria) (</w:t>
      </w:r>
      <w:r w:rsidR="00760AA4">
        <w:rPr>
          <w:szCs w:val="22"/>
          <w:lang w:val="fr-CA"/>
        </w:rPr>
        <w:t xml:space="preserve">membre </w:t>
      </w:r>
      <w:r w:rsidRPr="0044626D">
        <w:rPr>
          <w:szCs w:val="22"/>
          <w:lang w:val="fr-CA"/>
        </w:rPr>
        <w:t>remplaçant)</w:t>
      </w:r>
    </w:p>
    <w:p w14:paraId="21A2449A" w14:textId="2187CD3F" w:rsidR="008C0ABE" w:rsidRPr="0044626D" w:rsidRDefault="008C0ABE" w:rsidP="008C0ABE">
      <w:pPr>
        <w:pStyle w:val="Para1"/>
        <w:numPr>
          <w:ilvl w:val="0"/>
          <w:numId w:val="0"/>
        </w:numPr>
        <w:tabs>
          <w:tab w:val="clear" w:pos="567"/>
          <w:tab w:val="clear" w:pos="2912"/>
        </w:tabs>
        <w:spacing w:line="240" w:lineRule="auto"/>
        <w:ind w:firstLine="720"/>
        <w:rPr>
          <w:i/>
          <w:szCs w:val="22"/>
          <w:lang w:val="fr-CA"/>
        </w:rPr>
      </w:pPr>
      <w:r w:rsidRPr="0044626D">
        <w:rPr>
          <w:i/>
          <w:szCs w:val="22"/>
          <w:lang w:val="fr-CA"/>
        </w:rPr>
        <w:t>Asie et Pacifique</w:t>
      </w:r>
    </w:p>
    <w:p w14:paraId="692E835C" w14:textId="745072B1" w:rsidR="008C0ABE" w:rsidRPr="0044626D" w:rsidRDefault="008C0ABE" w:rsidP="008C0ABE">
      <w:pPr>
        <w:pStyle w:val="Para1"/>
        <w:numPr>
          <w:ilvl w:val="0"/>
          <w:numId w:val="0"/>
        </w:numPr>
        <w:tabs>
          <w:tab w:val="clear" w:pos="567"/>
          <w:tab w:val="clear" w:pos="2912"/>
        </w:tabs>
        <w:spacing w:before="0" w:after="0" w:line="240" w:lineRule="auto"/>
        <w:ind w:left="1134"/>
        <w:rPr>
          <w:szCs w:val="22"/>
          <w:lang w:val="fr-CA"/>
        </w:rPr>
      </w:pPr>
      <w:r w:rsidRPr="0044626D">
        <w:rPr>
          <w:szCs w:val="22"/>
          <w:lang w:val="fr-CA"/>
        </w:rPr>
        <w:t>M. Park Won Seog (République de Corée)</w:t>
      </w:r>
    </w:p>
    <w:p w14:paraId="38726233" w14:textId="58EF63FE" w:rsidR="008C0ABE" w:rsidRPr="0044626D" w:rsidRDefault="008C0ABE" w:rsidP="008C0ABE">
      <w:pPr>
        <w:pStyle w:val="Para1"/>
        <w:numPr>
          <w:ilvl w:val="0"/>
          <w:numId w:val="0"/>
        </w:numPr>
        <w:tabs>
          <w:tab w:val="clear" w:pos="567"/>
          <w:tab w:val="clear" w:pos="2912"/>
        </w:tabs>
        <w:spacing w:before="0" w:after="0" w:line="240" w:lineRule="auto"/>
        <w:ind w:left="1134"/>
        <w:rPr>
          <w:szCs w:val="22"/>
          <w:lang w:val="fr-CA"/>
        </w:rPr>
      </w:pPr>
      <w:r w:rsidRPr="0044626D">
        <w:rPr>
          <w:szCs w:val="22"/>
          <w:lang w:val="fr-CA"/>
        </w:rPr>
        <w:t>M. Belal K. Al-Hayek (République arabe syrienne)</w:t>
      </w:r>
    </w:p>
    <w:p w14:paraId="172E0915" w14:textId="1E956EB5" w:rsidR="008C0ABE" w:rsidRPr="0044626D" w:rsidRDefault="008C0ABE" w:rsidP="008C0ABE">
      <w:pPr>
        <w:pStyle w:val="Para1"/>
        <w:numPr>
          <w:ilvl w:val="0"/>
          <w:numId w:val="0"/>
        </w:numPr>
        <w:tabs>
          <w:tab w:val="clear" w:pos="567"/>
          <w:tab w:val="clear" w:pos="2912"/>
        </w:tabs>
        <w:spacing w:line="240" w:lineRule="auto"/>
        <w:ind w:firstLine="720"/>
        <w:rPr>
          <w:i/>
          <w:szCs w:val="22"/>
          <w:lang w:val="fr-CA"/>
        </w:rPr>
      </w:pPr>
      <w:r w:rsidRPr="0044626D">
        <w:rPr>
          <w:i/>
          <w:szCs w:val="22"/>
          <w:lang w:val="fr-CA"/>
        </w:rPr>
        <w:lastRenderedPageBreak/>
        <w:t>Europe centrale et de l’Est</w:t>
      </w:r>
    </w:p>
    <w:p w14:paraId="5C1F3A34" w14:textId="662C7205" w:rsidR="008C0ABE" w:rsidRPr="0044626D" w:rsidRDefault="008C0ABE" w:rsidP="008C0ABE">
      <w:pPr>
        <w:pStyle w:val="Para1"/>
        <w:numPr>
          <w:ilvl w:val="0"/>
          <w:numId w:val="0"/>
        </w:numPr>
        <w:tabs>
          <w:tab w:val="clear" w:pos="567"/>
          <w:tab w:val="clear" w:pos="2912"/>
        </w:tabs>
        <w:spacing w:before="0" w:after="0" w:line="240" w:lineRule="auto"/>
        <w:ind w:left="1134"/>
        <w:rPr>
          <w:szCs w:val="22"/>
          <w:lang w:val="fr-CA"/>
        </w:rPr>
      </w:pPr>
      <w:r w:rsidRPr="0044626D">
        <w:rPr>
          <w:szCs w:val="22"/>
          <w:lang w:val="fr-CA"/>
        </w:rPr>
        <w:t>M</w:t>
      </w:r>
      <w:r w:rsidRPr="0044626D">
        <w:rPr>
          <w:szCs w:val="22"/>
          <w:vertAlign w:val="superscript"/>
          <w:lang w:val="fr-CA"/>
        </w:rPr>
        <w:t>me</w:t>
      </w:r>
      <w:r w:rsidRPr="0044626D">
        <w:rPr>
          <w:szCs w:val="22"/>
          <w:lang w:val="fr-CA"/>
        </w:rPr>
        <w:t xml:space="preserve"> Elena Makeyeva (Bélarus)</w:t>
      </w:r>
    </w:p>
    <w:p w14:paraId="3508B2FC" w14:textId="5AD2D440" w:rsidR="008C0ABE" w:rsidRPr="0044626D" w:rsidRDefault="008C0ABE" w:rsidP="008C0ABE">
      <w:pPr>
        <w:pStyle w:val="Para1"/>
        <w:numPr>
          <w:ilvl w:val="0"/>
          <w:numId w:val="0"/>
        </w:numPr>
        <w:tabs>
          <w:tab w:val="clear" w:pos="567"/>
          <w:tab w:val="clear" w:pos="2912"/>
        </w:tabs>
        <w:spacing w:before="0" w:after="0" w:line="240" w:lineRule="auto"/>
        <w:ind w:left="1134"/>
        <w:rPr>
          <w:szCs w:val="22"/>
          <w:lang w:val="fr-CA"/>
        </w:rPr>
      </w:pPr>
      <w:r w:rsidRPr="0044626D">
        <w:rPr>
          <w:szCs w:val="22"/>
          <w:lang w:val="fr-CA"/>
        </w:rPr>
        <w:t>M. Dilovarsho Dustov (Tadjikistan)</w:t>
      </w:r>
    </w:p>
    <w:p w14:paraId="29C73C13" w14:textId="4E0BC1C1" w:rsidR="008C0ABE" w:rsidRPr="0044626D" w:rsidRDefault="008C0ABE" w:rsidP="008C0ABE">
      <w:pPr>
        <w:pStyle w:val="Para1"/>
        <w:numPr>
          <w:ilvl w:val="0"/>
          <w:numId w:val="0"/>
        </w:numPr>
        <w:tabs>
          <w:tab w:val="clear" w:pos="567"/>
          <w:tab w:val="clear" w:pos="2912"/>
        </w:tabs>
        <w:spacing w:before="0" w:after="0" w:line="240" w:lineRule="auto"/>
        <w:ind w:left="1134"/>
        <w:rPr>
          <w:szCs w:val="22"/>
          <w:lang w:val="fr-CA"/>
        </w:rPr>
      </w:pPr>
      <w:r w:rsidRPr="0044626D">
        <w:rPr>
          <w:szCs w:val="22"/>
          <w:lang w:val="fr-CA"/>
        </w:rPr>
        <w:t>M. Peter Manka (Slovénie) (</w:t>
      </w:r>
      <w:r w:rsidR="00760AA4">
        <w:rPr>
          <w:szCs w:val="22"/>
          <w:lang w:val="fr-CA"/>
        </w:rPr>
        <w:t xml:space="preserve">membre </w:t>
      </w:r>
      <w:r w:rsidRPr="0044626D">
        <w:rPr>
          <w:szCs w:val="22"/>
          <w:lang w:val="fr-CA"/>
        </w:rPr>
        <w:t>remplaçant)</w:t>
      </w:r>
    </w:p>
    <w:p w14:paraId="5B58662A" w14:textId="021AC814" w:rsidR="008C0ABE" w:rsidRPr="0044626D" w:rsidRDefault="00236A0C" w:rsidP="008C0ABE">
      <w:pPr>
        <w:pStyle w:val="Para1"/>
        <w:numPr>
          <w:ilvl w:val="0"/>
          <w:numId w:val="0"/>
        </w:numPr>
        <w:tabs>
          <w:tab w:val="clear" w:pos="567"/>
          <w:tab w:val="clear" w:pos="2912"/>
        </w:tabs>
        <w:spacing w:line="240" w:lineRule="auto"/>
        <w:ind w:firstLine="720"/>
        <w:rPr>
          <w:i/>
          <w:szCs w:val="22"/>
          <w:lang w:val="fr-CA"/>
        </w:rPr>
      </w:pPr>
      <w:r w:rsidRPr="0044626D">
        <w:rPr>
          <w:i/>
          <w:szCs w:val="22"/>
          <w:lang w:val="fr-CA"/>
        </w:rPr>
        <w:t>Amérique latine et Caraïbes</w:t>
      </w:r>
    </w:p>
    <w:p w14:paraId="69543B1D" w14:textId="587A568B" w:rsidR="008C0ABE" w:rsidRPr="0044626D" w:rsidRDefault="008C0ABE" w:rsidP="008C0ABE">
      <w:pPr>
        <w:pStyle w:val="Para1"/>
        <w:numPr>
          <w:ilvl w:val="0"/>
          <w:numId w:val="0"/>
        </w:numPr>
        <w:tabs>
          <w:tab w:val="clear" w:pos="567"/>
          <w:tab w:val="clear" w:pos="2912"/>
        </w:tabs>
        <w:spacing w:before="0" w:after="0" w:line="240" w:lineRule="auto"/>
        <w:ind w:left="1134"/>
        <w:rPr>
          <w:szCs w:val="22"/>
          <w:lang w:val="fr-CA"/>
        </w:rPr>
      </w:pPr>
      <w:r w:rsidRPr="0044626D">
        <w:rPr>
          <w:szCs w:val="22"/>
          <w:lang w:val="fr-CA"/>
        </w:rPr>
        <w:t>M</w:t>
      </w:r>
      <w:r w:rsidR="00236A0C" w:rsidRPr="0044626D">
        <w:rPr>
          <w:szCs w:val="22"/>
          <w:vertAlign w:val="superscript"/>
          <w:lang w:val="fr-CA"/>
        </w:rPr>
        <w:t>me</w:t>
      </w:r>
      <w:r w:rsidRPr="0044626D">
        <w:rPr>
          <w:szCs w:val="22"/>
          <w:lang w:val="fr-CA"/>
        </w:rPr>
        <w:t xml:space="preserve"> Yolanda Octavalo (</w:t>
      </w:r>
      <w:r w:rsidR="00236A0C" w:rsidRPr="0044626D">
        <w:rPr>
          <w:szCs w:val="22"/>
          <w:lang w:val="fr-CA"/>
        </w:rPr>
        <w:t>Équateur</w:t>
      </w:r>
      <w:r w:rsidRPr="0044626D">
        <w:rPr>
          <w:szCs w:val="22"/>
          <w:lang w:val="fr-CA"/>
        </w:rPr>
        <w:t>)</w:t>
      </w:r>
    </w:p>
    <w:p w14:paraId="5F6CA9EA" w14:textId="11AB98E9" w:rsidR="008C0ABE" w:rsidRPr="0044626D" w:rsidRDefault="00236A0C" w:rsidP="008C0ABE">
      <w:pPr>
        <w:pStyle w:val="Para1"/>
        <w:numPr>
          <w:ilvl w:val="0"/>
          <w:numId w:val="0"/>
        </w:numPr>
        <w:tabs>
          <w:tab w:val="clear" w:pos="567"/>
          <w:tab w:val="clear" w:pos="2912"/>
        </w:tabs>
        <w:spacing w:before="0" w:after="0" w:line="240" w:lineRule="auto"/>
        <w:ind w:left="1134"/>
        <w:rPr>
          <w:szCs w:val="22"/>
          <w:lang w:val="fr-CA"/>
        </w:rPr>
      </w:pPr>
      <w:r w:rsidRPr="0044626D">
        <w:rPr>
          <w:szCs w:val="22"/>
          <w:lang w:val="fr-CA"/>
        </w:rPr>
        <w:t>M</w:t>
      </w:r>
      <w:r w:rsidRPr="0044626D">
        <w:rPr>
          <w:szCs w:val="22"/>
          <w:vertAlign w:val="superscript"/>
          <w:lang w:val="fr-CA"/>
        </w:rPr>
        <w:t>me</w:t>
      </w:r>
      <w:r w:rsidR="008C0ABE" w:rsidRPr="0044626D">
        <w:rPr>
          <w:szCs w:val="22"/>
          <w:lang w:val="fr-CA"/>
        </w:rPr>
        <w:t xml:space="preserve"> Micaela Bonafina </w:t>
      </w:r>
      <w:r w:rsidRPr="0044626D">
        <w:rPr>
          <w:szCs w:val="22"/>
          <w:lang w:val="fr-CA"/>
        </w:rPr>
        <w:t>(Argentine</w:t>
      </w:r>
      <w:r w:rsidR="008C0ABE" w:rsidRPr="0044626D">
        <w:rPr>
          <w:szCs w:val="22"/>
          <w:lang w:val="fr-CA"/>
        </w:rPr>
        <w:t>)</w:t>
      </w:r>
    </w:p>
    <w:p w14:paraId="66BF62CD" w14:textId="3AD4EC53" w:rsidR="008C0ABE" w:rsidRPr="0044626D" w:rsidRDefault="00236A0C" w:rsidP="008C0ABE">
      <w:pPr>
        <w:pStyle w:val="Para1"/>
        <w:numPr>
          <w:ilvl w:val="0"/>
          <w:numId w:val="0"/>
        </w:numPr>
        <w:tabs>
          <w:tab w:val="clear" w:pos="567"/>
          <w:tab w:val="clear" w:pos="2912"/>
        </w:tabs>
        <w:spacing w:line="240" w:lineRule="auto"/>
        <w:ind w:firstLine="720"/>
        <w:rPr>
          <w:i/>
          <w:szCs w:val="22"/>
          <w:lang w:val="fr-CA"/>
        </w:rPr>
      </w:pPr>
      <w:r w:rsidRPr="0044626D">
        <w:rPr>
          <w:i/>
          <w:szCs w:val="22"/>
          <w:lang w:val="fr-CA"/>
        </w:rPr>
        <w:t>Europe de l’Ouest et autres</w:t>
      </w:r>
    </w:p>
    <w:p w14:paraId="573E48C9" w14:textId="102E6F68" w:rsidR="008C0ABE" w:rsidRPr="0044626D" w:rsidRDefault="00236A0C" w:rsidP="008C0ABE">
      <w:pPr>
        <w:pStyle w:val="Para1"/>
        <w:numPr>
          <w:ilvl w:val="0"/>
          <w:numId w:val="0"/>
        </w:numPr>
        <w:tabs>
          <w:tab w:val="clear" w:pos="567"/>
          <w:tab w:val="clear" w:pos="2912"/>
        </w:tabs>
        <w:spacing w:before="0" w:after="0" w:line="240" w:lineRule="auto"/>
        <w:ind w:left="1134"/>
        <w:rPr>
          <w:szCs w:val="22"/>
          <w:lang w:val="fr-CA"/>
        </w:rPr>
      </w:pPr>
      <w:r w:rsidRPr="0044626D">
        <w:rPr>
          <w:szCs w:val="22"/>
          <w:lang w:val="fr-CA"/>
        </w:rPr>
        <w:t>M</w:t>
      </w:r>
      <w:r w:rsidR="008C0ABE" w:rsidRPr="0044626D">
        <w:rPr>
          <w:szCs w:val="22"/>
          <w:lang w:val="fr-CA"/>
        </w:rPr>
        <w:t>. Gaute Voigt-Hanssen (</w:t>
      </w:r>
      <w:r w:rsidRPr="0044626D">
        <w:rPr>
          <w:szCs w:val="22"/>
          <w:lang w:val="fr-CA"/>
        </w:rPr>
        <w:t>Norvège</w:t>
      </w:r>
      <w:r w:rsidR="008C0ABE" w:rsidRPr="0044626D">
        <w:rPr>
          <w:szCs w:val="22"/>
          <w:lang w:val="fr-CA"/>
        </w:rPr>
        <w:t>)</w:t>
      </w:r>
    </w:p>
    <w:p w14:paraId="0B7B1998" w14:textId="7F8CB103" w:rsidR="008C0ABE" w:rsidRPr="0044626D" w:rsidRDefault="00236A0C" w:rsidP="008C0ABE">
      <w:pPr>
        <w:pStyle w:val="Para1"/>
        <w:numPr>
          <w:ilvl w:val="0"/>
          <w:numId w:val="0"/>
        </w:numPr>
        <w:tabs>
          <w:tab w:val="clear" w:pos="567"/>
          <w:tab w:val="clear" w:pos="2912"/>
        </w:tabs>
        <w:spacing w:before="0" w:after="0" w:line="240" w:lineRule="auto"/>
        <w:ind w:left="1134"/>
        <w:rPr>
          <w:szCs w:val="22"/>
          <w:lang w:val="fr-CA"/>
        </w:rPr>
      </w:pPr>
      <w:r w:rsidRPr="0044626D">
        <w:rPr>
          <w:szCs w:val="22"/>
          <w:lang w:val="fr-CA"/>
        </w:rPr>
        <w:t>M</w:t>
      </w:r>
      <w:r w:rsidRPr="0044626D">
        <w:rPr>
          <w:szCs w:val="22"/>
          <w:vertAlign w:val="superscript"/>
          <w:lang w:val="fr-CA"/>
        </w:rPr>
        <w:t>me</w:t>
      </w:r>
      <w:r w:rsidR="008C0ABE" w:rsidRPr="0044626D">
        <w:rPr>
          <w:szCs w:val="22"/>
          <w:lang w:val="fr-CA"/>
        </w:rPr>
        <w:t xml:space="preserve"> Salomé Sidler (</w:t>
      </w:r>
      <w:r w:rsidRPr="0044626D">
        <w:rPr>
          <w:szCs w:val="22"/>
          <w:lang w:val="fr-CA"/>
        </w:rPr>
        <w:t>Suisse</w:t>
      </w:r>
      <w:r w:rsidR="008C0ABE" w:rsidRPr="0044626D">
        <w:rPr>
          <w:szCs w:val="22"/>
          <w:lang w:val="fr-CA"/>
        </w:rPr>
        <w:t>)</w:t>
      </w:r>
    </w:p>
    <w:p w14:paraId="2C09319F" w14:textId="4D0C02F6" w:rsidR="008C0ABE" w:rsidRPr="0044626D" w:rsidRDefault="00236A0C" w:rsidP="00236A0C">
      <w:pPr>
        <w:pStyle w:val="Para1"/>
        <w:numPr>
          <w:ilvl w:val="0"/>
          <w:numId w:val="0"/>
        </w:numPr>
        <w:tabs>
          <w:tab w:val="clear" w:pos="567"/>
          <w:tab w:val="clear" w:pos="2912"/>
        </w:tabs>
        <w:spacing w:before="0" w:line="240" w:lineRule="auto"/>
        <w:ind w:left="1134"/>
        <w:rPr>
          <w:szCs w:val="22"/>
          <w:lang w:val="fr-CA"/>
        </w:rPr>
      </w:pPr>
      <w:r w:rsidRPr="0044626D">
        <w:rPr>
          <w:szCs w:val="22"/>
          <w:lang w:val="fr-CA"/>
        </w:rPr>
        <w:t>M</w:t>
      </w:r>
      <w:r w:rsidRPr="0044626D">
        <w:rPr>
          <w:szCs w:val="22"/>
          <w:vertAlign w:val="superscript"/>
          <w:lang w:val="fr-CA"/>
        </w:rPr>
        <w:t>me</w:t>
      </w:r>
      <w:r w:rsidR="008C0ABE" w:rsidRPr="0044626D">
        <w:rPr>
          <w:szCs w:val="22"/>
          <w:lang w:val="fr-CA"/>
        </w:rPr>
        <w:t xml:space="preserve"> Mery Ciacci (</w:t>
      </w:r>
      <w:r w:rsidRPr="0044626D">
        <w:rPr>
          <w:szCs w:val="22"/>
          <w:lang w:val="fr-CA"/>
        </w:rPr>
        <w:t>Union européenne</w:t>
      </w:r>
      <w:r w:rsidR="008C0ABE" w:rsidRPr="0044626D">
        <w:rPr>
          <w:szCs w:val="22"/>
          <w:lang w:val="fr-CA"/>
        </w:rPr>
        <w:t>) (</w:t>
      </w:r>
      <w:r w:rsidR="00760AA4">
        <w:rPr>
          <w:szCs w:val="22"/>
          <w:lang w:val="fr-CA"/>
        </w:rPr>
        <w:t>membre remplaçant</w:t>
      </w:r>
      <w:r w:rsidR="008C0ABE" w:rsidRPr="0044626D">
        <w:rPr>
          <w:szCs w:val="22"/>
          <w:lang w:val="fr-CA"/>
        </w:rPr>
        <w:t>)</w:t>
      </w:r>
    </w:p>
    <w:p w14:paraId="3CBAD0E6" w14:textId="3A240E2C" w:rsidR="0032361D" w:rsidRPr="0044626D" w:rsidRDefault="00584D89" w:rsidP="00584D89">
      <w:pPr>
        <w:pStyle w:val="Para1"/>
        <w:tabs>
          <w:tab w:val="clear" w:pos="360"/>
          <w:tab w:val="clear" w:pos="567"/>
          <w:tab w:val="clear" w:pos="2912"/>
        </w:tabs>
        <w:spacing w:line="240" w:lineRule="auto"/>
        <w:rPr>
          <w:lang w:val="fr-CA"/>
        </w:rPr>
      </w:pPr>
      <w:r w:rsidRPr="0044626D">
        <w:rPr>
          <w:lang w:val="fr-CA"/>
        </w:rPr>
        <w:t>À cette même séance plénière, la Conférence des Parties siégeant en tant que réunion des Parties au Protoco</w:t>
      </w:r>
      <w:r w:rsidR="00760AA4">
        <w:rPr>
          <w:lang w:val="fr-CA"/>
        </w:rPr>
        <w:t>le de Nagoya a également élu deu</w:t>
      </w:r>
      <w:r w:rsidRPr="0044626D">
        <w:rPr>
          <w:lang w:val="fr-CA"/>
        </w:rPr>
        <w:t>x représentants des peuples autochtones et communautés locales pour siéger à titre d’observateurs : M</w:t>
      </w:r>
      <w:r w:rsidRPr="0044626D">
        <w:rPr>
          <w:vertAlign w:val="superscript"/>
          <w:lang w:val="fr-CA"/>
        </w:rPr>
        <w:t>me</w:t>
      </w:r>
      <w:r w:rsidRPr="0044626D">
        <w:rPr>
          <w:lang w:val="fr-CA"/>
        </w:rPr>
        <w:t xml:space="preserve"> Jennifer Tauli Corpuz et M</w:t>
      </w:r>
      <w:r w:rsidRPr="0044626D">
        <w:rPr>
          <w:vertAlign w:val="superscript"/>
          <w:lang w:val="fr-CA"/>
        </w:rPr>
        <w:t>me</w:t>
      </w:r>
      <w:r w:rsidRPr="0044626D">
        <w:rPr>
          <w:lang w:val="fr-CA"/>
        </w:rPr>
        <w:t xml:space="preserve"> Yeshing Juliana </w:t>
      </w:r>
      <w:r w:rsidRPr="0044626D">
        <w:rPr>
          <w:szCs w:val="22"/>
          <w:lang w:val="fr-CA"/>
        </w:rPr>
        <w:t>Upún Yos (toutes deux représentantes du Forum international des peuples autochtones sur la biodiversité/</w:t>
      </w:r>
      <w:r w:rsidR="00F601FB">
        <w:rPr>
          <w:szCs w:val="22"/>
          <w:lang w:val="fr-CA"/>
        </w:rPr>
        <w:t>Réseau des femmes autochtones pour la biodiversité</w:t>
      </w:r>
      <w:r w:rsidRPr="0044626D">
        <w:rPr>
          <w:szCs w:val="22"/>
          <w:lang w:val="fr-CA"/>
        </w:rPr>
        <w:t>).</w:t>
      </w:r>
    </w:p>
    <w:p w14:paraId="37F20CFB" w14:textId="77777777" w:rsidR="0043391E" w:rsidRPr="0044626D" w:rsidRDefault="0043391E" w:rsidP="006E676F">
      <w:pPr>
        <w:pStyle w:val="Heading1multiline"/>
        <w:spacing w:line="240" w:lineRule="auto"/>
        <w:rPr>
          <w:rFonts w:ascii="Times New Roman" w:hAnsi="Times New Roman" w:cs="Times New Roman"/>
          <w:lang w:val="fr-CA"/>
        </w:rPr>
      </w:pPr>
      <w:r w:rsidRPr="0044626D">
        <w:rPr>
          <w:rFonts w:ascii="Times New Roman" w:hAnsi="Times New Roman" w:cs="Times New Roman"/>
          <w:lang w:val="fr-CA"/>
        </w:rPr>
        <w:t xml:space="preserve">POINT 6. </w:t>
      </w:r>
      <w:r w:rsidRPr="0044626D">
        <w:rPr>
          <w:rFonts w:ascii="Times New Roman" w:hAnsi="Times New Roman" w:cs="Times New Roman"/>
          <w:lang w:val="fr-CA"/>
        </w:rPr>
        <w:tab/>
        <w:t>ADMINISTRATION DU PROTOCOLE ET BUDGET POUR LES FONDS D'AFFECTATION SPÉCIALE</w:t>
      </w:r>
    </w:p>
    <w:p w14:paraId="5BE8DA5D" w14:textId="4D487B3B" w:rsidR="0043391E" w:rsidRPr="0044626D" w:rsidRDefault="0043391E" w:rsidP="006E676F">
      <w:pPr>
        <w:pStyle w:val="Para1"/>
        <w:tabs>
          <w:tab w:val="clear" w:pos="360"/>
          <w:tab w:val="clear" w:pos="567"/>
          <w:tab w:val="clear" w:pos="2912"/>
        </w:tabs>
        <w:spacing w:line="240" w:lineRule="auto"/>
        <w:rPr>
          <w:color w:val="000000"/>
          <w:lang w:val="fr-CA"/>
        </w:rPr>
      </w:pPr>
      <w:r w:rsidRPr="0044626D">
        <w:rPr>
          <w:lang w:val="fr-CA"/>
        </w:rPr>
        <w:t xml:space="preserve">Le point 6 de l'ordre du jour a été examiné lors de la deuxième séance plénière de la réunion, le 17 novembre 2018. Dans le cadre de l'examen de ce point, la Conférence des Parties siégeant en tant que réunion des Parties </w:t>
      </w:r>
      <w:r w:rsidR="008712FF" w:rsidRPr="0044626D">
        <w:rPr>
          <w:lang w:val="fr-CA"/>
        </w:rPr>
        <w:t xml:space="preserve">au Protocole de Nagoya </w:t>
      </w:r>
      <w:r w:rsidRPr="0044626D">
        <w:rPr>
          <w:lang w:val="fr-CA"/>
        </w:rPr>
        <w:t>a été saisie du rapport de la Secrétaire exécutive sur l'administration de la Convention et des Protocoles de Cartagena et de Nagoya pour l'exercice biennal</w:t>
      </w:r>
      <w:r w:rsidRPr="0044626D">
        <w:rPr>
          <w:color w:val="000000"/>
          <w:lang w:val="fr-CA"/>
        </w:rPr>
        <w:t> 2017-2018</w:t>
      </w:r>
      <w:r w:rsidRPr="0044626D">
        <w:rPr>
          <w:lang w:val="fr-CA"/>
        </w:rPr>
        <w:t>, y compris le budget du fonds d'affectation spéciale (CBD/COP/14/3), le budget proposé pour le programme de travail de la Convention et des Protocoles de Cartagena et de Nagoya pour l'exercice biennal</w:t>
      </w:r>
      <w:r w:rsidRPr="0044626D">
        <w:rPr>
          <w:color w:val="000000"/>
          <w:lang w:val="fr-CA"/>
        </w:rPr>
        <w:t> 2019-2020</w:t>
      </w:r>
      <w:r w:rsidRPr="0044626D">
        <w:rPr>
          <w:lang w:val="fr-CA"/>
        </w:rPr>
        <w:t xml:space="preserve"> (CBD/COP/14/4), ainsi que les éléments d'un projet de décision sur la question (</w:t>
      </w:r>
      <w:r w:rsidR="008712FF" w:rsidRPr="0044626D">
        <w:rPr>
          <w:lang w:val="fr-CA"/>
        </w:rPr>
        <w:t xml:space="preserve">voir </w:t>
      </w:r>
      <w:r w:rsidRPr="0044626D">
        <w:rPr>
          <w:color w:val="000000"/>
          <w:lang w:val="fr-CA"/>
        </w:rPr>
        <w:t xml:space="preserve">CBD/COP/14/2) et d'un </w:t>
      </w:r>
      <w:r w:rsidR="008712FF" w:rsidRPr="0044626D">
        <w:rPr>
          <w:color w:val="000000"/>
          <w:lang w:val="fr-CA"/>
        </w:rPr>
        <w:t>document informatif</w:t>
      </w:r>
      <w:r w:rsidRPr="0044626D">
        <w:rPr>
          <w:lang w:val="fr-CA"/>
        </w:rPr>
        <w:t xml:space="preserve"> sur l'administration de la Convention et le budget du fonds d'affectation spéciale de la Convention et des Protocoles de Cartagena et de Nagoya (CBD/COP/14/INF/17).</w:t>
      </w:r>
      <w:r w:rsidRPr="0044626D">
        <w:rPr>
          <w:color w:val="000000"/>
          <w:lang w:val="fr-CA"/>
        </w:rPr>
        <w:t xml:space="preserve"> </w:t>
      </w:r>
    </w:p>
    <w:p w14:paraId="0F0E122E" w14:textId="77777777" w:rsidR="0043391E" w:rsidRPr="0044626D" w:rsidRDefault="0043391E" w:rsidP="0043391E">
      <w:pPr>
        <w:pStyle w:val="Para1"/>
        <w:tabs>
          <w:tab w:val="clear" w:pos="360"/>
          <w:tab w:val="clear" w:pos="567"/>
          <w:tab w:val="clear" w:pos="2912"/>
        </w:tabs>
        <w:spacing w:line="240" w:lineRule="auto"/>
        <w:rPr>
          <w:lang w:val="fr-CA"/>
        </w:rPr>
      </w:pPr>
      <w:r w:rsidRPr="0044626D">
        <w:rPr>
          <w:lang w:val="fr-CA"/>
        </w:rPr>
        <w:t>Le représentant du Japon a pris la parole.</w:t>
      </w:r>
    </w:p>
    <w:p w14:paraId="29DC33DF" w14:textId="3D82B391" w:rsidR="0043391E" w:rsidRPr="0044626D" w:rsidRDefault="0043391E" w:rsidP="0043391E">
      <w:pPr>
        <w:pStyle w:val="Para1"/>
        <w:tabs>
          <w:tab w:val="clear" w:pos="360"/>
          <w:tab w:val="clear" w:pos="567"/>
          <w:tab w:val="clear" w:pos="2912"/>
        </w:tabs>
        <w:spacing w:line="240" w:lineRule="auto"/>
        <w:rPr>
          <w:lang w:val="fr-CA"/>
        </w:rPr>
      </w:pPr>
      <w:r w:rsidRPr="0044626D">
        <w:rPr>
          <w:lang w:val="fr-CA"/>
        </w:rPr>
        <w:t xml:space="preserve">La Conférence des Parties siégeant en tant que réunion des Parties </w:t>
      </w:r>
      <w:r w:rsidR="008712FF" w:rsidRPr="0044626D">
        <w:rPr>
          <w:lang w:val="fr-CA"/>
        </w:rPr>
        <w:t xml:space="preserve">au Protocole de Nagoya </w:t>
      </w:r>
      <w:r w:rsidRPr="0044626D">
        <w:rPr>
          <w:lang w:val="fr-CA"/>
        </w:rPr>
        <w:t xml:space="preserve">a pris note des rapports et a </w:t>
      </w:r>
      <w:r w:rsidR="008712FF" w:rsidRPr="0044626D">
        <w:rPr>
          <w:lang w:val="fr-CA"/>
        </w:rPr>
        <w:t>décidé</w:t>
      </w:r>
      <w:r w:rsidRPr="0044626D">
        <w:rPr>
          <w:lang w:val="fr-CA"/>
        </w:rPr>
        <w:t xml:space="preserve"> de créer un groupe de contact sur le budget, ayant pour mandat d'examiner la question et d'élaborer un projet de budget pour le programme de travail de l'exercice biennal 2019–2020, aux fins d'examen par les Parties. Le groupe de contact serait présidé par M. Spencer Thomas (Grenade), il serait ouvert à toutes les Parties et se réunirait de façon informelle sur invitation de son président, les réunions étant annoncées au préalable dans le calendrier journalier des réunions.</w:t>
      </w:r>
    </w:p>
    <w:p w14:paraId="7FBEBE96" w14:textId="573171C5" w:rsidR="0043391E" w:rsidRPr="0044626D" w:rsidRDefault="0043391E" w:rsidP="0043391E">
      <w:pPr>
        <w:pStyle w:val="Para1"/>
        <w:tabs>
          <w:tab w:val="clear" w:pos="360"/>
          <w:tab w:val="clear" w:pos="567"/>
          <w:tab w:val="clear" w:pos="2912"/>
        </w:tabs>
        <w:spacing w:line="240" w:lineRule="auto"/>
        <w:rPr>
          <w:lang w:val="fr-CA"/>
        </w:rPr>
      </w:pPr>
      <w:r w:rsidRPr="0044626D">
        <w:rPr>
          <w:lang w:val="fr-CA"/>
        </w:rPr>
        <w:t xml:space="preserve">La Conférence des Parties siégeant en tant que réunion des Parties </w:t>
      </w:r>
      <w:r w:rsidR="008712FF" w:rsidRPr="0044626D">
        <w:rPr>
          <w:lang w:val="fr-CA"/>
        </w:rPr>
        <w:t xml:space="preserve">au Protocole de Nagoya </w:t>
      </w:r>
      <w:r w:rsidRPr="0044626D">
        <w:rPr>
          <w:lang w:val="fr-CA"/>
        </w:rPr>
        <w:t>a entendu des rapports d'activité présentés par le président du groupe de contact à composition non limitée sur le budget à la quatrième séance plénière de la réunion, le 22 novembre 2018, et</w:t>
      </w:r>
      <w:r w:rsidR="008712FF" w:rsidRPr="0044626D">
        <w:rPr>
          <w:lang w:val="fr-CA"/>
        </w:rPr>
        <w:t xml:space="preserve"> à la cinquième séance plénière</w:t>
      </w:r>
      <w:r w:rsidRPr="0044626D">
        <w:rPr>
          <w:lang w:val="fr-CA"/>
        </w:rPr>
        <w:t>, le 25 novembre 2018.</w:t>
      </w:r>
    </w:p>
    <w:p w14:paraId="1EE67F84" w14:textId="77197DD2" w:rsidR="008712FF" w:rsidRPr="0044626D" w:rsidRDefault="008712FF" w:rsidP="0043391E">
      <w:pPr>
        <w:pStyle w:val="Para1"/>
        <w:tabs>
          <w:tab w:val="clear" w:pos="360"/>
          <w:tab w:val="clear" w:pos="567"/>
          <w:tab w:val="clear" w:pos="2912"/>
        </w:tabs>
        <w:spacing w:line="240" w:lineRule="auto"/>
        <w:rPr>
          <w:lang w:val="fr-CA"/>
        </w:rPr>
      </w:pPr>
      <w:r w:rsidRPr="0044626D">
        <w:rPr>
          <w:lang w:val="fr-CA"/>
        </w:rPr>
        <w:t xml:space="preserve">À la huitième séance plénière, le 29 novembre 2018, la Conférence des Parties siégeant en tant que réunion des Parties au Protocole de Nagoya a </w:t>
      </w:r>
      <w:r w:rsidR="006E676F">
        <w:rPr>
          <w:lang w:val="fr-CA"/>
        </w:rPr>
        <w:t>examiné</w:t>
      </w:r>
      <w:r w:rsidRPr="0044626D">
        <w:rPr>
          <w:lang w:val="fr-CA"/>
        </w:rPr>
        <w:t xml:space="preserve"> le projet de décision CBD/NP/MOP/3/L.6 sur le budget du programme de travail intégré du Secrétariat.</w:t>
      </w:r>
    </w:p>
    <w:p w14:paraId="616EF51C" w14:textId="7273831B" w:rsidR="00B866C8" w:rsidRPr="0044626D" w:rsidRDefault="00B866C8" w:rsidP="0043391E">
      <w:pPr>
        <w:pStyle w:val="Para1"/>
        <w:tabs>
          <w:tab w:val="clear" w:pos="360"/>
          <w:tab w:val="clear" w:pos="567"/>
          <w:tab w:val="clear" w:pos="2912"/>
        </w:tabs>
        <w:spacing w:line="240" w:lineRule="auto"/>
        <w:rPr>
          <w:lang w:val="fr-CA"/>
        </w:rPr>
      </w:pPr>
      <w:r w:rsidRPr="0044626D">
        <w:rPr>
          <w:lang w:val="fr-CA"/>
        </w:rPr>
        <w:t>La Conférence des Parties siégeant en tant que réunion des Parties au Protocole de Nagoya a adopté le projet de décision en tant que décision NP-3/16 (voir le texte au chapitre I).</w:t>
      </w:r>
    </w:p>
    <w:p w14:paraId="7E1CFE8E" w14:textId="77777777" w:rsidR="0043391E" w:rsidRPr="0044626D" w:rsidRDefault="0043391E" w:rsidP="00A87F6E">
      <w:pPr>
        <w:pStyle w:val="Heading1multiline"/>
        <w:spacing w:line="240" w:lineRule="auto"/>
        <w:rPr>
          <w:rFonts w:ascii="Times New Roman" w:hAnsi="Times New Roman" w:cs="Times New Roman"/>
          <w:lang w:val="fr-CA"/>
        </w:rPr>
      </w:pPr>
      <w:r w:rsidRPr="0044626D">
        <w:rPr>
          <w:rFonts w:ascii="Times New Roman" w:hAnsi="Times New Roman" w:cs="Times New Roman"/>
          <w:lang w:val="fr-CA"/>
        </w:rPr>
        <w:lastRenderedPageBreak/>
        <w:t>POINT 7.</w:t>
      </w:r>
      <w:r w:rsidRPr="0044626D">
        <w:rPr>
          <w:rFonts w:ascii="Times New Roman" w:hAnsi="Times New Roman" w:cs="Times New Roman"/>
          <w:lang w:val="fr-CA"/>
        </w:rPr>
        <w:tab/>
        <w:t>Évaluation et examen de l'efficacité du Protocole (article 31)</w:t>
      </w:r>
    </w:p>
    <w:p w14:paraId="395E92CF" w14:textId="6251BBF7"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color w:val="000000"/>
          <w:kern w:val="22"/>
          <w:szCs w:val="22"/>
          <w:lang w:val="fr-CA"/>
        </w:rPr>
        <w:t>Le Groupe de travail I a abordé le point 7 de l’ordre du jour à sa première session, le 18 novembre 2018. Le Groupe de travail</w:t>
      </w:r>
      <w:r w:rsidRPr="0044626D">
        <w:rPr>
          <w:szCs w:val="22"/>
          <w:lang w:val="fr-CA"/>
        </w:rPr>
        <w:t xml:space="preserve"> a entrepris ses travaux en ayant en main </w:t>
      </w:r>
      <w:r w:rsidR="00B866C8" w:rsidRPr="0044626D">
        <w:rPr>
          <w:szCs w:val="22"/>
          <w:lang w:val="fr-CA"/>
        </w:rPr>
        <w:t>une note de la Secrétaire exécutive sur l</w:t>
      </w:r>
      <w:r w:rsidRPr="0044626D">
        <w:rPr>
          <w:szCs w:val="22"/>
          <w:lang w:val="fr-CA"/>
        </w:rPr>
        <w:t>'examen de l’efficacité du Protocole (article 31)</w:t>
      </w:r>
      <w:r w:rsidRPr="0044626D">
        <w:rPr>
          <w:kern w:val="22"/>
          <w:szCs w:val="22"/>
          <w:lang w:val="fr-CA"/>
        </w:rPr>
        <w:t xml:space="preserve"> (CBD/NP/MOP/3/3) et un projet de décision fondé sur la recommandation SBI-2/2 </w:t>
      </w:r>
      <w:r w:rsidR="00B866C8" w:rsidRPr="0044626D">
        <w:rPr>
          <w:kern w:val="22"/>
          <w:szCs w:val="22"/>
          <w:lang w:val="fr-CA"/>
        </w:rPr>
        <w:t xml:space="preserve"> </w:t>
      </w:r>
      <w:r w:rsidR="006E676F">
        <w:rPr>
          <w:kern w:val="22"/>
          <w:szCs w:val="22"/>
          <w:lang w:val="fr-CA"/>
        </w:rPr>
        <w:t xml:space="preserve">de l’Organe subsidiaire chargé de l’application </w:t>
      </w:r>
      <w:r w:rsidR="00B866C8" w:rsidRPr="0044626D">
        <w:rPr>
          <w:kern w:val="22"/>
          <w:szCs w:val="22"/>
          <w:lang w:val="fr-CA"/>
        </w:rPr>
        <w:t xml:space="preserve">et des éléments supplémentaires </w:t>
      </w:r>
      <w:r w:rsidR="00CB4700" w:rsidRPr="0044626D">
        <w:rPr>
          <w:kern w:val="22"/>
          <w:szCs w:val="22"/>
          <w:lang w:val="fr-CA"/>
        </w:rPr>
        <w:t>extraits du</w:t>
      </w:r>
      <w:r w:rsidR="00B866C8" w:rsidRPr="0044626D">
        <w:rPr>
          <w:kern w:val="22"/>
          <w:szCs w:val="22"/>
          <w:lang w:val="fr-CA"/>
        </w:rPr>
        <w:t xml:space="preserve"> document CBD/NP/MOP/3/3 </w:t>
      </w:r>
      <w:r w:rsidRPr="0044626D">
        <w:rPr>
          <w:kern w:val="22"/>
          <w:szCs w:val="22"/>
          <w:lang w:val="fr-CA"/>
        </w:rPr>
        <w:t>comp</w:t>
      </w:r>
      <w:r w:rsidR="00B866C8" w:rsidRPr="0044626D">
        <w:rPr>
          <w:kern w:val="22"/>
          <w:szCs w:val="22"/>
          <w:lang w:val="fr-CA"/>
        </w:rPr>
        <w:t>ris</w:t>
      </w:r>
      <w:r w:rsidRPr="0044626D">
        <w:rPr>
          <w:kern w:val="22"/>
          <w:szCs w:val="22"/>
          <w:lang w:val="fr-CA"/>
        </w:rPr>
        <w:t xml:space="preserve"> dans la compilation des décisions (CBD/NP/MOP/3/1/Add.2). Il a aussi été saisi de</w:t>
      </w:r>
      <w:r w:rsidR="00B866C8" w:rsidRPr="0044626D">
        <w:rPr>
          <w:kern w:val="22"/>
          <w:szCs w:val="22"/>
          <w:lang w:val="fr-CA"/>
        </w:rPr>
        <w:t>s</w:t>
      </w:r>
      <w:r w:rsidRPr="0044626D">
        <w:rPr>
          <w:kern w:val="22"/>
          <w:szCs w:val="22"/>
          <w:lang w:val="fr-CA"/>
        </w:rPr>
        <w:t xml:space="preserve"> documents </w:t>
      </w:r>
      <w:r w:rsidR="004734CA">
        <w:rPr>
          <w:kern w:val="22"/>
          <w:szCs w:val="22"/>
          <w:lang w:val="fr-CA"/>
        </w:rPr>
        <w:t>informatifs</w:t>
      </w:r>
      <w:r w:rsidRPr="0044626D">
        <w:rPr>
          <w:kern w:val="22"/>
          <w:szCs w:val="22"/>
          <w:lang w:val="fr-CA"/>
        </w:rPr>
        <w:t xml:space="preserve"> </w:t>
      </w:r>
      <w:r w:rsidR="00B866C8" w:rsidRPr="0044626D">
        <w:rPr>
          <w:kern w:val="22"/>
          <w:szCs w:val="22"/>
          <w:lang w:val="fr-CA"/>
        </w:rPr>
        <w:t xml:space="preserve">suivants </w:t>
      </w:r>
      <w:r w:rsidRPr="0044626D">
        <w:rPr>
          <w:kern w:val="22"/>
          <w:szCs w:val="22"/>
          <w:lang w:val="fr-CA"/>
        </w:rPr>
        <w:t>sur l’évaluation et examen de l’efficacité du Protocole de Nagoya</w:t>
      </w:r>
      <w:r w:rsidR="00B866C8" w:rsidRPr="0044626D">
        <w:rPr>
          <w:kern w:val="22"/>
          <w:szCs w:val="22"/>
          <w:lang w:val="fr-CA"/>
        </w:rPr>
        <w:t> :</w:t>
      </w:r>
      <w:r w:rsidRPr="0044626D">
        <w:rPr>
          <w:szCs w:val="22"/>
          <w:lang w:val="fr-CA"/>
        </w:rPr>
        <w:t xml:space="preserve"> </w:t>
      </w:r>
      <w:r w:rsidR="00B866C8" w:rsidRPr="0044626D">
        <w:rPr>
          <w:szCs w:val="22"/>
          <w:lang w:val="fr-CA"/>
        </w:rPr>
        <w:t xml:space="preserve"> a) </w:t>
      </w:r>
      <w:r w:rsidRPr="0044626D">
        <w:rPr>
          <w:szCs w:val="22"/>
          <w:lang w:val="fr-CA"/>
        </w:rPr>
        <w:t xml:space="preserve">l’analyse de l’information contenue dans les rapports nationaux intérimaires et de l’information publiée dans le centre d’échange sur l’accès et le partage des avantages (CBD/SBI/2/INF/3), </w:t>
      </w:r>
      <w:r w:rsidR="00B866C8" w:rsidRPr="0044626D">
        <w:rPr>
          <w:szCs w:val="22"/>
          <w:lang w:val="fr-CA"/>
        </w:rPr>
        <w:t xml:space="preserve">b) </w:t>
      </w:r>
      <w:r w:rsidRPr="0044626D">
        <w:rPr>
          <w:szCs w:val="22"/>
          <w:lang w:val="fr-CA"/>
        </w:rPr>
        <w:t xml:space="preserve">l’examen statistique des réponses fournies dans le rapport national intérimaire pour le Protocole de Nagoya (CBD/SBI/2/INF/4), </w:t>
      </w:r>
      <w:r w:rsidR="005065A0" w:rsidRPr="0044626D">
        <w:rPr>
          <w:szCs w:val="22"/>
          <w:lang w:val="fr-CA"/>
        </w:rPr>
        <w:t xml:space="preserve">c) </w:t>
      </w:r>
      <w:r w:rsidRPr="0044626D">
        <w:rPr>
          <w:szCs w:val="22"/>
          <w:lang w:val="fr-CA"/>
        </w:rPr>
        <w:t xml:space="preserve">l’examen de la mise en œuvre et du fonctionnement du centre d’échanges sur l’accès et le partage des avantages (CBD/SBI/2/INF/7) et </w:t>
      </w:r>
      <w:r w:rsidR="005065A0" w:rsidRPr="0044626D">
        <w:rPr>
          <w:szCs w:val="22"/>
          <w:lang w:val="fr-CA"/>
        </w:rPr>
        <w:t xml:space="preserve">d) </w:t>
      </w:r>
      <w:r w:rsidRPr="0044626D">
        <w:rPr>
          <w:szCs w:val="22"/>
          <w:lang w:val="fr-CA"/>
        </w:rPr>
        <w:t>l’inventaire des modèles de dispositions contractuelles, des codes de conduite, des lignes directrices, des meilleures pratiques et des normes, ainsi que des lois coutumières, des protocoles communautaires et des procédures des peuples autochtones et des communautés locales (CBD/SBI/2/INF/8</w:t>
      </w:r>
      <w:r w:rsidRPr="0044626D">
        <w:rPr>
          <w:kern w:val="22"/>
          <w:szCs w:val="22"/>
          <w:lang w:val="fr-CA"/>
        </w:rPr>
        <w:t>).</w:t>
      </w:r>
    </w:p>
    <w:p w14:paraId="7C32E789" w14:textId="77777777"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szCs w:val="22"/>
          <w:lang w:val="fr-CA"/>
        </w:rPr>
        <w:t>Les représentants des pays suivants ont présenté un exposé : Argentine, Inde, Indonésie, Japon, Malaisie, Mexique, Ouganda, Union européenne et ses 28 États membres et Venezuela (République bolivarienne du).</w:t>
      </w:r>
    </w:p>
    <w:p w14:paraId="47E978E4" w14:textId="77777777"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szCs w:val="22"/>
          <w:lang w:val="fr-CA"/>
        </w:rPr>
        <w:t>Le Groupe de travail a repris son examen de la question à sa deuxième session, le 18 novembre 2018.</w:t>
      </w:r>
    </w:p>
    <w:p w14:paraId="62CFA20F" w14:textId="77777777"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szCs w:val="22"/>
          <w:lang w:val="fr-CA"/>
        </w:rPr>
        <w:t xml:space="preserve">Les représentants de l’Afrique du Sud, de la Côte d’Ivoire, de l’Équateur, de la Guinée, de la Jordanie, du Liban, du Niger, du Pérou, du Soudan, de la Suisse et de la République centrafricaine ont présenté un exposé. </w:t>
      </w:r>
    </w:p>
    <w:p w14:paraId="5289147B" w14:textId="77777777"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szCs w:val="22"/>
          <w:lang w:val="fr-CA"/>
        </w:rPr>
        <w:t>Les représentants du Costa Rica et du Maroc ont aussi présenté un exposé.</w:t>
      </w:r>
    </w:p>
    <w:p w14:paraId="6FE39643" w14:textId="77777777"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szCs w:val="22"/>
          <w:lang w:val="fr-CA"/>
        </w:rPr>
        <w:t>Le représentant de la FAO a fait connaître sa position.</w:t>
      </w:r>
    </w:p>
    <w:p w14:paraId="0908718B" w14:textId="77777777"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szCs w:val="22"/>
          <w:lang w:val="fr-CA"/>
        </w:rPr>
        <w:t xml:space="preserve">Un représentant des peuples autochtones et des communautés locales a également fait connaître son point de vue. </w:t>
      </w:r>
    </w:p>
    <w:p w14:paraId="23F895DF" w14:textId="77777777"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kern w:val="22"/>
          <w:szCs w:val="22"/>
          <w:lang w:val="fr-CA"/>
        </w:rPr>
        <w:t>Le président a indiqué qu’il préparerait un projet de décision révisé sur la question qui tiendrait compte des points de vue exprimés verbalement et par écrit.</w:t>
      </w:r>
    </w:p>
    <w:p w14:paraId="129A6494" w14:textId="77777777"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kern w:val="22"/>
          <w:szCs w:val="22"/>
          <w:lang w:val="fr-CA"/>
        </w:rPr>
        <w:t xml:space="preserve">Le Groupe de travail a examiné le projet de décision proposé par le président à sa septième session, le </w:t>
      </w:r>
      <w:r w:rsidRPr="0044626D">
        <w:rPr>
          <w:kern w:val="22"/>
          <w:szCs w:val="22"/>
          <w:lang w:val="fr-CA"/>
        </w:rPr>
        <w:br/>
        <w:t>21 novembre 2018.</w:t>
      </w:r>
    </w:p>
    <w:p w14:paraId="48115011" w14:textId="77777777"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kern w:val="22"/>
          <w:szCs w:val="22"/>
          <w:lang w:val="fr-CA"/>
        </w:rPr>
        <w:t>Les représentants du Gabon, du Japon, du Madagascar, du Mexique, du Niger et de l’Union européenne et ses 28 États membres ont présenté un exposé.</w:t>
      </w:r>
    </w:p>
    <w:p w14:paraId="5B396EE5" w14:textId="77777777"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kern w:val="22"/>
          <w:szCs w:val="22"/>
          <w:lang w:val="fr-CA"/>
        </w:rPr>
        <w:t xml:space="preserve"> Le représentant du Forum international des peuples autochtones sur la biodiversité a fait connaître son point de vue.</w:t>
      </w:r>
    </w:p>
    <w:p w14:paraId="45603569" w14:textId="77777777" w:rsidR="0043391E" w:rsidRPr="0044626D" w:rsidRDefault="0043391E" w:rsidP="005065A0">
      <w:pPr>
        <w:pStyle w:val="Para1"/>
        <w:tabs>
          <w:tab w:val="clear" w:pos="360"/>
          <w:tab w:val="clear" w:pos="567"/>
          <w:tab w:val="clear" w:pos="2912"/>
        </w:tabs>
        <w:spacing w:line="240" w:lineRule="auto"/>
        <w:rPr>
          <w:lang w:val="fr-CA"/>
        </w:rPr>
      </w:pPr>
      <w:r w:rsidRPr="0044626D">
        <w:rPr>
          <w:kern w:val="22"/>
          <w:szCs w:val="22"/>
          <w:lang w:val="fr-CA"/>
        </w:rPr>
        <w:t xml:space="preserve">Le Groupe de travail a approuvé le projet de décision révisé amendé verbalement pour transmission à la plénière en tant que projet de décision </w:t>
      </w:r>
      <w:r w:rsidRPr="0044626D">
        <w:rPr>
          <w:lang w:val="fr-CA"/>
        </w:rPr>
        <w:t>CBD/NP/MOP/3/L.2.</w:t>
      </w:r>
    </w:p>
    <w:p w14:paraId="16EDDE67" w14:textId="62A1F5B6" w:rsidR="0043391E" w:rsidRPr="0044626D" w:rsidRDefault="0043391E" w:rsidP="005065A0">
      <w:pPr>
        <w:pStyle w:val="Para1"/>
        <w:tabs>
          <w:tab w:val="clear" w:pos="360"/>
          <w:tab w:val="clear" w:pos="567"/>
          <w:tab w:val="clear" w:pos="2912"/>
        </w:tabs>
        <w:spacing w:line="240" w:lineRule="auto"/>
        <w:rPr>
          <w:lang w:val="fr-CA"/>
        </w:rPr>
      </w:pPr>
      <w:r w:rsidRPr="0044626D">
        <w:rPr>
          <w:bCs/>
          <w:szCs w:val="22"/>
          <w:lang w:val="fr-CA"/>
        </w:rPr>
        <w:t xml:space="preserve">À la cinquième séance plénière de la réunion, le 25 novembre 2018, la Conférence des Parties siégeant en tant que réunion des Parties </w:t>
      </w:r>
      <w:r w:rsidR="005065A0" w:rsidRPr="0044626D">
        <w:rPr>
          <w:bCs/>
          <w:szCs w:val="22"/>
          <w:lang w:val="fr-CA"/>
        </w:rPr>
        <w:t xml:space="preserve">au Protocole de Nagoya </w:t>
      </w:r>
      <w:r w:rsidRPr="0044626D">
        <w:rPr>
          <w:bCs/>
          <w:szCs w:val="22"/>
          <w:lang w:val="fr-CA"/>
        </w:rPr>
        <w:t>a adopté le projet de décision CBD/NP/</w:t>
      </w:r>
      <w:r w:rsidR="005065A0" w:rsidRPr="0044626D">
        <w:rPr>
          <w:bCs/>
          <w:szCs w:val="22"/>
          <w:lang w:val="fr-CA"/>
        </w:rPr>
        <w:t>MOP/3/L.2, modifié oralement, comme décision NP-3/1 (voir le texte au chapitre I)</w:t>
      </w:r>
      <w:r w:rsidRPr="0044626D">
        <w:rPr>
          <w:bCs/>
          <w:szCs w:val="22"/>
          <w:lang w:val="fr-CA"/>
        </w:rPr>
        <w:t>.</w:t>
      </w:r>
    </w:p>
    <w:p w14:paraId="3E79E66A" w14:textId="77777777" w:rsidR="0043391E" w:rsidRPr="0044626D" w:rsidRDefault="0043391E" w:rsidP="0043391E">
      <w:pPr>
        <w:pStyle w:val="Titre1"/>
        <w:rPr>
          <w:rFonts w:ascii="Times New Roman" w:hAnsi="Times New Roman" w:cs="Times New Roman"/>
          <w:lang w:val="fr-CA"/>
        </w:rPr>
      </w:pPr>
      <w:r w:rsidRPr="0044626D">
        <w:rPr>
          <w:rFonts w:ascii="Times New Roman" w:hAnsi="Times New Roman" w:cs="Times New Roman"/>
          <w:lang w:val="fr-CA"/>
        </w:rPr>
        <w:t>POINT 8.</w:t>
      </w:r>
      <w:r w:rsidRPr="0044626D">
        <w:rPr>
          <w:rFonts w:ascii="Times New Roman" w:hAnsi="Times New Roman" w:cs="Times New Roman"/>
          <w:lang w:val="fr-CA"/>
        </w:rPr>
        <w:tab/>
        <w:t>Mécanisme de financement et ressources financières (article 25)</w:t>
      </w:r>
    </w:p>
    <w:p w14:paraId="658957E8" w14:textId="585D944C"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rFonts w:eastAsia="Batang"/>
          <w:snapToGrid w:val="0"/>
          <w:kern w:val="22"/>
          <w:szCs w:val="22"/>
          <w:lang w:val="fr-CA"/>
        </w:rPr>
      </w:pPr>
      <w:r w:rsidRPr="0044626D">
        <w:rPr>
          <w:color w:val="000000"/>
          <w:kern w:val="22"/>
          <w:szCs w:val="22"/>
          <w:lang w:val="fr-CA"/>
        </w:rPr>
        <w:t xml:space="preserve">Le Groupe de travail I a abordé le point 8 de l’ordre du jour à sa quatrième session, le 19 novembre 2018. </w:t>
      </w:r>
      <w:r w:rsidRPr="0044626D">
        <w:rPr>
          <w:snapToGrid w:val="0"/>
          <w:kern w:val="22"/>
          <w:szCs w:val="22"/>
          <w:lang w:val="fr-CA"/>
        </w:rPr>
        <w:t xml:space="preserve"> Le Groupe de travail a entrepris ses travaux en ayant en main la note de la Secrétaire exécutive sur le mécanisme de financement et ressources financières (CBD/NP/MOP/3/5) et le rapport du </w:t>
      </w:r>
      <w:r w:rsidR="005065A0" w:rsidRPr="0044626D">
        <w:rPr>
          <w:snapToGrid w:val="0"/>
          <w:kern w:val="22"/>
          <w:szCs w:val="22"/>
          <w:lang w:val="fr-CA"/>
        </w:rPr>
        <w:t>Fonds pour l’environnement mondial (FEM)</w:t>
      </w:r>
      <w:r w:rsidRPr="0044626D">
        <w:rPr>
          <w:snapToGrid w:val="0"/>
          <w:kern w:val="22"/>
          <w:szCs w:val="22"/>
          <w:lang w:val="fr-CA"/>
        </w:rPr>
        <w:t xml:space="preserve"> </w:t>
      </w:r>
      <w:r w:rsidRPr="0044626D">
        <w:rPr>
          <w:rFonts w:eastAsia="Batang"/>
          <w:szCs w:val="22"/>
          <w:lang w:val="fr-CA"/>
        </w:rPr>
        <w:t>(CBD/COP/14/7). Il avait aussi en main un projet de décision de la compilation des projets de décision (CBD/NP/MOP/3/1/Add.2)</w:t>
      </w:r>
      <w:r w:rsidRPr="0044626D">
        <w:rPr>
          <w:rFonts w:eastAsia="Batang"/>
          <w:snapToGrid w:val="0"/>
          <w:kern w:val="22"/>
          <w:szCs w:val="22"/>
          <w:lang w:val="fr-CA"/>
        </w:rPr>
        <w:t>.</w:t>
      </w:r>
    </w:p>
    <w:p w14:paraId="60FE5298"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rFonts w:eastAsia="Batang"/>
          <w:snapToGrid w:val="0"/>
          <w:kern w:val="22"/>
          <w:szCs w:val="22"/>
          <w:lang w:val="fr-CA"/>
        </w:rPr>
      </w:pPr>
      <w:r w:rsidRPr="0044626D">
        <w:rPr>
          <w:rFonts w:eastAsia="Batang"/>
          <w:snapToGrid w:val="0"/>
          <w:kern w:val="22"/>
          <w:szCs w:val="22"/>
          <w:lang w:val="fr-CA"/>
        </w:rPr>
        <w:t>Les représentants de l’Inde, du Mexique et de l’Union européenne et ses 28 États Membres ont présenté un exposé.</w:t>
      </w:r>
    </w:p>
    <w:p w14:paraId="17B37FF7"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rFonts w:eastAsia="Batang"/>
          <w:snapToGrid w:val="0"/>
          <w:kern w:val="22"/>
          <w:szCs w:val="22"/>
          <w:lang w:val="fr-CA"/>
        </w:rPr>
      </w:pPr>
      <w:r w:rsidRPr="0044626D">
        <w:rPr>
          <w:kern w:val="22"/>
          <w:szCs w:val="22"/>
          <w:lang w:val="fr-CA"/>
        </w:rPr>
        <w:lastRenderedPageBreak/>
        <w:t>Le président a indiqué qu’il préparerait un projet de décision révisé sur la question qui tiendrait compte des points de vue exprimés verbalement et par écrit.</w:t>
      </w:r>
    </w:p>
    <w:p w14:paraId="5C40EC0A" w14:textId="5657611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rFonts w:eastAsia="Batang"/>
          <w:snapToGrid w:val="0"/>
          <w:kern w:val="22"/>
          <w:szCs w:val="22"/>
          <w:lang w:val="fr-CA"/>
        </w:rPr>
      </w:pPr>
      <w:r w:rsidRPr="0044626D">
        <w:rPr>
          <w:snapToGrid w:val="0"/>
          <w:lang w:val="fr-CA"/>
        </w:rPr>
        <w:t>Le Groupe de travail a examiné le projet de décision préparé par le préside</w:t>
      </w:r>
      <w:r w:rsidR="007815EB">
        <w:rPr>
          <w:snapToGrid w:val="0"/>
          <w:lang w:val="fr-CA"/>
        </w:rPr>
        <w:t>nt à sa neuvième session, le 22 </w:t>
      </w:r>
      <w:r w:rsidRPr="0044626D">
        <w:rPr>
          <w:snapToGrid w:val="0"/>
          <w:lang w:val="fr-CA"/>
        </w:rPr>
        <w:t>novembre 2018</w:t>
      </w:r>
      <w:r w:rsidRPr="0044626D">
        <w:rPr>
          <w:kern w:val="22"/>
          <w:szCs w:val="22"/>
          <w:lang w:val="fr-CA"/>
        </w:rPr>
        <w:t>.</w:t>
      </w:r>
    </w:p>
    <w:p w14:paraId="41AC1625"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rFonts w:eastAsia="Batang"/>
          <w:snapToGrid w:val="0"/>
          <w:kern w:val="22"/>
          <w:szCs w:val="22"/>
          <w:lang w:val="fr-CA"/>
        </w:rPr>
      </w:pPr>
      <w:r w:rsidRPr="0044626D">
        <w:rPr>
          <w:kern w:val="22"/>
          <w:szCs w:val="22"/>
          <w:lang w:val="fr-CA"/>
        </w:rPr>
        <w:t>Un représentant du FEM a présenté un exposé.</w:t>
      </w:r>
    </w:p>
    <w:p w14:paraId="01DA7378" w14:textId="77777777" w:rsidR="0043391E" w:rsidRPr="0044626D" w:rsidRDefault="0043391E" w:rsidP="005065A0">
      <w:pPr>
        <w:pStyle w:val="Para1"/>
        <w:tabs>
          <w:tab w:val="clear" w:pos="360"/>
          <w:tab w:val="clear" w:pos="567"/>
          <w:tab w:val="clear" w:pos="2912"/>
        </w:tabs>
        <w:spacing w:line="240" w:lineRule="auto"/>
        <w:rPr>
          <w:lang w:val="fr-CA"/>
        </w:rPr>
      </w:pPr>
      <w:r w:rsidRPr="0044626D">
        <w:rPr>
          <w:kern w:val="22"/>
          <w:szCs w:val="22"/>
          <w:lang w:val="fr-CA"/>
        </w:rPr>
        <w:t xml:space="preserve">Le Groupe de travail a approuvé le projet de décision révisé amendé verbalement pour transmission à la plénière en tant que projet de décision </w:t>
      </w:r>
      <w:r w:rsidRPr="0044626D">
        <w:rPr>
          <w:snapToGrid w:val="0"/>
          <w:lang w:val="fr-CA"/>
        </w:rPr>
        <w:t>CBD/NP/MOP/3/L.6.</w:t>
      </w:r>
    </w:p>
    <w:p w14:paraId="348C76E5" w14:textId="35783207" w:rsidR="0043391E" w:rsidRPr="0044626D" w:rsidRDefault="005065A0" w:rsidP="005065A0">
      <w:pPr>
        <w:pStyle w:val="Para1"/>
        <w:tabs>
          <w:tab w:val="clear" w:pos="360"/>
          <w:tab w:val="clear" w:pos="567"/>
          <w:tab w:val="clear" w:pos="2912"/>
        </w:tabs>
        <w:spacing w:line="240" w:lineRule="auto"/>
        <w:rPr>
          <w:lang w:val="fr-CA"/>
        </w:rPr>
      </w:pPr>
      <w:r w:rsidRPr="0044626D">
        <w:rPr>
          <w:lang w:val="fr-CA"/>
        </w:rPr>
        <w:t xml:space="preserve">À la huitième séance plénière, le 29 novembre 2018, la Conférence des Parties siégeant en tant que réunion des Parties </w:t>
      </w:r>
      <w:r w:rsidR="00014BFD" w:rsidRPr="0044626D">
        <w:rPr>
          <w:lang w:val="fr-CA"/>
        </w:rPr>
        <w:t xml:space="preserve">au Protocole de Nagoya a adopté le projet de décision </w:t>
      </w:r>
      <w:r w:rsidR="00014BFD" w:rsidRPr="0044626D">
        <w:rPr>
          <w:szCs w:val="22"/>
          <w:lang w:val="fr-CA"/>
        </w:rPr>
        <w:t>CBD/NP/MOP/3/L.6 en tant que décision NP-3/8 (voir le texte au chapitre I)</w:t>
      </w:r>
      <w:r w:rsidR="0043391E" w:rsidRPr="0044626D">
        <w:rPr>
          <w:lang w:val="fr-CA"/>
        </w:rPr>
        <w:t>.</w:t>
      </w:r>
    </w:p>
    <w:p w14:paraId="0BBA00CB" w14:textId="77777777" w:rsidR="0043391E" w:rsidRPr="0044626D" w:rsidRDefault="0043391E" w:rsidP="00A87F6E">
      <w:pPr>
        <w:pStyle w:val="Heading1longmultiline"/>
        <w:spacing w:line="240" w:lineRule="auto"/>
        <w:rPr>
          <w:rFonts w:ascii="Times New Roman" w:hAnsi="Times New Roman" w:cs="Times New Roman"/>
          <w:lang w:val="fr-CA"/>
        </w:rPr>
      </w:pPr>
      <w:r w:rsidRPr="0044626D">
        <w:rPr>
          <w:rFonts w:ascii="Times New Roman" w:hAnsi="Times New Roman" w:cs="Times New Roman"/>
          <w:lang w:val="fr-CA"/>
        </w:rPr>
        <w:t>POINT 9.</w:t>
      </w:r>
      <w:r w:rsidRPr="0044626D">
        <w:rPr>
          <w:rFonts w:ascii="Times New Roman" w:hAnsi="Times New Roman" w:cs="Times New Roman"/>
          <w:lang w:val="fr-CA"/>
        </w:rPr>
        <w:tab/>
        <w:t>Mesures d'aide à la création et au renforcement des capacités (article 22)</w:t>
      </w:r>
    </w:p>
    <w:p w14:paraId="79BD2ECE" w14:textId="517EB2F0"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color w:val="000000"/>
          <w:kern w:val="22"/>
          <w:szCs w:val="22"/>
          <w:lang w:val="fr-CA"/>
        </w:rPr>
        <w:t xml:space="preserve">Le Groupe de travail I a abordé le point 9 de l’ordre du jour  à sa quatrième session, le 19 novembre 2018. </w:t>
      </w:r>
      <w:r w:rsidRPr="0044626D">
        <w:rPr>
          <w:snapToGrid w:val="0"/>
          <w:kern w:val="22"/>
          <w:szCs w:val="22"/>
          <w:lang w:val="fr-CA"/>
        </w:rPr>
        <w:t xml:space="preserve"> Le Groupe de travail a examiné le point en ayant en main un rapport d’activités sur </w:t>
      </w:r>
      <w:r w:rsidRPr="0044626D">
        <w:rPr>
          <w:kern w:val="22"/>
          <w:szCs w:val="22"/>
          <w:lang w:val="fr-CA"/>
        </w:rPr>
        <w:t xml:space="preserve">les mesures propres à faciliter le renforcement des capacités et la création de capacités (article 22) (CBD/NP/MOP/3/4), </w:t>
      </w:r>
      <w:r w:rsidR="00014BFD" w:rsidRPr="0044626D">
        <w:rPr>
          <w:kern w:val="22"/>
          <w:szCs w:val="22"/>
          <w:lang w:val="fr-CA"/>
        </w:rPr>
        <w:t xml:space="preserve">ainsi que les documents informatifs suivants : a) </w:t>
      </w:r>
      <w:r w:rsidRPr="0044626D">
        <w:rPr>
          <w:kern w:val="22"/>
          <w:szCs w:val="22"/>
          <w:lang w:val="fr-CA"/>
        </w:rPr>
        <w:t>le rapport</w:t>
      </w:r>
      <w:r w:rsidRPr="0044626D">
        <w:rPr>
          <w:snapToGrid w:val="0"/>
          <w:kern w:val="22"/>
          <w:szCs w:val="22"/>
          <w:lang w:val="fr-CA"/>
        </w:rPr>
        <w:t xml:space="preserve"> du Comité consultatif informel sur le renforcement des capacités pour l’application du Protocole de Nagoya à sa troisième réunion (CBD/ABS/CB-IAC/2018/1/4), </w:t>
      </w:r>
      <w:bookmarkStart w:id="30" w:name="_Hlk524956061"/>
      <w:r w:rsidR="00014BFD" w:rsidRPr="0044626D">
        <w:rPr>
          <w:snapToGrid w:val="0"/>
          <w:kern w:val="22"/>
          <w:szCs w:val="22"/>
          <w:lang w:val="fr-CA"/>
        </w:rPr>
        <w:t xml:space="preserve">b) </w:t>
      </w:r>
      <w:r w:rsidRPr="0044626D">
        <w:rPr>
          <w:snapToGrid w:val="0"/>
          <w:kern w:val="22"/>
          <w:szCs w:val="22"/>
          <w:lang w:val="fr-CA"/>
        </w:rPr>
        <w:t xml:space="preserve">un aperçu des programmes de renforcement et de création des capacités offrant un soutien direct aux pays pour l’application du Protocole de Nagoya (CBD/NP/MOP/3/INF/1), </w:t>
      </w:r>
      <w:r w:rsidR="00014BFD" w:rsidRPr="0044626D">
        <w:rPr>
          <w:snapToGrid w:val="0"/>
          <w:kern w:val="22"/>
          <w:szCs w:val="22"/>
          <w:lang w:val="fr-CA"/>
        </w:rPr>
        <w:t xml:space="preserve">c) </w:t>
      </w:r>
      <w:r w:rsidRPr="0044626D">
        <w:rPr>
          <w:snapToGrid w:val="0"/>
          <w:kern w:val="22"/>
          <w:szCs w:val="22"/>
          <w:lang w:val="fr-CA"/>
        </w:rPr>
        <w:t xml:space="preserve">un aperçu des outils et ressources de renforcement des capacités d’accès et de partage des avantages (CBD/NP/MOP/3/INF/2) et </w:t>
      </w:r>
      <w:r w:rsidR="00014BFD" w:rsidRPr="0044626D">
        <w:rPr>
          <w:snapToGrid w:val="0"/>
          <w:kern w:val="22"/>
          <w:szCs w:val="22"/>
          <w:lang w:val="fr-CA"/>
        </w:rPr>
        <w:t xml:space="preserve">d) </w:t>
      </w:r>
      <w:r w:rsidRPr="0044626D">
        <w:rPr>
          <w:snapToGrid w:val="0"/>
          <w:kern w:val="22"/>
          <w:szCs w:val="22"/>
          <w:lang w:val="fr-CA"/>
        </w:rPr>
        <w:t xml:space="preserve">le programme de renforcement des capacités en appui à l’application du Protocole de Nagoya : aperçu et enseignements </w:t>
      </w:r>
      <w:bookmarkEnd w:id="30"/>
      <w:r w:rsidRPr="0044626D">
        <w:rPr>
          <w:snapToGrid w:val="0"/>
          <w:kern w:val="22"/>
          <w:szCs w:val="22"/>
          <w:lang w:val="fr-CA"/>
        </w:rPr>
        <w:t>(CBD/NP/MOP/3/INF/6).</w:t>
      </w:r>
    </w:p>
    <w:p w14:paraId="69B9847A" w14:textId="0CEF1DA4"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kern w:val="22"/>
          <w:szCs w:val="22"/>
          <w:lang w:val="fr-CA"/>
        </w:rPr>
        <w:t>Le Groupe de travail avait aussi en main un projet de décision fondé sur la recommandation SBI-2/8</w:t>
      </w:r>
      <w:r w:rsidR="007815EB">
        <w:rPr>
          <w:snapToGrid w:val="0"/>
          <w:kern w:val="22"/>
          <w:szCs w:val="22"/>
          <w:lang w:val="fr-CA"/>
        </w:rPr>
        <w:t xml:space="preserve"> de l’Organe subsidiaire chargé de l’application</w:t>
      </w:r>
      <w:r w:rsidRPr="0044626D">
        <w:rPr>
          <w:snapToGrid w:val="0"/>
          <w:kern w:val="22"/>
          <w:szCs w:val="22"/>
          <w:lang w:val="fr-CA"/>
        </w:rPr>
        <w:t xml:space="preserve"> </w:t>
      </w:r>
      <w:r w:rsidR="00014BFD" w:rsidRPr="0044626D">
        <w:rPr>
          <w:snapToGrid w:val="0"/>
          <w:kern w:val="22"/>
          <w:szCs w:val="22"/>
          <w:lang w:val="fr-CA"/>
        </w:rPr>
        <w:t xml:space="preserve">et des éléments supplémentaires extraits du document </w:t>
      </w:r>
      <w:r w:rsidR="00014BFD" w:rsidRPr="0044626D">
        <w:rPr>
          <w:szCs w:val="22"/>
          <w:lang w:val="fr-CA"/>
        </w:rPr>
        <w:t xml:space="preserve">CBD/NP/MOP/3/4 </w:t>
      </w:r>
      <w:r w:rsidRPr="0044626D">
        <w:rPr>
          <w:snapToGrid w:val="0"/>
          <w:kern w:val="22"/>
          <w:szCs w:val="22"/>
          <w:lang w:val="fr-CA"/>
        </w:rPr>
        <w:t xml:space="preserve">compris dans la compilation des projets de décision </w:t>
      </w:r>
      <w:r w:rsidRPr="0044626D">
        <w:rPr>
          <w:szCs w:val="22"/>
          <w:lang w:val="fr-CA"/>
        </w:rPr>
        <w:t>(CBD/NP/MOP/3/1/Add.2). La deuxième partie du projet de décision, qui porte sur le cadre stratégique à long terme de renforcement des capacités, est tirée de la recommandation 2/8, partie II, de l’Organe subsidiaire chargé de l’application, et est liée au projet de décision sur le renforcement des capacités de la Conférence des Parties. Tout changement intégré à ce dernier dans la foulée des échanges sur le sujet au point de l’ordre du jour pertinent de la Conférence des Parties sera donc intégré dans le projet de décision en cours d’examen. Pour ces raisons, le Groupe de travail a concentré ses efforts sur l’examen du nouveau texte contenu dans la première partie du projet de décision, portant sur le cadre stratégique de renforcement des capacités et de développement pour l’application du Protocole de Nagoya.</w:t>
      </w:r>
    </w:p>
    <w:p w14:paraId="0D1C2F0A"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kern w:val="22"/>
          <w:szCs w:val="22"/>
          <w:lang w:val="fr-CA"/>
        </w:rPr>
        <w:t>Les représentants des pays suivants ont présenté un exposé : Afrique du Sud, Argentine, Burkina Faso, Côte d’Ivoire, Gabon, Inde, Japon, Jordanie, Kenya, Mexique, Ouganda, Philippines, Union européenne et ses 28 États membres et Viet Nam.</w:t>
      </w:r>
    </w:p>
    <w:p w14:paraId="0D4549A2"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kern w:val="22"/>
          <w:szCs w:val="22"/>
          <w:lang w:val="fr-CA"/>
        </w:rPr>
        <w:t>Le représentant du Maroc a aussi présenté un exposé.</w:t>
      </w:r>
    </w:p>
    <w:p w14:paraId="36268BC4"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kern w:val="22"/>
          <w:szCs w:val="22"/>
          <w:lang w:val="fr-CA"/>
        </w:rPr>
        <w:t>Le représentant du Forum des peuples autochtones sur la biodiversité a fait connaître son point de vue.</w:t>
      </w:r>
    </w:p>
    <w:p w14:paraId="7FCCB5B7"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kern w:val="22"/>
          <w:szCs w:val="22"/>
          <w:lang w:val="fr-CA"/>
        </w:rPr>
        <w:t>Le président a indiqué qu’il préparerait un projet de décision sur la question qui tiendrait compte des points de vue exprimés verbalement et par écrit.</w:t>
      </w:r>
    </w:p>
    <w:p w14:paraId="6B6433AD"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lang w:val="fr-CA"/>
        </w:rPr>
        <w:t xml:space="preserve">Le Groupe de travail a examiné le projet de décision préparé par le président à sa neuvième session, le </w:t>
      </w:r>
      <w:r w:rsidRPr="0044626D">
        <w:rPr>
          <w:snapToGrid w:val="0"/>
          <w:lang w:val="fr-CA"/>
        </w:rPr>
        <w:br/>
        <w:t>22 novembre 2018.</w:t>
      </w:r>
    </w:p>
    <w:p w14:paraId="7E1F59F9"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lang w:val="fr-CA"/>
        </w:rPr>
        <w:t>Les représentants du Mexique, de l’Ouganda et de l’Union européenne et ses 28 États membres ont présenté un exposé.</w:t>
      </w:r>
    </w:p>
    <w:p w14:paraId="13CB957A" w14:textId="77777777" w:rsidR="0043391E" w:rsidRPr="0044626D" w:rsidRDefault="0043391E" w:rsidP="00CB4700">
      <w:pPr>
        <w:pStyle w:val="Para1"/>
        <w:tabs>
          <w:tab w:val="clear" w:pos="360"/>
          <w:tab w:val="clear" w:pos="567"/>
          <w:tab w:val="clear" w:pos="2912"/>
        </w:tabs>
        <w:spacing w:line="240" w:lineRule="auto"/>
        <w:rPr>
          <w:lang w:val="fr-CA"/>
        </w:rPr>
      </w:pPr>
      <w:r w:rsidRPr="0044626D">
        <w:rPr>
          <w:kern w:val="22"/>
          <w:szCs w:val="22"/>
          <w:lang w:val="fr-CA"/>
        </w:rPr>
        <w:t xml:space="preserve">Le Groupe de travail a approuvé le projet de décision révisé amendé verbalement pour transmission à la plénière en tant que projet de décision </w:t>
      </w:r>
      <w:r w:rsidRPr="0044626D">
        <w:rPr>
          <w:snapToGrid w:val="0"/>
          <w:lang w:val="fr-CA"/>
        </w:rPr>
        <w:t>CBD/NP/MOP/3/L.5</w:t>
      </w:r>
    </w:p>
    <w:p w14:paraId="04323214" w14:textId="3B2E7A4A" w:rsidR="0043391E" w:rsidRPr="0044626D" w:rsidRDefault="00CB4700" w:rsidP="00CB4700">
      <w:pPr>
        <w:pStyle w:val="Para1"/>
        <w:tabs>
          <w:tab w:val="clear" w:pos="360"/>
          <w:tab w:val="clear" w:pos="567"/>
          <w:tab w:val="clear" w:pos="2912"/>
        </w:tabs>
        <w:spacing w:line="240" w:lineRule="auto"/>
        <w:rPr>
          <w:lang w:val="fr-CA"/>
        </w:rPr>
      </w:pPr>
      <w:r w:rsidRPr="0044626D">
        <w:rPr>
          <w:lang w:val="fr-CA"/>
        </w:rPr>
        <w:lastRenderedPageBreak/>
        <w:t xml:space="preserve">À la huitième séance plénière, le 29 novembre 2018, la Conférence des Parties siégeant en tant que réunion des Parties au Protocole de Nagoya a examiné et adopté le projet de décision </w:t>
      </w:r>
      <w:r w:rsidRPr="0044626D">
        <w:rPr>
          <w:szCs w:val="22"/>
          <w:lang w:val="fr-CA"/>
        </w:rPr>
        <w:t>CBD/NP/MOP/3/L.5 en tant que décision NP-3/5 (voir le texte au chapitre I)</w:t>
      </w:r>
      <w:r w:rsidR="0043391E" w:rsidRPr="0044626D">
        <w:rPr>
          <w:lang w:val="fr-CA"/>
        </w:rPr>
        <w:t>.</w:t>
      </w:r>
    </w:p>
    <w:p w14:paraId="14B7EB0E" w14:textId="59CCA324" w:rsidR="0043391E" w:rsidRPr="0044626D" w:rsidRDefault="00A87F6E" w:rsidP="00A87F6E">
      <w:pPr>
        <w:pStyle w:val="Heading1multiline"/>
        <w:tabs>
          <w:tab w:val="clear" w:pos="1701"/>
        </w:tabs>
        <w:spacing w:line="240" w:lineRule="auto"/>
        <w:ind w:left="1980" w:hanging="1413"/>
        <w:rPr>
          <w:rFonts w:ascii="Times New Roman" w:hAnsi="Times New Roman" w:cs="Times New Roman"/>
          <w:lang w:val="fr-CA"/>
        </w:rPr>
      </w:pPr>
      <w:r>
        <w:rPr>
          <w:rFonts w:ascii="Times New Roman" w:hAnsi="Times New Roman" w:cs="Times New Roman"/>
          <w:lang w:val="fr-CA"/>
        </w:rPr>
        <w:t>POINT 10.</w:t>
      </w:r>
      <w:r>
        <w:rPr>
          <w:rFonts w:ascii="Times New Roman" w:hAnsi="Times New Roman" w:cs="Times New Roman"/>
          <w:lang w:val="fr-CA"/>
        </w:rPr>
        <w:tab/>
      </w:r>
      <w:r w:rsidR="0043391E" w:rsidRPr="0044626D">
        <w:rPr>
          <w:rFonts w:ascii="Times New Roman" w:hAnsi="Times New Roman" w:cs="Times New Roman"/>
          <w:lang w:val="fr-CA"/>
        </w:rPr>
        <w:t>Le Centre d'échange sur l'accès et le partage des avantages, et l'échange d'informations (article 14)</w:t>
      </w:r>
    </w:p>
    <w:p w14:paraId="6EC13DFE" w14:textId="3DB7CE43" w:rsidR="0043391E" w:rsidRPr="0044626D" w:rsidRDefault="0043391E" w:rsidP="0043391E">
      <w:pPr>
        <w:pStyle w:val="Paragraphedeliste"/>
        <w:numPr>
          <w:ilvl w:val="0"/>
          <w:numId w:val="7"/>
        </w:numPr>
        <w:suppressLineNumbers/>
        <w:tabs>
          <w:tab w:val="clear" w:pos="360"/>
        </w:tabs>
        <w:suppressAutoHyphens/>
        <w:kinsoku w:val="0"/>
        <w:overflowPunct w:val="0"/>
        <w:autoSpaceDE w:val="0"/>
        <w:autoSpaceDN w:val="0"/>
        <w:snapToGrid w:val="0"/>
        <w:spacing w:before="120" w:line="240" w:lineRule="auto"/>
        <w:contextualSpacing w:val="0"/>
        <w:rPr>
          <w:snapToGrid w:val="0"/>
          <w:kern w:val="22"/>
          <w:szCs w:val="22"/>
          <w:lang w:val="fr-CA"/>
        </w:rPr>
      </w:pPr>
      <w:r w:rsidRPr="0044626D">
        <w:rPr>
          <w:color w:val="000000"/>
          <w:kern w:val="22"/>
          <w:szCs w:val="22"/>
          <w:lang w:val="fr-CA"/>
        </w:rPr>
        <w:t xml:space="preserve">Le Groupe de travail I a abordé le point à sa quatrième session, le 19 novembre 2018. </w:t>
      </w:r>
      <w:r w:rsidRPr="0044626D">
        <w:rPr>
          <w:snapToGrid w:val="0"/>
          <w:kern w:val="22"/>
          <w:szCs w:val="22"/>
          <w:lang w:val="fr-CA"/>
        </w:rPr>
        <w:t xml:space="preserve">Le Groupe de travail a examiné le point en </w:t>
      </w:r>
      <w:r w:rsidRPr="0044626D">
        <w:rPr>
          <w:kern w:val="22"/>
          <w:szCs w:val="22"/>
          <w:lang w:val="fr-CA"/>
        </w:rPr>
        <w:t xml:space="preserve">se fondant sur le rapport d’activités sur les progrès accomplis dans la mise en œuvre et le fonctionnement du centre d’échanges sur l’accès et le partage des avantages </w:t>
      </w:r>
      <w:r w:rsidRPr="0044626D">
        <w:rPr>
          <w:snapToGrid w:val="0"/>
          <w:kern w:val="22"/>
          <w:szCs w:val="22"/>
          <w:lang w:val="fr-CA"/>
        </w:rPr>
        <w:t xml:space="preserve">(CBD/NP/MOP/3/8) et le rapport de la troisième réunion du Comité consultatif informel pour le centre d’échange sur l’accès et le partage des avantages (CBD/ABS/CH-IAC/2017/1/4). Il a aussi été saisi d’un projet de décision tiré de la partie VII du </w:t>
      </w:r>
      <w:r w:rsidR="00CB4700" w:rsidRPr="0044626D">
        <w:rPr>
          <w:snapToGrid w:val="0"/>
          <w:kern w:val="22"/>
          <w:szCs w:val="22"/>
          <w:lang w:val="fr-CA"/>
        </w:rPr>
        <w:t>document CBD/NP/MOP/3/8</w:t>
      </w:r>
      <w:r w:rsidRPr="0044626D">
        <w:rPr>
          <w:snapToGrid w:val="0"/>
          <w:kern w:val="22"/>
          <w:szCs w:val="22"/>
          <w:lang w:val="fr-CA"/>
        </w:rPr>
        <w:t xml:space="preserve">, sauf les paragraphes 3 et 4, provenant des recommandations du Comité de conformité contenues à la partie C de l’annexe II au document CBD/NP/MOP/3/2. Le projet de décision était compris dans la compilation des projets de décision (CBD/NP/MOP/3/1/Add.2). </w:t>
      </w:r>
    </w:p>
    <w:p w14:paraId="0674252D" w14:textId="77777777" w:rsidR="0043391E" w:rsidRPr="0044626D" w:rsidRDefault="0043391E" w:rsidP="0043391E">
      <w:pPr>
        <w:pStyle w:val="Paragraphedeliste"/>
        <w:numPr>
          <w:ilvl w:val="0"/>
          <w:numId w:val="7"/>
        </w:numPr>
        <w:suppressLineNumbers/>
        <w:tabs>
          <w:tab w:val="clear" w:pos="360"/>
        </w:tabs>
        <w:suppressAutoHyphens/>
        <w:kinsoku w:val="0"/>
        <w:overflowPunct w:val="0"/>
        <w:autoSpaceDE w:val="0"/>
        <w:autoSpaceDN w:val="0"/>
        <w:snapToGrid w:val="0"/>
        <w:spacing w:before="120" w:line="240" w:lineRule="auto"/>
        <w:contextualSpacing w:val="0"/>
        <w:rPr>
          <w:snapToGrid w:val="0"/>
          <w:kern w:val="22"/>
          <w:szCs w:val="22"/>
          <w:lang w:val="fr-CA"/>
        </w:rPr>
      </w:pPr>
      <w:r w:rsidRPr="0044626D">
        <w:rPr>
          <w:snapToGrid w:val="0"/>
          <w:kern w:val="22"/>
          <w:szCs w:val="22"/>
          <w:lang w:val="fr-CA"/>
        </w:rPr>
        <w:t>Le Groupe de travail a amorcé l’examen des modalités de fonctionnement mixtes dont il est question au paragraphe 4 du projet de décision.</w:t>
      </w:r>
    </w:p>
    <w:p w14:paraId="30C2D20A" w14:textId="77777777" w:rsidR="0043391E" w:rsidRPr="0044626D" w:rsidRDefault="0043391E" w:rsidP="0043391E">
      <w:pPr>
        <w:pStyle w:val="Paragraphedeliste"/>
        <w:numPr>
          <w:ilvl w:val="0"/>
          <w:numId w:val="7"/>
        </w:numPr>
        <w:suppressLineNumbers/>
        <w:tabs>
          <w:tab w:val="clear" w:pos="360"/>
        </w:tabs>
        <w:suppressAutoHyphens/>
        <w:kinsoku w:val="0"/>
        <w:overflowPunct w:val="0"/>
        <w:autoSpaceDE w:val="0"/>
        <w:autoSpaceDN w:val="0"/>
        <w:snapToGrid w:val="0"/>
        <w:spacing w:before="120" w:after="0" w:line="240" w:lineRule="auto"/>
        <w:contextualSpacing w:val="0"/>
        <w:rPr>
          <w:snapToGrid w:val="0"/>
          <w:kern w:val="22"/>
          <w:szCs w:val="22"/>
          <w:lang w:val="fr-CA"/>
        </w:rPr>
      </w:pPr>
      <w:r w:rsidRPr="0044626D">
        <w:rPr>
          <w:snapToGrid w:val="0"/>
          <w:kern w:val="22"/>
          <w:szCs w:val="22"/>
          <w:lang w:val="fr-CA"/>
        </w:rPr>
        <w:t>Les représentants de l’Afrique du Sud, l’Inde, de la Jordanie, de la Norvège et de l’Union européenne et ses 28 États membres ont présenté un exposé.</w:t>
      </w:r>
    </w:p>
    <w:p w14:paraId="3D00A74B" w14:textId="77777777" w:rsidR="0043391E" w:rsidRPr="0044626D" w:rsidRDefault="0043391E" w:rsidP="0043391E">
      <w:pPr>
        <w:pStyle w:val="Paragraphedeliste"/>
        <w:numPr>
          <w:ilvl w:val="0"/>
          <w:numId w:val="7"/>
        </w:numPr>
        <w:suppressLineNumbers/>
        <w:tabs>
          <w:tab w:val="clear" w:pos="360"/>
        </w:tabs>
        <w:suppressAutoHyphens/>
        <w:kinsoku w:val="0"/>
        <w:overflowPunct w:val="0"/>
        <w:autoSpaceDE w:val="0"/>
        <w:autoSpaceDN w:val="0"/>
        <w:snapToGrid w:val="0"/>
        <w:spacing w:before="120" w:after="0" w:line="240" w:lineRule="auto"/>
        <w:contextualSpacing w:val="0"/>
        <w:rPr>
          <w:snapToGrid w:val="0"/>
          <w:kern w:val="22"/>
          <w:szCs w:val="22"/>
          <w:lang w:val="fr-CA"/>
        </w:rPr>
      </w:pPr>
      <w:r w:rsidRPr="0044626D">
        <w:rPr>
          <w:snapToGrid w:val="0"/>
          <w:kern w:val="22"/>
          <w:szCs w:val="22"/>
          <w:lang w:val="fr-CA"/>
        </w:rPr>
        <w:t>Les représentants du Canada et de la Thaïlande ont aussi présenté un exposé.</w:t>
      </w:r>
    </w:p>
    <w:p w14:paraId="5D1EC408" w14:textId="77777777" w:rsidR="0043391E" w:rsidRPr="0044626D" w:rsidRDefault="0043391E" w:rsidP="0043391E">
      <w:pPr>
        <w:pStyle w:val="Paragraphedeliste"/>
        <w:numPr>
          <w:ilvl w:val="0"/>
          <w:numId w:val="7"/>
        </w:numPr>
        <w:suppressLineNumbers/>
        <w:tabs>
          <w:tab w:val="clear" w:pos="360"/>
        </w:tabs>
        <w:suppressAutoHyphens/>
        <w:kinsoku w:val="0"/>
        <w:overflowPunct w:val="0"/>
        <w:autoSpaceDE w:val="0"/>
        <w:autoSpaceDN w:val="0"/>
        <w:snapToGrid w:val="0"/>
        <w:spacing w:before="120" w:after="0" w:line="240" w:lineRule="auto"/>
        <w:contextualSpacing w:val="0"/>
        <w:rPr>
          <w:snapToGrid w:val="0"/>
          <w:kern w:val="22"/>
          <w:szCs w:val="22"/>
          <w:lang w:val="fr-CA"/>
        </w:rPr>
      </w:pPr>
      <w:r w:rsidRPr="0044626D">
        <w:rPr>
          <w:snapToGrid w:val="0"/>
          <w:kern w:val="22"/>
          <w:szCs w:val="22"/>
          <w:lang w:val="fr-CA"/>
        </w:rPr>
        <w:t>Le Groupe de travail a repris l’examen du point de l’ordre du jour à sa cinquième session, le 20 novembre, en concentrant ses efforts sur les parties restantes du projet de décision.</w:t>
      </w:r>
    </w:p>
    <w:p w14:paraId="0053544E" w14:textId="77777777" w:rsidR="0043391E" w:rsidRPr="0044626D" w:rsidRDefault="0043391E" w:rsidP="0043391E">
      <w:pPr>
        <w:pStyle w:val="Paragraphedeliste"/>
        <w:numPr>
          <w:ilvl w:val="0"/>
          <w:numId w:val="7"/>
        </w:numPr>
        <w:suppressLineNumbers/>
        <w:tabs>
          <w:tab w:val="clear" w:pos="360"/>
        </w:tabs>
        <w:suppressAutoHyphens/>
        <w:kinsoku w:val="0"/>
        <w:overflowPunct w:val="0"/>
        <w:autoSpaceDE w:val="0"/>
        <w:autoSpaceDN w:val="0"/>
        <w:snapToGrid w:val="0"/>
        <w:spacing w:before="120" w:after="0" w:line="240" w:lineRule="auto"/>
        <w:contextualSpacing w:val="0"/>
        <w:rPr>
          <w:snapToGrid w:val="0"/>
          <w:kern w:val="22"/>
          <w:szCs w:val="22"/>
          <w:lang w:val="fr-CA"/>
        </w:rPr>
      </w:pPr>
      <w:r w:rsidRPr="0044626D">
        <w:rPr>
          <w:snapToGrid w:val="0"/>
          <w:kern w:val="22"/>
          <w:szCs w:val="22"/>
          <w:lang w:val="fr-CA"/>
        </w:rPr>
        <w:t>Les représentants des pays suivants ont présenté un exposé : Afrique du Sud, Belarus, Bénin, Congo, Guinée, Japon, Jordanie, Kenya, Mexique, Mozambique, Niger, Ouganda, Suisse et Union européenne et ses 28 États membres.</w:t>
      </w:r>
    </w:p>
    <w:p w14:paraId="17D5EF4F"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after="0" w:line="240" w:lineRule="auto"/>
        <w:rPr>
          <w:snapToGrid w:val="0"/>
          <w:kern w:val="22"/>
          <w:szCs w:val="22"/>
          <w:lang w:val="fr-CA"/>
        </w:rPr>
      </w:pPr>
      <w:r w:rsidRPr="0044626D">
        <w:rPr>
          <w:snapToGrid w:val="0"/>
          <w:kern w:val="22"/>
          <w:szCs w:val="22"/>
          <w:lang w:val="fr-CA"/>
        </w:rPr>
        <w:t>Les représentants du Costa Rica et du Maroc ont aussi présenté un exposé.</w:t>
      </w:r>
    </w:p>
    <w:p w14:paraId="054A5B4F"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after="0" w:line="240" w:lineRule="auto"/>
        <w:rPr>
          <w:snapToGrid w:val="0"/>
          <w:kern w:val="22"/>
          <w:szCs w:val="22"/>
          <w:lang w:val="fr-CA"/>
        </w:rPr>
      </w:pPr>
      <w:r w:rsidRPr="0044626D">
        <w:rPr>
          <w:snapToGrid w:val="0"/>
          <w:kern w:val="22"/>
          <w:szCs w:val="22"/>
          <w:lang w:val="fr-CA"/>
        </w:rPr>
        <w:t>À l’issue des échanges, le président a indiqué qu’il préparerait un projet de décision révisé pour examen par le Groupe de travail.</w:t>
      </w:r>
    </w:p>
    <w:p w14:paraId="109D8AA0"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kern w:val="22"/>
          <w:szCs w:val="22"/>
          <w:lang w:val="fr-CA"/>
        </w:rPr>
        <w:t>Le Groupe de travail a examiné un projet de décision révisé proposé par le président à sa dixième session, le 25 novembre 2018.</w:t>
      </w:r>
    </w:p>
    <w:p w14:paraId="06DBC625"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kern w:val="22"/>
          <w:szCs w:val="22"/>
          <w:lang w:val="fr-CA"/>
        </w:rPr>
        <w:t>Les représentants de l’Afrique du Sud, de l’Inde, du Japon, du Mexique, de l’Ouganda et de l’Union européenne et ses 28 États membres ont présenté un exposé.</w:t>
      </w:r>
    </w:p>
    <w:p w14:paraId="384D30F2"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kern w:val="22"/>
          <w:szCs w:val="22"/>
          <w:lang w:val="fr-CA"/>
        </w:rPr>
        <w:t>Le représentant du Maroc a aussi transmis son point de vue.</w:t>
      </w:r>
    </w:p>
    <w:p w14:paraId="045B8618" w14:textId="34A5F93A" w:rsidR="0043391E" w:rsidRPr="0044626D" w:rsidRDefault="0043391E" w:rsidP="00531F55">
      <w:pPr>
        <w:pStyle w:val="Para1"/>
        <w:tabs>
          <w:tab w:val="clear" w:pos="360"/>
          <w:tab w:val="clear" w:pos="567"/>
          <w:tab w:val="clear" w:pos="2912"/>
        </w:tabs>
        <w:spacing w:line="240" w:lineRule="auto"/>
        <w:rPr>
          <w:lang w:val="fr-CA"/>
        </w:rPr>
      </w:pPr>
      <w:r w:rsidRPr="0044626D">
        <w:rPr>
          <w:snapToGrid w:val="0"/>
          <w:kern w:val="22"/>
          <w:szCs w:val="22"/>
          <w:lang w:val="fr-CA"/>
        </w:rPr>
        <w:t>Le Groupe de travail a approuvé le projet de décision révisé amendé verbalement pour transmission à la plénière en tant que projet de décision CBD/NP/MOP/3/L.8</w:t>
      </w:r>
      <w:r w:rsidR="00531F55" w:rsidRPr="0044626D">
        <w:rPr>
          <w:snapToGrid w:val="0"/>
          <w:kern w:val="22"/>
          <w:szCs w:val="22"/>
          <w:lang w:val="fr-CA"/>
        </w:rPr>
        <w:t>.</w:t>
      </w:r>
    </w:p>
    <w:p w14:paraId="46340C07" w14:textId="4F70BC0D" w:rsidR="0043391E" w:rsidRPr="0044626D" w:rsidRDefault="00531F55" w:rsidP="00531F55">
      <w:pPr>
        <w:pStyle w:val="Para1"/>
        <w:tabs>
          <w:tab w:val="clear" w:pos="360"/>
          <w:tab w:val="clear" w:pos="567"/>
          <w:tab w:val="clear" w:pos="2912"/>
        </w:tabs>
        <w:spacing w:line="240" w:lineRule="auto"/>
        <w:rPr>
          <w:lang w:val="fr-CA"/>
        </w:rPr>
      </w:pPr>
      <w:r w:rsidRPr="0044626D">
        <w:rPr>
          <w:lang w:val="fr-CA"/>
        </w:rPr>
        <w:t xml:space="preserve">À la huitième séance plénière, le 29 novembre 2018, la Conférence des Parties siégeant en tant que réunion des Parties au Protocole de Nagoya a adopté le projet de décision </w:t>
      </w:r>
      <w:r w:rsidRPr="0044626D">
        <w:rPr>
          <w:szCs w:val="22"/>
          <w:lang w:val="fr-CA"/>
        </w:rPr>
        <w:t>CBD/NP/MOP/3/L.8 en tant que décision NP-3/3 (voir le texte au chapitre I</w:t>
      </w:r>
      <w:r w:rsidR="0072017D">
        <w:rPr>
          <w:szCs w:val="22"/>
          <w:lang w:val="fr-CA"/>
        </w:rPr>
        <w:t>)</w:t>
      </w:r>
      <w:r w:rsidR="0043391E" w:rsidRPr="0044626D">
        <w:rPr>
          <w:lang w:val="fr-CA"/>
        </w:rPr>
        <w:t>.</w:t>
      </w:r>
    </w:p>
    <w:p w14:paraId="55BE430E" w14:textId="77777777" w:rsidR="0043391E" w:rsidRPr="0044626D" w:rsidRDefault="0043391E" w:rsidP="0043391E">
      <w:pPr>
        <w:pStyle w:val="Titre1"/>
        <w:rPr>
          <w:rFonts w:ascii="Times New Roman" w:hAnsi="Times New Roman" w:cs="Times New Roman"/>
          <w:lang w:val="fr-CA"/>
        </w:rPr>
      </w:pPr>
      <w:r w:rsidRPr="0044626D">
        <w:rPr>
          <w:rFonts w:ascii="Times New Roman" w:hAnsi="Times New Roman" w:cs="Times New Roman"/>
          <w:lang w:val="fr-CA"/>
        </w:rPr>
        <w:t>POINT 11.</w:t>
      </w:r>
      <w:r w:rsidRPr="0044626D">
        <w:rPr>
          <w:rFonts w:ascii="Times New Roman" w:hAnsi="Times New Roman" w:cs="Times New Roman"/>
          <w:lang w:val="fr-CA"/>
        </w:rPr>
        <w:tab/>
        <w:t>Suivi et établissement de rapports (article 29)</w:t>
      </w:r>
    </w:p>
    <w:p w14:paraId="7F1F5A1B" w14:textId="32EB309D"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color w:val="000000"/>
          <w:kern w:val="22"/>
          <w:szCs w:val="22"/>
          <w:lang w:val="fr-CA"/>
        </w:rPr>
        <w:t xml:space="preserve">Le Groupe de travail I a abordé le point 11 de l’ordre du jour à sa cinquième session, le 20 novembre 2018. </w:t>
      </w:r>
      <w:r w:rsidRPr="0044626D">
        <w:rPr>
          <w:snapToGrid w:val="0"/>
          <w:kern w:val="22"/>
          <w:szCs w:val="22"/>
          <w:lang w:val="fr-CA"/>
        </w:rPr>
        <w:t xml:space="preserve"> Le Groupe de travail a examiné le point en </w:t>
      </w:r>
      <w:r w:rsidRPr="0044626D">
        <w:rPr>
          <w:kern w:val="22"/>
          <w:szCs w:val="22"/>
          <w:lang w:val="fr-CA"/>
        </w:rPr>
        <w:t xml:space="preserve">ayant en main la note de la Secrétaire exécutive </w:t>
      </w:r>
      <w:r w:rsidRPr="0044626D">
        <w:rPr>
          <w:snapToGrid w:val="0"/>
          <w:kern w:val="22"/>
          <w:szCs w:val="22"/>
          <w:lang w:val="fr-CA"/>
        </w:rPr>
        <w:t>(CBD/NP/MOP/3/7) contenant de l’information sur les rapports nationaux préliminaires soumis par les Parties et les pays non Parties, ainsi que de l’information sur le modèle de rapport et les intervalles des rapports</w:t>
      </w:r>
      <w:r w:rsidR="00531F55" w:rsidRPr="0044626D">
        <w:rPr>
          <w:snapToGrid w:val="0"/>
          <w:kern w:val="22"/>
          <w:szCs w:val="22"/>
          <w:lang w:val="fr-CA"/>
        </w:rPr>
        <w:t xml:space="preserve">, en tenant compte de la recommandation SBI/2-11 de l’Organe subsidiaire </w:t>
      </w:r>
      <w:r w:rsidR="00EC3BD1">
        <w:rPr>
          <w:snapToGrid w:val="0"/>
          <w:kern w:val="22"/>
          <w:szCs w:val="22"/>
          <w:lang w:val="fr-CA"/>
        </w:rPr>
        <w:t>chargé de l’application</w:t>
      </w:r>
      <w:r w:rsidR="00531F55" w:rsidRPr="0044626D">
        <w:rPr>
          <w:snapToGrid w:val="0"/>
          <w:kern w:val="22"/>
          <w:szCs w:val="22"/>
          <w:lang w:val="fr-CA"/>
        </w:rPr>
        <w:t>.</w:t>
      </w:r>
      <w:r w:rsidRPr="0044626D">
        <w:rPr>
          <w:snapToGrid w:val="0"/>
          <w:kern w:val="22"/>
          <w:szCs w:val="22"/>
          <w:lang w:val="fr-CA"/>
        </w:rPr>
        <w:t xml:space="preserve"> Il a aussi été saisi d’un projet de décision inclus dans la compilation des projets de décisions (CBD/NP/MOP/3/1/Add.2)</w:t>
      </w:r>
      <w:r w:rsidR="00FC7DFF" w:rsidRPr="0044626D">
        <w:rPr>
          <w:snapToGrid w:val="0"/>
          <w:kern w:val="22"/>
          <w:szCs w:val="22"/>
          <w:lang w:val="fr-CA"/>
        </w:rPr>
        <w:t xml:space="preserve"> contenant un projet de </w:t>
      </w:r>
      <w:r w:rsidR="00FC7DFF" w:rsidRPr="0044626D">
        <w:rPr>
          <w:snapToGrid w:val="0"/>
          <w:kern w:val="22"/>
          <w:szCs w:val="22"/>
          <w:lang w:val="fr-CA"/>
        </w:rPr>
        <w:lastRenderedPageBreak/>
        <w:t xml:space="preserve">recommandation de </w:t>
      </w:r>
      <w:r w:rsidR="0072017D">
        <w:rPr>
          <w:snapToGrid w:val="0"/>
          <w:kern w:val="22"/>
          <w:szCs w:val="22"/>
          <w:lang w:val="fr-CA"/>
        </w:rPr>
        <w:t xml:space="preserve">la recommandation </w:t>
      </w:r>
      <w:r w:rsidR="00FC7DFF" w:rsidRPr="0044626D">
        <w:rPr>
          <w:snapToGrid w:val="0"/>
          <w:kern w:val="22"/>
          <w:szCs w:val="22"/>
          <w:lang w:val="fr-CA"/>
        </w:rPr>
        <w:t xml:space="preserve">SBI/2-11, des recommandations pertinentes du </w:t>
      </w:r>
      <w:r w:rsidR="00136509">
        <w:rPr>
          <w:snapToGrid w:val="0"/>
          <w:kern w:val="22"/>
          <w:szCs w:val="22"/>
          <w:lang w:val="fr-CA"/>
        </w:rPr>
        <w:t>C</w:t>
      </w:r>
      <w:r w:rsidR="00FC7DFF" w:rsidRPr="0044626D">
        <w:rPr>
          <w:snapToGrid w:val="0"/>
          <w:kern w:val="22"/>
          <w:szCs w:val="22"/>
          <w:lang w:val="fr-CA"/>
        </w:rPr>
        <w:t>omité de conformité et des éléments supplémentaires tirés du document CBD/NP3MOP/3/7</w:t>
      </w:r>
      <w:r w:rsidRPr="0044626D">
        <w:rPr>
          <w:snapToGrid w:val="0"/>
          <w:kern w:val="22"/>
          <w:szCs w:val="22"/>
          <w:lang w:val="fr-CA"/>
        </w:rPr>
        <w:t>.</w:t>
      </w:r>
    </w:p>
    <w:p w14:paraId="70D0BED5"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kern w:val="22"/>
          <w:szCs w:val="22"/>
          <w:lang w:val="fr-CA"/>
        </w:rPr>
        <w:t> Le président a rappelé que le premier paragraphe du projet de décision était lié à une décision en voie d’examen par la Conférence des Parties portant sur l’harmonisation des rapports nationaux. De plus, le nombre de rapports nationaux préliminaires soumis a augmenté et le projet de décision devra être modifié, afin d’y intégrer ces nouvelles informations.</w:t>
      </w:r>
    </w:p>
    <w:p w14:paraId="1335E97E"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kern w:val="22"/>
          <w:szCs w:val="22"/>
          <w:lang w:val="fr-CA"/>
        </w:rPr>
        <w:t>Les représentants des pays suivants ont présenté un exposé : Afrique du Sud, Belarus, Côte d’Ivoire, Égypte, Inde, Jordanie, Mexique, Ouganda, République unie de Tanzanie et Union européenne et ses 28 États membres.</w:t>
      </w:r>
    </w:p>
    <w:p w14:paraId="164B40D9" w14:textId="77777777" w:rsidR="0043391E" w:rsidRPr="0044626D" w:rsidRDefault="0043391E" w:rsidP="0043391E">
      <w:pPr>
        <w:pStyle w:val="Para1"/>
        <w:suppressLineNumbers/>
        <w:tabs>
          <w:tab w:val="clear" w:pos="360"/>
          <w:tab w:val="clear" w:pos="567"/>
          <w:tab w:val="clear" w:pos="2912"/>
        </w:tabs>
        <w:suppressAutoHyphens/>
        <w:kinsoku w:val="0"/>
        <w:overflowPunct w:val="0"/>
        <w:autoSpaceDE w:val="0"/>
        <w:autoSpaceDN w:val="0"/>
        <w:snapToGrid w:val="0"/>
        <w:spacing w:after="160" w:line="240" w:lineRule="auto"/>
        <w:rPr>
          <w:bCs/>
          <w:kern w:val="22"/>
          <w:szCs w:val="22"/>
          <w:lang w:val="fr-CA"/>
        </w:rPr>
      </w:pPr>
      <w:r w:rsidRPr="0044626D">
        <w:rPr>
          <w:kern w:val="22"/>
          <w:szCs w:val="22"/>
          <w:lang w:val="fr-CA"/>
        </w:rPr>
        <w:t>Le président a indiqué qu’il préparerait un projet de décision révisé qui tiendrait compte des points de vue exprimés verbalement et par écrit.</w:t>
      </w:r>
    </w:p>
    <w:p w14:paraId="60036F8A" w14:textId="77777777" w:rsidR="0043391E" w:rsidRPr="0044626D" w:rsidRDefault="0043391E" w:rsidP="0043391E">
      <w:pPr>
        <w:pStyle w:val="Para1"/>
        <w:suppressLineNumbers/>
        <w:tabs>
          <w:tab w:val="clear" w:pos="360"/>
          <w:tab w:val="clear" w:pos="567"/>
          <w:tab w:val="clear" w:pos="2912"/>
        </w:tabs>
        <w:suppressAutoHyphens/>
        <w:kinsoku w:val="0"/>
        <w:overflowPunct w:val="0"/>
        <w:autoSpaceDE w:val="0"/>
        <w:autoSpaceDN w:val="0"/>
        <w:snapToGrid w:val="0"/>
        <w:spacing w:after="160" w:line="240" w:lineRule="auto"/>
        <w:rPr>
          <w:bCs/>
          <w:kern w:val="22"/>
          <w:szCs w:val="22"/>
          <w:lang w:val="fr-CA"/>
        </w:rPr>
      </w:pPr>
      <w:r w:rsidRPr="0044626D">
        <w:rPr>
          <w:lang w:val="fr-CA"/>
        </w:rPr>
        <w:t>Le Groupe de travail a examiné le projet de décision préparé par le président à sa neuvième session, le 22 novembre 2018</w:t>
      </w:r>
      <w:r w:rsidRPr="0044626D">
        <w:rPr>
          <w:kern w:val="22"/>
          <w:szCs w:val="22"/>
          <w:lang w:val="fr-CA"/>
        </w:rPr>
        <w:t>.</w:t>
      </w:r>
    </w:p>
    <w:p w14:paraId="7EDAEF80" w14:textId="77777777" w:rsidR="0043391E" w:rsidRPr="0044626D" w:rsidRDefault="0043391E" w:rsidP="0043391E">
      <w:pPr>
        <w:pStyle w:val="Para1"/>
        <w:suppressLineNumbers/>
        <w:tabs>
          <w:tab w:val="clear" w:pos="360"/>
          <w:tab w:val="clear" w:pos="567"/>
          <w:tab w:val="clear" w:pos="2912"/>
        </w:tabs>
        <w:suppressAutoHyphens/>
        <w:kinsoku w:val="0"/>
        <w:overflowPunct w:val="0"/>
        <w:autoSpaceDE w:val="0"/>
        <w:autoSpaceDN w:val="0"/>
        <w:snapToGrid w:val="0"/>
        <w:spacing w:after="160" w:line="240" w:lineRule="auto"/>
        <w:rPr>
          <w:bCs/>
          <w:kern w:val="22"/>
          <w:szCs w:val="22"/>
          <w:lang w:val="fr-CA"/>
        </w:rPr>
      </w:pPr>
      <w:r w:rsidRPr="0044626D">
        <w:rPr>
          <w:kern w:val="22"/>
          <w:szCs w:val="22"/>
          <w:lang w:val="fr-CA"/>
        </w:rPr>
        <w:t>Le représentant du Secrétariat a attiré l’attention sur une section de texte qui devait être amendée afin d’y intégrer des commentaires émis précédemment.</w:t>
      </w:r>
    </w:p>
    <w:p w14:paraId="3022F0B2" w14:textId="77777777" w:rsidR="0043391E" w:rsidRPr="0044626D" w:rsidRDefault="0043391E" w:rsidP="00FC7DFF">
      <w:pPr>
        <w:pStyle w:val="Para1"/>
        <w:tabs>
          <w:tab w:val="clear" w:pos="360"/>
          <w:tab w:val="clear" w:pos="567"/>
          <w:tab w:val="clear" w:pos="2912"/>
        </w:tabs>
        <w:spacing w:line="240" w:lineRule="auto"/>
        <w:rPr>
          <w:lang w:val="fr-CA"/>
        </w:rPr>
      </w:pPr>
      <w:r w:rsidRPr="0044626D">
        <w:rPr>
          <w:kern w:val="22"/>
          <w:szCs w:val="22"/>
          <w:lang w:val="fr-CA"/>
        </w:rPr>
        <w:t xml:space="preserve">Le Groupe de travail a approuvé le projet de décision révisé amendé verbalement pour transmission à la plénière en tant que projet de décision </w:t>
      </w:r>
      <w:r w:rsidRPr="0044626D">
        <w:rPr>
          <w:lang w:val="fr-CA"/>
        </w:rPr>
        <w:t>CBD/NP/MOP/3/L.7.</w:t>
      </w:r>
    </w:p>
    <w:p w14:paraId="4778A56B" w14:textId="71D3945A" w:rsidR="0043391E" w:rsidRPr="0044626D" w:rsidRDefault="0043391E" w:rsidP="00FC7DFF">
      <w:pPr>
        <w:pStyle w:val="Para1"/>
        <w:tabs>
          <w:tab w:val="clear" w:pos="360"/>
          <w:tab w:val="clear" w:pos="567"/>
          <w:tab w:val="clear" w:pos="2912"/>
        </w:tabs>
        <w:spacing w:line="240" w:lineRule="auto"/>
        <w:rPr>
          <w:lang w:val="fr-CA"/>
        </w:rPr>
      </w:pPr>
      <w:r w:rsidRPr="0044626D">
        <w:rPr>
          <w:bCs/>
          <w:szCs w:val="22"/>
          <w:lang w:val="fr-CA"/>
        </w:rPr>
        <w:t xml:space="preserve">À la cinquième séance plénière de la réunion, le 25 novembre 2018, la Conférence des Parties siégeant en tant que réunion des Parties </w:t>
      </w:r>
      <w:r w:rsidR="00FC7DFF" w:rsidRPr="0044626D">
        <w:rPr>
          <w:bCs/>
          <w:szCs w:val="22"/>
          <w:lang w:val="fr-CA"/>
        </w:rPr>
        <w:t xml:space="preserve">au Protocole de Nagoya </w:t>
      </w:r>
      <w:r w:rsidRPr="0044626D">
        <w:rPr>
          <w:bCs/>
          <w:szCs w:val="22"/>
          <w:lang w:val="fr-CA"/>
        </w:rPr>
        <w:t>a adopté le projet de décision CBD/NP/</w:t>
      </w:r>
      <w:r w:rsidR="00FC7DFF" w:rsidRPr="0044626D">
        <w:rPr>
          <w:bCs/>
          <w:szCs w:val="22"/>
          <w:lang w:val="fr-CA"/>
        </w:rPr>
        <w:t xml:space="preserve">MOP/3/L.7 </w:t>
      </w:r>
      <w:r w:rsidR="00A87F6E">
        <w:rPr>
          <w:bCs/>
          <w:szCs w:val="22"/>
          <w:lang w:val="fr-CA"/>
        </w:rPr>
        <w:t>en tant que</w:t>
      </w:r>
      <w:r w:rsidR="00FC7DFF" w:rsidRPr="0044626D">
        <w:rPr>
          <w:bCs/>
          <w:szCs w:val="22"/>
          <w:lang w:val="fr-CA"/>
        </w:rPr>
        <w:t xml:space="preserve"> décision NP-3/4 (voir le texte au chapitre I)</w:t>
      </w:r>
      <w:r w:rsidRPr="0044626D">
        <w:rPr>
          <w:bCs/>
          <w:szCs w:val="22"/>
          <w:lang w:val="fr-CA"/>
        </w:rPr>
        <w:t>.</w:t>
      </w:r>
    </w:p>
    <w:p w14:paraId="7A6EE205" w14:textId="77777777" w:rsidR="0043391E" w:rsidRPr="0044626D" w:rsidRDefault="0043391E" w:rsidP="00A87F6E">
      <w:pPr>
        <w:pStyle w:val="Heading1longmultiline"/>
        <w:spacing w:line="240" w:lineRule="auto"/>
        <w:rPr>
          <w:rFonts w:ascii="Times New Roman" w:hAnsi="Times New Roman" w:cs="Times New Roman"/>
          <w:lang w:val="fr-CA"/>
        </w:rPr>
      </w:pPr>
      <w:r w:rsidRPr="0044626D">
        <w:rPr>
          <w:rFonts w:ascii="Times New Roman" w:hAnsi="Times New Roman" w:cs="Times New Roman"/>
          <w:lang w:val="fr-CA"/>
        </w:rPr>
        <w:t>POINT 12.</w:t>
      </w:r>
      <w:r w:rsidRPr="0044626D">
        <w:rPr>
          <w:rFonts w:ascii="Times New Roman" w:hAnsi="Times New Roman" w:cs="Times New Roman"/>
          <w:lang w:val="fr-CA"/>
        </w:rPr>
        <w:tab/>
        <w:t>Mesures prises pour sensibiliser le public à l’importance des ressources génétiques et des connaissances traditionnelles associées (article 21)</w:t>
      </w:r>
    </w:p>
    <w:p w14:paraId="0AE1C617"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color w:val="000000"/>
          <w:kern w:val="22"/>
          <w:szCs w:val="22"/>
          <w:lang w:val="fr-CA"/>
        </w:rPr>
        <w:t xml:space="preserve">Le Groupe de travail I a abordé le premier aspect du point 12 de l’ordre du jour à sa quatrième session, le 19 novembre 2018. </w:t>
      </w:r>
      <w:r w:rsidRPr="0044626D">
        <w:rPr>
          <w:snapToGrid w:val="0"/>
          <w:kern w:val="22"/>
          <w:szCs w:val="22"/>
          <w:lang w:val="fr-CA"/>
        </w:rPr>
        <w:t xml:space="preserve">Le Groupe de travail a examiné le point en ayant en main un rapport d’activités sur les mesures propres à sensibiliser à l’importance des ressources génétiques et des connaissances traditionnelles connexes (article 21) </w:t>
      </w:r>
      <w:r w:rsidRPr="0044626D">
        <w:rPr>
          <w:szCs w:val="22"/>
          <w:lang w:val="fr-CA"/>
        </w:rPr>
        <w:t xml:space="preserve">(CBD/NP/MOP/3/6) </w:t>
      </w:r>
      <w:r w:rsidRPr="0044626D">
        <w:rPr>
          <w:snapToGrid w:val="0"/>
          <w:kern w:val="22"/>
          <w:szCs w:val="22"/>
          <w:lang w:val="fr-CA"/>
        </w:rPr>
        <w:t>et la boîte à outils de la CESP comprenant les facteurs sur l’accès et le partage des avantages (CBD/NP/MOP/3/INF/7). Il a également été saisi d’un projet de décision compris dans la compilation des projets de décisions (CBD/NP/MOP/3/1/Add.2).</w:t>
      </w:r>
    </w:p>
    <w:p w14:paraId="127925F8"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kern w:val="22"/>
          <w:szCs w:val="22"/>
          <w:lang w:val="fr-CA"/>
        </w:rPr>
        <w:t>Les représentants des pays suivants ont présenté un exposé : Afrique du Sud, Côte d’Ivoire, Équateur, Égypte, Gabon, Mexique, Soudan et Union européenne et ses 28 États membres.</w:t>
      </w:r>
    </w:p>
    <w:p w14:paraId="4CB244C1"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kern w:val="22"/>
          <w:szCs w:val="22"/>
          <w:lang w:val="fr-CA"/>
        </w:rPr>
        <w:t>Le président a indiqué qu’il préparerait un projet de décision sur la question qui tiendrait compte des points de vue exprimés verbalement et par écrit</w:t>
      </w:r>
    </w:p>
    <w:p w14:paraId="6E0479A6" w14:textId="77777777" w:rsidR="0043391E" w:rsidRPr="0044626D" w:rsidRDefault="0043391E" w:rsidP="0043391E">
      <w:pPr>
        <w:pStyle w:val="Para1"/>
        <w:tabs>
          <w:tab w:val="clear" w:pos="360"/>
          <w:tab w:val="clear" w:pos="567"/>
          <w:tab w:val="clear" w:pos="2912"/>
        </w:tabs>
        <w:kinsoku w:val="0"/>
        <w:overflowPunct w:val="0"/>
        <w:autoSpaceDE w:val="0"/>
        <w:autoSpaceDN w:val="0"/>
        <w:snapToGrid w:val="0"/>
        <w:spacing w:line="240" w:lineRule="auto"/>
        <w:rPr>
          <w:kern w:val="22"/>
          <w:szCs w:val="22"/>
          <w:lang w:val="fr-CA"/>
        </w:rPr>
      </w:pPr>
      <w:r w:rsidRPr="0044626D">
        <w:rPr>
          <w:lang w:val="fr-CA"/>
        </w:rPr>
        <w:t xml:space="preserve">Le Groupe de travail a examiné le projet de décision préparé par le président à sa neuvième session, le </w:t>
      </w:r>
      <w:r w:rsidRPr="0044626D">
        <w:rPr>
          <w:lang w:val="fr-CA"/>
        </w:rPr>
        <w:br/>
        <w:t>22 novembre 2018.</w:t>
      </w:r>
    </w:p>
    <w:p w14:paraId="3CBBD7D5" w14:textId="77777777" w:rsidR="0043391E" w:rsidRPr="0044626D" w:rsidRDefault="0043391E" w:rsidP="0043391E">
      <w:pPr>
        <w:pStyle w:val="Para1"/>
        <w:tabs>
          <w:tab w:val="clear" w:pos="360"/>
          <w:tab w:val="clear" w:pos="567"/>
          <w:tab w:val="clear" w:pos="2912"/>
        </w:tabs>
        <w:kinsoku w:val="0"/>
        <w:overflowPunct w:val="0"/>
        <w:autoSpaceDE w:val="0"/>
        <w:autoSpaceDN w:val="0"/>
        <w:snapToGrid w:val="0"/>
        <w:spacing w:line="240" w:lineRule="auto"/>
        <w:rPr>
          <w:kern w:val="22"/>
          <w:szCs w:val="22"/>
          <w:lang w:val="fr-CA"/>
        </w:rPr>
      </w:pPr>
      <w:r w:rsidRPr="0044626D">
        <w:rPr>
          <w:lang w:val="fr-CA"/>
        </w:rPr>
        <w:t>Les représentants de l’Ouganda et de l’Union européenne et ses 28 États membres ont présenté un exposé.</w:t>
      </w:r>
    </w:p>
    <w:p w14:paraId="0D53CA0B" w14:textId="77777777" w:rsidR="0043391E" w:rsidRPr="0044626D" w:rsidRDefault="0043391E" w:rsidP="00A87F6E">
      <w:pPr>
        <w:pStyle w:val="Para1"/>
        <w:tabs>
          <w:tab w:val="clear" w:pos="360"/>
          <w:tab w:val="clear" w:pos="567"/>
          <w:tab w:val="clear" w:pos="2912"/>
        </w:tabs>
        <w:spacing w:line="240" w:lineRule="auto"/>
        <w:rPr>
          <w:lang w:val="fr-CA"/>
        </w:rPr>
      </w:pPr>
      <w:r w:rsidRPr="0044626D">
        <w:rPr>
          <w:kern w:val="22"/>
          <w:szCs w:val="22"/>
          <w:lang w:val="fr-CA"/>
        </w:rPr>
        <w:t xml:space="preserve">Le Groupe de travail a approuvé le projet de décision révisé amendé verbalement pour transmission à la plénière en tant que projet de décision </w:t>
      </w:r>
      <w:r w:rsidRPr="0044626D">
        <w:rPr>
          <w:lang w:val="fr-CA"/>
        </w:rPr>
        <w:t>CBD/NP/MOP/3/L.4.</w:t>
      </w:r>
    </w:p>
    <w:p w14:paraId="627ABC4B" w14:textId="72222FF8" w:rsidR="0043391E" w:rsidRPr="0044626D" w:rsidRDefault="0043391E" w:rsidP="00A87F6E">
      <w:pPr>
        <w:pStyle w:val="Para1"/>
        <w:tabs>
          <w:tab w:val="clear" w:pos="360"/>
          <w:tab w:val="clear" w:pos="567"/>
          <w:tab w:val="clear" w:pos="2912"/>
        </w:tabs>
        <w:spacing w:line="240" w:lineRule="auto"/>
        <w:rPr>
          <w:lang w:val="fr-CA"/>
        </w:rPr>
      </w:pPr>
      <w:r w:rsidRPr="0044626D">
        <w:rPr>
          <w:bCs/>
          <w:szCs w:val="22"/>
          <w:lang w:val="fr-CA"/>
        </w:rPr>
        <w:t xml:space="preserve">À la cinquième séance plénière de la réunion, le 25 novembre 2018, la Conférence des Parties siégeant en tant que réunion des Parties </w:t>
      </w:r>
      <w:r w:rsidR="00FC7DFF" w:rsidRPr="0044626D">
        <w:rPr>
          <w:bCs/>
          <w:szCs w:val="22"/>
          <w:lang w:val="fr-CA"/>
        </w:rPr>
        <w:t xml:space="preserve">au Protocole de Nagoya </w:t>
      </w:r>
      <w:r w:rsidRPr="0044626D">
        <w:rPr>
          <w:bCs/>
          <w:szCs w:val="22"/>
          <w:lang w:val="fr-CA"/>
        </w:rPr>
        <w:t xml:space="preserve">a adopté le projet de décision CBD/NP/MOP/3/L.4 </w:t>
      </w:r>
      <w:r w:rsidR="00A87F6E">
        <w:rPr>
          <w:bCs/>
          <w:szCs w:val="22"/>
          <w:lang w:val="fr-CA"/>
        </w:rPr>
        <w:t>en tant que</w:t>
      </w:r>
      <w:r w:rsidR="00FC7DFF" w:rsidRPr="0044626D">
        <w:rPr>
          <w:bCs/>
          <w:szCs w:val="22"/>
          <w:lang w:val="fr-CA"/>
        </w:rPr>
        <w:t xml:space="preserve"> décision NP-3/6 (voir le texte au chapitre I).</w:t>
      </w:r>
    </w:p>
    <w:p w14:paraId="19968135" w14:textId="77777777" w:rsidR="0043391E" w:rsidRPr="0044626D" w:rsidRDefault="0043391E" w:rsidP="00A87F6E">
      <w:pPr>
        <w:pStyle w:val="Heading1multiline"/>
        <w:spacing w:line="240" w:lineRule="auto"/>
        <w:rPr>
          <w:rFonts w:ascii="Times New Roman" w:hAnsi="Times New Roman" w:cs="Times New Roman"/>
          <w:lang w:val="fr-CA"/>
        </w:rPr>
      </w:pPr>
      <w:r w:rsidRPr="0044626D">
        <w:rPr>
          <w:rFonts w:ascii="Times New Roman" w:hAnsi="Times New Roman" w:cs="Times New Roman"/>
          <w:lang w:val="fr-CA"/>
        </w:rPr>
        <w:lastRenderedPageBreak/>
        <w:t>POINT 13.</w:t>
      </w:r>
      <w:r w:rsidRPr="0044626D">
        <w:rPr>
          <w:rFonts w:ascii="Times New Roman" w:hAnsi="Times New Roman" w:cs="Times New Roman"/>
          <w:lang w:val="fr-CA"/>
        </w:rPr>
        <w:tab/>
        <w:t>Accroissement de l'intégration au titre de la Convention et de ses Protocoles concernant les dispositions relatives à l'accès et au partage des avantages</w:t>
      </w:r>
    </w:p>
    <w:p w14:paraId="3DE7A0AD" w14:textId="77777777" w:rsidR="0043391E" w:rsidRPr="0044626D" w:rsidRDefault="0043391E" w:rsidP="0043391E">
      <w:pPr>
        <w:pStyle w:val="Paragraphedeliste"/>
        <w:numPr>
          <w:ilvl w:val="0"/>
          <w:numId w:val="7"/>
        </w:numPr>
        <w:suppressLineNumbers/>
        <w:tabs>
          <w:tab w:val="clear" w:pos="360"/>
        </w:tabs>
        <w:suppressAutoHyphens/>
        <w:kinsoku w:val="0"/>
        <w:overflowPunct w:val="0"/>
        <w:autoSpaceDE w:val="0"/>
        <w:autoSpaceDN w:val="0"/>
        <w:snapToGrid w:val="0"/>
        <w:spacing w:before="120" w:line="240" w:lineRule="auto"/>
        <w:contextualSpacing w:val="0"/>
        <w:rPr>
          <w:snapToGrid w:val="0"/>
          <w:kern w:val="22"/>
          <w:szCs w:val="22"/>
          <w:lang w:val="fr-CA"/>
        </w:rPr>
      </w:pPr>
      <w:r w:rsidRPr="0044626D">
        <w:rPr>
          <w:color w:val="000000"/>
          <w:kern w:val="22"/>
          <w:szCs w:val="22"/>
          <w:lang w:val="fr-CA"/>
        </w:rPr>
        <w:t>Le Groupe de travail I a abordé le point 13 de l’ordre du jour à sa sixième session, le 21 novembre 2018, en parallèle au point 13 de l'ordre du jour de la Conférence des Parties à la Convention et au point 11 de l'ordre du jour de la Conférence des Parties siégeant en tant que réunion des Parties au Protocole de Cartagena.</w:t>
      </w:r>
      <w:r w:rsidRPr="0044626D">
        <w:rPr>
          <w:snapToGrid w:val="0"/>
          <w:kern w:val="22"/>
          <w:szCs w:val="22"/>
          <w:lang w:val="fr-CA"/>
        </w:rPr>
        <w:t xml:space="preserve"> Le Groupe de travail a examiné le point en </w:t>
      </w:r>
      <w:r w:rsidRPr="0044626D">
        <w:rPr>
          <w:kern w:val="22"/>
          <w:szCs w:val="22"/>
          <w:lang w:val="fr-CA"/>
        </w:rPr>
        <w:t xml:space="preserve">ayant en main un projet de décision fondé sur la </w:t>
      </w:r>
      <w:r w:rsidRPr="0044626D">
        <w:rPr>
          <w:snapToGrid w:val="0"/>
          <w:kern w:val="22"/>
          <w:szCs w:val="22"/>
          <w:lang w:val="fr-CA"/>
        </w:rPr>
        <w:t xml:space="preserve">recommandation SBI-2/14 incluse dans la compilation des projets de décisions </w:t>
      </w:r>
      <w:r w:rsidRPr="0044626D">
        <w:rPr>
          <w:kern w:val="22"/>
          <w:szCs w:val="22"/>
          <w:lang w:val="fr-CA"/>
        </w:rPr>
        <w:t xml:space="preserve"> (CBD/NP/MOP/3/1/Add.2).</w:t>
      </w:r>
    </w:p>
    <w:p w14:paraId="7A0BDF31" w14:textId="77777777" w:rsidR="0043391E" w:rsidRPr="0044626D" w:rsidRDefault="0043391E" w:rsidP="0043391E">
      <w:pPr>
        <w:pStyle w:val="Paragraphedeliste"/>
        <w:numPr>
          <w:ilvl w:val="0"/>
          <w:numId w:val="7"/>
        </w:numPr>
        <w:suppressLineNumbers/>
        <w:tabs>
          <w:tab w:val="clear" w:pos="360"/>
        </w:tabs>
        <w:suppressAutoHyphens/>
        <w:kinsoku w:val="0"/>
        <w:overflowPunct w:val="0"/>
        <w:autoSpaceDE w:val="0"/>
        <w:autoSpaceDN w:val="0"/>
        <w:snapToGrid w:val="0"/>
        <w:spacing w:before="120" w:line="240" w:lineRule="auto"/>
        <w:contextualSpacing w:val="0"/>
        <w:rPr>
          <w:snapToGrid w:val="0"/>
          <w:kern w:val="22"/>
          <w:szCs w:val="22"/>
          <w:lang w:val="fr-CA"/>
        </w:rPr>
      </w:pPr>
      <w:r w:rsidRPr="0044626D">
        <w:rPr>
          <w:kern w:val="22"/>
          <w:szCs w:val="22"/>
          <w:lang w:val="fr-CA"/>
        </w:rPr>
        <w:t>Les représentants des pays suivants ont présenté un exposé : Argentine, Colombie, Gabon, Inde, Indonésie, Malawi, Union européenne et ses 28 États membres et Venezuela (République bolivarienne du).</w:t>
      </w:r>
    </w:p>
    <w:p w14:paraId="347E4C8B" w14:textId="77777777" w:rsidR="0043391E" w:rsidRPr="0044626D" w:rsidRDefault="0043391E" w:rsidP="0043391E">
      <w:pPr>
        <w:pStyle w:val="Paragraphedeliste"/>
        <w:numPr>
          <w:ilvl w:val="0"/>
          <w:numId w:val="7"/>
        </w:numPr>
        <w:suppressLineNumbers/>
        <w:tabs>
          <w:tab w:val="clear" w:pos="360"/>
        </w:tabs>
        <w:suppressAutoHyphens/>
        <w:kinsoku w:val="0"/>
        <w:overflowPunct w:val="0"/>
        <w:autoSpaceDE w:val="0"/>
        <w:autoSpaceDN w:val="0"/>
        <w:snapToGrid w:val="0"/>
        <w:spacing w:before="120" w:line="240" w:lineRule="auto"/>
        <w:contextualSpacing w:val="0"/>
        <w:rPr>
          <w:snapToGrid w:val="0"/>
          <w:kern w:val="22"/>
          <w:szCs w:val="22"/>
          <w:lang w:val="fr-CA"/>
        </w:rPr>
      </w:pPr>
      <w:r w:rsidRPr="0044626D">
        <w:rPr>
          <w:snapToGrid w:val="0"/>
          <w:kern w:val="22"/>
          <w:szCs w:val="22"/>
          <w:lang w:val="fr-CA"/>
        </w:rPr>
        <w:t>Un représentant du Maroc a également présenté un exposé.</w:t>
      </w:r>
    </w:p>
    <w:p w14:paraId="6C4B4024" w14:textId="77777777" w:rsidR="0043391E" w:rsidRPr="0044626D" w:rsidRDefault="0043391E" w:rsidP="0043391E">
      <w:pPr>
        <w:pStyle w:val="Paragraphedeliste"/>
        <w:numPr>
          <w:ilvl w:val="0"/>
          <w:numId w:val="7"/>
        </w:numPr>
        <w:suppressLineNumbers/>
        <w:tabs>
          <w:tab w:val="clear" w:pos="360"/>
        </w:tabs>
        <w:suppressAutoHyphens/>
        <w:kinsoku w:val="0"/>
        <w:overflowPunct w:val="0"/>
        <w:autoSpaceDE w:val="0"/>
        <w:autoSpaceDN w:val="0"/>
        <w:snapToGrid w:val="0"/>
        <w:spacing w:before="120" w:line="240" w:lineRule="auto"/>
        <w:contextualSpacing w:val="0"/>
        <w:rPr>
          <w:snapToGrid w:val="0"/>
          <w:kern w:val="22"/>
          <w:szCs w:val="22"/>
          <w:lang w:val="fr-CA"/>
        </w:rPr>
      </w:pPr>
      <w:r w:rsidRPr="0044626D">
        <w:rPr>
          <w:snapToGrid w:val="0"/>
          <w:kern w:val="22"/>
          <w:szCs w:val="22"/>
          <w:lang w:val="fr-CA"/>
        </w:rPr>
        <w:t xml:space="preserve">Un représentant du </w:t>
      </w:r>
      <w:r w:rsidRPr="0044626D">
        <w:rPr>
          <w:kern w:val="22"/>
          <w:szCs w:val="22"/>
          <w:lang w:val="fr-CA"/>
        </w:rPr>
        <w:t>Service international pour l’acquisition d’applications agricoles biotechnologiques a communiqué sa position.</w:t>
      </w:r>
    </w:p>
    <w:p w14:paraId="1DE8A881" w14:textId="77777777" w:rsidR="0043391E" w:rsidRPr="0044626D" w:rsidRDefault="0043391E" w:rsidP="0043391E">
      <w:pPr>
        <w:pStyle w:val="Para1"/>
        <w:tabs>
          <w:tab w:val="clear" w:pos="2912"/>
        </w:tabs>
        <w:spacing w:line="240" w:lineRule="auto"/>
        <w:rPr>
          <w:lang w:val="fr-CA"/>
        </w:rPr>
      </w:pPr>
      <w:r w:rsidRPr="0044626D">
        <w:rPr>
          <w:kern w:val="22"/>
          <w:szCs w:val="22"/>
          <w:lang w:val="fr-CA"/>
        </w:rPr>
        <w:t>Le président a indiqué qu’il préparerait un projet de décision sur la question qui tiendrait compte des points de vue exprimés verbalement et par écrit.</w:t>
      </w:r>
    </w:p>
    <w:p w14:paraId="0195276C" w14:textId="77777777" w:rsidR="0043391E" w:rsidRPr="0044626D" w:rsidRDefault="0043391E" w:rsidP="00FC7DFF">
      <w:pPr>
        <w:pStyle w:val="Para1"/>
        <w:tabs>
          <w:tab w:val="clear" w:pos="360"/>
          <w:tab w:val="clear" w:pos="567"/>
          <w:tab w:val="clear" w:pos="2912"/>
        </w:tabs>
        <w:spacing w:line="240" w:lineRule="auto"/>
        <w:rPr>
          <w:lang w:val="fr-CA"/>
        </w:rPr>
      </w:pPr>
      <w:r w:rsidRPr="0044626D">
        <w:rPr>
          <w:lang w:val="fr-CA"/>
        </w:rPr>
        <w:t>À sa douzième séance, le 28 novembre 2018, le Groupe de travail I a examiné un projet de décision présenté par son président, qu'il a approuvé pour transmission à la séance plénière comme projet de décision CBD/COP/14/L.11.</w:t>
      </w:r>
    </w:p>
    <w:p w14:paraId="52160372" w14:textId="732FAC17" w:rsidR="0043391E" w:rsidRPr="0044626D" w:rsidRDefault="00FC7DFF" w:rsidP="00FC7DFF">
      <w:pPr>
        <w:pStyle w:val="Para1"/>
        <w:tabs>
          <w:tab w:val="clear" w:pos="360"/>
          <w:tab w:val="clear" w:pos="567"/>
          <w:tab w:val="clear" w:pos="2912"/>
        </w:tabs>
        <w:spacing w:line="240" w:lineRule="auto"/>
        <w:rPr>
          <w:i/>
          <w:lang w:val="fr-CA"/>
        </w:rPr>
      </w:pPr>
      <w:r w:rsidRPr="0044626D">
        <w:rPr>
          <w:lang w:val="fr-CA"/>
        </w:rPr>
        <w:t xml:space="preserve">À la huitième séance plénière, le 29 novembre 2018, la Conférence des Parties siégeant en tant que réunion des Parties au Protocole de Nagoya a adopté le projet de décision </w:t>
      </w:r>
      <w:r w:rsidRPr="0044626D">
        <w:rPr>
          <w:szCs w:val="22"/>
          <w:lang w:val="fr-CA"/>
        </w:rPr>
        <w:t>CBD/NP/MOP/3/L.</w:t>
      </w:r>
      <w:r w:rsidR="002848CA" w:rsidRPr="0044626D">
        <w:rPr>
          <w:szCs w:val="22"/>
          <w:lang w:val="fr-CA"/>
        </w:rPr>
        <w:t>11</w:t>
      </w:r>
      <w:r w:rsidRPr="0044626D">
        <w:rPr>
          <w:szCs w:val="22"/>
          <w:lang w:val="fr-CA"/>
        </w:rPr>
        <w:t xml:space="preserve"> en tant que décision</w:t>
      </w:r>
      <w:r w:rsidR="002848CA" w:rsidRPr="0044626D">
        <w:rPr>
          <w:szCs w:val="22"/>
          <w:lang w:val="fr-CA"/>
        </w:rPr>
        <w:t xml:space="preserve"> NP-3/9</w:t>
      </w:r>
      <w:r w:rsidRPr="0044626D">
        <w:rPr>
          <w:szCs w:val="22"/>
          <w:lang w:val="fr-CA"/>
        </w:rPr>
        <w:t xml:space="preserve"> (voir le texte au chapitre I).</w:t>
      </w:r>
    </w:p>
    <w:p w14:paraId="318F0282" w14:textId="77777777" w:rsidR="0043391E" w:rsidRPr="0044626D" w:rsidRDefault="0043391E" w:rsidP="00A90365">
      <w:pPr>
        <w:pStyle w:val="Heading1multiline"/>
        <w:spacing w:line="240" w:lineRule="auto"/>
        <w:rPr>
          <w:rFonts w:ascii="Times New Roman" w:hAnsi="Times New Roman" w:cs="Times New Roman"/>
          <w:lang w:val="fr-CA"/>
        </w:rPr>
      </w:pPr>
      <w:r w:rsidRPr="0044626D">
        <w:rPr>
          <w:rFonts w:ascii="Times New Roman" w:hAnsi="Times New Roman" w:cs="Times New Roman"/>
          <w:lang w:val="fr-CA"/>
        </w:rPr>
        <w:t>POINT 14.</w:t>
      </w:r>
      <w:r w:rsidRPr="0044626D">
        <w:rPr>
          <w:rFonts w:ascii="Times New Roman" w:hAnsi="Times New Roman" w:cs="Times New Roman"/>
          <w:lang w:val="fr-CA"/>
        </w:rPr>
        <w:tab/>
        <w:t>Coopération avec d'autres organisations, conventions et initiatives internationales</w:t>
      </w:r>
    </w:p>
    <w:p w14:paraId="56600F37" w14:textId="25F37993"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color w:val="000000"/>
          <w:kern w:val="22"/>
          <w:szCs w:val="22"/>
          <w:lang w:val="fr-CA"/>
        </w:rPr>
        <w:t xml:space="preserve">Le Groupe de travail I a abordé le point 14 de l’ordre du jour  à sa sixième session, le 21 novembre 2018. </w:t>
      </w:r>
      <w:r w:rsidRPr="0044626D">
        <w:rPr>
          <w:kern w:val="22"/>
          <w:szCs w:val="22"/>
          <w:lang w:val="fr-CA"/>
        </w:rPr>
        <w:t xml:space="preserve">Le Groupe de travail a examiné le point en ayant en main une note résumant les activités de coopération pertinentes </w:t>
      </w:r>
      <w:r w:rsidRPr="0044626D">
        <w:rPr>
          <w:szCs w:val="22"/>
          <w:lang w:val="fr-CA"/>
        </w:rPr>
        <w:t xml:space="preserve">(CBD/NP/MOP/3/9), </w:t>
      </w:r>
      <w:r w:rsidR="00D31792" w:rsidRPr="0044626D">
        <w:rPr>
          <w:szCs w:val="22"/>
          <w:lang w:val="fr-CA"/>
        </w:rPr>
        <w:t xml:space="preserve">ainsi que les documents d’information suivants : a) </w:t>
      </w:r>
      <w:r w:rsidRPr="0044626D">
        <w:rPr>
          <w:szCs w:val="22"/>
          <w:lang w:val="fr-CA"/>
        </w:rPr>
        <w:t>un rapport sur une étude réalisée par le Secrétariat de l’OMS (CBD/NP/MOP/3/INF/3)</w:t>
      </w:r>
      <w:r w:rsidR="00D31792" w:rsidRPr="0044626D">
        <w:rPr>
          <w:szCs w:val="22"/>
          <w:lang w:val="fr-CA"/>
        </w:rPr>
        <w:t>, b)</w:t>
      </w:r>
      <w:r w:rsidRPr="0044626D">
        <w:rPr>
          <w:szCs w:val="22"/>
          <w:lang w:val="fr-CA"/>
        </w:rPr>
        <w:t xml:space="preserve"> un document fourni par la Secrétaire exécutive au Secrétariat de l’OMS sur l’information fournie par les Parties </w:t>
      </w:r>
      <w:r w:rsidR="00D31792" w:rsidRPr="0044626D">
        <w:rPr>
          <w:szCs w:val="22"/>
          <w:lang w:val="fr-CA"/>
        </w:rPr>
        <w:t xml:space="preserve">au Protocole de Nagoya </w:t>
      </w:r>
      <w:r w:rsidRPr="0044626D">
        <w:rPr>
          <w:szCs w:val="22"/>
          <w:lang w:val="fr-CA"/>
        </w:rPr>
        <w:t xml:space="preserve">sur l’application </w:t>
      </w:r>
      <w:r w:rsidR="00D31792" w:rsidRPr="0044626D">
        <w:rPr>
          <w:szCs w:val="22"/>
          <w:lang w:val="fr-CA"/>
        </w:rPr>
        <w:t xml:space="preserve">de l’article 8 b) et autres dispositions pertinentes du </w:t>
      </w:r>
      <w:r w:rsidRPr="0044626D">
        <w:rPr>
          <w:szCs w:val="22"/>
          <w:lang w:val="fr-CA"/>
        </w:rPr>
        <w:t xml:space="preserve">Protocole </w:t>
      </w:r>
      <w:r w:rsidR="00D31792" w:rsidRPr="0044626D">
        <w:rPr>
          <w:szCs w:val="22"/>
          <w:lang w:val="fr-CA"/>
        </w:rPr>
        <w:t>au pays</w:t>
      </w:r>
      <w:r w:rsidRPr="0044626D">
        <w:rPr>
          <w:szCs w:val="22"/>
          <w:lang w:val="fr-CA"/>
        </w:rPr>
        <w:t xml:space="preserve"> (CBD/NP/MOP/3/INF/4), </w:t>
      </w:r>
      <w:r w:rsidR="00D31792" w:rsidRPr="0044626D">
        <w:rPr>
          <w:szCs w:val="22"/>
          <w:lang w:val="fr-CA"/>
        </w:rPr>
        <w:t xml:space="preserve">c) un document sur </w:t>
      </w:r>
      <w:r w:rsidRPr="0044626D">
        <w:rPr>
          <w:szCs w:val="22"/>
          <w:lang w:val="fr-CA"/>
        </w:rPr>
        <w:t>la mise en œuvre du Protocole de Nagoya dans le contexte de la santé humaine et animale, et de la sécurité des aliments : accès aux agents pathogènes et au partage juste et équitable des avantages : questions et réponses (CBD/NP/MOP/3/INF/5)</w:t>
      </w:r>
      <w:r w:rsidR="00D31792" w:rsidRPr="0044626D">
        <w:rPr>
          <w:szCs w:val="22"/>
          <w:lang w:val="fr-CA"/>
        </w:rPr>
        <w:t xml:space="preserve">, </w:t>
      </w:r>
      <w:r w:rsidR="00D5715F" w:rsidRPr="0044626D">
        <w:rPr>
          <w:szCs w:val="22"/>
          <w:lang w:val="fr-CA"/>
        </w:rPr>
        <w:t xml:space="preserve">et </w:t>
      </w:r>
      <w:r w:rsidRPr="0044626D">
        <w:rPr>
          <w:szCs w:val="22"/>
          <w:lang w:val="fr-CA"/>
        </w:rPr>
        <w:t>un compte rendu des récents développements au titre du Traité international sur les ressources phytogénétiques pour l’alimentation et l’agriculture d’importance pour la Convention sur la diversité biologique et le Protocole de Nagoya (CBD/NP/MOP/3/INF/30).</w:t>
      </w:r>
    </w:p>
    <w:p w14:paraId="3E349097" w14:textId="77777777"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szCs w:val="22"/>
          <w:lang w:val="fr-CA"/>
        </w:rPr>
        <w:t>Des représentants du Kenya, du Mexique et de l’Union européenne et ses 28 États membres ont présenté un exposé.</w:t>
      </w:r>
    </w:p>
    <w:p w14:paraId="019BC202" w14:textId="77777777"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szCs w:val="22"/>
          <w:lang w:val="fr-CA"/>
        </w:rPr>
        <w:t>Des représentants de l’OMS et de l’OMPI ont également présenté un exposé.</w:t>
      </w:r>
    </w:p>
    <w:p w14:paraId="4F6E6F56" w14:textId="77777777"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kern w:val="22"/>
          <w:szCs w:val="22"/>
          <w:lang w:val="fr-CA"/>
        </w:rPr>
        <w:t>Le président a indiqué qu’il préparerait un projet de décision qui tiendrait compte des points de vue exprimés verbalement et par écrit.</w:t>
      </w:r>
    </w:p>
    <w:p w14:paraId="5AB22151" w14:textId="189EFD09" w:rsidR="0043391E" w:rsidRPr="0044626D" w:rsidRDefault="0043391E" w:rsidP="0043391E">
      <w:pPr>
        <w:pStyle w:val="Para1"/>
        <w:tabs>
          <w:tab w:val="clear" w:pos="360"/>
          <w:tab w:val="clear" w:pos="567"/>
          <w:tab w:val="clear" w:pos="2912"/>
        </w:tabs>
        <w:snapToGrid w:val="0"/>
        <w:spacing w:line="240" w:lineRule="auto"/>
        <w:rPr>
          <w:szCs w:val="22"/>
          <w:lang w:val="fr-CA"/>
        </w:rPr>
      </w:pPr>
      <w:r w:rsidRPr="0044626D">
        <w:rPr>
          <w:kern w:val="22"/>
          <w:szCs w:val="22"/>
          <w:lang w:val="fr-CA"/>
        </w:rPr>
        <w:t>Le Groupe de travail a examiné un projet de décision proposé par le présid</w:t>
      </w:r>
      <w:r w:rsidR="007B153F">
        <w:rPr>
          <w:kern w:val="22"/>
          <w:szCs w:val="22"/>
          <w:lang w:val="fr-CA"/>
        </w:rPr>
        <w:t>ent à sa onzième session, le 26 </w:t>
      </w:r>
      <w:r w:rsidRPr="0044626D">
        <w:rPr>
          <w:kern w:val="22"/>
          <w:szCs w:val="22"/>
          <w:lang w:val="fr-CA"/>
        </w:rPr>
        <w:t>novembre 2018.</w:t>
      </w:r>
    </w:p>
    <w:p w14:paraId="7EB4F504" w14:textId="7C9E1E15" w:rsidR="0043391E" w:rsidRPr="0044626D" w:rsidRDefault="0043391E" w:rsidP="007B153F">
      <w:pPr>
        <w:pStyle w:val="Para1"/>
        <w:tabs>
          <w:tab w:val="clear" w:pos="360"/>
          <w:tab w:val="clear" w:pos="567"/>
          <w:tab w:val="clear" w:pos="2912"/>
        </w:tabs>
        <w:spacing w:line="240" w:lineRule="auto"/>
        <w:rPr>
          <w:lang w:val="fr-CA"/>
        </w:rPr>
      </w:pPr>
      <w:r w:rsidRPr="0044626D">
        <w:rPr>
          <w:kern w:val="22"/>
          <w:szCs w:val="22"/>
          <w:lang w:val="fr-CA"/>
        </w:rPr>
        <w:t xml:space="preserve">Les représentants du Mexique, de la Norvège, de l’Ouganda, de la Suisse, de </w:t>
      </w:r>
      <w:r w:rsidR="007B153F">
        <w:rPr>
          <w:kern w:val="22"/>
          <w:szCs w:val="22"/>
          <w:lang w:val="fr-CA"/>
        </w:rPr>
        <w:t>l’Union européenne et ses 28 </w:t>
      </w:r>
      <w:r w:rsidRPr="0044626D">
        <w:rPr>
          <w:kern w:val="22"/>
          <w:szCs w:val="22"/>
          <w:lang w:val="fr-CA"/>
        </w:rPr>
        <w:t>États membres, du Venezuela (République bolivarienne du) et du Viet Nam ont présenté un exposé.</w:t>
      </w:r>
    </w:p>
    <w:p w14:paraId="7F289D6D" w14:textId="77777777" w:rsidR="0043391E" w:rsidRPr="0044626D" w:rsidRDefault="0043391E" w:rsidP="007B153F">
      <w:pPr>
        <w:pStyle w:val="Para1"/>
        <w:tabs>
          <w:tab w:val="clear" w:pos="360"/>
          <w:tab w:val="clear" w:pos="567"/>
          <w:tab w:val="clear" w:pos="2912"/>
        </w:tabs>
        <w:spacing w:line="240" w:lineRule="auto"/>
        <w:rPr>
          <w:lang w:val="fr-CA"/>
        </w:rPr>
      </w:pPr>
      <w:r w:rsidRPr="0044626D">
        <w:rPr>
          <w:lang w:val="fr-CA"/>
        </w:rPr>
        <w:t>À sa treizième séance, le 28 novembre 2018, le Groupe de travail a examiné un projet de décision révisé présenté par le président.</w:t>
      </w:r>
    </w:p>
    <w:p w14:paraId="542C4BEB" w14:textId="77777777" w:rsidR="0043391E" w:rsidRPr="0044626D" w:rsidRDefault="0043391E" w:rsidP="007B153F">
      <w:pPr>
        <w:pStyle w:val="Para1"/>
        <w:tabs>
          <w:tab w:val="clear" w:pos="360"/>
          <w:tab w:val="clear" w:pos="567"/>
          <w:tab w:val="clear" w:pos="2912"/>
        </w:tabs>
        <w:spacing w:line="240" w:lineRule="auto"/>
        <w:rPr>
          <w:lang w:val="fr-CA"/>
        </w:rPr>
      </w:pPr>
      <w:r w:rsidRPr="0044626D">
        <w:rPr>
          <w:lang w:val="fr-CA"/>
        </w:rPr>
        <w:lastRenderedPageBreak/>
        <w:t>Des déclarations ont été faites par les pays suivants : Afrique du Sud, Argentine, Mexique, Norvège, Ouganda et Suisse.</w:t>
      </w:r>
    </w:p>
    <w:p w14:paraId="426950CF" w14:textId="57DB8B50" w:rsidR="0043391E" w:rsidRPr="0044626D" w:rsidRDefault="0043391E" w:rsidP="007B153F">
      <w:pPr>
        <w:pStyle w:val="Para1"/>
        <w:tabs>
          <w:tab w:val="clear" w:pos="360"/>
          <w:tab w:val="clear" w:pos="567"/>
          <w:tab w:val="clear" w:pos="2912"/>
        </w:tabs>
        <w:spacing w:line="240" w:lineRule="auto"/>
        <w:rPr>
          <w:lang w:val="fr-CA"/>
        </w:rPr>
      </w:pPr>
      <w:r w:rsidRPr="0044626D">
        <w:rPr>
          <w:lang w:val="fr-CA"/>
        </w:rPr>
        <w:t xml:space="preserve">Le Groupe de travail a approuvé le projet de décision révisé, tel que modifié oralement, pour transmission à la séance plénière </w:t>
      </w:r>
      <w:r w:rsidR="007B153F">
        <w:rPr>
          <w:lang w:val="fr-CA"/>
        </w:rPr>
        <w:t>en tant que</w:t>
      </w:r>
      <w:r w:rsidRPr="0044626D">
        <w:rPr>
          <w:lang w:val="fr-CA"/>
        </w:rPr>
        <w:t xml:space="preserve"> projet de décision CBD/NP/MOP/3/L.14.</w:t>
      </w:r>
    </w:p>
    <w:p w14:paraId="5D4DF841" w14:textId="771AE83B" w:rsidR="0043391E" w:rsidRPr="0044626D" w:rsidRDefault="0043391E" w:rsidP="007B153F">
      <w:pPr>
        <w:pStyle w:val="Para1"/>
        <w:tabs>
          <w:tab w:val="clear" w:pos="360"/>
          <w:tab w:val="clear" w:pos="567"/>
          <w:tab w:val="clear" w:pos="2912"/>
        </w:tabs>
        <w:spacing w:line="240" w:lineRule="auto"/>
        <w:rPr>
          <w:lang w:val="fr-CA"/>
        </w:rPr>
      </w:pPr>
      <w:r w:rsidRPr="0044626D">
        <w:rPr>
          <w:lang w:val="fr-CA"/>
        </w:rPr>
        <w:t xml:space="preserve"> </w:t>
      </w:r>
      <w:r w:rsidR="00D5715F" w:rsidRPr="0044626D">
        <w:rPr>
          <w:lang w:val="fr-CA"/>
        </w:rPr>
        <w:t xml:space="preserve">La Conférence des Parties siégeant en tant que réunion des Parties au Protocole de Nagoya a </w:t>
      </w:r>
      <w:r w:rsidR="0046389C" w:rsidRPr="0044626D">
        <w:rPr>
          <w:lang w:val="fr-CA"/>
        </w:rPr>
        <w:t>examiné</w:t>
      </w:r>
      <w:r w:rsidR="00D5715F" w:rsidRPr="0044626D">
        <w:rPr>
          <w:lang w:val="fr-CA"/>
        </w:rPr>
        <w:t xml:space="preserve"> le projet de décision à la huitième séance de plénière, le 29 novembre 2018</w:t>
      </w:r>
      <w:r w:rsidRPr="0044626D">
        <w:rPr>
          <w:lang w:val="fr-CA"/>
        </w:rPr>
        <w:t>.</w:t>
      </w:r>
    </w:p>
    <w:p w14:paraId="4DC5B68F" w14:textId="4463A69B" w:rsidR="00D5715F" w:rsidRPr="0044626D" w:rsidRDefault="00D5715F" w:rsidP="007B153F">
      <w:pPr>
        <w:pStyle w:val="Para1"/>
        <w:tabs>
          <w:tab w:val="clear" w:pos="360"/>
          <w:tab w:val="clear" w:pos="567"/>
          <w:tab w:val="clear" w:pos="2912"/>
        </w:tabs>
        <w:spacing w:line="240" w:lineRule="auto"/>
        <w:rPr>
          <w:lang w:val="fr-CA"/>
        </w:rPr>
      </w:pPr>
      <w:r w:rsidRPr="0044626D">
        <w:rPr>
          <w:lang w:val="fr-CA"/>
        </w:rPr>
        <w:t>Des déclarations ont été faites par les représentants du Japon, du Mexique, de l’Ouganda et de l’Union européenne et ses 28 États membres.</w:t>
      </w:r>
    </w:p>
    <w:p w14:paraId="628FDECF" w14:textId="21D56CE6" w:rsidR="00D5715F" w:rsidRPr="0044626D" w:rsidRDefault="00D5715F" w:rsidP="00D5715F">
      <w:pPr>
        <w:pStyle w:val="Para1"/>
        <w:tabs>
          <w:tab w:val="clear" w:pos="360"/>
          <w:tab w:val="clear" w:pos="567"/>
          <w:tab w:val="clear" w:pos="2912"/>
        </w:tabs>
        <w:spacing w:line="240" w:lineRule="auto"/>
        <w:rPr>
          <w:lang w:val="fr-CA"/>
        </w:rPr>
      </w:pPr>
      <w:r w:rsidRPr="0044626D">
        <w:rPr>
          <w:lang w:val="fr-CA"/>
        </w:rPr>
        <w:t>La Conférence des Parties siégeant en tant que réunion des Parties au Protocole de Nagoya a adopté le projet de décision CBD/NP/MOP/3/L.14, comme modifié verbalement, en tant que décision NP-3/7 (voir le texte au chapitre I).</w:t>
      </w:r>
    </w:p>
    <w:p w14:paraId="1339B467" w14:textId="77777777" w:rsidR="0043391E" w:rsidRPr="0044626D" w:rsidRDefault="0043391E" w:rsidP="0043391E">
      <w:pPr>
        <w:pStyle w:val="Heading1longmultiline"/>
        <w:rPr>
          <w:rFonts w:ascii="Times New Roman" w:hAnsi="Times New Roman" w:cs="Times New Roman"/>
          <w:lang w:val="fr-CA"/>
        </w:rPr>
      </w:pPr>
      <w:r w:rsidRPr="0044626D">
        <w:rPr>
          <w:rFonts w:ascii="Times New Roman" w:hAnsi="Times New Roman" w:cs="Times New Roman"/>
          <w:lang w:val="fr-CA"/>
        </w:rPr>
        <w:t>POINT 15.</w:t>
      </w:r>
      <w:r w:rsidRPr="0044626D">
        <w:rPr>
          <w:rFonts w:ascii="Times New Roman" w:hAnsi="Times New Roman" w:cs="Times New Roman"/>
          <w:lang w:val="fr-CA"/>
        </w:rPr>
        <w:tab/>
        <w:t>Examen de l'efficacité des structures et des processus</w:t>
      </w:r>
    </w:p>
    <w:p w14:paraId="27CA7E47" w14:textId="77777777" w:rsidR="0043391E" w:rsidRPr="0044626D" w:rsidRDefault="0043391E" w:rsidP="0043391E">
      <w:pPr>
        <w:pStyle w:val="Titre3"/>
        <w:rPr>
          <w:color w:val="000000" w:themeColor="text1"/>
          <w:lang w:val="fr-CA"/>
        </w:rPr>
      </w:pPr>
      <w:r w:rsidRPr="0044626D">
        <w:rPr>
          <w:color w:val="000000" w:themeColor="text1"/>
          <w:lang w:val="fr-CA"/>
        </w:rPr>
        <w:t>Examen de l’expérience de présenter des réunions concomitantes de la Convention et de ses Protocoles</w:t>
      </w:r>
    </w:p>
    <w:p w14:paraId="1E5B3FBD" w14:textId="6C5C6988" w:rsidR="0043391E" w:rsidRPr="0044626D" w:rsidRDefault="0043391E" w:rsidP="007B153F">
      <w:pPr>
        <w:pStyle w:val="Para1"/>
        <w:tabs>
          <w:tab w:val="clear" w:pos="360"/>
          <w:tab w:val="clear" w:pos="567"/>
          <w:tab w:val="clear" w:pos="2912"/>
        </w:tabs>
        <w:spacing w:line="240" w:lineRule="auto"/>
        <w:rPr>
          <w:lang w:val="fr-CA"/>
        </w:rPr>
      </w:pPr>
      <w:r w:rsidRPr="0044626D">
        <w:rPr>
          <w:lang w:val="fr-CA"/>
        </w:rPr>
        <w:t>Le Groupe de travail I a abordé le premier aspect du point 13 de l’ordre du j</w:t>
      </w:r>
      <w:r w:rsidR="007B153F">
        <w:rPr>
          <w:lang w:val="fr-CA"/>
        </w:rPr>
        <w:t>our à sa sixième session, le 21 </w:t>
      </w:r>
      <w:r w:rsidRPr="0044626D">
        <w:rPr>
          <w:lang w:val="fr-CA"/>
        </w:rPr>
        <w:t xml:space="preserve">novembre 2018.  Le Groupe de travail a examiné le point en ayant en main un projet </w:t>
      </w:r>
      <w:r w:rsidR="00E604CF" w:rsidRPr="0044626D">
        <w:rPr>
          <w:lang w:val="fr-CA"/>
        </w:rPr>
        <w:t>de décision fondé sur la partie </w:t>
      </w:r>
      <w:r w:rsidRPr="0044626D">
        <w:rPr>
          <w:lang w:val="fr-CA"/>
        </w:rPr>
        <w:t>A de la recommandation SBI-2/15 incluse dans la compilation des projets de décision  (CBD/</w:t>
      </w:r>
      <w:r w:rsidR="00E604CF" w:rsidRPr="0044626D">
        <w:rPr>
          <w:lang w:val="fr-CA"/>
        </w:rPr>
        <w:t>NP/MOP/3/1/Add</w:t>
      </w:r>
      <w:r w:rsidRPr="0044626D">
        <w:rPr>
          <w:lang w:val="fr-CA"/>
        </w:rPr>
        <w:t xml:space="preserve">.2). </w:t>
      </w:r>
    </w:p>
    <w:p w14:paraId="2DA8F640" w14:textId="0F2F8634" w:rsidR="0043391E" w:rsidRPr="0044626D" w:rsidRDefault="0043391E" w:rsidP="007B153F">
      <w:pPr>
        <w:pStyle w:val="Para1"/>
        <w:tabs>
          <w:tab w:val="clear" w:pos="360"/>
          <w:tab w:val="clear" w:pos="567"/>
          <w:tab w:val="clear" w:pos="2912"/>
        </w:tabs>
        <w:spacing w:line="240" w:lineRule="auto"/>
        <w:rPr>
          <w:lang w:val="fr-CA"/>
        </w:rPr>
      </w:pPr>
      <w:r w:rsidRPr="0044626D">
        <w:rPr>
          <w:lang w:val="fr-CA"/>
        </w:rPr>
        <w:t xml:space="preserve">Les représentants des pays suivants ont présenté un exposé : Argentine, Honduras, Inde, Jordanie, Mexique, Ouganda (au nom du </w:t>
      </w:r>
      <w:r w:rsidR="0013107D">
        <w:rPr>
          <w:lang w:val="fr-CA"/>
        </w:rPr>
        <w:t>groupe des États africains</w:t>
      </w:r>
      <w:r w:rsidRPr="0044626D">
        <w:rPr>
          <w:lang w:val="fr-CA"/>
        </w:rPr>
        <w:t>), Panama, Suisse et Union européenne et ses 28 États membres.</w:t>
      </w:r>
    </w:p>
    <w:p w14:paraId="45FBBEC1" w14:textId="77777777" w:rsidR="0043391E" w:rsidRPr="0044626D" w:rsidRDefault="0043391E" w:rsidP="007B153F">
      <w:pPr>
        <w:pStyle w:val="Para1"/>
        <w:tabs>
          <w:tab w:val="clear" w:pos="360"/>
          <w:tab w:val="clear" w:pos="567"/>
          <w:tab w:val="clear" w:pos="2912"/>
        </w:tabs>
        <w:spacing w:line="240" w:lineRule="auto"/>
        <w:rPr>
          <w:lang w:val="fr-CA"/>
        </w:rPr>
      </w:pPr>
      <w:r w:rsidRPr="0044626D">
        <w:rPr>
          <w:lang w:val="fr-CA"/>
        </w:rPr>
        <w:t>Les représentants du Canada, du Maroc, de la Nouvelle-Zélande et du Paraguay ont présenté un exposé.</w:t>
      </w:r>
    </w:p>
    <w:p w14:paraId="65D1D338" w14:textId="77777777" w:rsidR="0043391E" w:rsidRPr="0044626D" w:rsidRDefault="0043391E" w:rsidP="007B153F">
      <w:pPr>
        <w:pStyle w:val="Para1"/>
        <w:tabs>
          <w:tab w:val="clear" w:pos="360"/>
          <w:tab w:val="clear" w:pos="567"/>
          <w:tab w:val="clear" w:pos="2912"/>
        </w:tabs>
        <w:spacing w:line="240" w:lineRule="auto"/>
        <w:rPr>
          <w:lang w:val="fr-CA"/>
        </w:rPr>
      </w:pPr>
      <w:r w:rsidRPr="0044626D">
        <w:rPr>
          <w:lang w:val="fr-CA"/>
        </w:rPr>
        <w:t>Les représentants du J. Craig Venter Institute, du PRRI et de Réseau Tiers monde (au nom de l’Observatoire de l’Europe industrielle, d’EcoNexus, du Groupe d’action sur l’érosion, la technologie et la concentration, d’Amis de la Terre international et de Pro Natura) ont communiqué leur point de vue.</w:t>
      </w:r>
    </w:p>
    <w:p w14:paraId="3DA0F4C5" w14:textId="73802A1E" w:rsidR="0043391E" w:rsidRPr="0044626D" w:rsidRDefault="0043391E" w:rsidP="007B153F">
      <w:pPr>
        <w:pStyle w:val="Para1"/>
        <w:tabs>
          <w:tab w:val="clear" w:pos="360"/>
          <w:tab w:val="clear" w:pos="567"/>
          <w:tab w:val="clear" w:pos="2912"/>
        </w:tabs>
        <w:spacing w:line="240" w:lineRule="auto"/>
        <w:rPr>
          <w:lang w:val="fr-CA"/>
        </w:rPr>
      </w:pPr>
      <w:r w:rsidRPr="0044626D">
        <w:rPr>
          <w:lang w:val="fr-CA"/>
        </w:rPr>
        <w:t>Le Groupe de travail a examiné le projet de décision révisé proposé par le président à sa dixième session, le 25 novembre 2018 et l’a approuvé pour transmission à la plénière en tant que proj</w:t>
      </w:r>
      <w:r w:rsidR="00E604CF" w:rsidRPr="0044626D">
        <w:rPr>
          <w:lang w:val="fr-CA"/>
        </w:rPr>
        <w:t>et de décision CBD/NP/MOP/3/L.9</w:t>
      </w:r>
      <w:r w:rsidRPr="0044626D">
        <w:rPr>
          <w:lang w:val="fr-CA"/>
        </w:rPr>
        <w:t>.</w:t>
      </w:r>
    </w:p>
    <w:p w14:paraId="62DAF2D8" w14:textId="36D32E38" w:rsidR="0043391E" w:rsidRPr="0044626D" w:rsidRDefault="00E604CF" w:rsidP="007B153F">
      <w:pPr>
        <w:pStyle w:val="Paragraphedeliste"/>
        <w:numPr>
          <w:ilvl w:val="0"/>
          <w:numId w:val="7"/>
        </w:numPr>
        <w:suppressLineNumbers/>
        <w:tabs>
          <w:tab w:val="clear" w:pos="360"/>
        </w:tabs>
        <w:suppressAutoHyphens/>
        <w:kinsoku w:val="0"/>
        <w:overflowPunct w:val="0"/>
        <w:autoSpaceDE w:val="0"/>
        <w:autoSpaceDN w:val="0"/>
        <w:snapToGrid w:val="0"/>
        <w:spacing w:before="120" w:line="240" w:lineRule="auto"/>
        <w:contextualSpacing w:val="0"/>
        <w:rPr>
          <w:i/>
          <w:snapToGrid w:val="0"/>
          <w:kern w:val="22"/>
          <w:szCs w:val="22"/>
          <w:lang w:val="fr-CA"/>
        </w:rPr>
      </w:pPr>
      <w:r w:rsidRPr="0044626D">
        <w:rPr>
          <w:lang w:val="fr-CA"/>
        </w:rPr>
        <w:t xml:space="preserve">À la huitième séance plénière, le 29 novembre 2018, la Conférence des Parties siégeant en tant que réunion des Parties au Protocole de Nagoya a adopté le projet de décision </w:t>
      </w:r>
      <w:r w:rsidRPr="0044626D">
        <w:rPr>
          <w:szCs w:val="22"/>
          <w:lang w:val="fr-CA"/>
        </w:rPr>
        <w:t>CBD/NP/MOP/3/L.9 en tant que décision NP-3/10 (voir le texte au chapitre I).</w:t>
      </w:r>
    </w:p>
    <w:p w14:paraId="04A33B0A" w14:textId="77777777" w:rsidR="0043391E" w:rsidRPr="0044626D" w:rsidRDefault="0043391E" w:rsidP="0043391E">
      <w:pPr>
        <w:pStyle w:val="Paragraphedeliste"/>
        <w:suppressLineNumbers/>
        <w:suppressAutoHyphens/>
        <w:kinsoku w:val="0"/>
        <w:overflowPunct w:val="0"/>
        <w:autoSpaceDE w:val="0"/>
        <w:autoSpaceDN w:val="0"/>
        <w:snapToGrid w:val="0"/>
        <w:spacing w:before="120"/>
        <w:ind w:left="0"/>
        <w:rPr>
          <w:rFonts w:eastAsia="MS Mincho"/>
          <w:kern w:val="22"/>
          <w:szCs w:val="22"/>
          <w:lang w:val="fr-CA"/>
        </w:rPr>
      </w:pPr>
      <w:r w:rsidRPr="0044626D">
        <w:rPr>
          <w:rFonts w:eastAsia="MS Mincho"/>
          <w:i/>
          <w:kern w:val="22"/>
          <w:szCs w:val="22"/>
          <w:lang w:val="fr-CA"/>
        </w:rPr>
        <w:t>Procédure pour éviter ou gérer les conflits d’intérêt au sein des groupes d’experts</w:t>
      </w:r>
    </w:p>
    <w:p w14:paraId="051C97B3" w14:textId="77777777" w:rsidR="0043391E" w:rsidRPr="0044626D" w:rsidRDefault="0043391E" w:rsidP="00E94A15">
      <w:pPr>
        <w:pStyle w:val="Para1"/>
        <w:tabs>
          <w:tab w:val="clear" w:pos="360"/>
          <w:tab w:val="clear" w:pos="567"/>
          <w:tab w:val="clear" w:pos="2912"/>
        </w:tabs>
        <w:spacing w:line="240" w:lineRule="auto"/>
        <w:rPr>
          <w:lang w:val="fr-CA"/>
        </w:rPr>
      </w:pPr>
      <w:r w:rsidRPr="0044626D">
        <w:rPr>
          <w:lang w:val="fr-CA"/>
        </w:rPr>
        <w:t>Le Groupe de travail a examiné le deuxième aspect du point 15 de l’ordre du jour à sa sixième session, le 21 novembre 2018.  Dans son examen du point, le Groupe de travail a été saisi d’un projet de décision fondé sur la partie B de la recommandation SBI-2/15 incluse dans la compilation des projets de décisions  (CBD/NP/MOP/3/1/Add.2) et un sommaire des points de vue soumis par les Parties et les observateurs sur les procédures pour éviter ou gérer les conflits au sein des groupes d’experts (CBD/COP/14/INF/3).</w:t>
      </w:r>
    </w:p>
    <w:p w14:paraId="34F44FD2" w14:textId="77777777" w:rsidR="0043391E" w:rsidRPr="0044626D" w:rsidRDefault="0043391E" w:rsidP="00E94A15">
      <w:pPr>
        <w:pStyle w:val="Para1"/>
        <w:tabs>
          <w:tab w:val="clear" w:pos="360"/>
          <w:tab w:val="clear" w:pos="567"/>
          <w:tab w:val="clear" w:pos="2912"/>
        </w:tabs>
        <w:spacing w:line="240" w:lineRule="auto"/>
        <w:rPr>
          <w:lang w:val="fr-CA"/>
        </w:rPr>
      </w:pPr>
      <w:r w:rsidRPr="0044626D">
        <w:rPr>
          <w:lang w:val="fr-CA"/>
        </w:rPr>
        <w:t>Les représentants des pays suivants ont présenté un exposé : Argentine, Honduras, Inde, Jordanie, Mexique, Ouganda (au nom du Groupe Afrique), Panama, Suisse et Union européenne et ses 28 États membres.</w:t>
      </w:r>
    </w:p>
    <w:p w14:paraId="1BA7020F" w14:textId="77777777" w:rsidR="0043391E" w:rsidRPr="0044626D" w:rsidRDefault="0043391E" w:rsidP="00E94A15">
      <w:pPr>
        <w:pStyle w:val="Para1"/>
        <w:tabs>
          <w:tab w:val="clear" w:pos="360"/>
          <w:tab w:val="clear" w:pos="567"/>
          <w:tab w:val="clear" w:pos="2912"/>
        </w:tabs>
        <w:spacing w:line="240" w:lineRule="auto"/>
        <w:rPr>
          <w:lang w:val="fr-CA"/>
        </w:rPr>
      </w:pPr>
      <w:r w:rsidRPr="0044626D">
        <w:rPr>
          <w:lang w:val="fr-CA"/>
        </w:rPr>
        <w:t>Les représentants du Canada, du Maroc et de la Nouvelle-Zélande ont présenté un exposé.</w:t>
      </w:r>
    </w:p>
    <w:p w14:paraId="7106B9F6" w14:textId="77777777" w:rsidR="0043391E" w:rsidRPr="0044626D" w:rsidRDefault="0043391E" w:rsidP="00E94A15">
      <w:pPr>
        <w:pStyle w:val="Para1"/>
        <w:tabs>
          <w:tab w:val="clear" w:pos="360"/>
          <w:tab w:val="clear" w:pos="567"/>
          <w:tab w:val="clear" w:pos="2912"/>
        </w:tabs>
        <w:spacing w:line="240" w:lineRule="auto"/>
        <w:rPr>
          <w:lang w:val="fr-CA"/>
        </w:rPr>
      </w:pPr>
      <w:r w:rsidRPr="0044626D">
        <w:rPr>
          <w:lang w:val="fr-CA"/>
        </w:rPr>
        <w:t>Les représentants du J. Craig Venter Institute, du PRRI et de Réseau Tiers monde (au nom de l’Observatoire de l’Europe industrielle, d’EcoNexus, du Groupe d’action sur l’érosion, la technologie et la concentration, d’Amis de la Terre international et de Pro Natura) ont communiqué leur point de vue.</w:t>
      </w:r>
    </w:p>
    <w:p w14:paraId="2A18FB45" w14:textId="77777777" w:rsidR="0043391E" w:rsidRPr="0044626D" w:rsidRDefault="0043391E" w:rsidP="00E94A15">
      <w:pPr>
        <w:pStyle w:val="Para1"/>
        <w:tabs>
          <w:tab w:val="clear" w:pos="360"/>
          <w:tab w:val="clear" w:pos="567"/>
          <w:tab w:val="clear" w:pos="2912"/>
        </w:tabs>
        <w:spacing w:line="240" w:lineRule="auto"/>
        <w:rPr>
          <w:lang w:val="fr-CA"/>
        </w:rPr>
      </w:pPr>
      <w:r w:rsidRPr="0044626D">
        <w:rPr>
          <w:lang w:val="fr-CA"/>
        </w:rPr>
        <w:lastRenderedPageBreak/>
        <w:t>Après l’échange de points de vue, le président a formé un groupe d’Amis du président afin de poursuivre les échanges sur les questions en suspens.</w:t>
      </w:r>
    </w:p>
    <w:p w14:paraId="1B6C44EF" w14:textId="77777777" w:rsidR="0043391E" w:rsidRPr="0044626D" w:rsidRDefault="0043391E" w:rsidP="00E94A15">
      <w:pPr>
        <w:pStyle w:val="Para1"/>
        <w:tabs>
          <w:tab w:val="clear" w:pos="567"/>
          <w:tab w:val="clear" w:pos="2912"/>
        </w:tabs>
        <w:spacing w:line="240" w:lineRule="auto"/>
        <w:rPr>
          <w:lang w:val="fr-CA"/>
        </w:rPr>
      </w:pPr>
      <w:r w:rsidRPr="0044626D">
        <w:rPr>
          <w:lang w:val="fr-CA"/>
        </w:rPr>
        <w:t>À sa douzième séance, le 28 novembre 2018, le Groupe de travail I a examiné un projet de décision révisé présenté par le président.</w:t>
      </w:r>
    </w:p>
    <w:p w14:paraId="239D4783" w14:textId="77777777" w:rsidR="0043391E" w:rsidRPr="0044626D" w:rsidRDefault="0043391E" w:rsidP="00E94A15">
      <w:pPr>
        <w:pStyle w:val="Para1"/>
        <w:tabs>
          <w:tab w:val="clear" w:pos="567"/>
          <w:tab w:val="clear" w:pos="2912"/>
        </w:tabs>
        <w:spacing w:line="240" w:lineRule="auto"/>
        <w:rPr>
          <w:lang w:val="fr-CA"/>
        </w:rPr>
      </w:pPr>
      <w:r w:rsidRPr="0044626D">
        <w:rPr>
          <w:lang w:val="fr-CA"/>
        </w:rPr>
        <w:t>Les représentants de la Suisse et de l'Union européenne et ses 28 membres se sont exprimés.</w:t>
      </w:r>
    </w:p>
    <w:p w14:paraId="63CD3964" w14:textId="638548C3" w:rsidR="0043391E" w:rsidRPr="0044626D" w:rsidRDefault="0043391E" w:rsidP="00E94A15">
      <w:pPr>
        <w:pStyle w:val="Para1"/>
        <w:tabs>
          <w:tab w:val="clear" w:pos="567"/>
          <w:tab w:val="clear" w:pos="2912"/>
        </w:tabs>
        <w:spacing w:line="240" w:lineRule="auto"/>
        <w:rPr>
          <w:lang w:val="fr-CA"/>
        </w:rPr>
      </w:pPr>
      <w:r w:rsidRPr="0044626D">
        <w:rPr>
          <w:lang w:val="fr-CA"/>
        </w:rPr>
        <w:t>Le Groupe de travail a approuvé le projet de décision révisé, tel que modifié oralement, pour transmission à la séance plénièr</w:t>
      </w:r>
      <w:r w:rsidR="00E604CF" w:rsidRPr="0044626D">
        <w:rPr>
          <w:lang w:val="fr-CA"/>
        </w:rPr>
        <w:t>e comme projet de décision CBD/NP/MO</w:t>
      </w:r>
      <w:r w:rsidRPr="0044626D">
        <w:rPr>
          <w:lang w:val="fr-CA"/>
        </w:rPr>
        <w:t>P/</w:t>
      </w:r>
      <w:r w:rsidR="00E604CF" w:rsidRPr="0044626D">
        <w:rPr>
          <w:lang w:val="fr-CA"/>
        </w:rPr>
        <w:t>3/L.10</w:t>
      </w:r>
      <w:r w:rsidRPr="0044626D">
        <w:rPr>
          <w:lang w:val="fr-CA"/>
        </w:rPr>
        <w:t>.</w:t>
      </w:r>
    </w:p>
    <w:p w14:paraId="58820728" w14:textId="3EC2C8E4" w:rsidR="00475D73" w:rsidRPr="0044626D" w:rsidRDefault="00545A46" w:rsidP="0043391E">
      <w:pPr>
        <w:pStyle w:val="Para1"/>
        <w:tabs>
          <w:tab w:val="clear" w:pos="360"/>
          <w:tab w:val="clear" w:pos="567"/>
          <w:tab w:val="clear" w:pos="2912"/>
        </w:tabs>
        <w:spacing w:line="240" w:lineRule="auto"/>
        <w:rPr>
          <w:lang w:val="fr-CA"/>
        </w:rPr>
      </w:pPr>
      <w:r w:rsidRPr="0044626D">
        <w:rPr>
          <w:lang w:val="fr-CA"/>
        </w:rPr>
        <w:t xml:space="preserve">À la huitième séance plénière, le 29 novembre 2018, la Conférence des Parties siégeant en tant que réunion des Parties au Protocole de Nagoya a adopté le projet de décision </w:t>
      </w:r>
      <w:r w:rsidRPr="0044626D">
        <w:rPr>
          <w:szCs w:val="22"/>
          <w:lang w:val="fr-CA"/>
        </w:rPr>
        <w:t>CBD/NP/MOP/3/L.10, modifié verbalement, en tant que décision NP-3/11 (voir le texte au chapitre I).</w:t>
      </w:r>
    </w:p>
    <w:p w14:paraId="315C64DE" w14:textId="24EF7FA0" w:rsidR="0043391E" w:rsidRPr="0044626D" w:rsidRDefault="0043391E" w:rsidP="00A90365">
      <w:pPr>
        <w:pStyle w:val="Heading1multiline"/>
        <w:spacing w:line="240" w:lineRule="auto"/>
        <w:rPr>
          <w:rFonts w:ascii="Times New Roman" w:hAnsi="Times New Roman" w:cs="Times New Roman"/>
          <w:lang w:val="fr-CA" w:eastAsia="en-CA"/>
        </w:rPr>
      </w:pPr>
      <w:r w:rsidRPr="0044626D">
        <w:rPr>
          <w:rFonts w:ascii="Times New Roman" w:hAnsi="Times New Roman" w:cs="Times New Roman"/>
          <w:lang w:val="fr-CA"/>
        </w:rPr>
        <w:t>POINT 16.</w:t>
      </w:r>
      <w:r w:rsidRPr="0044626D">
        <w:rPr>
          <w:rFonts w:ascii="Times New Roman" w:hAnsi="Times New Roman" w:cs="Times New Roman"/>
          <w:lang w:val="fr-CA"/>
        </w:rPr>
        <w:tab/>
        <w:t>PRÉPARATION DU SUIVI DU PLAN STRATÉGIQUE POUR LA DIVERSITÉ BIOLOGIQUE</w:t>
      </w:r>
      <w:r w:rsidR="008A5DEB">
        <w:rPr>
          <w:rFonts w:ascii="Times New Roman" w:hAnsi="Times New Roman" w:cs="Times New Roman"/>
          <w:lang w:val="fr-CA"/>
        </w:rPr>
        <w:t xml:space="preserve"> 2011-2020</w:t>
      </w:r>
    </w:p>
    <w:p w14:paraId="4096763C" w14:textId="66377222"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rFonts w:eastAsia="Times New Roman"/>
          <w:snapToGrid w:val="0"/>
          <w:kern w:val="22"/>
          <w:szCs w:val="22"/>
          <w:lang w:val="fr-CA" w:eastAsia="en-CA"/>
        </w:rPr>
      </w:pPr>
      <w:bookmarkStart w:id="31" w:name="_Hlk530243594"/>
      <w:r w:rsidRPr="0044626D">
        <w:rPr>
          <w:lang w:val="fr-CA"/>
        </w:rPr>
        <w:t xml:space="preserve">Le point 16 de l'ordre du jour a été examiné lors de la troisième séance plénière de la réunion, le </w:t>
      </w:r>
      <w:r w:rsidRPr="0044626D">
        <w:rPr>
          <w:lang w:val="fr-CA"/>
        </w:rPr>
        <w:br/>
        <w:t xml:space="preserve">20 novembre 2018, en parallèle au point 17 de l'ordre du jour de la Conférence des Parties à la Convention et au point 14 de l'ordre du jour de la Conférence des Parties siégeant en tant que réunion des Parties au Protocole de Cartagena. </w:t>
      </w:r>
      <w:bookmarkEnd w:id="31"/>
      <w:r w:rsidRPr="0044626D">
        <w:rPr>
          <w:lang w:val="fr-CA"/>
        </w:rPr>
        <w:t xml:space="preserve">Dans le cadre de l'examen de ce point, la Conférence des Parties siégeant en tant que réunion des Parties </w:t>
      </w:r>
      <w:r w:rsidR="00545A46" w:rsidRPr="0044626D">
        <w:rPr>
          <w:lang w:val="fr-CA"/>
        </w:rPr>
        <w:t xml:space="preserve">au Protocole de Nagoya </w:t>
      </w:r>
      <w:r w:rsidRPr="0044626D">
        <w:rPr>
          <w:lang w:val="fr-CA"/>
        </w:rPr>
        <w:t xml:space="preserve">a été saisie </w:t>
      </w:r>
      <w:r w:rsidRPr="0044626D">
        <w:rPr>
          <w:snapToGrid w:val="0"/>
          <w:lang w:val="fr-CA"/>
        </w:rPr>
        <w:t xml:space="preserve">d'un projet de décision basé sur </w:t>
      </w:r>
      <w:r w:rsidRPr="0044626D">
        <w:rPr>
          <w:lang w:val="fr-CA"/>
        </w:rPr>
        <w:t xml:space="preserve">la recommandation </w:t>
      </w:r>
      <w:r w:rsidRPr="0044626D">
        <w:rPr>
          <w:rFonts w:eastAsia="Times New Roman"/>
          <w:snapToGrid w:val="0"/>
          <w:kern w:val="22"/>
          <w:szCs w:val="22"/>
          <w:lang w:val="fr-CA"/>
        </w:rPr>
        <w:t>SBI-2/19, et des recommandations pertinentes du Comité de conformité, énoncées dans la compilation des projets de décisions</w:t>
      </w:r>
      <w:r w:rsidRPr="0044626D">
        <w:rPr>
          <w:snapToGrid w:val="0"/>
          <w:kern w:val="22"/>
          <w:lang w:val="fr-CA"/>
        </w:rPr>
        <w:t xml:space="preserve"> (CBD/NP/MOP/3/1/Add.2)</w:t>
      </w:r>
      <w:r w:rsidRPr="0044626D">
        <w:rPr>
          <w:rFonts w:eastAsia="Times New Roman"/>
          <w:snapToGrid w:val="0"/>
          <w:kern w:val="22"/>
          <w:szCs w:val="22"/>
          <w:lang w:val="fr-CA"/>
        </w:rPr>
        <w:t>.</w:t>
      </w:r>
    </w:p>
    <w:p w14:paraId="6742B09D" w14:textId="77777777" w:rsidR="0043391E" w:rsidRPr="0044626D" w:rsidRDefault="0043391E" w:rsidP="00B865C8">
      <w:pPr>
        <w:pStyle w:val="Para1"/>
        <w:tabs>
          <w:tab w:val="clear" w:pos="360"/>
          <w:tab w:val="clear" w:pos="567"/>
          <w:tab w:val="clear" w:pos="2912"/>
        </w:tabs>
        <w:spacing w:line="240" w:lineRule="auto"/>
        <w:rPr>
          <w:lang w:val="fr-CA"/>
        </w:rPr>
      </w:pPr>
      <w:r w:rsidRPr="0044626D">
        <w:rPr>
          <w:rFonts w:eastAsia="MS Mincho"/>
          <w:snapToGrid w:val="0"/>
          <w:kern w:val="22"/>
          <w:lang w:val="fr-CA"/>
        </w:rPr>
        <w:t xml:space="preserve">Des déclarations ont été faites par les représentants des pays suivants : </w:t>
      </w:r>
      <w:r w:rsidRPr="0044626D">
        <w:rPr>
          <w:lang w:val="fr-CA"/>
        </w:rPr>
        <w:t>Afrique du Sud (au nom du groupe des États africains), Antigua-et-Barbuda, Argentine, Botswana, Burkina Faso, Cambodge, Cameroun, Chine, Côte d’Ivoire, Cuba (au nom des petits États insulaires en développement), Égypte, Équateur, Éthiopie, Gabon, Inde, Japon, Kenya, Malawi, Mexique, Norvège, Ouganda, Palaos (au nom des États insulaires du Pacifique), Panama, Philippines, République dominicaine, République unie de Tanzanie, Saint-Kitts-et-Nevis (au nom du groupe des États d'Amérique latine et des Caraïbes), Soudan, Suisse, Uruguay, Union européenne et ses 28 États membres et Venezuela (République bolivarienne de).</w:t>
      </w:r>
    </w:p>
    <w:p w14:paraId="047E688E" w14:textId="77777777" w:rsidR="0043391E" w:rsidRPr="0044626D" w:rsidRDefault="0043391E" w:rsidP="00B865C8">
      <w:pPr>
        <w:pStyle w:val="Para1"/>
        <w:tabs>
          <w:tab w:val="clear" w:pos="360"/>
          <w:tab w:val="clear" w:pos="567"/>
          <w:tab w:val="clear" w:pos="2912"/>
        </w:tabs>
        <w:spacing w:line="240" w:lineRule="auto"/>
        <w:rPr>
          <w:rFonts w:eastAsia="MS Mincho"/>
          <w:snapToGrid w:val="0"/>
          <w:kern w:val="22"/>
          <w:lang w:val="fr-CA"/>
        </w:rPr>
      </w:pPr>
      <w:r w:rsidRPr="0044626D">
        <w:rPr>
          <w:lang w:val="fr-CA"/>
        </w:rPr>
        <w:t>Des déclarations ont également été faites par des représentants des pays suivants : Algérie, Bangladesh, Bosnie-Herzégovine, Canada, Colombie (au nom du groupe des pays hyperdivers animés d'un même esprit), Costa Rica, Iraq, Jamaïque, Maroc, Népal, Nouvelle-Zélande et Turquie.</w:t>
      </w:r>
    </w:p>
    <w:p w14:paraId="007DCA2F" w14:textId="77777777" w:rsidR="0043391E" w:rsidRPr="0044626D" w:rsidRDefault="0043391E" w:rsidP="00B865C8">
      <w:pPr>
        <w:pStyle w:val="Para1"/>
        <w:tabs>
          <w:tab w:val="clear" w:pos="360"/>
          <w:tab w:val="clear" w:pos="567"/>
          <w:tab w:val="clear" w:pos="2912"/>
        </w:tabs>
        <w:spacing w:line="240" w:lineRule="auto"/>
        <w:rPr>
          <w:lang w:val="fr-CA"/>
        </w:rPr>
      </w:pPr>
      <w:r w:rsidRPr="0044626D">
        <w:rPr>
          <w:lang w:val="fr-CA"/>
        </w:rPr>
        <w:t>Des déclarations additionnelles ont été faites par des représentants de l'Organisation des Nations Unies pour l'alimentation et l'agriculture (FAO) (au nom du Traité international sur les ressources phytogénétiques pour l'alimentation et l'agriculture), l'entité des Nations Unies chargée des questions relatives à l'égalité des sexes et à l'autonomisation des femmes (ONU Femmes) et le secrétariat de la Convention sur le commerce international des espèces de faune et de flore sauvages menacées d'extinction (CITES) (au nom du Groupe de liaison des conventions relatives à la biodiversité).</w:t>
      </w:r>
    </w:p>
    <w:p w14:paraId="74C22232" w14:textId="77777777" w:rsidR="0043391E" w:rsidRPr="0044626D" w:rsidRDefault="0043391E" w:rsidP="00B865C8">
      <w:pPr>
        <w:pStyle w:val="Para1"/>
        <w:tabs>
          <w:tab w:val="clear" w:pos="360"/>
          <w:tab w:val="clear" w:pos="567"/>
          <w:tab w:val="clear" w:pos="2912"/>
        </w:tabs>
        <w:spacing w:line="240" w:lineRule="auto"/>
        <w:rPr>
          <w:lang w:val="fr-CA"/>
        </w:rPr>
      </w:pPr>
      <w:r w:rsidRPr="0044626D">
        <w:rPr>
          <w:lang w:val="fr-CA"/>
        </w:rPr>
        <w:t xml:space="preserve">D'autres déclarations ont été faites par des représentants de BirdLife International (également au nom de Conservation International, GYBN, du Fonds international pour la protection des animaux (IFAW), Rare, de la Société royale pour la protection des oiseaux (RSPB), The Nature Conservancy, The Pew Charitable Trusts et WWF), des Amis de la Terre International (également au nom d'EcoNexus, du Réseau européen de réflexion et d'action écologiques (ECOROPA), Forests of the World, </w:t>
      </w:r>
      <w:r w:rsidRPr="0044626D">
        <w:rPr>
          <w:rFonts w:eastAsia="Times New Roman"/>
          <w:bCs/>
          <w:shd w:val="clear" w:color="auto" w:fill="FFFFFF"/>
          <w:lang w:val="fr-CA"/>
        </w:rPr>
        <w:t>Fundación</w:t>
      </w:r>
      <w:r w:rsidRPr="0044626D">
        <w:rPr>
          <w:rFonts w:eastAsia="Times New Roman"/>
          <w:shd w:val="clear" w:color="auto" w:fill="FFFFFF"/>
          <w:lang w:val="fr-CA"/>
        </w:rPr>
        <w:t xml:space="preserve"> Ambiente y </w:t>
      </w:r>
      <w:r w:rsidRPr="0044626D">
        <w:rPr>
          <w:rFonts w:eastAsia="Times New Roman"/>
          <w:bCs/>
          <w:shd w:val="clear" w:color="auto" w:fill="FFFFFF"/>
          <w:lang w:val="fr-CA"/>
        </w:rPr>
        <w:t>Recursos Naturales (FARN)</w:t>
      </w:r>
      <w:r w:rsidRPr="0044626D">
        <w:rPr>
          <w:rFonts w:eastAsia="Times New Roman"/>
          <w:bCs/>
          <w:color w:val="6A6A6A"/>
          <w:shd w:val="clear" w:color="auto" w:fill="FFFFFF"/>
          <w:lang w:val="fr-CA"/>
        </w:rPr>
        <w:t xml:space="preserve"> </w:t>
      </w:r>
      <w:r w:rsidRPr="0044626D">
        <w:rPr>
          <w:rFonts w:eastAsia="Times New Roman"/>
          <w:lang w:val="fr-CA"/>
        </w:rPr>
        <w:t>et de la</w:t>
      </w:r>
      <w:r w:rsidRPr="0044626D">
        <w:rPr>
          <w:lang w:val="fr-CA"/>
        </w:rPr>
        <w:t xml:space="preserve"> Coalition mondiale des Forêts), du Group on Earth Observations Biodiversity Observations Network (GEO BON), GYBN, du Comité international pour la souveraineté alimentaire, IIFB, de l'Union internationale pour la conservation de la nature (UICN), United Nations University Institute for the Advanced Study of Sustainability (UNU</w:t>
      </w:r>
      <w:r w:rsidRPr="0044626D">
        <w:rPr>
          <w:lang w:val="fr-CA"/>
        </w:rPr>
        <w:noBreakHyphen/>
        <w:t>IAS), et WWF.</w:t>
      </w:r>
    </w:p>
    <w:p w14:paraId="56A6D00D" w14:textId="7822627B" w:rsidR="0043391E" w:rsidRPr="0044626D" w:rsidRDefault="0043391E" w:rsidP="00B865C8">
      <w:pPr>
        <w:pStyle w:val="Para1"/>
        <w:tabs>
          <w:tab w:val="clear" w:pos="360"/>
          <w:tab w:val="clear" w:pos="567"/>
          <w:tab w:val="clear" w:pos="2912"/>
        </w:tabs>
        <w:spacing w:line="240" w:lineRule="auto"/>
        <w:rPr>
          <w:lang w:val="fr-CA"/>
        </w:rPr>
      </w:pPr>
      <w:r w:rsidRPr="0044626D">
        <w:rPr>
          <w:lang w:val="fr-CA"/>
        </w:rPr>
        <w:t xml:space="preserve">Sur la base des points de vue communiqués, la Conférence des Parties siégeant en tant que réunion des Parties </w:t>
      </w:r>
      <w:r w:rsidR="00545A46" w:rsidRPr="0044626D">
        <w:rPr>
          <w:lang w:val="fr-CA"/>
        </w:rPr>
        <w:t xml:space="preserve">au Protocole de Nagoya </w:t>
      </w:r>
      <w:r w:rsidRPr="0044626D">
        <w:rPr>
          <w:lang w:val="fr-CA"/>
        </w:rPr>
        <w:t>est convenue de créer un groupe de contact, présidé par M</w:t>
      </w:r>
      <w:r w:rsidRPr="0044626D">
        <w:rPr>
          <w:vertAlign w:val="superscript"/>
          <w:lang w:val="fr-CA"/>
        </w:rPr>
        <w:t>me</w:t>
      </w:r>
      <w:r w:rsidRPr="0044626D">
        <w:rPr>
          <w:lang w:val="fr-CA"/>
        </w:rPr>
        <w:t xml:space="preserve"> Charlotta Sörqvist (Suède), chargé d'étudier le processus préparatoire du cadre mondial de la biodiversité pour l'après-2020.</w:t>
      </w:r>
    </w:p>
    <w:p w14:paraId="588859B7" w14:textId="64526154" w:rsidR="0043391E" w:rsidRPr="0044626D" w:rsidRDefault="0043391E" w:rsidP="00B865C8">
      <w:pPr>
        <w:pStyle w:val="Para1"/>
        <w:tabs>
          <w:tab w:val="clear" w:pos="360"/>
          <w:tab w:val="clear" w:pos="567"/>
          <w:tab w:val="clear" w:pos="2912"/>
        </w:tabs>
        <w:spacing w:line="240" w:lineRule="auto"/>
        <w:rPr>
          <w:lang w:val="fr-CA"/>
        </w:rPr>
      </w:pPr>
      <w:r w:rsidRPr="0044626D">
        <w:rPr>
          <w:lang w:val="fr-CA"/>
        </w:rPr>
        <w:lastRenderedPageBreak/>
        <w:t xml:space="preserve">Lors de la quatrième séance plénière de la réunion, le 22 novembre 2018, la présidente du groupe de contact a </w:t>
      </w:r>
      <w:r w:rsidR="00545A46" w:rsidRPr="0044626D">
        <w:rPr>
          <w:lang w:val="fr-CA"/>
        </w:rPr>
        <w:t>fait état des progrès accomplis</w:t>
      </w:r>
      <w:r w:rsidRPr="0044626D">
        <w:rPr>
          <w:lang w:val="fr-CA"/>
        </w:rPr>
        <w:t>.</w:t>
      </w:r>
    </w:p>
    <w:p w14:paraId="01E696E7" w14:textId="476CC8A1" w:rsidR="0043391E" w:rsidRPr="0044626D" w:rsidRDefault="0043391E" w:rsidP="00B865C8">
      <w:pPr>
        <w:pStyle w:val="Para1"/>
        <w:tabs>
          <w:tab w:val="clear" w:pos="360"/>
          <w:tab w:val="clear" w:pos="567"/>
          <w:tab w:val="clear" w:pos="2912"/>
        </w:tabs>
        <w:spacing w:line="240" w:lineRule="auto"/>
        <w:rPr>
          <w:lang w:val="fr-CA"/>
        </w:rPr>
      </w:pPr>
      <w:r w:rsidRPr="0044626D">
        <w:rPr>
          <w:lang w:val="fr-CA"/>
        </w:rPr>
        <w:t xml:space="preserve">Lors de la cinquième séance plénière de la réunion, le 25 novembre 2018, la Conférence des Parties siégeant en tant que réunion des Parties </w:t>
      </w:r>
      <w:r w:rsidR="00545A46" w:rsidRPr="0044626D">
        <w:rPr>
          <w:lang w:val="fr-CA"/>
        </w:rPr>
        <w:t xml:space="preserve">au Protocole de Nagoya </w:t>
      </w:r>
      <w:r w:rsidRPr="0044626D">
        <w:rPr>
          <w:lang w:val="fr-CA"/>
        </w:rPr>
        <w:t>a entendu un autre rapport de la présidente du groupe de contact.</w:t>
      </w:r>
    </w:p>
    <w:p w14:paraId="0637D218" w14:textId="421C4E95" w:rsidR="0043391E" w:rsidRPr="0044626D" w:rsidRDefault="0043391E" w:rsidP="00B865C8">
      <w:pPr>
        <w:pStyle w:val="Para1"/>
        <w:tabs>
          <w:tab w:val="clear" w:pos="360"/>
          <w:tab w:val="clear" w:pos="567"/>
          <w:tab w:val="clear" w:pos="2912"/>
        </w:tabs>
        <w:spacing w:line="240" w:lineRule="auto"/>
        <w:rPr>
          <w:lang w:val="fr-CA"/>
        </w:rPr>
      </w:pPr>
      <w:r w:rsidRPr="0044626D">
        <w:rPr>
          <w:lang w:val="fr-CA"/>
        </w:rPr>
        <w:t>Le représentant de la Norvège a informé la Conférence des Parties siégeant en tant que réunion des Parties</w:t>
      </w:r>
      <w:r w:rsidR="00545A46" w:rsidRPr="0044626D">
        <w:rPr>
          <w:lang w:val="fr-CA"/>
        </w:rPr>
        <w:t xml:space="preserve"> au Protocole de Nagoya</w:t>
      </w:r>
      <w:r w:rsidRPr="0044626D">
        <w:rPr>
          <w:lang w:val="fr-CA"/>
        </w:rPr>
        <w:t xml:space="preserve"> que, sous réserve de l'approbation du Parlement, la Norvège donnerait 350 000 $ pour les ateliers régionaux en Afrique, dans la région d'Amérique latine et des Caraïbes et la région d'Asie et du Pacifique, comme contribution aux nouvelles discussions sur le cadre de l'après-2020. Il a également déclaré que la Norvège fournirait un soutien pour les déplacements des délégués des pays en développement participant à la neuvième Conférence de Trondheim sur la biodiversité, </w:t>
      </w:r>
      <w:r w:rsidR="00A90365">
        <w:rPr>
          <w:lang w:val="fr-CA"/>
        </w:rPr>
        <w:t>prévue</w:t>
      </w:r>
      <w:r w:rsidRPr="0044626D">
        <w:rPr>
          <w:lang w:val="fr-CA"/>
        </w:rPr>
        <w:t xml:space="preserve"> en juillet 2019. </w:t>
      </w:r>
    </w:p>
    <w:p w14:paraId="2683A2B6" w14:textId="10286887" w:rsidR="0043391E" w:rsidRPr="0044626D" w:rsidRDefault="0043391E" w:rsidP="00B865C8">
      <w:pPr>
        <w:pStyle w:val="Para1"/>
        <w:tabs>
          <w:tab w:val="clear" w:pos="360"/>
          <w:tab w:val="clear" w:pos="567"/>
          <w:tab w:val="clear" w:pos="2912"/>
        </w:tabs>
        <w:spacing w:line="240" w:lineRule="auto"/>
        <w:rPr>
          <w:lang w:val="fr-CA"/>
        </w:rPr>
      </w:pPr>
      <w:r w:rsidRPr="0044626D">
        <w:rPr>
          <w:lang w:val="fr-CA"/>
        </w:rPr>
        <w:t xml:space="preserve">À la sixième séance plénière de la réunion, le 28 novembre 2018, la Conférence des Parties siégeant en tant que réunion des Parties </w:t>
      </w:r>
      <w:r w:rsidR="00545A46" w:rsidRPr="0044626D">
        <w:rPr>
          <w:lang w:val="fr-CA"/>
        </w:rPr>
        <w:t xml:space="preserve">au Protocole de Nagoya </w:t>
      </w:r>
      <w:r w:rsidRPr="0044626D">
        <w:rPr>
          <w:lang w:val="fr-CA"/>
        </w:rPr>
        <w:t>a repris l'examen du projet de décision sur la question.</w:t>
      </w:r>
    </w:p>
    <w:p w14:paraId="2305EF3C" w14:textId="77777777" w:rsidR="0043391E" w:rsidRPr="0044626D" w:rsidRDefault="0043391E" w:rsidP="00B865C8">
      <w:pPr>
        <w:pStyle w:val="Para1"/>
        <w:tabs>
          <w:tab w:val="clear" w:pos="360"/>
          <w:tab w:val="clear" w:pos="567"/>
          <w:tab w:val="clear" w:pos="2912"/>
        </w:tabs>
        <w:spacing w:line="240" w:lineRule="auto"/>
        <w:rPr>
          <w:lang w:val="fr-CA"/>
        </w:rPr>
      </w:pPr>
      <w:r w:rsidRPr="0044626D">
        <w:rPr>
          <w:lang w:val="fr-CA"/>
        </w:rPr>
        <w:t xml:space="preserve">Les représentants des pays suivants se sont exprimés : Afrique du Sud, Argentine, Gabon, Japon, Mexique, Pérou, Suisse et Union européenne et ses 28 États membres. </w:t>
      </w:r>
    </w:p>
    <w:p w14:paraId="35B79432" w14:textId="52FF90A1" w:rsidR="0043391E" w:rsidRPr="0044626D" w:rsidRDefault="00545A46" w:rsidP="00B865C8">
      <w:pPr>
        <w:pStyle w:val="Para1"/>
        <w:tabs>
          <w:tab w:val="clear" w:pos="360"/>
          <w:tab w:val="clear" w:pos="567"/>
          <w:tab w:val="clear" w:pos="2912"/>
        </w:tabs>
        <w:spacing w:line="240" w:lineRule="auto"/>
        <w:rPr>
          <w:i/>
          <w:lang w:val="fr-CA"/>
        </w:rPr>
      </w:pPr>
      <w:r w:rsidRPr="0044626D">
        <w:rPr>
          <w:lang w:val="fr-CA"/>
        </w:rPr>
        <w:t xml:space="preserve">Par la suite, à la huitième séance plénière, le 29 novembre 2018, la Conférence des Parties siégeant en tant que réunion des Parties au Protocole de Nagoya a </w:t>
      </w:r>
      <w:r w:rsidR="00B865C8" w:rsidRPr="0044626D">
        <w:rPr>
          <w:lang w:val="fr-CA"/>
        </w:rPr>
        <w:t>examiné une version révisée au</w:t>
      </w:r>
      <w:r w:rsidRPr="0044626D">
        <w:rPr>
          <w:lang w:val="fr-CA"/>
        </w:rPr>
        <w:t xml:space="preserve"> projet de décision</w:t>
      </w:r>
      <w:r w:rsidR="00B865C8" w:rsidRPr="0044626D">
        <w:rPr>
          <w:lang w:val="fr-CA"/>
        </w:rPr>
        <w:t>, présenté</w:t>
      </w:r>
      <w:r w:rsidR="00A90365">
        <w:rPr>
          <w:lang w:val="fr-CA"/>
        </w:rPr>
        <w:t>e</w:t>
      </w:r>
      <w:r w:rsidR="00B865C8" w:rsidRPr="0044626D">
        <w:rPr>
          <w:lang w:val="fr-CA"/>
        </w:rPr>
        <w:t xml:space="preserve"> en tant que projet de décision</w:t>
      </w:r>
      <w:r w:rsidRPr="0044626D">
        <w:rPr>
          <w:lang w:val="fr-CA"/>
        </w:rPr>
        <w:t xml:space="preserve"> </w:t>
      </w:r>
      <w:r w:rsidR="00B865C8" w:rsidRPr="0044626D">
        <w:rPr>
          <w:szCs w:val="22"/>
          <w:lang w:val="fr-CA"/>
        </w:rPr>
        <w:t>CBD/NP/MOP/3/L.12.</w:t>
      </w:r>
    </w:p>
    <w:p w14:paraId="6EFB0585" w14:textId="441931DE" w:rsidR="00B865C8" w:rsidRPr="0044626D" w:rsidRDefault="00B865C8" w:rsidP="00B865C8">
      <w:pPr>
        <w:pStyle w:val="Para1"/>
        <w:tabs>
          <w:tab w:val="clear" w:pos="360"/>
          <w:tab w:val="clear" w:pos="567"/>
          <w:tab w:val="clear" w:pos="2912"/>
        </w:tabs>
        <w:spacing w:line="240" w:lineRule="auto"/>
        <w:rPr>
          <w:i/>
          <w:lang w:val="fr-CA"/>
        </w:rPr>
      </w:pPr>
      <w:r w:rsidRPr="0044626D">
        <w:rPr>
          <w:szCs w:val="22"/>
          <w:lang w:val="fr-CA"/>
        </w:rPr>
        <w:t>Les représentants du Mexique et de l’Union européenne et ses 28 États membres se sont exprimés.</w:t>
      </w:r>
    </w:p>
    <w:p w14:paraId="55CF85DB" w14:textId="342453C5" w:rsidR="00B865C8" w:rsidRPr="0044626D" w:rsidRDefault="00B865C8" w:rsidP="00B865C8">
      <w:pPr>
        <w:pStyle w:val="Para1"/>
        <w:tabs>
          <w:tab w:val="clear" w:pos="360"/>
          <w:tab w:val="clear" w:pos="567"/>
          <w:tab w:val="clear" w:pos="2912"/>
        </w:tabs>
        <w:spacing w:line="240" w:lineRule="auto"/>
        <w:rPr>
          <w:i/>
          <w:lang w:val="fr-CA"/>
        </w:rPr>
      </w:pPr>
      <w:r w:rsidRPr="0044626D">
        <w:rPr>
          <w:lang w:val="fr-CA"/>
        </w:rPr>
        <w:t>La Conférence des Parties siégeant en tant que réunion des Parties au Protocole de Nagoya ont adopté le projet de décision, modifié verbalement, en tant que décision NP-3/15 (voir le texte au chapitre I).</w:t>
      </w:r>
    </w:p>
    <w:p w14:paraId="5EBD179E" w14:textId="77777777" w:rsidR="0043391E" w:rsidRPr="0044626D" w:rsidRDefault="0043391E" w:rsidP="00104F21">
      <w:pPr>
        <w:pStyle w:val="Heading1multiline"/>
        <w:spacing w:line="240" w:lineRule="auto"/>
        <w:rPr>
          <w:rFonts w:ascii="Times New Roman" w:hAnsi="Times New Roman" w:cs="Times New Roman"/>
          <w:lang w:val="fr-CA"/>
        </w:rPr>
      </w:pPr>
      <w:r w:rsidRPr="0044626D">
        <w:rPr>
          <w:rFonts w:ascii="Times New Roman" w:hAnsi="Times New Roman" w:cs="Times New Roman"/>
          <w:lang w:val="fr-CA"/>
        </w:rPr>
        <w:t>POINT 17.</w:t>
      </w:r>
      <w:r w:rsidRPr="0044626D">
        <w:rPr>
          <w:rFonts w:ascii="Times New Roman" w:hAnsi="Times New Roman" w:cs="Times New Roman"/>
          <w:lang w:val="fr-CA"/>
        </w:rPr>
        <w:tab/>
        <w:t>Information de séquençage numérique sur les ressources génétiques</w:t>
      </w:r>
    </w:p>
    <w:p w14:paraId="173FFBA4" w14:textId="35B6D2E8" w:rsidR="0043391E" w:rsidRPr="0044626D" w:rsidRDefault="0043391E" w:rsidP="00F85D47">
      <w:pPr>
        <w:pStyle w:val="Para1"/>
        <w:tabs>
          <w:tab w:val="clear" w:pos="360"/>
          <w:tab w:val="clear" w:pos="567"/>
          <w:tab w:val="clear" w:pos="2912"/>
        </w:tabs>
        <w:spacing w:line="240" w:lineRule="auto"/>
        <w:rPr>
          <w:lang w:val="fr-CA"/>
        </w:rPr>
      </w:pPr>
      <w:r w:rsidRPr="0044626D">
        <w:rPr>
          <w:lang w:val="fr-CA"/>
        </w:rPr>
        <w:t xml:space="preserve">Le Groupe de travail I a abordé le point 17 de l’ordre du jour à sa deuxième session, le 18 novembre 2018, en parallèle au point 18 de l'ordre du jour de la Conférence des Parties à la Convention. Le Groupe de travail a entrepris ses travaux en ayant en main </w:t>
      </w:r>
      <w:r w:rsidR="00DA41D2" w:rsidRPr="0044626D">
        <w:rPr>
          <w:lang w:val="fr-CA"/>
        </w:rPr>
        <w:t xml:space="preserve">un projet de décision tiré de la recommandation  </w:t>
      </w:r>
      <w:r w:rsidR="00DA41D2" w:rsidRPr="0044626D">
        <w:rPr>
          <w:szCs w:val="22"/>
          <w:lang w:val="fr-CA"/>
        </w:rPr>
        <w:t xml:space="preserve">SBSTTA-22/1 </w:t>
      </w:r>
      <w:r w:rsidR="00DA41D2" w:rsidRPr="0044626D">
        <w:rPr>
          <w:lang w:val="fr-CA"/>
        </w:rPr>
        <w:t xml:space="preserve">comprise dans la compilation des projets de décisions (CBD/NP/MOP/3/1/Add.2). Les documents suivants ont aussi été mis à la disposition de la réunion des Parties aux fins d’information : </w:t>
      </w:r>
      <w:r w:rsidRPr="0044626D">
        <w:rPr>
          <w:lang w:val="fr-CA"/>
        </w:rPr>
        <w:t xml:space="preserve">la synthèse des points de vue et des informations sur les implications possibles de l’utilisation de l’information de séquençage numérique sur les ressources génétiques pour les trois objectifs de la Convention et l’objectif du Protocole de Nagoya (CBD/DSI/AHTEG/2018/1/2), des études de cas et exemples de l’utilisation de l’information de séquençage numérique en lien avec les objectifs de la Convention et du Protocole de Nagoya (CBD/DSI/AHTEG/2018/1/2/Add.1), l’information de séquençage numérique sur les ressources génétiques dans les processus internationaux et les débats sur les politiques pertinents en cours (CBD/DSI/AHTEG/2018/1/2/Add.2), une étude exploratoire d’enquête sur l’information de séquençage numérique sur les ressources génétiques dans le contexte de la Convention sur la diversité biologique et le Protocole de Nagoya (CBD/DSI/AHTEG/2018/1/3), et une proposition du Secrétariat de la Commission des ressources génétiques pour l’alimentation et l’agriculture (CBD/COP/14/INF/29). </w:t>
      </w:r>
    </w:p>
    <w:p w14:paraId="0CA583FE" w14:textId="77777777" w:rsidR="0043391E" w:rsidRPr="0044626D" w:rsidRDefault="0043391E" w:rsidP="00F85D47">
      <w:pPr>
        <w:pStyle w:val="Para1"/>
        <w:tabs>
          <w:tab w:val="clear" w:pos="360"/>
          <w:tab w:val="clear" w:pos="567"/>
          <w:tab w:val="clear" w:pos="2912"/>
        </w:tabs>
        <w:spacing w:line="240" w:lineRule="auto"/>
        <w:rPr>
          <w:lang w:val="fr-CA"/>
        </w:rPr>
      </w:pPr>
      <w:r w:rsidRPr="0044626D">
        <w:rPr>
          <w:lang w:val="fr-CA"/>
        </w:rPr>
        <w:t>Les représentants des pays suivants ont présenté un exposé : Afrique du Sud, Argentine, Belarus, Bolivie (État plurinational de), Botswana, Cameroun, Chine, Équateur, Éthiopie, Guatemala, Guinée-Bissau, Inde, Indonésie, Japon, Jordanie, Kenya, Madagascar, Malawi (au nom du Groupe Afrique), Malaisie, Mexique, Norvège, Ouganda, Pérou, Philippines, République de Corée, République dominicaine, République unie de Tanzanie, Sénégal, Soudan, Suisse, Togo, Union européenne et ses 28 États membres, Uruguay et Venezuela (République bolivarienne du).</w:t>
      </w:r>
    </w:p>
    <w:p w14:paraId="44C570B4" w14:textId="77777777" w:rsidR="0043391E" w:rsidRPr="0044626D" w:rsidRDefault="0043391E" w:rsidP="00F85D47">
      <w:pPr>
        <w:pStyle w:val="Para1"/>
        <w:tabs>
          <w:tab w:val="clear" w:pos="360"/>
          <w:tab w:val="clear" w:pos="567"/>
          <w:tab w:val="clear" w:pos="2912"/>
        </w:tabs>
        <w:spacing w:line="240" w:lineRule="auto"/>
        <w:rPr>
          <w:lang w:val="fr-CA"/>
        </w:rPr>
      </w:pPr>
      <w:r w:rsidRPr="0044626D">
        <w:rPr>
          <w:lang w:val="fr-CA"/>
        </w:rPr>
        <w:lastRenderedPageBreak/>
        <w:t>Les représentants du Brésil (au nom du Groupe des pays hyperdivers animés du même esprit), du Canada, de la Colombie, du Costa Rica, du Maroc, de la Nouvelle-Zélande, de la Thaïlande et de la Turquie ont également présenté un exposé.</w:t>
      </w:r>
    </w:p>
    <w:p w14:paraId="65818387" w14:textId="31353908" w:rsidR="0043391E" w:rsidRPr="0044626D" w:rsidRDefault="0043391E" w:rsidP="00F85D47">
      <w:pPr>
        <w:pStyle w:val="Para1"/>
        <w:tabs>
          <w:tab w:val="clear" w:pos="360"/>
          <w:tab w:val="clear" w:pos="567"/>
          <w:tab w:val="clear" w:pos="2912"/>
        </w:tabs>
        <w:spacing w:line="240" w:lineRule="auto"/>
        <w:rPr>
          <w:lang w:val="fr-CA"/>
        </w:rPr>
      </w:pPr>
      <w:r w:rsidRPr="0044626D">
        <w:rPr>
          <w:lang w:val="fr-CA"/>
        </w:rPr>
        <w:t xml:space="preserve">Les représentants de l’Union africaine, de la Division des affaires </w:t>
      </w:r>
      <w:r w:rsidR="00F85D47" w:rsidRPr="0044626D">
        <w:rPr>
          <w:lang w:val="fr-CA"/>
        </w:rPr>
        <w:t>maritimes et du droit de la mer du Bureau des a</w:t>
      </w:r>
      <w:r w:rsidR="00104F21">
        <w:rPr>
          <w:lang w:val="fr-CA"/>
        </w:rPr>
        <w:t>ffaires juridiques des Nations U</w:t>
      </w:r>
      <w:r w:rsidR="00F85D47" w:rsidRPr="0044626D">
        <w:rPr>
          <w:lang w:val="fr-CA"/>
        </w:rPr>
        <w:t>nies</w:t>
      </w:r>
      <w:r w:rsidRPr="0044626D">
        <w:rPr>
          <w:lang w:val="fr-CA"/>
        </w:rPr>
        <w:t>, de l’OMS et de l’OMPI ont présenté leurs points de vue.</w:t>
      </w:r>
    </w:p>
    <w:p w14:paraId="349FBF97" w14:textId="77777777" w:rsidR="0043391E" w:rsidRPr="0044626D" w:rsidRDefault="0043391E" w:rsidP="00F85D47">
      <w:pPr>
        <w:pStyle w:val="Para1"/>
        <w:tabs>
          <w:tab w:val="clear" w:pos="360"/>
          <w:tab w:val="clear" w:pos="567"/>
          <w:tab w:val="clear" w:pos="2912"/>
        </w:tabs>
        <w:spacing w:line="240" w:lineRule="auto"/>
        <w:rPr>
          <w:lang w:val="fr-CA"/>
        </w:rPr>
      </w:pPr>
      <w:r w:rsidRPr="0044626D">
        <w:rPr>
          <w:lang w:val="fr-CA"/>
        </w:rPr>
        <w:t>Un représentant du Forum international des peuples autochtones sur la biodiversité a présenté sa position.</w:t>
      </w:r>
    </w:p>
    <w:p w14:paraId="6F85CCC2" w14:textId="2B90D57E" w:rsidR="0043391E" w:rsidRPr="0044626D" w:rsidRDefault="0043391E" w:rsidP="00F85D47">
      <w:pPr>
        <w:pStyle w:val="Para1"/>
        <w:tabs>
          <w:tab w:val="clear" w:pos="360"/>
          <w:tab w:val="clear" w:pos="567"/>
          <w:tab w:val="clear" w:pos="2912"/>
        </w:tabs>
        <w:spacing w:line="240" w:lineRule="auto"/>
        <w:rPr>
          <w:lang w:val="fr-CA"/>
        </w:rPr>
      </w:pPr>
      <w:r w:rsidRPr="0044626D">
        <w:rPr>
          <w:lang w:val="fr-CA"/>
        </w:rPr>
        <w:t xml:space="preserve">Le Groupe de travail a </w:t>
      </w:r>
      <w:r w:rsidR="00F85D47" w:rsidRPr="0044626D">
        <w:rPr>
          <w:lang w:val="fr-CA"/>
        </w:rPr>
        <w:t>décidé</w:t>
      </w:r>
      <w:r w:rsidRPr="0044626D">
        <w:rPr>
          <w:lang w:val="fr-CA"/>
        </w:rPr>
        <w:t xml:space="preserve"> de former un groupe de contact coprésidé par M</w:t>
      </w:r>
      <w:r w:rsidRPr="0044626D">
        <w:rPr>
          <w:vertAlign w:val="superscript"/>
          <w:lang w:val="fr-CA"/>
        </w:rPr>
        <w:t>me</w:t>
      </w:r>
      <w:r w:rsidRPr="0044626D">
        <w:rPr>
          <w:lang w:val="fr-CA"/>
        </w:rPr>
        <w:t xml:space="preserve"> Georgina Catacora Vargas (Bolivie, État plurinational de) et M. Nikolay Tzvetkov (Bulgarie) chargé de poursuivre les échanges sur la question.</w:t>
      </w:r>
    </w:p>
    <w:p w14:paraId="7B0D248F" w14:textId="77777777" w:rsidR="0043391E" w:rsidRPr="0044626D" w:rsidRDefault="0043391E" w:rsidP="00F85D47">
      <w:pPr>
        <w:pStyle w:val="Para1"/>
        <w:tabs>
          <w:tab w:val="clear" w:pos="360"/>
          <w:tab w:val="clear" w:pos="567"/>
          <w:tab w:val="clear" w:pos="2912"/>
        </w:tabs>
        <w:spacing w:line="240" w:lineRule="auto"/>
        <w:rPr>
          <w:lang w:val="fr-CA"/>
        </w:rPr>
      </w:pPr>
      <w:r w:rsidRPr="0044626D">
        <w:rPr>
          <w:lang w:val="fr-CA"/>
        </w:rPr>
        <w:t xml:space="preserve">À sa treizième séance, le 28 novembre 2018, le président du Groupe de travail a présenté un projet de décision. </w:t>
      </w:r>
    </w:p>
    <w:p w14:paraId="42408C58" w14:textId="77777777" w:rsidR="0043391E" w:rsidRPr="0044626D" w:rsidRDefault="0043391E" w:rsidP="00F85D47">
      <w:pPr>
        <w:pStyle w:val="Para1"/>
        <w:tabs>
          <w:tab w:val="clear" w:pos="360"/>
          <w:tab w:val="clear" w:pos="567"/>
          <w:tab w:val="clear" w:pos="2912"/>
        </w:tabs>
        <w:spacing w:line="240" w:lineRule="auto"/>
        <w:rPr>
          <w:lang w:val="fr-CA"/>
        </w:rPr>
      </w:pPr>
      <w:r w:rsidRPr="0044626D">
        <w:rPr>
          <w:lang w:val="fr-CA"/>
        </w:rPr>
        <w:t>Des déclarations ont été faites par les représentants des pays suivants : Japon, Malaisie, Mexique, République de Corée, Suisse et Union européenne et ses 28 États membres.</w:t>
      </w:r>
    </w:p>
    <w:p w14:paraId="4154D254" w14:textId="77777777" w:rsidR="0043391E" w:rsidRPr="0044626D" w:rsidRDefault="0043391E" w:rsidP="00F85D47">
      <w:pPr>
        <w:pStyle w:val="Para1"/>
        <w:tabs>
          <w:tab w:val="clear" w:pos="360"/>
          <w:tab w:val="clear" w:pos="567"/>
          <w:tab w:val="clear" w:pos="2912"/>
        </w:tabs>
        <w:spacing w:line="240" w:lineRule="auto"/>
        <w:rPr>
          <w:lang w:val="fr-CA"/>
        </w:rPr>
      </w:pPr>
      <w:r w:rsidRPr="0044626D">
        <w:rPr>
          <w:lang w:val="fr-CA"/>
        </w:rPr>
        <w:t>Le président a déclaré que le point de vue exprimé par la Suisse, soutenue par le représentant du Japon, figurerait dans le rapport du Groupe de travail.</w:t>
      </w:r>
    </w:p>
    <w:p w14:paraId="6E15A97E" w14:textId="77777777" w:rsidR="0043391E" w:rsidRPr="0044626D" w:rsidRDefault="0043391E" w:rsidP="00F85D47">
      <w:pPr>
        <w:pStyle w:val="Para1"/>
        <w:tabs>
          <w:tab w:val="clear" w:pos="360"/>
          <w:tab w:val="clear" w:pos="567"/>
          <w:tab w:val="clear" w:pos="2912"/>
        </w:tabs>
        <w:spacing w:line="240" w:lineRule="auto"/>
        <w:rPr>
          <w:lang w:val="fr-CA"/>
        </w:rPr>
      </w:pPr>
      <w:r w:rsidRPr="0044626D">
        <w:rPr>
          <w:lang w:val="fr-CA"/>
        </w:rPr>
        <w:t xml:space="preserve">Le représentant de la Suisse a déclaré que, bien qu'il soutienne le processus de clarification de la question relative à l'information de séquençage numérique sur les ressources biologiques, il ne voyait pas la nécessité de disposer d'une décision distincte sur cette question au titre du Protocole de Nagoya. </w:t>
      </w:r>
    </w:p>
    <w:p w14:paraId="501443D4" w14:textId="77777777" w:rsidR="0043391E" w:rsidRPr="0044626D" w:rsidRDefault="0043391E" w:rsidP="00F85D47">
      <w:pPr>
        <w:pStyle w:val="Para1"/>
        <w:tabs>
          <w:tab w:val="clear" w:pos="360"/>
          <w:tab w:val="clear" w:pos="567"/>
          <w:tab w:val="clear" w:pos="2912"/>
        </w:tabs>
        <w:spacing w:line="240" w:lineRule="auto"/>
        <w:rPr>
          <w:lang w:val="fr-CA"/>
        </w:rPr>
      </w:pPr>
      <w:r w:rsidRPr="0044626D">
        <w:rPr>
          <w:lang w:val="fr-CA"/>
        </w:rPr>
        <w:t>Après cet échange de vues, le Groupe de travail a approuvé le projet de décision, tel que modifié oralement, pour transmission à la réunion plénière comme projet de décision CBD/NP/MOP/3/L.15.</w:t>
      </w:r>
    </w:p>
    <w:p w14:paraId="347AFC00" w14:textId="4EBFD9FF" w:rsidR="0043391E" w:rsidRPr="0044626D" w:rsidRDefault="00F85D47" w:rsidP="00F85D47">
      <w:pPr>
        <w:pStyle w:val="Para1"/>
        <w:tabs>
          <w:tab w:val="clear" w:pos="360"/>
          <w:tab w:val="clear" w:pos="567"/>
          <w:tab w:val="clear" w:pos="2912"/>
        </w:tabs>
        <w:spacing w:line="240" w:lineRule="auto"/>
        <w:rPr>
          <w:lang w:val="fr-CA"/>
        </w:rPr>
      </w:pPr>
      <w:r w:rsidRPr="0044626D">
        <w:rPr>
          <w:lang w:val="fr-CA"/>
        </w:rPr>
        <w:t xml:space="preserve">La </w:t>
      </w:r>
      <w:r w:rsidR="00044D03" w:rsidRPr="0044626D">
        <w:rPr>
          <w:lang w:val="fr-CA"/>
        </w:rPr>
        <w:t xml:space="preserve">Conférence des Parties siégeant en tant que réunion des Parties </w:t>
      </w:r>
      <w:r w:rsidR="00D6397B" w:rsidRPr="0044626D">
        <w:rPr>
          <w:lang w:val="fr-CA"/>
        </w:rPr>
        <w:t>au Protocole de Nagoya a examiné l</w:t>
      </w:r>
      <w:r w:rsidR="00104F21">
        <w:rPr>
          <w:lang w:val="fr-CA"/>
        </w:rPr>
        <w:t xml:space="preserve">e projet de </w:t>
      </w:r>
      <w:r w:rsidR="00D6397B" w:rsidRPr="0044626D">
        <w:rPr>
          <w:lang w:val="fr-CA"/>
        </w:rPr>
        <w:t>décision</w:t>
      </w:r>
      <w:r w:rsidRPr="0044626D">
        <w:rPr>
          <w:lang w:val="fr-CA"/>
        </w:rPr>
        <w:t xml:space="preserve"> </w:t>
      </w:r>
      <w:r w:rsidR="00D6397B" w:rsidRPr="0044626D">
        <w:rPr>
          <w:lang w:val="fr-CA"/>
        </w:rPr>
        <w:t>CBD/NP/MOP/3/L.15 à sa huitième séance de plénière, le 29 novembre 2018</w:t>
      </w:r>
      <w:r w:rsidR="0043391E" w:rsidRPr="0044626D">
        <w:rPr>
          <w:lang w:val="fr-CA"/>
        </w:rPr>
        <w:t>.</w:t>
      </w:r>
    </w:p>
    <w:p w14:paraId="5FFE0585" w14:textId="28F27FD6" w:rsidR="00D6397B" w:rsidRPr="0044626D" w:rsidRDefault="00D6397B" w:rsidP="00F85D47">
      <w:pPr>
        <w:pStyle w:val="Para1"/>
        <w:tabs>
          <w:tab w:val="clear" w:pos="360"/>
          <w:tab w:val="clear" w:pos="567"/>
          <w:tab w:val="clear" w:pos="2912"/>
        </w:tabs>
        <w:spacing w:line="240" w:lineRule="auto"/>
        <w:rPr>
          <w:lang w:val="fr-CA"/>
        </w:rPr>
      </w:pPr>
      <w:r w:rsidRPr="0044626D">
        <w:rPr>
          <w:lang w:val="fr-CA"/>
        </w:rPr>
        <w:t xml:space="preserve">Les représentants des pays suivants ont présenté un exposé : Argentine, Japon, Malaisie (au nom des pays </w:t>
      </w:r>
      <w:r w:rsidR="00F601FB">
        <w:rPr>
          <w:lang w:val="fr-CA"/>
        </w:rPr>
        <w:t>hyper</w:t>
      </w:r>
      <w:r w:rsidRPr="0044626D">
        <w:rPr>
          <w:lang w:val="fr-CA"/>
        </w:rPr>
        <w:t>divers animés d’un même esprit), Mexique, Ouganda</w:t>
      </w:r>
      <w:r w:rsidR="00104F21">
        <w:rPr>
          <w:lang w:val="fr-CA"/>
        </w:rPr>
        <w:t xml:space="preserve"> (au nom du g</w:t>
      </w:r>
      <w:r w:rsidR="00F36DBB" w:rsidRPr="0044626D">
        <w:rPr>
          <w:lang w:val="fr-CA"/>
        </w:rPr>
        <w:t xml:space="preserve">roupe </w:t>
      </w:r>
      <w:r w:rsidR="00104F21">
        <w:rPr>
          <w:lang w:val="fr-CA"/>
        </w:rPr>
        <w:t>des États africains</w:t>
      </w:r>
      <w:r w:rsidR="00F36DBB" w:rsidRPr="0044626D">
        <w:rPr>
          <w:lang w:val="fr-CA"/>
        </w:rPr>
        <w:t>)</w:t>
      </w:r>
      <w:r w:rsidRPr="0044626D">
        <w:rPr>
          <w:lang w:val="fr-CA"/>
        </w:rPr>
        <w:t>, République de Corée, Suisse et Union euro</w:t>
      </w:r>
      <w:r w:rsidR="00F36DBB" w:rsidRPr="0044626D">
        <w:rPr>
          <w:lang w:val="fr-CA"/>
        </w:rPr>
        <w:t>péenne et ses 28 États membres.</w:t>
      </w:r>
    </w:p>
    <w:p w14:paraId="627F63D1" w14:textId="00D1EC65" w:rsidR="00F36DBB" w:rsidRPr="0044626D" w:rsidRDefault="00F36DBB" w:rsidP="00F85D47">
      <w:pPr>
        <w:pStyle w:val="Para1"/>
        <w:tabs>
          <w:tab w:val="clear" w:pos="360"/>
          <w:tab w:val="clear" w:pos="567"/>
          <w:tab w:val="clear" w:pos="2912"/>
        </w:tabs>
        <w:spacing w:line="240" w:lineRule="auto"/>
        <w:rPr>
          <w:lang w:val="fr-CA"/>
        </w:rPr>
      </w:pPr>
      <w:r w:rsidRPr="0044626D">
        <w:rPr>
          <w:lang w:val="fr-CA"/>
        </w:rPr>
        <w:t>Un</w:t>
      </w:r>
      <w:r w:rsidR="009E4F60" w:rsidRPr="0044626D">
        <w:rPr>
          <w:lang w:val="fr-CA"/>
        </w:rPr>
        <w:t>e</w:t>
      </w:r>
      <w:r w:rsidRPr="0044626D">
        <w:rPr>
          <w:lang w:val="fr-CA"/>
        </w:rPr>
        <w:t xml:space="preserve"> représentant</w:t>
      </w:r>
      <w:r w:rsidR="009E4F60" w:rsidRPr="0044626D">
        <w:rPr>
          <w:lang w:val="fr-CA"/>
        </w:rPr>
        <w:t>e</w:t>
      </w:r>
      <w:r w:rsidRPr="0044626D">
        <w:rPr>
          <w:lang w:val="fr-CA"/>
        </w:rPr>
        <w:t xml:space="preserve"> du Mexique, demandant que son point de vue soit exprimé dans le rapport, </w:t>
      </w:r>
      <w:r w:rsidR="009E4F60" w:rsidRPr="0044626D">
        <w:rPr>
          <w:lang w:val="fr-CA"/>
        </w:rPr>
        <w:t>a dit se réjouir de</w:t>
      </w:r>
      <w:r w:rsidRPr="0044626D">
        <w:rPr>
          <w:lang w:val="fr-CA"/>
        </w:rPr>
        <w:t xml:space="preserve"> l’esprit de compromis manifesté lors de l’acceptation d’un texte consensuel pour le projet de décision, que le Mexique </w:t>
      </w:r>
      <w:r w:rsidR="009E4F60" w:rsidRPr="0044626D">
        <w:rPr>
          <w:lang w:val="fr-CA"/>
        </w:rPr>
        <w:t>a appuyé</w:t>
      </w:r>
      <w:r w:rsidRPr="0044626D">
        <w:rPr>
          <w:lang w:val="fr-CA"/>
        </w:rPr>
        <w:t xml:space="preserve"> pour le moment car il mènerait à de  futurs progrès,</w:t>
      </w:r>
      <w:r w:rsidR="009E4F60" w:rsidRPr="0044626D">
        <w:rPr>
          <w:lang w:val="fr-CA"/>
        </w:rPr>
        <w:t xml:space="preserve"> car celui-ci est</w:t>
      </w:r>
      <w:r w:rsidRPr="0044626D">
        <w:rPr>
          <w:lang w:val="fr-CA"/>
        </w:rPr>
        <w:t xml:space="preserve"> essentiel à la conformité </w:t>
      </w:r>
      <w:r w:rsidR="002417C5">
        <w:rPr>
          <w:lang w:val="fr-CA"/>
        </w:rPr>
        <w:t>à</w:t>
      </w:r>
      <w:r w:rsidRPr="0044626D">
        <w:rPr>
          <w:lang w:val="fr-CA"/>
        </w:rPr>
        <w:t xml:space="preserve"> l’article 17 du Protocole. </w:t>
      </w:r>
    </w:p>
    <w:p w14:paraId="368B18EB" w14:textId="62B21DB0" w:rsidR="009E4F60" w:rsidRPr="0044626D" w:rsidRDefault="009E4F60" w:rsidP="00F85D47">
      <w:pPr>
        <w:pStyle w:val="Para1"/>
        <w:tabs>
          <w:tab w:val="clear" w:pos="360"/>
          <w:tab w:val="clear" w:pos="567"/>
          <w:tab w:val="clear" w:pos="2912"/>
        </w:tabs>
        <w:spacing w:line="240" w:lineRule="auto"/>
        <w:rPr>
          <w:lang w:val="fr-CA"/>
        </w:rPr>
      </w:pPr>
      <w:r w:rsidRPr="0044626D">
        <w:rPr>
          <w:lang w:val="fr-CA"/>
        </w:rPr>
        <w:t>Après l’échange de points de vue, la Conférence des Parties siégeant en tant que réunion des Parties au Protocole de Nagoya a adopté le projet de décision CBD/NP/MOP/3/L.15, modifié verbalement, en tant que décision NP-3/12 (voir le texte au chapitre I).</w:t>
      </w:r>
    </w:p>
    <w:p w14:paraId="6D2259A0" w14:textId="77777777" w:rsidR="0043391E" w:rsidRPr="0044626D" w:rsidRDefault="0043391E" w:rsidP="002417C5">
      <w:pPr>
        <w:pStyle w:val="Heading1multiline"/>
        <w:spacing w:line="240" w:lineRule="auto"/>
        <w:rPr>
          <w:rFonts w:ascii="Times New Roman" w:hAnsi="Times New Roman" w:cs="Times New Roman"/>
          <w:lang w:val="fr-CA"/>
        </w:rPr>
      </w:pPr>
      <w:r w:rsidRPr="0044626D">
        <w:rPr>
          <w:rFonts w:ascii="Times New Roman" w:hAnsi="Times New Roman" w:cs="Times New Roman"/>
          <w:lang w:val="fr-CA"/>
        </w:rPr>
        <w:t>POINT 18.</w:t>
      </w:r>
      <w:r w:rsidRPr="0044626D">
        <w:rPr>
          <w:rFonts w:ascii="Times New Roman" w:hAnsi="Times New Roman" w:cs="Times New Roman"/>
          <w:iCs/>
          <w:lang w:val="fr-CA"/>
        </w:rPr>
        <w:tab/>
        <w:t>Instruments internationaux spécialisés en matière d'accès et de partage des avantages dans le contexte de l'article 4, paragraphe 4 du Protocole de Nagoya.</w:t>
      </w:r>
    </w:p>
    <w:p w14:paraId="59D52FDB" w14:textId="66863E8B" w:rsidR="0043391E" w:rsidRPr="0044626D" w:rsidRDefault="0043391E" w:rsidP="00AB51AF">
      <w:pPr>
        <w:pStyle w:val="Para1"/>
        <w:tabs>
          <w:tab w:val="clear" w:pos="360"/>
          <w:tab w:val="clear" w:pos="567"/>
          <w:tab w:val="clear" w:pos="2912"/>
        </w:tabs>
        <w:spacing w:line="240" w:lineRule="auto"/>
        <w:rPr>
          <w:lang w:val="fr-CA"/>
        </w:rPr>
      </w:pPr>
      <w:r w:rsidRPr="0044626D">
        <w:rPr>
          <w:lang w:val="fr-CA"/>
        </w:rPr>
        <w:t xml:space="preserve">Le Groupe de travail I a abordé le point 18 de l’ordre du </w:t>
      </w:r>
      <w:r w:rsidR="00AB51AF" w:rsidRPr="0044626D">
        <w:rPr>
          <w:lang w:val="fr-CA"/>
        </w:rPr>
        <w:t>jour à sa deuxième session, le 1</w:t>
      </w:r>
      <w:r w:rsidRPr="0044626D">
        <w:rPr>
          <w:lang w:val="fr-CA"/>
        </w:rPr>
        <w:t xml:space="preserve">8 novembre 2018.  Le Groupe de travail a entrepris ses travaux en ayant en main </w:t>
      </w:r>
      <w:r w:rsidR="009E4F60" w:rsidRPr="0044626D">
        <w:rPr>
          <w:lang w:val="fr-CA"/>
        </w:rPr>
        <w:t xml:space="preserve">un projet de décision fondé sur la recommandation </w:t>
      </w:r>
      <w:r w:rsidR="00AB51AF" w:rsidRPr="0044626D">
        <w:rPr>
          <w:lang w:val="fr-CA"/>
        </w:rPr>
        <w:t>SBI-</w:t>
      </w:r>
      <w:r w:rsidR="009E4F60" w:rsidRPr="0044626D">
        <w:rPr>
          <w:lang w:val="fr-CA"/>
        </w:rPr>
        <w:t xml:space="preserve">2/5 de l’Organe subsidiaire </w:t>
      </w:r>
      <w:r w:rsidR="00136509">
        <w:rPr>
          <w:lang w:val="fr-CA"/>
        </w:rPr>
        <w:t>chargé de l’application</w:t>
      </w:r>
      <w:r w:rsidR="00BF1B84" w:rsidRPr="0044626D">
        <w:rPr>
          <w:lang w:val="fr-CA"/>
        </w:rPr>
        <w:t xml:space="preserve"> </w:t>
      </w:r>
      <w:r w:rsidR="009E4F60" w:rsidRPr="0044626D">
        <w:rPr>
          <w:lang w:val="fr-CA"/>
        </w:rPr>
        <w:t>comprise dans la compilation des projets de décisions (CBD/NP/MOP/3/1/Add.2)</w:t>
      </w:r>
      <w:r w:rsidR="00BF1B84" w:rsidRPr="0044626D">
        <w:rPr>
          <w:lang w:val="fr-CA"/>
        </w:rPr>
        <w:t>. U</w:t>
      </w:r>
      <w:r w:rsidRPr="0044626D">
        <w:rPr>
          <w:lang w:val="fr-CA"/>
        </w:rPr>
        <w:t>ne étude des critères pour repérer un instrument spécialisé d’ac</w:t>
      </w:r>
      <w:r w:rsidR="00BF1B84" w:rsidRPr="0044626D">
        <w:rPr>
          <w:lang w:val="fr-CA"/>
        </w:rPr>
        <w:t>cès et de partage des avantages</w:t>
      </w:r>
      <w:r w:rsidRPr="0044626D">
        <w:rPr>
          <w:lang w:val="fr-CA"/>
        </w:rPr>
        <w:t xml:space="preserve"> et un processus potentiel pour sa reconnaissance, en tant que document informatif (CBD/SBI/2/INF/17)</w:t>
      </w:r>
      <w:r w:rsidR="00BF1B84" w:rsidRPr="0044626D">
        <w:rPr>
          <w:lang w:val="fr-CA"/>
        </w:rPr>
        <w:t>, examiné par l’</w:t>
      </w:r>
      <w:r w:rsidR="00BF1B84" w:rsidRPr="0044626D">
        <w:rPr>
          <w:rFonts w:eastAsia="Times New Roman"/>
          <w:lang w:val="fr-CA"/>
        </w:rPr>
        <w:t xml:space="preserve">Organe subsidiaire </w:t>
      </w:r>
      <w:r w:rsidR="00136509">
        <w:rPr>
          <w:rFonts w:eastAsia="Times New Roman"/>
          <w:lang w:val="fr-CA"/>
        </w:rPr>
        <w:t>chargé de l’application</w:t>
      </w:r>
      <w:r w:rsidR="00BF1B84" w:rsidRPr="0044626D">
        <w:rPr>
          <w:rFonts w:eastAsia="Times New Roman"/>
          <w:lang w:val="fr-CA"/>
        </w:rPr>
        <w:t xml:space="preserve"> à sa deuxième réunion, ont été mis à la disposition de la réunion des Parties à titre d’information</w:t>
      </w:r>
      <w:r w:rsidRPr="0044626D">
        <w:rPr>
          <w:lang w:val="fr-CA"/>
        </w:rPr>
        <w:t xml:space="preserve">.  </w:t>
      </w:r>
    </w:p>
    <w:p w14:paraId="6299D194" w14:textId="77777777" w:rsidR="0043391E" w:rsidRPr="0044626D" w:rsidRDefault="0043391E" w:rsidP="00AB51AF">
      <w:pPr>
        <w:pStyle w:val="Para1"/>
        <w:tabs>
          <w:tab w:val="clear" w:pos="360"/>
          <w:tab w:val="clear" w:pos="567"/>
          <w:tab w:val="clear" w:pos="2912"/>
        </w:tabs>
        <w:spacing w:line="240" w:lineRule="auto"/>
        <w:rPr>
          <w:lang w:val="fr-CA"/>
        </w:rPr>
      </w:pPr>
      <w:r w:rsidRPr="0044626D">
        <w:rPr>
          <w:lang w:val="fr-CA"/>
        </w:rPr>
        <w:t>Les représentants des pays suivants ont présenté un exposé : Afrique du Sud (au nom du Groupe Afrique), Argentine, Gabon, Inde, Indonésie, Malawi, Mexique, Norvège, Ouganda, Philippines, Suisse, Union européenne et ses 28 États membres et Venezuela (République bolivarienne du).</w:t>
      </w:r>
    </w:p>
    <w:p w14:paraId="4209FF9F" w14:textId="77777777" w:rsidR="0043391E" w:rsidRPr="0044626D" w:rsidRDefault="0043391E" w:rsidP="00AB51AF">
      <w:pPr>
        <w:pStyle w:val="Para1"/>
        <w:tabs>
          <w:tab w:val="clear" w:pos="360"/>
          <w:tab w:val="clear" w:pos="567"/>
          <w:tab w:val="clear" w:pos="2912"/>
        </w:tabs>
        <w:spacing w:line="240" w:lineRule="auto"/>
        <w:rPr>
          <w:lang w:val="fr-CA"/>
        </w:rPr>
      </w:pPr>
      <w:r w:rsidRPr="0044626D">
        <w:rPr>
          <w:lang w:val="fr-CA"/>
        </w:rPr>
        <w:lastRenderedPageBreak/>
        <w:t>Les représentants de la FAO et du l’OMS ont aussi fait connaître leur point de vue.</w:t>
      </w:r>
    </w:p>
    <w:p w14:paraId="14A03CF9" w14:textId="77777777" w:rsidR="0043391E" w:rsidRPr="0044626D" w:rsidRDefault="0043391E" w:rsidP="00AB51AF">
      <w:pPr>
        <w:pStyle w:val="Para1"/>
        <w:tabs>
          <w:tab w:val="clear" w:pos="360"/>
          <w:tab w:val="clear" w:pos="567"/>
          <w:tab w:val="clear" w:pos="2912"/>
        </w:tabs>
        <w:spacing w:line="240" w:lineRule="auto"/>
        <w:rPr>
          <w:lang w:val="fr-CA"/>
        </w:rPr>
      </w:pPr>
      <w:r w:rsidRPr="0044626D">
        <w:rPr>
          <w:lang w:val="fr-CA"/>
        </w:rPr>
        <w:t>Au cours de la cinquième rencontre du Groupe de travail, le 20 novembre 2018, le président a indiqué qu’il préparerait un projet de décision révisé sur la question avec l’aide du Secrétariat.</w:t>
      </w:r>
    </w:p>
    <w:p w14:paraId="624FD780" w14:textId="77777777" w:rsidR="0043391E" w:rsidRPr="0044626D" w:rsidRDefault="0043391E" w:rsidP="00AB51AF">
      <w:pPr>
        <w:pStyle w:val="Para1"/>
        <w:tabs>
          <w:tab w:val="clear" w:pos="360"/>
          <w:tab w:val="clear" w:pos="567"/>
          <w:tab w:val="clear" w:pos="2912"/>
        </w:tabs>
        <w:spacing w:line="240" w:lineRule="auto"/>
        <w:rPr>
          <w:lang w:val="fr-CA"/>
        </w:rPr>
      </w:pPr>
      <w:r w:rsidRPr="0044626D">
        <w:rPr>
          <w:lang w:val="fr-CA"/>
        </w:rPr>
        <w:t>Le Groupe de travail a examiné le projet de décision révisé proposé par le président à sa huitième session, le 22 novembre 2018.</w:t>
      </w:r>
    </w:p>
    <w:p w14:paraId="2C0B2870" w14:textId="77777777" w:rsidR="0043391E" w:rsidRPr="0044626D" w:rsidRDefault="0043391E" w:rsidP="00AB51AF">
      <w:pPr>
        <w:pStyle w:val="Para1"/>
        <w:tabs>
          <w:tab w:val="clear" w:pos="360"/>
          <w:tab w:val="clear" w:pos="567"/>
          <w:tab w:val="clear" w:pos="2912"/>
        </w:tabs>
        <w:spacing w:line="240" w:lineRule="auto"/>
        <w:rPr>
          <w:lang w:val="fr-CA"/>
        </w:rPr>
      </w:pPr>
      <w:r w:rsidRPr="0044626D">
        <w:rPr>
          <w:lang w:val="fr-CA"/>
        </w:rPr>
        <w:t>Les représentants du Gabon, du Mexique, des Philippines et du Venezuela (République bolivarienne du) ont présenté un exposé.</w:t>
      </w:r>
    </w:p>
    <w:p w14:paraId="431B097C" w14:textId="77777777" w:rsidR="0043391E" w:rsidRPr="0044626D" w:rsidRDefault="0043391E" w:rsidP="00AB51AF">
      <w:pPr>
        <w:pStyle w:val="Para1"/>
        <w:tabs>
          <w:tab w:val="clear" w:pos="360"/>
          <w:tab w:val="clear" w:pos="567"/>
          <w:tab w:val="clear" w:pos="2912"/>
        </w:tabs>
        <w:spacing w:line="240" w:lineRule="auto"/>
        <w:rPr>
          <w:lang w:val="fr-CA"/>
        </w:rPr>
      </w:pPr>
      <w:r w:rsidRPr="0044626D">
        <w:rPr>
          <w:snapToGrid w:val="0"/>
          <w:kern w:val="22"/>
          <w:szCs w:val="22"/>
          <w:lang w:val="fr-CA"/>
        </w:rPr>
        <w:t xml:space="preserve">Après l’échange de points de vue, le Groupe de travail a approuvé le projet de décision révisé pour transmission à la plénière en tant que projet de décision </w:t>
      </w:r>
      <w:r w:rsidRPr="0044626D">
        <w:rPr>
          <w:snapToGrid w:val="0"/>
          <w:lang w:val="fr-CA"/>
        </w:rPr>
        <w:t>CBD/NP/MOP/3/L.3.</w:t>
      </w:r>
    </w:p>
    <w:p w14:paraId="7F47A7BE" w14:textId="63C5F736" w:rsidR="0043391E" w:rsidRPr="0044626D" w:rsidRDefault="0043391E" w:rsidP="00AB51AF">
      <w:pPr>
        <w:pStyle w:val="Para1"/>
        <w:tabs>
          <w:tab w:val="clear" w:pos="360"/>
          <w:tab w:val="clear" w:pos="567"/>
          <w:tab w:val="clear" w:pos="2912"/>
        </w:tabs>
        <w:spacing w:line="240" w:lineRule="auto"/>
        <w:rPr>
          <w:lang w:val="fr-CA"/>
        </w:rPr>
      </w:pPr>
      <w:r w:rsidRPr="0044626D">
        <w:rPr>
          <w:bCs/>
          <w:szCs w:val="22"/>
          <w:lang w:val="fr-CA"/>
        </w:rPr>
        <w:t xml:space="preserve">À la cinquième séance plénière de la réunion, le 25 novembre 2018, la Conférence des Parties siégeant en tant que réunion des Parties </w:t>
      </w:r>
      <w:r w:rsidR="00AB51AF" w:rsidRPr="0044626D">
        <w:rPr>
          <w:bCs/>
          <w:szCs w:val="22"/>
          <w:lang w:val="fr-CA"/>
        </w:rPr>
        <w:t xml:space="preserve">au Protocole de Nagoya </w:t>
      </w:r>
      <w:r w:rsidRPr="0044626D">
        <w:rPr>
          <w:bCs/>
          <w:szCs w:val="22"/>
          <w:lang w:val="fr-CA"/>
        </w:rPr>
        <w:t xml:space="preserve">a adopté le projet de décision CBD/NP/MOP/3/L.3 </w:t>
      </w:r>
      <w:r w:rsidR="00AB51AF" w:rsidRPr="0044626D">
        <w:rPr>
          <w:bCs/>
          <w:szCs w:val="22"/>
          <w:lang w:val="fr-CA"/>
        </w:rPr>
        <w:t>en tant que décision NP-3/14 (voir le texte au chapitre I).</w:t>
      </w:r>
    </w:p>
    <w:p w14:paraId="7AFB3216" w14:textId="77777777" w:rsidR="0043391E" w:rsidRPr="0044626D" w:rsidRDefault="0043391E" w:rsidP="002417C5">
      <w:pPr>
        <w:pStyle w:val="Heading1longmultiline"/>
        <w:spacing w:line="240" w:lineRule="auto"/>
        <w:rPr>
          <w:rFonts w:ascii="Times New Roman" w:hAnsi="Times New Roman" w:cs="Times New Roman"/>
          <w:lang w:val="fr-CA"/>
        </w:rPr>
      </w:pPr>
      <w:r w:rsidRPr="0044626D">
        <w:rPr>
          <w:rFonts w:ascii="Times New Roman" w:hAnsi="Times New Roman" w:cs="Times New Roman"/>
          <w:lang w:val="fr-CA"/>
        </w:rPr>
        <w:t>POINT 19.</w:t>
      </w:r>
      <w:r w:rsidRPr="0044626D">
        <w:rPr>
          <w:rFonts w:ascii="Times New Roman" w:hAnsi="Times New Roman" w:cs="Times New Roman"/>
          <w:lang w:val="fr-CA"/>
        </w:rPr>
        <w:tab/>
        <w:t>Mécanisme multilatéral mondial de partage des avantages (article 10)</w:t>
      </w:r>
    </w:p>
    <w:p w14:paraId="11BD5ED2" w14:textId="77777777" w:rsidR="0043391E" w:rsidRPr="0044626D" w:rsidRDefault="0043391E" w:rsidP="0043391E">
      <w:pPr>
        <w:pStyle w:val="Paragraphedeliste"/>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color w:val="000000"/>
          <w:kern w:val="22"/>
          <w:szCs w:val="22"/>
          <w:lang w:val="fr-CA"/>
        </w:rPr>
        <w:t xml:space="preserve">Le Groupe de travail I a abordé le point 19 de l’ordre du jour à sa troisième session, le 19 novembre 2018. </w:t>
      </w:r>
      <w:r w:rsidRPr="0044626D">
        <w:rPr>
          <w:snapToGrid w:val="0"/>
          <w:kern w:val="22"/>
          <w:szCs w:val="22"/>
          <w:lang w:val="fr-CA"/>
        </w:rPr>
        <w:t xml:space="preserve"> Le Groupe de travail a entrepris ses travaux en ayant en main un projet de décision fondé sur la recommandation SBI-2/4 comprise dans la compilation des projets de décision (CBD/NP/MOP/3/1/Add.2).</w:t>
      </w:r>
    </w:p>
    <w:p w14:paraId="28EB5643"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kern w:val="22"/>
          <w:szCs w:val="22"/>
          <w:lang w:val="fr-CA"/>
        </w:rPr>
        <w:t>Les représentants des pays suivants ont présenté un exposé : Afrique du Sud (au nom du Groupe Afrique), Argentine, Équateur, Égypte, Gabon, Guinée-Bissau, Inde, Japon, Jordanie, Malaisie, Mexique, Niger, Ouganda, Philippines, République de Corée, République unie de Tanzanie et Venezuela (République bolivarienne du), Soudan, Suisse, et Union européenne et ses 28 États membres.</w:t>
      </w:r>
    </w:p>
    <w:p w14:paraId="6759161D" w14:textId="6E3A6F46"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kern w:val="22"/>
          <w:szCs w:val="22"/>
          <w:lang w:val="fr-CA"/>
        </w:rPr>
        <w:t xml:space="preserve"> Le représentant de la Division des affaires maritimes et du droit de la mer </w:t>
      </w:r>
      <w:r w:rsidR="00AB51AF" w:rsidRPr="0044626D">
        <w:rPr>
          <w:snapToGrid w:val="0"/>
          <w:kern w:val="22"/>
          <w:szCs w:val="22"/>
          <w:lang w:val="fr-CA"/>
        </w:rPr>
        <w:t>du Bureau des affaires juridiques des Nations Unies</w:t>
      </w:r>
      <w:r w:rsidRPr="0044626D">
        <w:rPr>
          <w:snapToGrid w:val="0"/>
          <w:kern w:val="22"/>
          <w:szCs w:val="22"/>
          <w:lang w:val="fr-CA"/>
        </w:rPr>
        <w:t xml:space="preserve"> a présenté son point de vue.</w:t>
      </w:r>
    </w:p>
    <w:p w14:paraId="5FB24534"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kern w:val="22"/>
          <w:szCs w:val="22"/>
          <w:lang w:val="fr-CA"/>
        </w:rPr>
        <w:t>Le représentant du Forum international des peuples autochtones sur la biodiversité a communiqué son point de vue.</w:t>
      </w:r>
    </w:p>
    <w:p w14:paraId="5515C098" w14:textId="77777777" w:rsidR="0043391E" w:rsidRPr="0044626D" w:rsidRDefault="0043391E" w:rsidP="0043391E">
      <w:pPr>
        <w:numPr>
          <w:ilvl w:val="0"/>
          <w:numId w:val="7"/>
        </w:numPr>
        <w:suppressLineNumbers/>
        <w:tabs>
          <w:tab w:val="clear" w:pos="360"/>
        </w:tabs>
        <w:suppressAutoHyphens/>
        <w:kinsoku w:val="0"/>
        <w:overflowPunct w:val="0"/>
        <w:autoSpaceDE w:val="0"/>
        <w:autoSpaceDN w:val="0"/>
        <w:snapToGrid w:val="0"/>
        <w:spacing w:before="120" w:line="240" w:lineRule="auto"/>
        <w:rPr>
          <w:snapToGrid w:val="0"/>
          <w:kern w:val="22"/>
          <w:szCs w:val="22"/>
          <w:lang w:val="fr-CA"/>
        </w:rPr>
      </w:pPr>
      <w:r w:rsidRPr="0044626D">
        <w:rPr>
          <w:snapToGrid w:val="0"/>
          <w:kern w:val="22"/>
          <w:szCs w:val="22"/>
          <w:lang w:val="fr-CA"/>
        </w:rPr>
        <w:t>Le Groupe de travail a convenu de former un groupe de contact chargé de régler les questions en suspens, sous la responsabilité de Thomas Greiber (Allemagne) et de Christine Achello (Ouganda).</w:t>
      </w:r>
    </w:p>
    <w:p w14:paraId="3E8A65DB" w14:textId="77777777" w:rsidR="0043391E" w:rsidRPr="0044626D" w:rsidRDefault="0043391E" w:rsidP="002417C5">
      <w:pPr>
        <w:pStyle w:val="Para1"/>
        <w:tabs>
          <w:tab w:val="clear" w:pos="360"/>
          <w:tab w:val="clear" w:pos="567"/>
          <w:tab w:val="clear" w:pos="2912"/>
        </w:tabs>
        <w:spacing w:line="240" w:lineRule="auto"/>
        <w:rPr>
          <w:lang w:val="fr-CA"/>
        </w:rPr>
      </w:pPr>
      <w:r w:rsidRPr="0044626D">
        <w:rPr>
          <w:snapToGrid w:val="0"/>
          <w:kern w:val="22"/>
          <w:szCs w:val="22"/>
          <w:lang w:val="fr-CA"/>
        </w:rPr>
        <w:t>À sa treizième séance, le 28 novembre 2018, le Groupe de travail a examiné un projet de décision présenté par le président.</w:t>
      </w:r>
    </w:p>
    <w:p w14:paraId="5E7245D8" w14:textId="77777777" w:rsidR="0043391E" w:rsidRPr="0044626D" w:rsidRDefault="0043391E" w:rsidP="002417C5">
      <w:pPr>
        <w:pStyle w:val="Para1"/>
        <w:tabs>
          <w:tab w:val="clear" w:pos="360"/>
          <w:tab w:val="clear" w:pos="567"/>
          <w:tab w:val="clear" w:pos="2912"/>
        </w:tabs>
        <w:spacing w:line="240" w:lineRule="auto"/>
        <w:rPr>
          <w:lang w:val="fr-CA"/>
        </w:rPr>
      </w:pPr>
      <w:r w:rsidRPr="0044626D">
        <w:rPr>
          <w:lang w:val="fr-CA"/>
        </w:rPr>
        <w:t>Des déclarations ont été faites par les représentants des pays suivants : Colombie, Inde, Japon, Malawi, Mexique, Philippines, République de Corée et Union européenne et ses 28 États membres.</w:t>
      </w:r>
    </w:p>
    <w:p w14:paraId="60EE4DA7" w14:textId="77777777" w:rsidR="0043391E" w:rsidRPr="0044626D" w:rsidRDefault="0043391E" w:rsidP="002417C5">
      <w:pPr>
        <w:pStyle w:val="Para1"/>
        <w:tabs>
          <w:tab w:val="clear" w:pos="360"/>
          <w:tab w:val="clear" w:pos="567"/>
          <w:tab w:val="clear" w:pos="2912"/>
        </w:tabs>
        <w:spacing w:line="240" w:lineRule="auto"/>
        <w:rPr>
          <w:lang w:val="fr-CA"/>
        </w:rPr>
      </w:pPr>
      <w:r w:rsidRPr="0044626D">
        <w:rPr>
          <w:lang w:val="fr-CA"/>
        </w:rPr>
        <w:t>Après l'échange de points de vue, le Groupe de travail a approuvé le projet de décision révisé, tel que modifié oralement, pour transmission à la séance plénière, comme projet de décision CBD/NP/MOP/13/L.13.</w:t>
      </w:r>
    </w:p>
    <w:p w14:paraId="3125E5DF" w14:textId="22EC02B3" w:rsidR="0043391E" w:rsidRPr="0044626D" w:rsidRDefault="00AB51AF" w:rsidP="002417C5">
      <w:pPr>
        <w:pStyle w:val="Para1"/>
        <w:tabs>
          <w:tab w:val="clear" w:pos="360"/>
          <w:tab w:val="clear" w:pos="567"/>
          <w:tab w:val="clear" w:pos="2912"/>
        </w:tabs>
        <w:spacing w:line="240" w:lineRule="auto"/>
        <w:rPr>
          <w:lang w:val="fr-CA"/>
        </w:rPr>
      </w:pPr>
      <w:r w:rsidRPr="0044626D">
        <w:rPr>
          <w:lang w:val="fr-CA"/>
        </w:rPr>
        <w:t xml:space="preserve">À la huitième séance de plénière, le 29 novembre 2018, la Conférence des Parties siégeant en tant que réunion des Parties au Protocole de Nagoya a adopté le projet de décision </w:t>
      </w:r>
      <w:r w:rsidRPr="0044626D">
        <w:rPr>
          <w:szCs w:val="22"/>
          <w:lang w:val="fr-CA"/>
        </w:rPr>
        <w:t xml:space="preserve">CBD/NP/MOP/3/L.13 en tant que </w:t>
      </w:r>
      <w:r w:rsidR="0044626D" w:rsidRPr="0044626D">
        <w:rPr>
          <w:szCs w:val="22"/>
          <w:lang w:val="fr-CA"/>
        </w:rPr>
        <w:t>dé</w:t>
      </w:r>
      <w:r w:rsidRPr="0044626D">
        <w:rPr>
          <w:szCs w:val="22"/>
          <w:lang w:val="fr-CA"/>
        </w:rPr>
        <w:t>cision NP-3/</w:t>
      </w:r>
      <w:r w:rsidR="0044626D" w:rsidRPr="0044626D">
        <w:rPr>
          <w:szCs w:val="22"/>
          <w:lang w:val="fr-CA"/>
        </w:rPr>
        <w:t>13 (voir le texte au chapitre I)</w:t>
      </w:r>
      <w:r w:rsidR="0043391E" w:rsidRPr="0044626D">
        <w:rPr>
          <w:lang w:val="fr-CA"/>
        </w:rPr>
        <w:t>.</w:t>
      </w:r>
    </w:p>
    <w:p w14:paraId="15F06C90" w14:textId="77777777" w:rsidR="0043391E" w:rsidRPr="0044626D" w:rsidRDefault="0043391E" w:rsidP="0043391E">
      <w:pPr>
        <w:pStyle w:val="Item"/>
        <w:rPr>
          <w:snapToGrid w:val="0"/>
          <w:lang w:val="fr-CA"/>
        </w:rPr>
      </w:pPr>
      <w:bookmarkStart w:id="32" w:name="_Toc476651584"/>
      <w:r w:rsidRPr="0044626D">
        <w:rPr>
          <w:snapToGrid w:val="0"/>
          <w:lang w:val="fr-CA"/>
        </w:rPr>
        <w:t>POINT 20.</w:t>
      </w:r>
      <w:r w:rsidRPr="0044626D">
        <w:rPr>
          <w:snapToGrid w:val="0"/>
          <w:lang w:val="fr-CA"/>
        </w:rPr>
        <w:tab/>
        <w:t>QUESTIONS DIVERSES</w:t>
      </w:r>
      <w:bookmarkEnd w:id="32"/>
    </w:p>
    <w:p w14:paraId="43818DE7" w14:textId="5845B6C1" w:rsidR="0043391E" w:rsidRPr="0044626D" w:rsidRDefault="0044626D" w:rsidP="0043391E">
      <w:pPr>
        <w:pStyle w:val="Para1"/>
        <w:tabs>
          <w:tab w:val="clear" w:pos="2912"/>
        </w:tabs>
        <w:spacing w:line="240" w:lineRule="auto"/>
        <w:rPr>
          <w:lang w:val="fr-CA"/>
        </w:rPr>
      </w:pPr>
      <w:r w:rsidRPr="0044626D">
        <w:rPr>
          <w:lang w:val="fr-CA"/>
        </w:rPr>
        <w:t>Aucune autre question n’a été examinée</w:t>
      </w:r>
      <w:r w:rsidR="0043391E" w:rsidRPr="0044626D">
        <w:rPr>
          <w:lang w:val="fr-CA"/>
        </w:rPr>
        <w:t>.</w:t>
      </w:r>
    </w:p>
    <w:p w14:paraId="5C2DBC98" w14:textId="77777777" w:rsidR="0043391E" w:rsidRPr="0044626D" w:rsidRDefault="0043391E" w:rsidP="0043391E">
      <w:pPr>
        <w:pStyle w:val="Item"/>
        <w:rPr>
          <w:snapToGrid w:val="0"/>
          <w:lang w:val="fr-CA"/>
        </w:rPr>
      </w:pPr>
      <w:bookmarkStart w:id="33" w:name="_Toc476651585"/>
      <w:r w:rsidRPr="0044626D">
        <w:rPr>
          <w:snapToGrid w:val="0"/>
          <w:lang w:val="fr-CA"/>
        </w:rPr>
        <w:lastRenderedPageBreak/>
        <w:t>POINT 21.</w:t>
      </w:r>
      <w:r w:rsidRPr="0044626D">
        <w:rPr>
          <w:snapToGrid w:val="0"/>
          <w:lang w:val="fr-CA"/>
        </w:rPr>
        <w:tab/>
        <w:t>ADOPTION DU RAPPORT</w:t>
      </w:r>
      <w:bookmarkEnd w:id="33"/>
    </w:p>
    <w:p w14:paraId="61A8FFB7" w14:textId="3CA69EA8" w:rsidR="0043391E" w:rsidRPr="0044626D" w:rsidRDefault="0043391E" w:rsidP="0043391E">
      <w:pPr>
        <w:pStyle w:val="Para1"/>
        <w:tabs>
          <w:tab w:val="clear" w:pos="567"/>
          <w:tab w:val="clear" w:pos="2912"/>
        </w:tabs>
        <w:spacing w:line="240" w:lineRule="auto"/>
        <w:rPr>
          <w:snapToGrid w:val="0"/>
          <w:lang w:val="fr-CA"/>
        </w:rPr>
      </w:pPr>
      <w:r w:rsidRPr="0044626D">
        <w:rPr>
          <w:snapToGrid w:val="0"/>
          <w:lang w:val="fr-CA"/>
        </w:rPr>
        <w:t xml:space="preserve">Le présent rapport a été adopté à la </w:t>
      </w:r>
      <w:r w:rsidR="0044626D" w:rsidRPr="0044626D">
        <w:rPr>
          <w:lang w:val="fr-CA"/>
        </w:rPr>
        <w:t>huitième</w:t>
      </w:r>
      <w:r w:rsidRPr="0044626D">
        <w:rPr>
          <w:snapToGrid w:val="0"/>
          <w:lang w:val="fr-CA"/>
        </w:rPr>
        <w:t xml:space="preserve"> séance plénière, le</w:t>
      </w:r>
      <w:r w:rsidR="0044626D" w:rsidRPr="0044626D">
        <w:rPr>
          <w:snapToGrid w:val="0"/>
          <w:lang w:val="fr-CA"/>
        </w:rPr>
        <w:t xml:space="preserve"> 29 novembre 2018,</w:t>
      </w:r>
      <w:r w:rsidRPr="0044626D">
        <w:rPr>
          <w:snapToGrid w:val="0"/>
          <w:lang w:val="fr-CA"/>
        </w:rPr>
        <w:t xml:space="preserve"> sur la base du projet de rapport présenté par le rapporteur (CBD/NP/MOP/3/L.1), </w:t>
      </w:r>
      <w:r w:rsidRPr="0044626D">
        <w:rPr>
          <w:lang w:val="fr-CA"/>
        </w:rPr>
        <w:t>étant entendu que le rapporteur serait chargé de sa finalisation</w:t>
      </w:r>
      <w:r w:rsidRPr="0044626D">
        <w:rPr>
          <w:snapToGrid w:val="0"/>
          <w:lang w:val="fr-CA"/>
        </w:rPr>
        <w:t xml:space="preserve">. </w:t>
      </w:r>
    </w:p>
    <w:p w14:paraId="2B66E9EC" w14:textId="77777777" w:rsidR="0043391E" w:rsidRPr="0044626D" w:rsidRDefault="0043391E" w:rsidP="0043391E">
      <w:pPr>
        <w:pStyle w:val="Item"/>
        <w:rPr>
          <w:snapToGrid w:val="0"/>
          <w:lang w:val="fr-CA"/>
        </w:rPr>
      </w:pPr>
      <w:bookmarkStart w:id="34" w:name="_Toc476651586"/>
      <w:r w:rsidRPr="0044626D">
        <w:rPr>
          <w:snapToGrid w:val="0"/>
          <w:lang w:val="fr-CA"/>
        </w:rPr>
        <w:t>POINT 22.</w:t>
      </w:r>
      <w:r w:rsidRPr="0044626D">
        <w:rPr>
          <w:snapToGrid w:val="0"/>
          <w:lang w:val="fr-CA"/>
        </w:rPr>
        <w:tab/>
        <w:t>CLÔTURE DE LA RÉUNION</w:t>
      </w:r>
      <w:bookmarkEnd w:id="34"/>
    </w:p>
    <w:p w14:paraId="0F04B9E4" w14:textId="1C8C5A11" w:rsidR="000B093B" w:rsidRPr="0044626D" w:rsidRDefault="0043391E" w:rsidP="0043391E">
      <w:pPr>
        <w:pStyle w:val="Para1"/>
        <w:tabs>
          <w:tab w:val="clear" w:pos="567"/>
          <w:tab w:val="clear" w:pos="2912"/>
        </w:tabs>
        <w:spacing w:line="240" w:lineRule="auto"/>
        <w:rPr>
          <w:lang w:val="fr-CA"/>
        </w:rPr>
      </w:pPr>
      <w:r w:rsidRPr="0044626D">
        <w:rPr>
          <w:lang w:val="fr-CA"/>
        </w:rPr>
        <w:t xml:space="preserve">La présidente a déclaré la troisième réunion des Parties siégeant en tant que réunion des Parties au Protocole de Nagoya Protocol close à </w:t>
      </w:r>
      <w:r w:rsidR="0044626D" w:rsidRPr="0044626D">
        <w:rPr>
          <w:lang w:val="fr-CA"/>
        </w:rPr>
        <w:t xml:space="preserve">21 h, </w:t>
      </w:r>
      <w:r w:rsidRPr="0044626D">
        <w:rPr>
          <w:lang w:val="fr-CA"/>
        </w:rPr>
        <w:t xml:space="preserve">le </w:t>
      </w:r>
      <w:r w:rsidR="0044626D" w:rsidRPr="0044626D">
        <w:rPr>
          <w:lang w:val="fr-CA"/>
        </w:rPr>
        <w:t>29 novembre 2018</w:t>
      </w:r>
      <w:r w:rsidR="000B093B" w:rsidRPr="0044626D">
        <w:rPr>
          <w:lang w:val="fr-CA"/>
        </w:rPr>
        <w:t>.</w:t>
      </w:r>
    </w:p>
    <w:p w14:paraId="435C2044" w14:textId="77777777" w:rsidR="00EF311C" w:rsidRPr="00341A72" w:rsidRDefault="00C04B67" w:rsidP="000C6220">
      <w:pPr>
        <w:suppressLineNumbers/>
        <w:suppressAutoHyphens/>
        <w:kinsoku w:val="0"/>
        <w:overflowPunct w:val="0"/>
        <w:autoSpaceDE w:val="0"/>
        <w:autoSpaceDN w:val="0"/>
        <w:spacing w:before="120" w:line="240" w:lineRule="auto"/>
        <w:jc w:val="center"/>
        <w:rPr>
          <w:snapToGrid w:val="0"/>
          <w:kern w:val="22"/>
          <w:szCs w:val="22"/>
        </w:rPr>
      </w:pPr>
      <w:r w:rsidRPr="00EE0850">
        <w:rPr>
          <w:snapToGrid w:val="0"/>
          <w:kern w:val="22"/>
          <w:szCs w:val="22"/>
        </w:rPr>
        <w:t>__________</w:t>
      </w:r>
    </w:p>
    <w:sectPr w:rsidR="00EF311C" w:rsidRPr="00341A72" w:rsidSect="000C6220">
      <w:type w:val="continuous"/>
      <w:pgSz w:w="12242" w:h="15842" w:code="1"/>
      <w:pgMar w:top="1138" w:right="1138" w:bottom="1022" w:left="1138" w:header="567"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F4188" w14:textId="77777777" w:rsidR="00B77ED6" w:rsidRDefault="00B77ED6">
      <w:r>
        <w:separator/>
      </w:r>
    </w:p>
  </w:endnote>
  <w:endnote w:type="continuationSeparator" w:id="0">
    <w:p w14:paraId="5204B562" w14:textId="77777777" w:rsidR="00B77ED6" w:rsidRDefault="00B7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Times New Roman Bold">
    <w:altName w:val="Time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11334" w14:textId="77777777" w:rsidR="00E6278A" w:rsidRDefault="00E6278A" w:rsidP="000C6220">
    <w:pPr>
      <w:pStyle w:val="Pieddepage"/>
      <w:spacing w:after="0" w:line="240" w:lineRule="auto"/>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34C16" w14:textId="77777777" w:rsidR="00E6278A" w:rsidRDefault="00E6278A" w:rsidP="000C6220">
    <w:pPr>
      <w:pStyle w:val="Pieddepage"/>
      <w:spacing w:after="0"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ED4F3" w14:textId="77777777" w:rsidR="00B77ED6" w:rsidRDefault="00B77ED6">
      <w:r>
        <w:separator/>
      </w:r>
    </w:p>
  </w:footnote>
  <w:footnote w:type="continuationSeparator" w:id="0">
    <w:p w14:paraId="28DF0478" w14:textId="77777777" w:rsidR="00B77ED6" w:rsidRDefault="00B77ED6">
      <w:r>
        <w:continuationSeparator/>
      </w:r>
    </w:p>
  </w:footnote>
  <w:footnote w:id="1">
    <w:p w14:paraId="7499E134" w14:textId="5A2797CB" w:rsidR="00E6278A" w:rsidRPr="009A54B7" w:rsidRDefault="00E6278A" w:rsidP="0045416C">
      <w:pPr>
        <w:pStyle w:val="Notedebasdepage"/>
        <w:suppressLineNumbers/>
        <w:suppressAutoHyphens/>
        <w:ind w:firstLine="0"/>
        <w:jc w:val="left"/>
        <w:rPr>
          <w:kern w:val="18"/>
          <w:szCs w:val="18"/>
          <w:lang w:val="fr-CA"/>
        </w:rPr>
      </w:pPr>
      <w:r w:rsidRPr="003B09C1">
        <w:rPr>
          <w:rStyle w:val="Appelnotedebasdep"/>
          <w:kern w:val="18"/>
          <w:szCs w:val="18"/>
          <w:u w:val="none"/>
          <w:vertAlign w:val="superscript"/>
        </w:rPr>
        <w:footnoteRef/>
      </w:r>
      <w:r w:rsidRPr="003B09C1">
        <w:rPr>
          <w:kern w:val="18"/>
          <w:szCs w:val="18"/>
          <w:vertAlign w:val="superscript"/>
          <w:lang w:val="fr-CA"/>
        </w:rPr>
        <w:t xml:space="preserve"> </w:t>
      </w:r>
      <w:r w:rsidRPr="009A54B7">
        <w:rPr>
          <w:kern w:val="18"/>
          <w:szCs w:val="18"/>
          <w:lang w:val="fr-CA"/>
        </w:rPr>
        <w:t>Ceux-ci peuvent comprendre des protocol</w:t>
      </w:r>
      <w:r>
        <w:rPr>
          <w:kern w:val="18"/>
          <w:szCs w:val="18"/>
          <w:lang w:val="fr-CA"/>
        </w:rPr>
        <w:t>e</w:t>
      </w:r>
      <w:r w:rsidRPr="009A54B7">
        <w:rPr>
          <w:kern w:val="18"/>
          <w:szCs w:val="18"/>
          <w:lang w:val="fr-CA"/>
        </w:rPr>
        <w:t>s bioculturels communautaires.</w:t>
      </w:r>
    </w:p>
  </w:footnote>
  <w:footnote w:id="2">
    <w:p w14:paraId="4E616EB1" w14:textId="77777777" w:rsidR="00E6278A" w:rsidRPr="004C01A3" w:rsidRDefault="00E6278A" w:rsidP="0045416C">
      <w:pPr>
        <w:pStyle w:val="Notedebasdepage"/>
        <w:ind w:firstLine="0"/>
        <w:jc w:val="left"/>
        <w:rPr>
          <w:kern w:val="18"/>
          <w:szCs w:val="18"/>
          <w:lang w:val="fr-CA"/>
        </w:rPr>
      </w:pPr>
      <w:r w:rsidRPr="003B09C1">
        <w:rPr>
          <w:rStyle w:val="Appelnotedebasdep"/>
          <w:rFonts w:eastAsiaTheme="majorEastAsia"/>
          <w:kern w:val="18"/>
          <w:szCs w:val="18"/>
          <w:u w:val="none"/>
          <w:vertAlign w:val="superscript"/>
        </w:rPr>
        <w:footnoteRef/>
      </w:r>
      <w:r w:rsidRPr="004C01A3">
        <w:rPr>
          <w:kern w:val="18"/>
          <w:szCs w:val="18"/>
          <w:lang w:val="fr-CA"/>
        </w:rPr>
        <w:t xml:space="preserve"> CBD/NP/MOP/3/3.</w:t>
      </w:r>
    </w:p>
  </w:footnote>
  <w:footnote w:id="3">
    <w:p w14:paraId="0AE05E3C" w14:textId="77777777" w:rsidR="00E6278A" w:rsidRPr="00B7214D" w:rsidRDefault="00E6278A" w:rsidP="0045416C">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Pr>
          <w:snapToGrid w:val="0"/>
          <w:kern w:val="18"/>
          <w:szCs w:val="18"/>
          <w:vertAlign w:val="superscript"/>
        </w:rPr>
        <w:footnoteRef/>
      </w:r>
      <w:r w:rsidRPr="00B7214D">
        <w:rPr>
          <w:snapToGrid w:val="0"/>
          <w:kern w:val="18"/>
          <w:szCs w:val="18"/>
          <w:lang w:val="fr-CA"/>
        </w:rPr>
        <w:t xml:space="preserve"> Par exemple, « Lignes directrices pratiques de l</w:t>
      </w:r>
      <w:r>
        <w:rPr>
          <w:snapToGrid w:val="0"/>
          <w:kern w:val="18"/>
          <w:szCs w:val="18"/>
          <w:lang w:val="fr-CA"/>
        </w:rPr>
        <w:t>’</w:t>
      </w:r>
      <w:r w:rsidRPr="00B7214D">
        <w:rPr>
          <w:snapToGrid w:val="0"/>
          <w:kern w:val="18"/>
          <w:szCs w:val="18"/>
          <w:lang w:val="fr-CA"/>
        </w:rPr>
        <w:t>Union Africaine pour la mise en œuvre coordonnée du Protocole de Nagoya en Afrique » (Union africaine, 2015).</w:t>
      </w:r>
    </w:p>
  </w:footnote>
  <w:footnote w:id="4">
    <w:p w14:paraId="5C8BE6C8" w14:textId="77777777" w:rsidR="00E6278A" w:rsidRPr="00B7214D" w:rsidRDefault="00E6278A" w:rsidP="0045416C">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335607">
        <w:rPr>
          <w:rStyle w:val="Appelnotedebasdep"/>
          <w:rFonts w:eastAsiaTheme="majorEastAsia"/>
          <w:snapToGrid w:val="0"/>
          <w:kern w:val="18"/>
          <w:szCs w:val="18"/>
          <w:u w:val="none"/>
          <w:vertAlign w:val="superscript"/>
        </w:rPr>
        <w:footnoteRef/>
      </w:r>
      <w:r w:rsidRPr="00B7214D">
        <w:rPr>
          <w:snapToGrid w:val="0"/>
          <w:kern w:val="18"/>
          <w:szCs w:val="18"/>
          <w:lang w:val="fr-CA"/>
        </w:rPr>
        <w:t xml:space="preserve"> Par exemple « Compilation de vues reçues sur l</w:t>
      </w:r>
      <w:r>
        <w:rPr>
          <w:snapToGrid w:val="0"/>
          <w:kern w:val="18"/>
          <w:szCs w:val="18"/>
          <w:lang w:val="fr-CA"/>
        </w:rPr>
        <w:t>’</w:t>
      </w:r>
      <w:r w:rsidRPr="00B7214D">
        <w:rPr>
          <w:snapToGrid w:val="0"/>
          <w:kern w:val="18"/>
          <w:szCs w:val="18"/>
          <w:lang w:val="fr-CA"/>
        </w:rPr>
        <w:t xml:space="preserve">utilisation du terme </w:t>
      </w:r>
      <w:r>
        <w:rPr>
          <w:snapToGrid w:val="0"/>
          <w:kern w:val="18"/>
          <w:szCs w:val="18"/>
          <w:lang w:val="fr-CA"/>
        </w:rPr>
        <w:t>‘</w:t>
      </w:r>
      <w:r w:rsidRPr="00B7214D">
        <w:rPr>
          <w:snapToGrid w:val="0"/>
          <w:kern w:val="18"/>
          <w:szCs w:val="18"/>
          <w:lang w:val="fr-CA"/>
        </w:rPr>
        <w:t>peuples autochtones et communautés locales</w:t>
      </w:r>
      <w:r>
        <w:rPr>
          <w:snapToGrid w:val="0"/>
          <w:kern w:val="18"/>
          <w:szCs w:val="18"/>
          <w:lang w:val="fr-CA"/>
        </w:rPr>
        <w:t>’</w:t>
      </w:r>
      <w:r w:rsidRPr="00B7214D">
        <w:rPr>
          <w:snapToGrid w:val="0"/>
          <w:kern w:val="18"/>
          <w:szCs w:val="18"/>
          <w:lang w:val="fr-CA"/>
        </w:rPr>
        <w:t> » (en anglais) (</w:t>
      </w:r>
      <w:hyperlink r:id="rId1" w:history="1">
        <w:r w:rsidRPr="00B7214D">
          <w:rPr>
            <w:rStyle w:val="Lienhypertexte"/>
            <w:snapToGrid w:val="0"/>
            <w:kern w:val="18"/>
            <w:szCs w:val="18"/>
            <w:lang w:val="fr-CA"/>
          </w:rPr>
          <w:t>UNEP/CBD/WG8J/8/INF/10/Add.1</w:t>
        </w:r>
      </w:hyperlink>
      <w:r w:rsidRPr="00B7214D">
        <w:rPr>
          <w:snapToGrid w:val="0"/>
          <w:kern w:val="18"/>
          <w:szCs w:val="18"/>
          <w:lang w:val="fr-CA"/>
        </w:rPr>
        <w:t>).</w:t>
      </w:r>
    </w:p>
  </w:footnote>
  <w:footnote w:id="5">
    <w:p w14:paraId="7E216F54" w14:textId="77777777" w:rsidR="00E6278A" w:rsidRPr="00B7214D" w:rsidRDefault="00E6278A" w:rsidP="0045416C">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335607">
        <w:rPr>
          <w:rStyle w:val="Appelnotedebasdep"/>
          <w:rFonts w:eastAsiaTheme="majorEastAsia"/>
          <w:snapToGrid w:val="0"/>
          <w:kern w:val="18"/>
          <w:szCs w:val="18"/>
          <w:u w:val="none"/>
          <w:vertAlign w:val="superscript"/>
        </w:rPr>
        <w:footnoteRef/>
      </w:r>
      <w:r w:rsidRPr="00B7214D">
        <w:rPr>
          <w:snapToGrid w:val="0"/>
          <w:kern w:val="18"/>
          <w:szCs w:val="18"/>
          <w:lang w:val="fr-CA"/>
        </w:rPr>
        <w:t xml:space="preserve"> Par exemple « Éléments relatifs à l</w:t>
      </w:r>
      <w:r>
        <w:rPr>
          <w:snapToGrid w:val="0"/>
          <w:kern w:val="18"/>
          <w:szCs w:val="18"/>
          <w:lang w:val="fr-CA"/>
        </w:rPr>
        <w:t>’</w:t>
      </w:r>
      <w:r w:rsidRPr="00B7214D">
        <w:rPr>
          <w:snapToGrid w:val="0"/>
          <w:kern w:val="18"/>
          <w:szCs w:val="18"/>
          <w:lang w:val="fr-CA"/>
        </w:rPr>
        <w:t>accès et au partage des avantages : Éléments visant à faciliter la concrétisation au niveau national de l</w:t>
      </w:r>
      <w:r>
        <w:rPr>
          <w:snapToGrid w:val="0"/>
          <w:kern w:val="18"/>
          <w:szCs w:val="18"/>
          <w:lang w:val="fr-CA"/>
        </w:rPr>
        <w:t>’</w:t>
      </w:r>
      <w:r w:rsidRPr="00B7214D">
        <w:rPr>
          <w:snapToGrid w:val="0"/>
          <w:kern w:val="18"/>
          <w:szCs w:val="18"/>
          <w:lang w:val="fr-CA"/>
        </w:rPr>
        <w:t>accès et du partage des avantages dans les différents sous-secteurs des ressources génétiques pour l</w:t>
      </w:r>
      <w:r>
        <w:rPr>
          <w:snapToGrid w:val="0"/>
          <w:kern w:val="18"/>
          <w:szCs w:val="18"/>
          <w:lang w:val="fr-CA"/>
        </w:rPr>
        <w:t>’</w:t>
      </w:r>
      <w:r w:rsidRPr="00B7214D">
        <w:rPr>
          <w:snapToGrid w:val="0"/>
          <w:kern w:val="18"/>
          <w:szCs w:val="18"/>
          <w:lang w:val="fr-CA"/>
        </w:rPr>
        <w:t>alimentation et l</w:t>
      </w:r>
      <w:r>
        <w:rPr>
          <w:snapToGrid w:val="0"/>
          <w:kern w:val="18"/>
          <w:szCs w:val="18"/>
          <w:lang w:val="fr-CA"/>
        </w:rPr>
        <w:t>’</w:t>
      </w:r>
      <w:r w:rsidRPr="00B7214D">
        <w:rPr>
          <w:snapToGrid w:val="0"/>
          <w:kern w:val="18"/>
          <w:szCs w:val="18"/>
          <w:lang w:val="fr-CA"/>
        </w:rPr>
        <w:t>agriculture » (Organisation des Nations Unies pour l</w:t>
      </w:r>
      <w:r>
        <w:rPr>
          <w:snapToGrid w:val="0"/>
          <w:kern w:val="18"/>
          <w:szCs w:val="18"/>
          <w:lang w:val="fr-CA"/>
        </w:rPr>
        <w:t>’</w:t>
      </w:r>
      <w:r w:rsidRPr="00B7214D">
        <w:rPr>
          <w:snapToGrid w:val="0"/>
          <w:kern w:val="18"/>
          <w:szCs w:val="18"/>
          <w:lang w:val="fr-CA"/>
        </w:rPr>
        <w:t>alimentation et l</w:t>
      </w:r>
      <w:r>
        <w:rPr>
          <w:snapToGrid w:val="0"/>
          <w:kern w:val="18"/>
          <w:szCs w:val="18"/>
          <w:lang w:val="fr-CA"/>
        </w:rPr>
        <w:t>’</w:t>
      </w:r>
      <w:r w:rsidRPr="00B7214D">
        <w:rPr>
          <w:snapToGrid w:val="0"/>
          <w:kern w:val="18"/>
          <w:szCs w:val="18"/>
          <w:lang w:val="fr-CA"/>
        </w:rPr>
        <w:t>agriculture, 2016).</w:t>
      </w:r>
    </w:p>
  </w:footnote>
  <w:footnote w:id="6">
    <w:p w14:paraId="63B8E033" w14:textId="77777777" w:rsidR="00E6278A" w:rsidRPr="00B7214D" w:rsidRDefault="00E6278A" w:rsidP="0045416C">
      <w:pPr>
        <w:pStyle w:val="Notedebasdepage"/>
        <w:suppressLineNumbers/>
        <w:suppressAutoHyphens/>
        <w:kinsoku w:val="0"/>
        <w:overflowPunct w:val="0"/>
        <w:autoSpaceDE w:val="0"/>
        <w:autoSpaceDN w:val="0"/>
        <w:adjustRightInd w:val="0"/>
        <w:snapToGrid w:val="0"/>
        <w:ind w:firstLine="0"/>
        <w:jc w:val="left"/>
        <w:rPr>
          <w:snapToGrid w:val="0"/>
          <w:kern w:val="18"/>
          <w:szCs w:val="18"/>
          <w:lang w:val="fr-CA"/>
        </w:rPr>
      </w:pPr>
      <w:r w:rsidRPr="00335607">
        <w:rPr>
          <w:rStyle w:val="Appelnotedebasdep"/>
          <w:rFonts w:eastAsiaTheme="majorEastAsia"/>
          <w:snapToGrid w:val="0"/>
          <w:kern w:val="18"/>
          <w:szCs w:val="18"/>
          <w:u w:val="none"/>
          <w:vertAlign w:val="superscript"/>
        </w:rPr>
        <w:footnoteRef/>
      </w:r>
      <w:r w:rsidRPr="00B7214D">
        <w:rPr>
          <w:snapToGrid w:val="0"/>
          <w:kern w:val="18"/>
          <w:szCs w:val="18"/>
          <w:lang w:val="fr-CA"/>
        </w:rPr>
        <w:t xml:space="preserve"> Les Lignes directrices </w:t>
      </w:r>
      <w:r w:rsidRPr="00B7214D">
        <w:rPr>
          <w:noProof/>
          <w:snapToGrid w:val="0"/>
          <w:kern w:val="18"/>
          <w:szCs w:val="18"/>
          <w:lang w:val="fr-CA"/>
        </w:rPr>
        <w:t>facultatives Mo</w:t>
      </w:r>
      <w:r>
        <w:rPr>
          <w:noProof/>
          <w:snapToGrid w:val="0"/>
          <w:kern w:val="18"/>
          <w:szCs w:val="18"/>
          <w:lang w:val="fr-CA"/>
        </w:rPr>
        <w:t>’</w:t>
      </w:r>
      <w:r w:rsidRPr="00B7214D">
        <w:rPr>
          <w:noProof/>
          <w:snapToGrid w:val="0"/>
          <w:kern w:val="18"/>
          <w:szCs w:val="18"/>
          <w:lang w:val="fr-CA"/>
        </w:rPr>
        <w:t>otz kuxtal pour l</w:t>
      </w:r>
      <w:r>
        <w:rPr>
          <w:noProof/>
          <w:snapToGrid w:val="0"/>
          <w:kern w:val="18"/>
          <w:szCs w:val="18"/>
          <w:lang w:val="fr-CA"/>
        </w:rPr>
        <w:t>’</w:t>
      </w:r>
      <w:r w:rsidRPr="00B7214D">
        <w:rPr>
          <w:noProof/>
          <w:snapToGrid w:val="0"/>
          <w:kern w:val="18"/>
          <w:szCs w:val="18"/>
          <w:lang w:val="fr-CA"/>
        </w:rPr>
        <w:t>élaboration</w:t>
      </w:r>
      <w:r w:rsidRPr="00B7214D">
        <w:rPr>
          <w:snapToGrid w:val="0"/>
          <w:kern w:val="18"/>
          <w:szCs w:val="18"/>
          <w:lang w:val="fr-CA"/>
        </w:rPr>
        <w:t xml:space="preserve"> de mécanismes, d</w:t>
      </w:r>
      <w:r>
        <w:rPr>
          <w:snapToGrid w:val="0"/>
          <w:kern w:val="18"/>
          <w:szCs w:val="18"/>
          <w:lang w:val="fr-CA"/>
        </w:rPr>
        <w:t>’</w:t>
      </w:r>
      <w:r w:rsidRPr="00B7214D">
        <w:rPr>
          <w:snapToGrid w:val="0"/>
          <w:kern w:val="18"/>
          <w:szCs w:val="18"/>
          <w:lang w:val="fr-CA"/>
        </w:rPr>
        <w:t>une législation ou d</w:t>
      </w:r>
      <w:r>
        <w:rPr>
          <w:snapToGrid w:val="0"/>
          <w:kern w:val="18"/>
          <w:szCs w:val="18"/>
          <w:lang w:val="fr-CA"/>
        </w:rPr>
        <w:t>’</w:t>
      </w:r>
      <w:r w:rsidRPr="00B7214D">
        <w:rPr>
          <w:snapToGrid w:val="0"/>
          <w:kern w:val="18"/>
          <w:szCs w:val="18"/>
          <w:lang w:val="fr-CA"/>
        </w:rPr>
        <w:t>autres initiatives appropriées pour assurer le « consentement préalable donné en connaissance de cause », le « consentement préalable donné librement et en connaissance de cause » ou « l</w:t>
      </w:r>
      <w:r>
        <w:rPr>
          <w:snapToGrid w:val="0"/>
          <w:kern w:val="18"/>
          <w:szCs w:val="18"/>
          <w:lang w:val="fr-CA"/>
        </w:rPr>
        <w:t>’</w:t>
      </w:r>
      <w:r w:rsidRPr="00B7214D">
        <w:rPr>
          <w:snapToGrid w:val="0"/>
          <w:kern w:val="18"/>
          <w:szCs w:val="18"/>
          <w:lang w:val="fr-CA"/>
        </w:rPr>
        <w:t>approbation et la participation », selon les circonstances nationales, des peuples autochtones et des communautés locales pour l</w:t>
      </w:r>
      <w:r>
        <w:rPr>
          <w:snapToGrid w:val="0"/>
          <w:kern w:val="18"/>
          <w:szCs w:val="18"/>
          <w:lang w:val="fr-CA"/>
        </w:rPr>
        <w:t>’</w:t>
      </w:r>
      <w:r w:rsidRPr="00B7214D">
        <w:rPr>
          <w:snapToGrid w:val="0"/>
          <w:kern w:val="18"/>
          <w:szCs w:val="18"/>
          <w:lang w:val="fr-CA"/>
        </w:rPr>
        <w:t>accès à leurs connaissances, innovations et pratiques, pour le partage juste et équitable des avantages découlant de l</w:t>
      </w:r>
      <w:r>
        <w:rPr>
          <w:snapToGrid w:val="0"/>
          <w:kern w:val="18"/>
          <w:szCs w:val="18"/>
          <w:lang w:val="fr-CA"/>
        </w:rPr>
        <w:t>’</w:t>
      </w:r>
      <w:r w:rsidRPr="00B7214D">
        <w:rPr>
          <w:snapToGrid w:val="0"/>
          <w:kern w:val="18"/>
          <w:szCs w:val="18"/>
          <w:lang w:val="fr-CA"/>
        </w:rPr>
        <w:t>utilisation de leurs connaissances, innovations et pratiques présentant un intérêt pour la conservation et l</w:t>
      </w:r>
      <w:r>
        <w:rPr>
          <w:snapToGrid w:val="0"/>
          <w:kern w:val="18"/>
          <w:szCs w:val="18"/>
          <w:lang w:val="fr-CA"/>
        </w:rPr>
        <w:t>’</w:t>
      </w:r>
      <w:r w:rsidRPr="00B7214D">
        <w:rPr>
          <w:snapToGrid w:val="0"/>
          <w:kern w:val="18"/>
          <w:szCs w:val="18"/>
          <w:lang w:val="fr-CA"/>
        </w:rPr>
        <w:t>utilisation durable de la diversité biologique, et pour le signalement et la prévention d</w:t>
      </w:r>
      <w:r>
        <w:rPr>
          <w:snapToGrid w:val="0"/>
          <w:kern w:val="18"/>
          <w:szCs w:val="18"/>
          <w:lang w:val="fr-CA"/>
        </w:rPr>
        <w:t>’</w:t>
      </w:r>
      <w:r w:rsidRPr="00B7214D">
        <w:rPr>
          <w:snapToGrid w:val="0"/>
          <w:kern w:val="18"/>
          <w:szCs w:val="18"/>
          <w:lang w:val="fr-CA"/>
        </w:rPr>
        <w:t>une appropriation illicite des connaissances traditionnelles.</w:t>
      </w:r>
    </w:p>
  </w:footnote>
  <w:footnote w:id="7">
    <w:p w14:paraId="33B81F8E" w14:textId="77777777" w:rsidR="00E6278A" w:rsidRPr="00852E3F" w:rsidRDefault="00E6278A" w:rsidP="00AC0070">
      <w:pPr>
        <w:pStyle w:val="Notedebasdepage"/>
        <w:keepLines w:val="0"/>
        <w:ind w:firstLine="0"/>
        <w:jc w:val="left"/>
        <w:rPr>
          <w:kern w:val="18"/>
          <w:lang w:val="fr-CA"/>
        </w:rPr>
      </w:pPr>
      <w:r w:rsidRPr="00AC0070">
        <w:rPr>
          <w:rStyle w:val="Appelnotedebasdep"/>
          <w:rFonts w:eastAsiaTheme="majorEastAsia"/>
          <w:kern w:val="18"/>
          <w:u w:val="none"/>
          <w:vertAlign w:val="superscript"/>
          <w:lang w:val="fr-FR"/>
        </w:rPr>
        <w:footnoteRef/>
      </w:r>
      <w:r w:rsidRPr="00852E3F">
        <w:rPr>
          <w:kern w:val="18"/>
          <w:vertAlign w:val="superscript"/>
          <w:lang w:val="fr-CA"/>
        </w:rPr>
        <w:t xml:space="preserve"> </w:t>
      </w:r>
      <w:r w:rsidRPr="00852E3F">
        <w:rPr>
          <w:kern w:val="18"/>
          <w:lang w:val="fr-CA"/>
        </w:rPr>
        <w:t>CBD/NP/MOP/3/2.</w:t>
      </w:r>
    </w:p>
  </w:footnote>
  <w:footnote w:id="8">
    <w:p w14:paraId="045E8258" w14:textId="77777777" w:rsidR="00E6278A" w:rsidRPr="00852E3F" w:rsidRDefault="00E6278A" w:rsidP="00CB424B">
      <w:pPr>
        <w:pStyle w:val="Notedebasdepage"/>
        <w:ind w:firstLine="0"/>
        <w:rPr>
          <w:szCs w:val="18"/>
          <w:lang w:val="fr-CA"/>
        </w:rPr>
      </w:pPr>
      <w:r w:rsidRPr="00CB424B">
        <w:rPr>
          <w:rStyle w:val="Appelnotedebasdep"/>
          <w:rFonts w:eastAsiaTheme="majorEastAsia"/>
          <w:szCs w:val="18"/>
          <w:u w:val="none"/>
          <w:vertAlign w:val="superscript"/>
          <w:lang w:val="fr-FR"/>
        </w:rPr>
        <w:footnoteRef/>
      </w:r>
      <w:r w:rsidRPr="00852E3F">
        <w:rPr>
          <w:szCs w:val="18"/>
          <w:lang w:val="fr-CA"/>
        </w:rPr>
        <w:t xml:space="preserve"> Voir CBD/NP/MOP/3/8.</w:t>
      </w:r>
    </w:p>
  </w:footnote>
  <w:footnote w:id="9">
    <w:p w14:paraId="2BA5B6C4" w14:textId="77777777" w:rsidR="00E6278A" w:rsidRPr="00DE7EF7" w:rsidRDefault="00E6278A" w:rsidP="0094661C">
      <w:pPr>
        <w:pStyle w:val="Notedebasdepage"/>
        <w:kinsoku w:val="0"/>
        <w:overflowPunct w:val="0"/>
        <w:autoSpaceDE w:val="0"/>
        <w:autoSpaceDN w:val="0"/>
        <w:ind w:firstLine="0"/>
        <w:rPr>
          <w:lang w:val="fr-CA"/>
        </w:rPr>
      </w:pPr>
      <w:r w:rsidRPr="0094661C">
        <w:rPr>
          <w:rStyle w:val="Appelnotedebasdep"/>
          <w:rFonts w:eastAsiaTheme="majorEastAsia"/>
          <w:u w:val="none"/>
          <w:vertAlign w:val="superscript"/>
        </w:rPr>
        <w:footnoteRef/>
      </w:r>
      <w:r w:rsidRPr="00DE7EF7">
        <w:rPr>
          <w:lang w:val="fr-CA"/>
        </w:rPr>
        <w:t xml:space="preserve"> </w:t>
      </w:r>
      <w:r>
        <w:rPr>
          <w:lang w:val="fr-CA"/>
        </w:rPr>
        <w:t>Voir la r</w:t>
      </w:r>
      <w:r w:rsidRPr="00DE7EF7">
        <w:rPr>
          <w:lang w:val="fr-CA"/>
        </w:rPr>
        <w:t xml:space="preserve">ésolution </w:t>
      </w:r>
      <w:hyperlink r:id="rId2" w:history="1">
        <w:r w:rsidRPr="009D22EE">
          <w:rPr>
            <w:rStyle w:val="Lienhypertexte"/>
            <w:lang w:val="fr-CA"/>
          </w:rPr>
          <w:t>70/1</w:t>
        </w:r>
      </w:hyperlink>
      <w:r w:rsidRPr="00DE7EF7">
        <w:rPr>
          <w:lang w:val="fr-CA"/>
        </w:rPr>
        <w:t xml:space="preserve"> de l'Assemblée générale des Nations Unies du 25 septembre 2015.</w:t>
      </w:r>
    </w:p>
  </w:footnote>
  <w:footnote w:id="10">
    <w:p w14:paraId="5FE6CE4B" w14:textId="77777777" w:rsidR="00E6278A" w:rsidRPr="002E7325" w:rsidRDefault="00E6278A" w:rsidP="0094661C">
      <w:pPr>
        <w:pStyle w:val="Notedebasdepage"/>
        <w:suppressLineNumbers/>
        <w:suppressAutoHyphens/>
        <w:ind w:firstLine="0"/>
        <w:jc w:val="left"/>
        <w:rPr>
          <w:kern w:val="18"/>
          <w:szCs w:val="18"/>
        </w:rPr>
      </w:pPr>
      <w:r w:rsidRPr="00755500">
        <w:rPr>
          <w:rStyle w:val="Appelnotedebasdep"/>
          <w:rFonts w:eastAsiaTheme="majorEastAsia"/>
          <w:kern w:val="18"/>
          <w:szCs w:val="18"/>
          <w:u w:val="none"/>
          <w:vertAlign w:val="superscript"/>
        </w:rPr>
        <w:footnoteRef/>
      </w:r>
      <w:r>
        <w:rPr>
          <w:kern w:val="18"/>
          <w:szCs w:val="18"/>
        </w:rPr>
        <w:t xml:space="preserve"> </w:t>
      </w:r>
      <w:hyperlink r:id="rId3" w:history="1">
        <w:r w:rsidRPr="003D4632">
          <w:rPr>
            <w:rStyle w:val="Lienhypertexte"/>
            <w:kern w:val="18"/>
            <w:szCs w:val="18"/>
          </w:rPr>
          <w:t>CBD/NP/MOP/3/4</w:t>
        </w:r>
      </w:hyperlink>
      <w:r>
        <w:rPr>
          <w:kern w:val="18"/>
          <w:szCs w:val="18"/>
        </w:rPr>
        <w:t>.</w:t>
      </w:r>
    </w:p>
  </w:footnote>
  <w:footnote w:id="11">
    <w:p w14:paraId="3484F122" w14:textId="77777777" w:rsidR="00E6278A" w:rsidRPr="002E7325" w:rsidRDefault="00E6278A" w:rsidP="0094661C">
      <w:pPr>
        <w:pStyle w:val="Notedebasdepage"/>
        <w:suppressLineNumbers/>
        <w:suppressAutoHyphens/>
        <w:ind w:firstLine="0"/>
        <w:jc w:val="left"/>
        <w:rPr>
          <w:kern w:val="18"/>
          <w:szCs w:val="18"/>
        </w:rPr>
      </w:pPr>
      <w:r w:rsidRPr="00755500">
        <w:rPr>
          <w:rStyle w:val="Appelnotedebasdep"/>
          <w:rFonts w:eastAsiaTheme="majorEastAsia"/>
          <w:kern w:val="18"/>
          <w:szCs w:val="18"/>
          <w:u w:val="none"/>
          <w:vertAlign w:val="superscript"/>
        </w:rPr>
        <w:footnoteRef/>
      </w:r>
      <w:r>
        <w:rPr>
          <w:kern w:val="18"/>
          <w:szCs w:val="18"/>
        </w:rPr>
        <w:t xml:space="preserve"> CBD/ABS/CB-IAC/2018/1/4</w:t>
      </w:r>
    </w:p>
  </w:footnote>
  <w:footnote w:id="12">
    <w:p w14:paraId="6B236FAE" w14:textId="77777777" w:rsidR="00E6278A" w:rsidRPr="007D3061" w:rsidRDefault="00E6278A" w:rsidP="0094661C">
      <w:pPr>
        <w:pStyle w:val="Notedebasdepage"/>
        <w:suppressLineNumbers/>
        <w:suppressAutoHyphens/>
        <w:ind w:firstLine="0"/>
        <w:jc w:val="left"/>
        <w:rPr>
          <w:kern w:val="18"/>
          <w:szCs w:val="18"/>
          <w:lang w:val="fr-CA"/>
        </w:rPr>
      </w:pPr>
      <w:r w:rsidRPr="00755500">
        <w:rPr>
          <w:rStyle w:val="Appelnotedebasdep"/>
          <w:rFonts w:eastAsiaTheme="majorEastAsia"/>
          <w:kern w:val="18"/>
          <w:szCs w:val="18"/>
          <w:u w:val="none"/>
          <w:vertAlign w:val="superscript"/>
        </w:rPr>
        <w:footnoteRef/>
      </w:r>
      <w:r w:rsidRPr="007D3061">
        <w:rPr>
          <w:kern w:val="18"/>
          <w:szCs w:val="18"/>
          <w:lang w:val="fr-CA"/>
        </w:rPr>
        <w:t xml:space="preserve"> Annexe I à la décision</w:t>
      </w:r>
      <w:r>
        <w:rPr>
          <w:kern w:val="18"/>
          <w:szCs w:val="18"/>
          <w:lang w:val="fr-CA"/>
        </w:rPr>
        <w:t xml:space="preserve"> NP-1/8</w:t>
      </w:r>
    </w:p>
  </w:footnote>
  <w:footnote w:id="13">
    <w:p w14:paraId="4980473E" w14:textId="77777777" w:rsidR="00E6278A" w:rsidRPr="007D3061" w:rsidRDefault="00E6278A" w:rsidP="0094661C">
      <w:pPr>
        <w:pStyle w:val="Notedebasdepage"/>
        <w:suppressLineNumbers/>
        <w:suppressAutoHyphens/>
        <w:kinsoku w:val="0"/>
        <w:overflowPunct w:val="0"/>
        <w:autoSpaceDE w:val="0"/>
        <w:autoSpaceDN w:val="0"/>
        <w:ind w:firstLine="0"/>
        <w:jc w:val="left"/>
        <w:rPr>
          <w:kern w:val="18"/>
          <w:szCs w:val="18"/>
          <w:lang w:val="fr-CA"/>
        </w:rPr>
      </w:pPr>
      <w:r w:rsidRPr="00755500">
        <w:rPr>
          <w:rStyle w:val="Appelnotedebasdep"/>
          <w:rFonts w:eastAsiaTheme="majorEastAsia"/>
          <w:kern w:val="18"/>
          <w:szCs w:val="18"/>
          <w:u w:val="none"/>
          <w:vertAlign w:val="superscript"/>
        </w:rPr>
        <w:footnoteRef/>
      </w:r>
      <w:r w:rsidRPr="007D3061">
        <w:rPr>
          <w:kern w:val="18"/>
          <w:szCs w:val="18"/>
          <w:vertAlign w:val="superscript"/>
          <w:lang w:val="fr-CA"/>
        </w:rPr>
        <w:t xml:space="preserve"> </w:t>
      </w:r>
      <w:r w:rsidRPr="007D3061">
        <w:rPr>
          <w:kern w:val="18"/>
          <w:szCs w:val="18"/>
          <w:lang w:val="fr-CA"/>
        </w:rPr>
        <w:t>CBD/COP/14/INF/10.</w:t>
      </w:r>
    </w:p>
  </w:footnote>
  <w:footnote w:id="14">
    <w:p w14:paraId="5939F80E" w14:textId="77777777" w:rsidR="00E6278A" w:rsidRPr="007D3061" w:rsidRDefault="00E6278A" w:rsidP="0094661C">
      <w:pPr>
        <w:pStyle w:val="Notedebasdepage"/>
        <w:suppressLineNumbers/>
        <w:suppressAutoHyphens/>
        <w:ind w:firstLine="0"/>
        <w:jc w:val="left"/>
        <w:rPr>
          <w:kern w:val="18"/>
          <w:szCs w:val="18"/>
          <w:lang w:val="fr-CA"/>
        </w:rPr>
      </w:pPr>
      <w:r w:rsidRPr="00755500">
        <w:rPr>
          <w:rStyle w:val="Appelnotedebasdep"/>
          <w:kern w:val="18"/>
          <w:szCs w:val="18"/>
          <w:u w:val="none"/>
          <w:vertAlign w:val="superscript"/>
        </w:rPr>
        <w:footnoteRef/>
      </w:r>
      <w:r w:rsidRPr="007D3061">
        <w:rPr>
          <w:kern w:val="18"/>
          <w:szCs w:val="18"/>
          <w:lang w:val="fr-CA"/>
        </w:rPr>
        <w:t xml:space="preserve"> Voir paragraphe 21 de l'annexe I à la décision NP-1/8.</w:t>
      </w:r>
    </w:p>
  </w:footnote>
  <w:footnote w:id="15">
    <w:p w14:paraId="1FEE0575" w14:textId="77777777" w:rsidR="00E6278A" w:rsidRPr="007D3061" w:rsidRDefault="00E6278A" w:rsidP="0094661C">
      <w:pPr>
        <w:pStyle w:val="Notedebasdepage"/>
        <w:suppressLineNumbers/>
        <w:suppressAutoHyphens/>
        <w:kinsoku w:val="0"/>
        <w:overflowPunct w:val="0"/>
        <w:autoSpaceDE w:val="0"/>
        <w:autoSpaceDN w:val="0"/>
        <w:ind w:firstLine="0"/>
        <w:jc w:val="left"/>
        <w:rPr>
          <w:kern w:val="18"/>
          <w:szCs w:val="18"/>
          <w:lang w:val="fr-CA"/>
        </w:rPr>
      </w:pPr>
      <w:r w:rsidRPr="00755500">
        <w:rPr>
          <w:rStyle w:val="Appelnotedebasdep"/>
          <w:rFonts w:eastAsiaTheme="majorEastAsia"/>
          <w:kern w:val="18"/>
          <w:szCs w:val="18"/>
          <w:u w:val="none"/>
          <w:vertAlign w:val="superscript"/>
        </w:rPr>
        <w:footnoteRef/>
      </w:r>
      <w:r w:rsidRPr="007D3061">
        <w:rPr>
          <w:kern w:val="18"/>
          <w:szCs w:val="18"/>
          <w:lang w:val="fr-CA"/>
        </w:rPr>
        <w:t xml:space="preserve"> Voir paragraphes 19 and 20 de l'annexe I à la</w:t>
      </w:r>
      <w:r>
        <w:rPr>
          <w:kern w:val="18"/>
          <w:szCs w:val="18"/>
          <w:lang w:val="fr-CA"/>
        </w:rPr>
        <w:t xml:space="preserve"> décision NP-1/8</w:t>
      </w:r>
      <w:r w:rsidRPr="007D3061">
        <w:rPr>
          <w:kern w:val="18"/>
          <w:szCs w:val="18"/>
          <w:lang w:val="fr-CA"/>
        </w:rPr>
        <w:t>.</w:t>
      </w:r>
    </w:p>
  </w:footnote>
  <w:footnote w:id="16">
    <w:p w14:paraId="09542137" w14:textId="4351360B" w:rsidR="00E6278A" w:rsidRPr="007D3061" w:rsidRDefault="00E6278A" w:rsidP="0094661C">
      <w:pPr>
        <w:pStyle w:val="Notedebasdepage"/>
        <w:suppressLineNumbers/>
        <w:suppressAutoHyphens/>
        <w:kinsoku w:val="0"/>
        <w:overflowPunct w:val="0"/>
        <w:autoSpaceDE w:val="0"/>
        <w:autoSpaceDN w:val="0"/>
        <w:ind w:firstLine="0"/>
        <w:jc w:val="left"/>
        <w:rPr>
          <w:kern w:val="18"/>
          <w:szCs w:val="18"/>
          <w:lang w:val="fr-CA"/>
        </w:rPr>
      </w:pPr>
      <w:r w:rsidRPr="00B97459">
        <w:rPr>
          <w:rStyle w:val="Appelnotedebasdep"/>
          <w:rFonts w:eastAsiaTheme="majorEastAsia"/>
          <w:kern w:val="18"/>
          <w:szCs w:val="18"/>
          <w:u w:val="none"/>
          <w:vertAlign w:val="superscript"/>
        </w:rPr>
        <w:footnoteRef/>
      </w:r>
      <w:r>
        <w:rPr>
          <w:kern w:val="18"/>
          <w:szCs w:val="18"/>
          <w:vertAlign w:val="superscript"/>
          <w:lang w:val="fr-CA"/>
        </w:rPr>
        <w:t xml:space="preserve"> </w:t>
      </w:r>
      <w:r w:rsidRPr="00B97459">
        <w:rPr>
          <w:kern w:val="18"/>
          <w:szCs w:val="18"/>
          <w:vertAlign w:val="superscript"/>
          <w:lang w:val="fr-CA"/>
        </w:rPr>
        <w:t xml:space="preserve"> </w:t>
      </w:r>
      <w:r w:rsidRPr="007D3061">
        <w:rPr>
          <w:kern w:val="18"/>
          <w:szCs w:val="18"/>
          <w:lang w:val="fr-CA"/>
        </w:rPr>
        <w:t>Voir décision NP-1/8, annexe I, appendice II.</w:t>
      </w:r>
    </w:p>
  </w:footnote>
  <w:footnote w:id="17">
    <w:p w14:paraId="6EB1DD6D" w14:textId="77777777" w:rsidR="00E6278A" w:rsidRPr="00970D68" w:rsidRDefault="00E6278A" w:rsidP="00775CFF">
      <w:pPr>
        <w:pStyle w:val="Notedebasdepage"/>
        <w:ind w:firstLine="0"/>
        <w:jc w:val="left"/>
        <w:rPr>
          <w:kern w:val="18"/>
          <w:szCs w:val="18"/>
          <w:lang w:val="fr-FR"/>
        </w:rPr>
      </w:pPr>
      <w:r w:rsidRPr="001B692B">
        <w:rPr>
          <w:rStyle w:val="Appelnotedebasdep"/>
          <w:rFonts w:eastAsiaTheme="majorEastAsia"/>
          <w:kern w:val="18"/>
          <w:szCs w:val="18"/>
          <w:u w:val="none"/>
          <w:vertAlign w:val="superscript"/>
          <w:lang w:val="fr-FR"/>
        </w:rPr>
        <w:footnoteRef/>
      </w:r>
      <w:r w:rsidRPr="001B692B">
        <w:rPr>
          <w:kern w:val="18"/>
          <w:szCs w:val="18"/>
          <w:vertAlign w:val="superscript"/>
          <w:lang w:val="fr-FR"/>
        </w:rPr>
        <w:t xml:space="preserve"> </w:t>
      </w:r>
      <w:r w:rsidRPr="00970D68">
        <w:rPr>
          <w:kern w:val="18"/>
          <w:szCs w:val="18"/>
          <w:lang w:val="fr-FR"/>
        </w:rPr>
        <w:t>CBD/NP-MOP/3/6.</w:t>
      </w:r>
    </w:p>
  </w:footnote>
  <w:footnote w:id="18">
    <w:p w14:paraId="388889D2" w14:textId="77777777" w:rsidR="00E6278A" w:rsidRPr="00970D68" w:rsidRDefault="00E6278A" w:rsidP="00775CFF">
      <w:pPr>
        <w:pStyle w:val="Notedebasdepage"/>
        <w:ind w:firstLine="0"/>
        <w:rPr>
          <w:lang w:val="fr-FR"/>
        </w:rPr>
      </w:pPr>
      <w:r w:rsidRPr="001B692B">
        <w:rPr>
          <w:rStyle w:val="Appelnotedebasdep"/>
          <w:u w:val="none"/>
          <w:vertAlign w:val="superscript"/>
          <w:lang w:val="fr-FR"/>
        </w:rPr>
        <w:footnoteRef/>
      </w:r>
      <w:r w:rsidRPr="00970D68">
        <w:rPr>
          <w:lang w:val="fr-FR"/>
        </w:rPr>
        <w:t xml:space="preserve"> </w:t>
      </w:r>
      <w:r>
        <w:rPr>
          <w:lang w:val="fr-FR"/>
        </w:rPr>
        <w:t>Conformément à la dé</w:t>
      </w:r>
      <w:r w:rsidRPr="00970D68">
        <w:rPr>
          <w:lang w:val="fr-FR"/>
        </w:rPr>
        <w:t>cision NP-1/9.</w:t>
      </w:r>
    </w:p>
  </w:footnote>
  <w:footnote w:id="19">
    <w:p w14:paraId="7000B05F" w14:textId="77777777" w:rsidR="00E6278A" w:rsidRPr="001B692B" w:rsidRDefault="00E6278A" w:rsidP="001B692B">
      <w:pPr>
        <w:pStyle w:val="Notedebasdepage"/>
        <w:ind w:firstLine="0"/>
        <w:jc w:val="left"/>
        <w:rPr>
          <w:kern w:val="18"/>
          <w:szCs w:val="18"/>
          <w:lang w:val="en-US"/>
        </w:rPr>
      </w:pPr>
      <w:r w:rsidRPr="003C4B89">
        <w:rPr>
          <w:rStyle w:val="Appelnotedebasdep"/>
          <w:kern w:val="18"/>
          <w:szCs w:val="18"/>
          <w:u w:val="none"/>
          <w:vertAlign w:val="superscript"/>
        </w:rPr>
        <w:footnoteRef/>
      </w:r>
      <w:r w:rsidRPr="001B692B">
        <w:rPr>
          <w:kern w:val="18"/>
          <w:szCs w:val="18"/>
          <w:lang w:val="en-US"/>
        </w:rPr>
        <w:t xml:space="preserve"> </w:t>
      </w:r>
      <w:hyperlink r:id="rId4" w:history="1">
        <w:r w:rsidRPr="001B692B">
          <w:rPr>
            <w:rStyle w:val="Lienhypertexte"/>
            <w:kern w:val="18"/>
            <w:szCs w:val="18"/>
            <w:lang w:val="en-US"/>
          </w:rPr>
          <w:t>CBD/NP/MOP/3/9</w:t>
        </w:r>
      </w:hyperlink>
      <w:r w:rsidRPr="001B692B">
        <w:rPr>
          <w:kern w:val="18"/>
          <w:szCs w:val="18"/>
          <w:lang w:val="en-US"/>
        </w:rPr>
        <w:t>.</w:t>
      </w:r>
    </w:p>
  </w:footnote>
  <w:footnote w:id="20">
    <w:p w14:paraId="16588AE2" w14:textId="77777777" w:rsidR="00E6278A" w:rsidRPr="00952D82" w:rsidRDefault="00E6278A" w:rsidP="003C4B89">
      <w:pPr>
        <w:pStyle w:val="Notedebasdepage"/>
        <w:ind w:firstLine="0"/>
        <w:jc w:val="left"/>
        <w:rPr>
          <w:kern w:val="18"/>
          <w:szCs w:val="18"/>
          <w:lang w:val="en-US"/>
        </w:rPr>
      </w:pPr>
      <w:r w:rsidRPr="003C4B89">
        <w:rPr>
          <w:rStyle w:val="Appelnotedebasdep"/>
          <w:kern w:val="18"/>
          <w:szCs w:val="18"/>
          <w:u w:val="none"/>
          <w:vertAlign w:val="superscript"/>
        </w:rPr>
        <w:footnoteRef/>
      </w:r>
      <w:r w:rsidRPr="00952D82">
        <w:rPr>
          <w:kern w:val="18"/>
          <w:szCs w:val="18"/>
        </w:rPr>
        <w:t xml:space="preserve"> </w:t>
      </w:r>
      <w:hyperlink r:id="rId5" w:history="1">
        <w:r w:rsidRPr="00967F89">
          <w:rPr>
            <w:rStyle w:val="Lienhypertexte"/>
            <w:kern w:val="18"/>
            <w:szCs w:val="18"/>
          </w:rPr>
          <w:t>CBD/NP/MOP/3/5</w:t>
        </w:r>
      </w:hyperlink>
      <w:r w:rsidRPr="00952D82">
        <w:rPr>
          <w:kern w:val="18"/>
          <w:szCs w:val="18"/>
        </w:rPr>
        <w:t>.</w:t>
      </w:r>
    </w:p>
  </w:footnote>
  <w:footnote w:id="21">
    <w:p w14:paraId="5DD4AE1B" w14:textId="77777777" w:rsidR="00E6278A" w:rsidRPr="00852E3F" w:rsidRDefault="00E6278A" w:rsidP="003C4B89">
      <w:pPr>
        <w:pStyle w:val="Notedebasdepage"/>
        <w:ind w:firstLine="0"/>
        <w:jc w:val="left"/>
        <w:rPr>
          <w:kern w:val="18"/>
          <w:szCs w:val="18"/>
          <w:lang w:val="fr-CA"/>
        </w:rPr>
      </w:pPr>
      <w:r w:rsidRPr="003C4B89">
        <w:rPr>
          <w:rStyle w:val="Appelnotedebasdep"/>
          <w:rFonts w:eastAsiaTheme="majorEastAsia"/>
          <w:kern w:val="18"/>
          <w:u w:val="none"/>
          <w:vertAlign w:val="superscript"/>
          <w:lang w:val="fr-FR" w:bidi="fr-FR"/>
        </w:rPr>
        <w:footnoteRef/>
      </w:r>
      <w:r w:rsidRPr="00852E3F">
        <w:rPr>
          <w:kern w:val="18"/>
          <w:szCs w:val="18"/>
          <w:lang w:val="fr-CA" w:bidi="fr-FR"/>
        </w:rPr>
        <w:t xml:space="preserve"> GEF/A.6/05/Rev.01</w:t>
      </w:r>
    </w:p>
  </w:footnote>
  <w:footnote w:id="22">
    <w:p w14:paraId="15685B8E" w14:textId="77777777" w:rsidR="00E6278A" w:rsidRPr="00FC4D0C" w:rsidRDefault="00E6278A" w:rsidP="006E168F">
      <w:pPr>
        <w:pStyle w:val="Notedebasdepage"/>
        <w:ind w:firstLine="0"/>
        <w:jc w:val="left"/>
        <w:rPr>
          <w:kern w:val="18"/>
          <w:szCs w:val="18"/>
          <w:lang w:val="fr-FR"/>
        </w:rPr>
      </w:pPr>
      <w:r w:rsidRPr="006E168F">
        <w:rPr>
          <w:rStyle w:val="Appelnotedebasdep"/>
          <w:kern w:val="18"/>
          <w:szCs w:val="18"/>
          <w:u w:val="none"/>
          <w:vertAlign w:val="superscript"/>
        </w:rPr>
        <w:footnoteRef/>
      </w:r>
      <w:r w:rsidRPr="00FC4D0C">
        <w:rPr>
          <w:kern w:val="18"/>
          <w:szCs w:val="18"/>
          <w:lang w:val="fr-FR"/>
        </w:rPr>
        <w:t xml:space="preserve"> Voir CBD/SBI/2/22, partie I, recommandation 2/14, Partie B.</w:t>
      </w:r>
    </w:p>
  </w:footnote>
  <w:footnote w:id="23">
    <w:p w14:paraId="21FFCEE1" w14:textId="6D5A83E0" w:rsidR="00E6278A" w:rsidRPr="006E168F" w:rsidRDefault="00E6278A" w:rsidP="006E168F">
      <w:pPr>
        <w:pStyle w:val="Notedebasdepage"/>
        <w:ind w:firstLine="0"/>
        <w:rPr>
          <w:lang w:val="fr-CA"/>
        </w:rPr>
      </w:pPr>
      <w:r w:rsidRPr="000307F5">
        <w:rPr>
          <w:rStyle w:val="Appelnotedebasdep"/>
          <w:rFonts w:eastAsiaTheme="majorEastAsia"/>
          <w:u w:val="none"/>
          <w:vertAlign w:val="superscript"/>
        </w:rPr>
        <w:footnoteRef/>
      </w:r>
      <w:r w:rsidRPr="000307F5">
        <w:rPr>
          <w:vertAlign w:val="superscript"/>
          <w:lang w:val="fr-CA"/>
        </w:rPr>
        <w:t xml:space="preserve"> </w:t>
      </w:r>
      <w:r>
        <w:rPr>
          <w:vertAlign w:val="superscript"/>
          <w:lang w:val="fr-CA"/>
        </w:rPr>
        <w:t xml:space="preserve"> </w:t>
      </w:r>
      <w:r w:rsidRPr="006E168F">
        <w:rPr>
          <w:lang w:val="fr-CA"/>
        </w:rPr>
        <w:t>CBD/SBI/2/16 et Add.1.</w:t>
      </w:r>
    </w:p>
  </w:footnote>
  <w:footnote w:id="24">
    <w:p w14:paraId="6ABF5246" w14:textId="77777777" w:rsidR="00E6278A" w:rsidRPr="00171128" w:rsidRDefault="00E6278A" w:rsidP="00171128">
      <w:pPr>
        <w:pStyle w:val="Notedebasdepage"/>
        <w:ind w:firstLine="0"/>
        <w:jc w:val="left"/>
        <w:rPr>
          <w:kern w:val="18"/>
          <w:szCs w:val="18"/>
          <w:lang w:val="fr-CA"/>
        </w:rPr>
      </w:pPr>
      <w:r w:rsidRPr="00A43E0A">
        <w:rPr>
          <w:rStyle w:val="Appelnotedebasdep"/>
          <w:kern w:val="18"/>
          <w:szCs w:val="18"/>
          <w:u w:val="none"/>
          <w:vertAlign w:val="superscript"/>
        </w:rPr>
        <w:footnoteRef/>
      </w:r>
      <w:r w:rsidRPr="00171128">
        <w:rPr>
          <w:kern w:val="18"/>
          <w:szCs w:val="18"/>
          <w:lang w:val="fr-CA"/>
        </w:rPr>
        <w:t xml:space="preserve"> CBD/SBI/2/5, section III.</w:t>
      </w:r>
    </w:p>
  </w:footnote>
  <w:footnote w:id="25">
    <w:p w14:paraId="2E37D848" w14:textId="77777777" w:rsidR="00E6278A" w:rsidRPr="00541921" w:rsidRDefault="00E6278A" w:rsidP="00A43E0A">
      <w:pPr>
        <w:pStyle w:val="Notedebasdepage"/>
        <w:kinsoku w:val="0"/>
        <w:overflowPunct w:val="0"/>
        <w:autoSpaceDE w:val="0"/>
        <w:autoSpaceDN w:val="0"/>
        <w:ind w:firstLine="0"/>
        <w:jc w:val="left"/>
        <w:rPr>
          <w:szCs w:val="18"/>
          <w:lang w:val="en-CA"/>
        </w:rPr>
      </w:pPr>
      <w:r w:rsidRPr="007241B5">
        <w:rPr>
          <w:rStyle w:val="Appelnotedebasdep"/>
          <w:rFonts w:eastAsiaTheme="majorEastAsia"/>
          <w:szCs w:val="18"/>
          <w:u w:val="none"/>
          <w:vertAlign w:val="superscript"/>
        </w:rPr>
        <w:footnoteRef/>
      </w:r>
      <w:r w:rsidRPr="004376D3">
        <w:rPr>
          <w:szCs w:val="18"/>
          <w:lang w:val="en-US"/>
        </w:rPr>
        <w:t xml:space="preserve"> « Study into criteria to identify a specialized international access and benefit-sharing instrument, and a possible process for its recognition » (CBD/SBI/2/INF/17).</w:t>
      </w:r>
    </w:p>
  </w:footnote>
  <w:footnote w:id="26">
    <w:p w14:paraId="71684167" w14:textId="77777777" w:rsidR="00E6278A" w:rsidRPr="0046456A" w:rsidRDefault="00E6278A" w:rsidP="00A77CF6">
      <w:pPr>
        <w:pStyle w:val="Notedebasdepage"/>
        <w:ind w:firstLine="0"/>
        <w:rPr>
          <w:lang w:val="fr-CA"/>
        </w:rPr>
      </w:pPr>
      <w:r w:rsidRPr="009724AE">
        <w:rPr>
          <w:rStyle w:val="Appelnotedebasdep"/>
          <w:rFonts w:eastAsiaTheme="majorEastAsia"/>
          <w:u w:val="none"/>
          <w:vertAlign w:val="superscript"/>
          <w:lang w:val="fr-CA"/>
        </w:rPr>
        <w:footnoteRef/>
      </w:r>
      <w:r w:rsidRPr="0046456A">
        <w:rPr>
          <w:lang w:val="fr-CA"/>
        </w:rPr>
        <w:t xml:space="preserve"> Les conclusions et recommandations du Comité de conformité sur les questions d</w:t>
      </w:r>
      <w:r>
        <w:rPr>
          <w:lang w:val="fr-CA"/>
        </w:rPr>
        <w:t>’</w:t>
      </w:r>
      <w:r w:rsidRPr="0046456A">
        <w:rPr>
          <w:lang w:val="fr-CA"/>
        </w:rPr>
        <w:t>ordre général en matière de conformité, en tant que contribution à l</w:t>
      </w:r>
      <w:r>
        <w:rPr>
          <w:lang w:val="fr-CA"/>
        </w:rPr>
        <w:t>’</w:t>
      </w:r>
      <w:r w:rsidRPr="0046456A">
        <w:rPr>
          <w:lang w:val="fr-CA"/>
        </w:rPr>
        <w:t>exercice d</w:t>
      </w:r>
      <w:r>
        <w:rPr>
          <w:lang w:val="fr-CA"/>
        </w:rPr>
        <w:t>’</w:t>
      </w:r>
      <w:r w:rsidRPr="0046456A">
        <w:rPr>
          <w:lang w:val="fr-CA"/>
        </w:rPr>
        <w:t>évaluation et d</w:t>
      </w:r>
      <w:r>
        <w:rPr>
          <w:lang w:val="fr-CA"/>
        </w:rPr>
        <w:t>’</w:t>
      </w:r>
      <w:r w:rsidRPr="0046456A">
        <w:rPr>
          <w:lang w:val="fr-CA"/>
        </w:rPr>
        <w:t>examen du Protocole de Nagoya, figurent dans l</w:t>
      </w:r>
      <w:r>
        <w:rPr>
          <w:lang w:val="fr-CA"/>
        </w:rPr>
        <w:t>’</w:t>
      </w:r>
      <w:r w:rsidRPr="0046456A">
        <w:rPr>
          <w:lang w:val="fr-CA"/>
        </w:rPr>
        <w:t xml:space="preserve">annexe I du rapport du Comité de conformité au titre du Protocole de Nagoya sur les travaux de sa deuxième réunion </w:t>
      </w:r>
      <w:r>
        <w:rPr>
          <w:lang w:val="fr-CA"/>
        </w:rPr>
        <w:t>(</w:t>
      </w:r>
      <w:r w:rsidRPr="0046456A">
        <w:rPr>
          <w:lang w:val="fr-CA"/>
        </w:rPr>
        <w:t>CBD/NP/MOP/3/2</w:t>
      </w:r>
      <w:r>
        <w:rPr>
          <w:lang w:val="fr-CA"/>
        </w:rPr>
        <w:t>)</w:t>
      </w:r>
      <w:r w:rsidRPr="0046456A">
        <w:rPr>
          <w:lang w:val="fr-CA"/>
        </w:rPr>
        <w:t>.</w:t>
      </w:r>
    </w:p>
  </w:footnote>
  <w:footnote w:id="27">
    <w:p w14:paraId="7E115E97" w14:textId="77777777" w:rsidR="00E6278A" w:rsidRPr="00352AC2" w:rsidRDefault="00E6278A" w:rsidP="00516F46">
      <w:pPr>
        <w:pStyle w:val="Notedebasdepage"/>
        <w:ind w:firstLine="0"/>
        <w:jc w:val="left"/>
        <w:rPr>
          <w:kern w:val="18"/>
          <w:szCs w:val="18"/>
          <w:lang w:val="fr-CA"/>
        </w:rPr>
      </w:pPr>
      <w:r w:rsidRPr="005205A8">
        <w:rPr>
          <w:rStyle w:val="Appelnotedebasdep"/>
          <w:kern w:val="18"/>
          <w:szCs w:val="18"/>
          <w:u w:val="none"/>
          <w:vertAlign w:val="superscript"/>
        </w:rPr>
        <w:footnoteRef/>
      </w:r>
      <w:r w:rsidRPr="00352AC2">
        <w:rPr>
          <w:kern w:val="18"/>
          <w:szCs w:val="18"/>
          <w:lang w:val="fr-CA"/>
        </w:rPr>
        <w:t xml:space="preserve"> Voir la note du tableau 2.</w:t>
      </w:r>
      <w:r>
        <w:rPr>
          <w:kern w:val="18"/>
          <w:szCs w:val="18"/>
          <w:lang w:val="fr-CA"/>
        </w:rPr>
        <w:t xml:space="preserve"> Conformément à la résolution</w:t>
      </w:r>
      <w:r w:rsidRPr="00352AC2">
        <w:rPr>
          <w:kern w:val="18"/>
          <w:szCs w:val="18"/>
          <w:lang w:val="fr-CA"/>
        </w:rPr>
        <w:t xml:space="preserve"> 70/245 de l’Assemblée générale des Nations Unies.</w:t>
      </w:r>
    </w:p>
  </w:footnote>
  <w:footnote w:id="28">
    <w:p w14:paraId="2A2BD8A0" w14:textId="602C356F" w:rsidR="00E6278A" w:rsidRPr="001E5498" w:rsidRDefault="00E6278A" w:rsidP="00DF328C">
      <w:pPr>
        <w:keepLines/>
        <w:spacing w:after="60" w:line="240" w:lineRule="auto"/>
        <w:jc w:val="left"/>
        <w:rPr>
          <w:kern w:val="18"/>
          <w:sz w:val="18"/>
          <w:szCs w:val="18"/>
          <w:lang w:val="fr-CA"/>
        </w:rPr>
      </w:pPr>
      <w:r w:rsidRPr="00DF328C">
        <w:rPr>
          <w:rStyle w:val="Appelnotedebasdep"/>
          <w:kern w:val="18"/>
          <w:szCs w:val="18"/>
          <w:u w:val="none"/>
          <w:vertAlign w:val="superscript"/>
        </w:rPr>
        <w:footnoteRef/>
      </w:r>
      <w:r w:rsidRPr="00DF328C">
        <w:rPr>
          <w:kern w:val="18"/>
          <w:sz w:val="18"/>
          <w:szCs w:val="18"/>
          <w:vertAlign w:val="superscript"/>
          <w:lang w:val="fr-CA"/>
        </w:rPr>
        <w:t xml:space="preserve"> </w:t>
      </w:r>
      <w:r>
        <w:rPr>
          <w:kern w:val="18"/>
          <w:sz w:val="18"/>
          <w:szCs w:val="18"/>
          <w:vertAlign w:val="superscript"/>
          <w:lang w:val="fr-CA"/>
        </w:rPr>
        <w:t xml:space="preserve"> </w:t>
      </w:r>
      <w:r w:rsidRPr="001E5498">
        <w:rPr>
          <w:sz w:val="18"/>
          <w:lang w:val="fr-CA"/>
        </w:rPr>
        <w:t xml:space="preserve">Conformément à la résolution 70/245 de l'Assemblée générale des Nations Unies, un barème révisé des quotes-parts pour la période triennale sera appliqué, lorsqu'il sera publié, pour calculer les contributions pour l'exercice biennal 2019-2020 </w:t>
      </w:r>
      <w:r w:rsidRPr="001E5498">
        <w:rPr>
          <w:kern w:val="18"/>
          <w:sz w:val="18"/>
          <w:szCs w:val="18"/>
          <w:lang w:val="fr-CA"/>
        </w:rPr>
        <w:t xml:space="preserve"> (voir https://www.cbd.int/doc/notifications/2019/ntf-2019-01</w:t>
      </w:r>
      <w:r>
        <w:rPr>
          <w:kern w:val="18"/>
          <w:sz w:val="18"/>
          <w:szCs w:val="18"/>
          <w:lang w:val="fr-CA"/>
        </w:rPr>
        <w:t>7</w:t>
      </w:r>
      <w:r w:rsidRPr="001E5498">
        <w:rPr>
          <w:kern w:val="18"/>
          <w:sz w:val="18"/>
          <w:szCs w:val="18"/>
          <w:lang w:val="fr-CA"/>
        </w:rPr>
        <w:t>-budget-</w:t>
      </w:r>
      <w:r>
        <w:rPr>
          <w:kern w:val="18"/>
          <w:sz w:val="18"/>
          <w:szCs w:val="18"/>
          <w:lang w:val="fr-CA"/>
        </w:rPr>
        <w:t>np</w:t>
      </w:r>
      <w:r w:rsidRPr="001E5498">
        <w:rPr>
          <w:kern w:val="18"/>
          <w:sz w:val="18"/>
          <w:szCs w:val="18"/>
          <w:lang w:val="fr-CA"/>
        </w:rPr>
        <w:t>-en.pdf).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2826" w14:textId="77777777" w:rsidR="00E6278A" w:rsidRPr="000C6220" w:rsidRDefault="00B77ED6" w:rsidP="000C6220">
    <w:pPr>
      <w:suppressLineNumbers/>
      <w:suppressAutoHyphens/>
      <w:kinsoku w:val="0"/>
      <w:overflowPunct w:val="0"/>
      <w:autoSpaceDE w:val="0"/>
      <w:autoSpaceDN w:val="0"/>
      <w:spacing w:after="0" w:line="240" w:lineRule="auto"/>
      <w:jc w:val="left"/>
      <w:rPr>
        <w:noProof/>
        <w:kern w:val="22"/>
        <w:szCs w:val="22"/>
      </w:rPr>
    </w:pPr>
    <w:sdt>
      <w:sdtPr>
        <w:rPr>
          <w:bCs/>
          <w:noProof/>
          <w:kern w:val="22"/>
          <w:szCs w:val="22"/>
        </w:rPr>
        <w:alias w:val="Subject"/>
        <w:tag w:val=""/>
        <w:id w:val="-335617538"/>
        <w:placeholder>
          <w:docPart w:val="FACD5019A315438BBAB24F663071927D"/>
        </w:placeholder>
        <w:dataBinding w:prefixMappings="xmlns:ns0='http://purl.org/dc/elements/1.1/' xmlns:ns1='http://schemas.openxmlformats.org/package/2006/metadata/core-properties' " w:xpath="/ns1:coreProperties[1]/ns0:subject[1]" w:storeItemID="{6C3C8BC8-F283-45AE-878A-BAB7291924A1}"/>
        <w:text/>
      </w:sdtPr>
      <w:sdtEndPr/>
      <w:sdtContent>
        <w:r w:rsidR="00E6278A" w:rsidRPr="000C6220">
          <w:rPr>
            <w:bCs/>
            <w:noProof/>
            <w:kern w:val="22"/>
            <w:szCs w:val="22"/>
          </w:rPr>
          <w:t>CBD/NP/MOP/3/10</w:t>
        </w:r>
      </w:sdtContent>
    </w:sdt>
  </w:p>
  <w:p w14:paraId="66E63B19" w14:textId="33FFDBF9" w:rsidR="00E6278A" w:rsidRPr="000C6220" w:rsidRDefault="00E6278A" w:rsidP="000C6220">
    <w:pPr>
      <w:pStyle w:val="En-tte"/>
      <w:tabs>
        <w:tab w:val="clear" w:pos="4320"/>
        <w:tab w:val="clear" w:pos="8640"/>
        <w:tab w:val="left" w:pos="5415"/>
      </w:tabs>
      <w:spacing w:after="0" w:line="240" w:lineRule="auto"/>
      <w:rPr>
        <w:noProof/>
        <w:kern w:val="22"/>
      </w:rPr>
    </w:pPr>
    <w:r w:rsidRPr="000C6220">
      <w:rPr>
        <w:noProof/>
        <w:kern w:val="22"/>
      </w:rPr>
      <w:t xml:space="preserve">Page </w:t>
    </w:r>
    <w:r w:rsidRPr="000C6220">
      <w:rPr>
        <w:noProof/>
        <w:kern w:val="22"/>
      </w:rPr>
      <w:fldChar w:fldCharType="begin"/>
    </w:r>
    <w:r w:rsidRPr="000C6220">
      <w:rPr>
        <w:noProof/>
        <w:kern w:val="22"/>
      </w:rPr>
      <w:instrText xml:space="preserve"> PAGE   \* MERGEFORMAT </w:instrText>
    </w:r>
    <w:r w:rsidRPr="000C6220">
      <w:rPr>
        <w:noProof/>
        <w:kern w:val="22"/>
      </w:rPr>
      <w:fldChar w:fldCharType="separate"/>
    </w:r>
    <w:r w:rsidR="00AB4311">
      <w:rPr>
        <w:noProof/>
        <w:kern w:val="22"/>
      </w:rPr>
      <w:t>50</w:t>
    </w:r>
    <w:r w:rsidRPr="000C6220">
      <w:rPr>
        <w:noProof/>
        <w:kern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DCD8" w14:textId="77777777" w:rsidR="00E6278A" w:rsidRPr="00B91AF1" w:rsidRDefault="00B77ED6" w:rsidP="000C6220">
    <w:pPr>
      <w:suppressLineNumbers/>
      <w:suppressAutoHyphens/>
      <w:kinsoku w:val="0"/>
      <w:overflowPunct w:val="0"/>
      <w:autoSpaceDE w:val="0"/>
      <w:autoSpaceDN w:val="0"/>
      <w:spacing w:after="0" w:line="240" w:lineRule="auto"/>
      <w:jc w:val="right"/>
      <w:rPr>
        <w:noProof/>
        <w:szCs w:val="22"/>
      </w:rPr>
    </w:pPr>
    <w:sdt>
      <w:sdtPr>
        <w:rPr>
          <w:bCs/>
          <w:noProof/>
          <w:szCs w:val="22"/>
        </w:rPr>
        <w:alias w:val="Subject"/>
        <w:tag w:val=""/>
        <w:id w:val="924611997"/>
        <w:placeholder>
          <w:docPart w:val="28B5361FFE95474E9916877774AE28E2"/>
        </w:placeholder>
        <w:dataBinding w:prefixMappings="xmlns:ns0='http://purl.org/dc/elements/1.1/' xmlns:ns1='http://schemas.openxmlformats.org/package/2006/metadata/core-properties' " w:xpath="/ns1:coreProperties[1]/ns0:subject[1]" w:storeItemID="{6C3C8BC8-F283-45AE-878A-BAB7291924A1}"/>
        <w:text/>
      </w:sdtPr>
      <w:sdtEndPr/>
      <w:sdtContent>
        <w:r w:rsidR="00E6278A">
          <w:rPr>
            <w:bCs/>
            <w:noProof/>
            <w:szCs w:val="22"/>
          </w:rPr>
          <w:t>CBD/NP/MOP/3/10</w:t>
        </w:r>
      </w:sdtContent>
    </w:sdt>
  </w:p>
  <w:p w14:paraId="17EF17B9" w14:textId="77777777" w:rsidR="00E6278A" w:rsidRDefault="00E6278A" w:rsidP="000C6220">
    <w:pPr>
      <w:pStyle w:val="En-tte"/>
      <w:widowControl/>
      <w:suppressLineNumbers/>
      <w:tabs>
        <w:tab w:val="clear" w:pos="4320"/>
        <w:tab w:val="clear" w:pos="8640"/>
        <w:tab w:val="left" w:pos="5415"/>
      </w:tabs>
      <w:suppressAutoHyphens/>
      <w:spacing w:after="0" w:line="240" w:lineRule="auto"/>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AB4311">
      <w:rPr>
        <w:noProof/>
      </w:rPr>
      <w:t>65</w:t>
    </w:r>
    <w:r>
      <w:rPr>
        <w:noProof/>
      </w:rPr>
      <w:fldChar w:fldCharType="end"/>
    </w:r>
  </w:p>
  <w:p w14:paraId="15108387" w14:textId="77777777" w:rsidR="00E6278A" w:rsidRPr="00D006F2" w:rsidRDefault="00E6278A" w:rsidP="000C6220">
    <w:pPr>
      <w:pStyle w:val="En-tte"/>
      <w:widowControl/>
      <w:suppressLineNumbers/>
      <w:suppressAutoHyphens/>
      <w:spacing w:after="0" w:line="240" w:lineRule="auto"/>
      <w:jc w:val="right"/>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41337" w14:textId="77777777" w:rsidR="00E6278A" w:rsidRDefault="00E6278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07346858"/>
      <w:placeholder>
        <w:docPart w:val="0D586005A49042D8AD4FF37647EFF599"/>
      </w:placeholder>
      <w:dataBinding w:prefixMappings="xmlns:ns0='http://purl.org/dc/elements/1.1/' xmlns:ns1='http://schemas.openxmlformats.org/package/2006/metadata/core-properties' " w:xpath="/ns1:coreProperties[1]/ns0:subject[1]" w:storeItemID="{6C3C8BC8-F283-45AE-878A-BAB7291924A1}"/>
      <w:text/>
    </w:sdtPr>
    <w:sdtEndPr/>
    <w:sdtContent>
      <w:p w14:paraId="53559FB8" w14:textId="77777777" w:rsidR="00E6278A" w:rsidRPr="0069295C" w:rsidRDefault="00E6278A" w:rsidP="000C6220">
        <w:pPr>
          <w:pStyle w:val="En-tte"/>
          <w:tabs>
            <w:tab w:val="clear" w:pos="4320"/>
            <w:tab w:val="clear" w:pos="8640"/>
          </w:tabs>
          <w:spacing w:after="0"/>
          <w:rPr>
            <w:noProof/>
            <w:kern w:val="22"/>
          </w:rPr>
        </w:pPr>
        <w:r>
          <w:rPr>
            <w:noProof/>
            <w:kern w:val="22"/>
          </w:rPr>
          <w:t>CBD/NP/MOP/3/10</w:t>
        </w:r>
      </w:p>
    </w:sdtContent>
  </w:sdt>
  <w:p w14:paraId="16DD280B" w14:textId="77777777" w:rsidR="00E6278A" w:rsidRPr="0069295C" w:rsidRDefault="00E6278A" w:rsidP="000C6220">
    <w:pPr>
      <w:pStyle w:val="En-tte"/>
      <w:tabs>
        <w:tab w:val="clear" w:pos="4320"/>
        <w:tab w:val="clear" w:pos="8640"/>
      </w:tabs>
      <w:spacing w:after="0"/>
      <w:rPr>
        <w:noProof/>
        <w:kern w:val="22"/>
      </w:rPr>
    </w:pPr>
    <w:r w:rsidRPr="0069295C">
      <w:rPr>
        <w:noProof/>
        <w:kern w:val="22"/>
      </w:rPr>
      <w:t xml:space="preserve">Page </w:t>
    </w:r>
    <w:r w:rsidRPr="0069295C">
      <w:rPr>
        <w:noProof/>
        <w:kern w:val="22"/>
      </w:rPr>
      <w:fldChar w:fldCharType="begin"/>
    </w:r>
    <w:r w:rsidRPr="0069295C">
      <w:rPr>
        <w:noProof/>
        <w:kern w:val="22"/>
      </w:rPr>
      <w:instrText xml:space="preserve"> PAGE   \* MERGEFORMAT </w:instrText>
    </w:r>
    <w:r w:rsidRPr="0069295C">
      <w:rPr>
        <w:noProof/>
        <w:kern w:val="22"/>
      </w:rPr>
      <w:fldChar w:fldCharType="separate"/>
    </w:r>
    <w:r w:rsidR="00AB4311">
      <w:rPr>
        <w:noProof/>
        <w:kern w:val="22"/>
      </w:rPr>
      <w:t>66</w:t>
    </w:r>
    <w:r w:rsidRPr="0069295C">
      <w:rPr>
        <w:noProof/>
        <w:kern w:val="22"/>
      </w:rPr>
      <w:fldChar w:fldCharType="end"/>
    </w:r>
  </w:p>
  <w:p w14:paraId="3D55EB70" w14:textId="77777777" w:rsidR="00E6278A" w:rsidRPr="0069295C" w:rsidRDefault="00E6278A" w:rsidP="000C6220">
    <w:pPr>
      <w:pStyle w:val="En-tte"/>
      <w:tabs>
        <w:tab w:val="clear" w:pos="4320"/>
        <w:tab w:val="clear" w:pos="8640"/>
      </w:tabs>
      <w:spacing w:after="0"/>
      <w:rPr>
        <w:noProof/>
        <w:kern w:val="22"/>
      </w:rPr>
    </w:pPr>
  </w:p>
  <w:p w14:paraId="416622AA" w14:textId="77777777" w:rsidR="00E6278A" w:rsidRDefault="00E6278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AC027" w14:textId="77777777" w:rsidR="00E6278A" w:rsidRPr="009B7611" w:rsidRDefault="00B77ED6" w:rsidP="0040389B">
    <w:pPr>
      <w:suppressLineNumbers/>
      <w:suppressAutoHyphens/>
      <w:kinsoku w:val="0"/>
      <w:overflowPunct w:val="0"/>
      <w:autoSpaceDE w:val="0"/>
      <w:autoSpaceDN w:val="0"/>
      <w:spacing w:after="0" w:line="240" w:lineRule="auto"/>
      <w:jc w:val="left"/>
      <w:rPr>
        <w:noProof/>
        <w:kern w:val="22"/>
        <w:szCs w:val="22"/>
      </w:rPr>
    </w:pPr>
    <w:sdt>
      <w:sdtPr>
        <w:rPr>
          <w:bCs/>
          <w:noProof/>
          <w:kern w:val="22"/>
          <w:szCs w:val="22"/>
        </w:rPr>
        <w:alias w:val="Subject"/>
        <w:tag w:val=""/>
        <w:id w:val="1289552513"/>
        <w:dataBinding w:prefixMappings="xmlns:ns0='http://purl.org/dc/elements/1.1/' xmlns:ns1='http://schemas.openxmlformats.org/package/2006/metadata/core-properties' " w:xpath="/ns1:coreProperties[1]/ns0:subject[1]" w:storeItemID="{6C3C8BC8-F283-45AE-878A-BAB7291924A1}"/>
        <w:text/>
      </w:sdtPr>
      <w:sdtEndPr/>
      <w:sdtContent>
        <w:r w:rsidR="00E6278A" w:rsidRPr="009B7611">
          <w:rPr>
            <w:bCs/>
            <w:noProof/>
            <w:kern w:val="22"/>
            <w:szCs w:val="22"/>
          </w:rPr>
          <w:t>CBD/NP/MOP/3/10</w:t>
        </w:r>
      </w:sdtContent>
    </w:sdt>
  </w:p>
  <w:p w14:paraId="4FEA55FC" w14:textId="77777777" w:rsidR="00E6278A" w:rsidRPr="009B7611" w:rsidRDefault="00E6278A" w:rsidP="0040389B">
    <w:pPr>
      <w:pStyle w:val="En-tte"/>
      <w:tabs>
        <w:tab w:val="clear" w:pos="4320"/>
        <w:tab w:val="clear" w:pos="8640"/>
        <w:tab w:val="left" w:pos="5415"/>
      </w:tabs>
      <w:spacing w:after="0" w:line="240" w:lineRule="auto"/>
      <w:rPr>
        <w:noProof/>
        <w:kern w:val="22"/>
      </w:rPr>
    </w:pPr>
    <w:r w:rsidRPr="009B7611">
      <w:rPr>
        <w:noProof/>
        <w:kern w:val="22"/>
      </w:rPr>
      <w:t xml:space="preserve">Page </w:t>
    </w:r>
    <w:r w:rsidRPr="009B7611">
      <w:rPr>
        <w:noProof/>
        <w:kern w:val="22"/>
      </w:rPr>
      <w:fldChar w:fldCharType="begin"/>
    </w:r>
    <w:r w:rsidRPr="009B7611">
      <w:rPr>
        <w:noProof/>
        <w:kern w:val="22"/>
      </w:rPr>
      <w:instrText xml:space="preserve"> PAGE   \* MERGEFORMAT </w:instrText>
    </w:r>
    <w:r w:rsidRPr="009B7611">
      <w:rPr>
        <w:noProof/>
        <w:kern w:val="22"/>
      </w:rPr>
      <w:fldChar w:fldCharType="separate"/>
    </w:r>
    <w:r>
      <w:rPr>
        <w:noProof/>
        <w:kern w:val="22"/>
      </w:rPr>
      <w:t>54</w:t>
    </w:r>
    <w:r w:rsidRPr="009B7611">
      <w:rPr>
        <w:noProof/>
        <w:kern w:val="22"/>
      </w:rPr>
      <w:fldChar w:fldCharType="end"/>
    </w:r>
  </w:p>
  <w:p w14:paraId="0D9C278F" w14:textId="77777777" w:rsidR="00E6278A" w:rsidRDefault="00E6278A">
    <w:pPr>
      <w:pStyle w:val="En-tte"/>
    </w:pPr>
  </w:p>
  <w:p w14:paraId="3E62ADC0" w14:textId="77777777" w:rsidR="00E6278A" w:rsidRDefault="00E627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1E3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FEA0D3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37FE0"/>
    <w:multiLevelType w:val="multilevel"/>
    <w:tmpl w:val="5E64AFF8"/>
    <w:lvl w:ilvl="0">
      <w:start w:val="1"/>
      <w:numFmt w:val="decimal"/>
      <w:lvlText w:val="%1."/>
      <w:lvlJc w:val="left"/>
      <w:pPr>
        <w:tabs>
          <w:tab w:val="num" w:pos="900"/>
        </w:tabs>
        <w:ind w:left="540" w:firstLine="0"/>
      </w:pPr>
      <w:rPr>
        <w:i w:val="0"/>
      </w:r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441C7B"/>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4B13C0B"/>
    <w:multiLevelType w:val="hybridMultilevel"/>
    <w:tmpl w:val="4680277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B67D7"/>
    <w:multiLevelType w:val="multilevel"/>
    <w:tmpl w:val="5AC00AC2"/>
    <w:lvl w:ilvl="0">
      <w:start w:val="1"/>
      <w:numFmt w:val="decimal"/>
      <w:lvlText w:val="%1."/>
      <w:lvlJc w:val="left"/>
      <w:pPr>
        <w:ind w:left="144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1A92ED1"/>
    <w:multiLevelType w:val="hybridMultilevel"/>
    <w:tmpl w:val="AC060F9A"/>
    <w:lvl w:ilvl="0" w:tplc="ED325EA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5105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4E55AE1"/>
    <w:multiLevelType w:val="hybridMultilevel"/>
    <w:tmpl w:val="1722F33E"/>
    <w:lvl w:ilvl="0" w:tplc="1338B246">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5C729C4"/>
    <w:multiLevelType w:val="hybridMultilevel"/>
    <w:tmpl w:val="37481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6164C1A"/>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Titre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30810D36"/>
    <w:multiLevelType w:val="hybridMultilevel"/>
    <w:tmpl w:val="970E7018"/>
    <w:lvl w:ilvl="0" w:tplc="64EC4342">
      <w:start w:val="1"/>
      <w:numFmt w:val="decimal"/>
      <w:lvlText w:val="%1."/>
      <w:lvlJc w:val="left"/>
      <w:pPr>
        <w:ind w:left="374" w:hanging="360"/>
      </w:pPr>
      <w:rPr>
        <w:rFonts w:hint="default"/>
      </w:rPr>
    </w:lvl>
    <w:lvl w:ilvl="1" w:tplc="10090019" w:tentative="1">
      <w:start w:val="1"/>
      <w:numFmt w:val="lowerLetter"/>
      <w:lvlText w:val="%2."/>
      <w:lvlJc w:val="left"/>
      <w:pPr>
        <w:ind w:left="1094" w:hanging="360"/>
      </w:pPr>
    </w:lvl>
    <w:lvl w:ilvl="2" w:tplc="1009001B" w:tentative="1">
      <w:start w:val="1"/>
      <w:numFmt w:val="lowerRoman"/>
      <w:lvlText w:val="%3."/>
      <w:lvlJc w:val="right"/>
      <w:pPr>
        <w:ind w:left="1814" w:hanging="180"/>
      </w:pPr>
    </w:lvl>
    <w:lvl w:ilvl="3" w:tplc="1009000F" w:tentative="1">
      <w:start w:val="1"/>
      <w:numFmt w:val="decimal"/>
      <w:lvlText w:val="%4."/>
      <w:lvlJc w:val="left"/>
      <w:pPr>
        <w:ind w:left="2534" w:hanging="360"/>
      </w:pPr>
    </w:lvl>
    <w:lvl w:ilvl="4" w:tplc="10090019" w:tentative="1">
      <w:start w:val="1"/>
      <w:numFmt w:val="lowerLetter"/>
      <w:lvlText w:val="%5."/>
      <w:lvlJc w:val="left"/>
      <w:pPr>
        <w:ind w:left="3254" w:hanging="360"/>
      </w:pPr>
    </w:lvl>
    <w:lvl w:ilvl="5" w:tplc="1009001B" w:tentative="1">
      <w:start w:val="1"/>
      <w:numFmt w:val="lowerRoman"/>
      <w:lvlText w:val="%6."/>
      <w:lvlJc w:val="right"/>
      <w:pPr>
        <w:ind w:left="3974" w:hanging="180"/>
      </w:pPr>
    </w:lvl>
    <w:lvl w:ilvl="6" w:tplc="1009000F" w:tentative="1">
      <w:start w:val="1"/>
      <w:numFmt w:val="decimal"/>
      <w:lvlText w:val="%7."/>
      <w:lvlJc w:val="left"/>
      <w:pPr>
        <w:ind w:left="4694" w:hanging="360"/>
      </w:pPr>
    </w:lvl>
    <w:lvl w:ilvl="7" w:tplc="10090019" w:tentative="1">
      <w:start w:val="1"/>
      <w:numFmt w:val="lowerLetter"/>
      <w:lvlText w:val="%8."/>
      <w:lvlJc w:val="left"/>
      <w:pPr>
        <w:ind w:left="5414" w:hanging="360"/>
      </w:pPr>
    </w:lvl>
    <w:lvl w:ilvl="8" w:tplc="1009001B" w:tentative="1">
      <w:start w:val="1"/>
      <w:numFmt w:val="lowerRoman"/>
      <w:lvlText w:val="%9."/>
      <w:lvlJc w:val="right"/>
      <w:pPr>
        <w:ind w:left="6134" w:hanging="180"/>
      </w:pPr>
    </w:lvl>
  </w:abstractNum>
  <w:abstractNum w:abstractNumId="17" w15:restartNumberingAfterBreak="0">
    <w:nsid w:val="34276F15"/>
    <w:multiLevelType w:val="hybridMultilevel"/>
    <w:tmpl w:val="C6F2B8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165AC"/>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55717A8"/>
    <w:multiLevelType w:val="multilevel"/>
    <w:tmpl w:val="2B36FFE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B80F23"/>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8B65183"/>
    <w:multiLevelType w:val="hybridMultilevel"/>
    <w:tmpl w:val="D000257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2"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15:restartNumberingAfterBreak="0">
    <w:nsid w:val="3CD46432"/>
    <w:multiLevelType w:val="hybridMultilevel"/>
    <w:tmpl w:val="A6C21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25" w15:restartNumberingAfterBreak="0">
    <w:nsid w:val="41C853E3"/>
    <w:multiLevelType w:val="hybridMultilevel"/>
    <w:tmpl w:val="008C40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CC7FBB"/>
    <w:multiLevelType w:val="hybridMultilevel"/>
    <w:tmpl w:val="B934B6F0"/>
    <w:lvl w:ilvl="0" w:tplc="89D8BABC">
      <w:start w:val="1"/>
      <w:numFmt w:val="lowerLetter"/>
      <w:lvlRestart w:val="0"/>
      <w:pStyle w:val="Para20"/>
      <w:lvlText w:val="(%1)"/>
      <w:lvlJc w:val="left"/>
      <w:pPr>
        <w:tabs>
          <w:tab w:val="num" w:pos="1077"/>
        </w:tabs>
        <w:ind w:left="1077" w:hanging="357"/>
      </w:pPr>
      <w:rPr>
        <w:rFonts w:ascii="CG Times" w:hAnsi="CG Times" w:cs="Times New Roman" w:hint="default"/>
        <w:b w:val="0"/>
        <w:i w:val="0"/>
        <w:sz w:val="24"/>
        <w:szCs w:val="24"/>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48E4287B"/>
    <w:multiLevelType w:val="multilevel"/>
    <w:tmpl w:val="5DEA693C"/>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98C51B3"/>
    <w:multiLevelType w:val="hybridMultilevel"/>
    <w:tmpl w:val="65DAE8B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77FBF"/>
    <w:multiLevelType w:val="hybridMultilevel"/>
    <w:tmpl w:val="2B828B7C"/>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7812FA"/>
    <w:multiLevelType w:val="hybridMultilevel"/>
    <w:tmpl w:val="1B36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721A0"/>
    <w:multiLevelType w:val="hybridMultilevel"/>
    <w:tmpl w:val="419E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0A2CFC"/>
    <w:multiLevelType w:val="hybridMultilevel"/>
    <w:tmpl w:val="1CDED0C0"/>
    <w:lvl w:ilvl="0" w:tplc="ED1012E8">
      <w:start w:val="1"/>
      <w:numFmt w:val="upperRoman"/>
      <w:pStyle w:val="Heading1report"/>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9A276B2"/>
    <w:multiLevelType w:val="hybridMultilevel"/>
    <w:tmpl w:val="B072AC98"/>
    <w:lvl w:ilvl="0" w:tplc="EA2AD17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3A3AE8"/>
    <w:multiLevelType w:val="hybridMultilevel"/>
    <w:tmpl w:val="4634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2B21BA"/>
    <w:multiLevelType w:val="hybridMultilevel"/>
    <w:tmpl w:val="2A18638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9" w15:restartNumberingAfterBreak="0">
    <w:nsid w:val="5C81126B"/>
    <w:multiLevelType w:val="multilevel"/>
    <w:tmpl w:val="6F0E069C"/>
    <w:lvl w:ilvl="0">
      <w:start w:val="1"/>
      <w:numFmt w:val="decimal"/>
      <w:lvlText w:val="%1."/>
      <w:lvlJc w:val="left"/>
      <w:pPr>
        <w:tabs>
          <w:tab w:val="num" w:pos="630"/>
        </w:tabs>
        <w:ind w:left="270" w:firstLine="0"/>
      </w:pPr>
      <w:rPr>
        <w:rFonts w:ascii="Times New Roman" w:hAnsi="Times New Roman" w:cs="Times New Roman" w:hint="default"/>
        <w:b w:val="0"/>
        <w:i w:val="0"/>
        <w:color w:val="auto"/>
        <w:sz w:val="22"/>
      </w:rPr>
    </w:lvl>
    <w:lvl w:ilvl="1">
      <w:start w:val="1"/>
      <w:numFmt w:val="lowerLetter"/>
      <w:lvlText w:val="(%2)"/>
      <w:lvlJc w:val="left"/>
      <w:pPr>
        <w:tabs>
          <w:tab w:val="num" w:pos="1751"/>
        </w:tabs>
        <w:ind w:left="311" w:firstLine="720"/>
      </w:pPr>
      <w:rPr>
        <w:rFonts w:cs="Times New Roman" w:hint="default"/>
        <w:b w:val="0"/>
        <w:i w:val="0"/>
      </w:rPr>
    </w:lvl>
    <w:lvl w:ilvl="2">
      <w:start w:val="1"/>
      <w:numFmt w:val="lowerRoman"/>
      <w:lvlText w:val="(%3)"/>
      <w:lvlJc w:val="right"/>
      <w:pPr>
        <w:tabs>
          <w:tab w:val="num" w:pos="1620"/>
        </w:tabs>
        <w:ind w:left="1620" w:hanging="360"/>
      </w:pPr>
      <w:rPr>
        <w:rFonts w:cs="Times New Roman" w:hint="default"/>
      </w:rPr>
    </w:lvl>
    <w:lvl w:ilvl="3">
      <w:start w:val="1"/>
      <w:numFmt w:val="bullet"/>
      <w:lvlText w:val=""/>
      <w:lvlJc w:val="left"/>
      <w:pPr>
        <w:tabs>
          <w:tab w:val="num" w:pos="2340"/>
        </w:tabs>
        <w:ind w:left="2340" w:hanging="720"/>
      </w:pPr>
      <w:rPr>
        <w:rFonts w:ascii="Symbol" w:hAnsi="Symbol" w:hint="default"/>
        <w:color w:val="auto"/>
        <w:sz w:val="28"/>
      </w:rPr>
    </w:lvl>
    <w:lvl w:ilvl="4">
      <w:start w:val="1"/>
      <w:numFmt w:val="lowerLetter"/>
      <w:lvlText w:val="(%5)"/>
      <w:lvlJc w:val="left"/>
      <w:pPr>
        <w:tabs>
          <w:tab w:val="num" w:pos="1980"/>
        </w:tabs>
        <w:ind w:left="1980" w:hanging="360"/>
      </w:pPr>
      <w:rPr>
        <w:rFonts w:cs="Times New Roman" w:hint="default"/>
      </w:rPr>
    </w:lvl>
    <w:lvl w:ilvl="5">
      <w:start w:val="1"/>
      <w:numFmt w:val="lowerRoman"/>
      <w:lvlText w:val="(%6)"/>
      <w:lvlJc w:val="left"/>
      <w:pPr>
        <w:tabs>
          <w:tab w:val="num" w:pos="2340"/>
        </w:tabs>
        <w:ind w:left="2340" w:hanging="360"/>
      </w:pPr>
      <w:rPr>
        <w:rFonts w:cs="Times New Roman" w:hint="default"/>
      </w:rPr>
    </w:lvl>
    <w:lvl w:ilvl="6">
      <w:start w:val="1"/>
      <w:numFmt w:val="decimal"/>
      <w:lvlText w:val="%7."/>
      <w:lvlJc w:val="left"/>
      <w:pPr>
        <w:tabs>
          <w:tab w:val="num" w:pos="2700"/>
        </w:tabs>
        <w:ind w:left="2700" w:hanging="360"/>
      </w:pPr>
      <w:rPr>
        <w:rFonts w:cs="Times New Roman" w:hint="default"/>
      </w:rPr>
    </w:lvl>
    <w:lvl w:ilvl="7">
      <w:start w:val="1"/>
      <w:numFmt w:val="lowerLetter"/>
      <w:lvlText w:val="%8."/>
      <w:lvlJc w:val="left"/>
      <w:pPr>
        <w:tabs>
          <w:tab w:val="num" w:pos="3060"/>
        </w:tabs>
        <w:ind w:left="3060" w:hanging="360"/>
      </w:pPr>
      <w:rPr>
        <w:rFonts w:cs="Times New Roman" w:hint="default"/>
      </w:rPr>
    </w:lvl>
    <w:lvl w:ilvl="8">
      <w:start w:val="1"/>
      <w:numFmt w:val="lowerRoman"/>
      <w:lvlText w:val="%9."/>
      <w:lvlJc w:val="left"/>
      <w:pPr>
        <w:tabs>
          <w:tab w:val="num" w:pos="3420"/>
        </w:tabs>
        <w:ind w:left="3420" w:hanging="360"/>
      </w:pPr>
      <w:rPr>
        <w:rFonts w:cs="Times New Roman" w:hint="default"/>
      </w:rPr>
    </w:lvl>
  </w:abstractNum>
  <w:abstractNum w:abstractNumId="4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5000AC"/>
    <w:multiLevelType w:val="multilevel"/>
    <w:tmpl w:val="DE200BE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350"/>
        </w:tabs>
        <w:ind w:left="-90" w:firstLine="720"/>
      </w:pPr>
      <w:rPr>
        <w:rFonts w:hint="default"/>
        <w:b w:val="0"/>
        <w:i w:val="0"/>
      </w:rPr>
    </w:lvl>
    <w:lvl w:ilvl="2">
      <w:start w:val="1"/>
      <w:numFmt w:val="lowerRoman"/>
      <w:lvlText w:val="(%3)"/>
      <w:lvlJc w:val="right"/>
      <w:pPr>
        <w:tabs>
          <w:tab w:val="num" w:pos="360"/>
        </w:tabs>
        <w:ind w:left="36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20D6AEB"/>
    <w:multiLevelType w:val="multilevel"/>
    <w:tmpl w:val="5268E5B4"/>
    <w:lvl w:ilvl="0">
      <w:start w:val="1"/>
      <w:numFmt w:val="decimal"/>
      <w:pStyle w:val="Para1"/>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648E71EE"/>
    <w:multiLevelType w:val="hybridMultilevel"/>
    <w:tmpl w:val="FED6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EE46A3"/>
    <w:multiLevelType w:val="hybridMultilevel"/>
    <w:tmpl w:val="2D2E8D7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46" w15:restartNumberingAfterBreak="0">
    <w:nsid w:val="65EC4B58"/>
    <w:multiLevelType w:val="hybridMultilevel"/>
    <w:tmpl w:val="66B24EF2"/>
    <w:lvl w:ilvl="0" w:tplc="0C0C000F">
      <w:start w:val="1"/>
      <w:numFmt w:val="decimal"/>
      <w:lvlText w:val="%1."/>
      <w:lvlJc w:val="left"/>
      <w:pPr>
        <w:ind w:left="1854" w:hanging="360"/>
      </w:p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47" w15:restartNumberingAfterBreak="0">
    <w:nsid w:val="6CD57C6E"/>
    <w:multiLevelType w:val="multilevel"/>
    <w:tmpl w:val="747AF608"/>
    <w:lvl w:ilvl="0">
      <w:start w:val="1"/>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4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E23244"/>
    <w:multiLevelType w:val="multilevel"/>
    <w:tmpl w:val="B3C03A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2947080"/>
    <w:multiLevelType w:val="hybridMultilevel"/>
    <w:tmpl w:val="BD52A488"/>
    <w:lvl w:ilvl="0" w:tplc="8722BBB2">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FE2DE2"/>
    <w:multiLevelType w:val="hybridMultilevel"/>
    <w:tmpl w:val="E6F01346"/>
    <w:lvl w:ilvl="0" w:tplc="84C4D034">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4" w15:restartNumberingAfterBreak="0">
    <w:nsid w:val="784D753F"/>
    <w:multiLevelType w:val="hybridMultilevel"/>
    <w:tmpl w:val="7D42E2E6"/>
    <w:lvl w:ilvl="0" w:tplc="022CD2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0656BF"/>
    <w:multiLevelType w:val="hybridMultilevel"/>
    <w:tmpl w:val="D122AD78"/>
    <w:lvl w:ilvl="0" w:tplc="481EF46E">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4"/>
  </w:num>
  <w:num w:numId="2">
    <w:abstractNumId w:val="24"/>
  </w:num>
  <w:num w:numId="3">
    <w:abstractNumId w:val="22"/>
  </w:num>
  <w:num w:numId="4">
    <w:abstractNumId w:val="15"/>
  </w:num>
  <w:num w:numId="5">
    <w:abstractNumId w:val="53"/>
  </w:num>
  <w:num w:numId="6">
    <w:abstractNumId w:val="27"/>
  </w:num>
  <w:num w:numId="7">
    <w:abstractNumId w:val="42"/>
  </w:num>
  <w:num w:numId="8">
    <w:abstractNumId w:val="26"/>
  </w:num>
  <w:num w:numId="9">
    <w:abstractNumId w:val="45"/>
  </w:num>
  <w:num w:numId="10">
    <w:abstractNumId w:val="30"/>
  </w:num>
  <w:num w:numId="11">
    <w:abstractNumId w:val="1"/>
  </w:num>
  <w:num w:numId="12">
    <w:abstractNumId w:val="42"/>
  </w:num>
  <w:num w:numId="13">
    <w:abstractNumId w:val="42"/>
  </w:num>
  <w:num w:numId="14">
    <w:abstractNumId w:val="4"/>
  </w:num>
  <w:num w:numId="15">
    <w:abstractNumId w:val="28"/>
  </w:num>
  <w:num w:numId="16">
    <w:abstractNumId w:val="0"/>
  </w:num>
  <w:num w:numId="17">
    <w:abstractNumId w:val="49"/>
  </w:num>
  <w:num w:numId="18">
    <w:abstractNumId w:val="47"/>
  </w:num>
  <w:num w:numId="19">
    <w:abstractNumId w:val="41"/>
  </w:num>
  <w:num w:numId="20">
    <w:abstractNumId w:val="31"/>
  </w:num>
  <w:num w:numId="21">
    <w:abstractNumId w:val="2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38"/>
  </w:num>
  <w:num w:numId="25">
    <w:abstractNumId w:val="42"/>
  </w:num>
  <w:num w:numId="26">
    <w:abstractNumId w:val="42"/>
  </w:num>
  <w:num w:numId="27">
    <w:abstractNumId w:val="42"/>
  </w:num>
  <w:num w:numId="28">
    <w:abstractNumId w:val="33"/>
  </w:num>
  <w:num w:numId="29">
    <w:abstractNumId w:val="37"/>
  </w:num>
  <w:num w:numId="30">
    <w:abstractNumId w:val="43"/>
  </w:num>
  <w:num w:numId="31">
    <w:abstractNumId w:val="42"/>
  </w:num>
  <w:num w:numId="32">
    <w:abstractNumId w:val="19"/>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2"/>
  </w:num>
  <w:num w:numId="37">
    <w:abstractNumId w:val="42"/>
  </w:num>
  <w:num w:numId="38">
    <w:abstractNumId w:val="42"/>
  </w:num>
  <w:num w:numId="39">
    <w:abstractNumId w:val="42"/>
  </w:num>
  <w:num w:numId="40">
    <w:abstractNumId w:val="42"/>
  </w:num>
  <w:num w:numId="41">
    <w:abstractNumId w:val="42"/>
  </w:num>
  <w:num w:numId="42">
    <w:abstractNumId w:val="42"/>
  </w:num>
  <w:num w:numId="43">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44"/>
  </w:num>
  <w:num w:numId="46">
    <w:abstractNumId w:val="13"/>
  </w:num>
  <w:num w:numId="47">
    <w:abstractNumId w:val="8"/>
  </w:num>
  <w:num w:numId="48">
    <w:abstractNumId w:val="25"/>
  </w:num>
  <w:num w:numId="49">
    <w:abstractNumId w:val="39"/>
  </w:num>
  <w:num w:numId="50">
    <w:abstractNumId w:val="42"/>
  </w:num>
  <w:num w:numId="51">
    <w:abstractNumId w:val="42"/>
  </w:num>
  <w:num w:numId="52">
    <w:abstractNumId w:val="42"/>
  </w:num>
  <w:num w:numId="53">
    <w:abstractNumId w:val="35"/>
  </w:num>
  <w:num w:numId="54">
    <w:abstractNumId w:val="42"/>
  </w:num>
  <w:num w:numId="55">
    <w:abstractNumId w:val="32"/>
  </w:num>
  <w:num w:numId="56">
    <w:abstractNumId w:val="23"/>
  </w:num>
  <w:num w:numId="57">
    <w:abstractNumId w:val="36"/>
  </w:num>
  <w:num w:numId="58">
    <w:abstractNumId w:val="11"/>
  </w:num>
  <w:num w:numId="59">
    <w:abstractNumId w:val="50"/>
  </w:num>
  <w:num w:numId="60">
    <w:abstractNumId w:val="29"/>
  </w:num>
  <w:num w:numId="61">
    <w:abstractNumId w:val="17"/>
  </w:num>
  <w:num w:numId="62">
    <w:abstractNumId w:val="16"/>
  </w:num>
  <w:num w:numId="63">
    <w:abstractNumId w:val="3"/>
  </w:num>
  <w:num w:numId="64">
    <w:abstractNumId w:val="2"/>
  </w:num>
  <w:num w:numId="65">
    <w:abstractNumId w:val="12"/>
  </w:num>
  <w:num w:numId="66">
    <w:abstractNumId w:val="10"/>
  </w:num>
  <w:num w:numId="67">
    <w:abstractNumId w:val="56"/>
  </w:num>
  <w:num w:numId="68">
    <w:abstractNumId w:val="5"/>
  </w:num>
  <w:num w:numId="69">
    <w:abstractNumId w:val="26"/>
    <w:lvlOverride w:ilvl="0">
      <w:startOverride w:val="1"/>
    </w:lvlOverride>
  </w:num>
  <w:num w:numId="70">
    <w:abstractNumId w:val="48"/>
  </w:num>
  <w:num w:numId="71">
    <w:abstractNumId w:val="26"/>
    <w:lvlOverride w:ilvl="0">
      <w:startOverride w:val="1"/>
    </w:lvlOverride>
  </w:num>
  <w:num w:numId="72">
    <w:abstractNumId w:val="26"/>
    <w:lvlOverride w:ilvl="0">
      <w:startOverride w:val="1"/>
    </w:lvlOverride>
  </w:num>
  <w:num w:numId="73">
    <w:abstractNumId w:val="26"/>
    <w:lvlOverride w:ilvl="0">
      <w:startOverride w:val="1"/>
    </w:lvlOverride>
  </w:num>
  <w:num w:numId="74">
    <w:abstractNumId w:val="26"/>
    <w:lvlOverride w:ilvl="0">
      <w:startOverride w:val="1"/>
    </w:lvlOverride>
  </w:num>
  <w:num w:numId="75">
    <w:abstractNumId w:val="40"/>
  </w:num>
  <w:num w:numId="76">
    <w:abstractNumId w:val="34"/>
  </w:num>
  <w:num w:numId="77">
    <w:abstractNumId w:val="6"/>
  </w:num>
  <w:num w:numId="78">
    <w:abstractNumId w:val="51"/>
  </w:num>
  <w:num w:numId="79">
    <w:abstractNumId w:val="55"/>
  </w:num>
  <w:num w:numId="80">
    <w:abstractNumId w:val="54"/>
  </w:num>
  <w:num w:numId="81">
    <w:abstractNumId w:val="18"/>
  </w:num>
  <w:num w:numId="82">
    <w:abstractNumId w:val="20"/>
  </w:num>
  <w:num w:numId="83">
    <w:abstractNumId w:val="7"/>
  </w:num>
  <w:num w:numId="84">
    <w:abstractNumId w:val="46"/>
  </w:num>
  <w:num w:numId="85">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evenAndOddHeader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41"/>
    <w:rsid w:val="0000142D"/>
    <w:rsid w:val="00001D79"/>
    <w:rsid w:val="00001E40"/>
    <w:rsid w:val="00003867"/>
    <w:rsid w:val="0000541C"/>
    <w:rsid w:val="00005C61"/>
    <w:rsid w:val="00007856"/>
    <w:rsid w:val="000125F6"/>
    <w:rsid w:val="00013350"/>
    <w:rsid w:val="000133FF"/>
    <w:rsid w:val="000135ED"/>
    <w:rsid w:val="0001485A"/>
    <w:rsid w:val="00014BFD"/>
    <w:rsid w:val="00016F81"/>
    <w:rsid w:val="00017044"/>
    <w:rsid w:val="000208DB"/>
    <w:rsid w:val="00020A0D"/>
    <w:rsid w:val="000220FB"/>
    <w:rsid w:val="00023F14"/>
    <w:rsid w:val="000247E5"/>
    <w:rsid w:val="00024997"/>
    <w:rsid w:val="00024F88"/>
    <w:rsid w:val="00026FA7"/>
    <w:rsid w:val="00027615"/>
    <w:rsid w:val="00027927"/>
    <w:rsid w:val="00027BBF"/>
    <w:rsid w:val="000307F5"/>
    <w:rsid w:val="00031DEA"/>
    <w:rsid w:val="0003215E"/>
    <w:rsid w:val="0003231A"/>
    <w:rsid w:val="0003284F"/>
    <w:rsid w:val="00032DB4"/>
    <w:rsid w:val="00033416"/>
    <w:rsid w:val="000340DF"/>
    <w:rsid w:val="00035821"/>
    <w:rsid w:val="0003762E"/>
    <w:rsid w:val="00037812"/>
    <w:rsid w:val="00037996"/>
    <w:rsid w:val="00042694"/>
    <w:rsid w:val="00044D03"/>
    <w:rsid w:val="0004503C"/>
    <w:rsid w:val="00045453"/>
    <w:rsid w:val="00046571"/>
    <w:rsid w:val="00046D1C"/>
    <w:rsid w:val="000470F9"/>
    <w:rsid w:val="00050D31"/>
    <w:rsid w:val="00052DAC"/>
    <w:rsid w:val="000539B9"/>
    <w:rsid w:val="00053ACB"/>
    <w:rsid w:val="0005584A"/>
    <w:rsid w:val="0005647D"/>
    <w:rsid w:val="00056D86"/>
    <w:rsid w:val="000570C1"/>
    <w:rsid w:val="00057247"/>
    <w:rsid w:val="0005774C"/>
    <w:rsid w:val="00060E65"/>
    <w:rsid w:val="000617F6"/>
    <w:rsid w:val="00061A21"/>
    <w:rsid w:val="00064A5B"/>
    <w:rsid w:val="000652C5"/>
    <w:rsid w:val="000659D0"/>
    <w:rsid w:val="0006631C"/>
    <w:rsid w:val="00066C74"/>
    <w:rsid w:val="0006789E"/>
    <w:rsid w:val="00067CE1"/>
    <w:rsid w:val="000703F4"/>
    <w:rsid w:val="0007148E"/>
    <w:rsid w:val="00072268"/>
    <w:rsid w:val="0007306C"/>
    <w:rsid w:val="0007387C"/>
    <w:rsid w:val="00074A1C"/>
    <w:rsid w:val="000758BF"/>
    <w:rsid w:val="00075B78"/>
    <w:rsid w:val="000805E4"/>
    <w:rsid w:val="00081A79"/>
    <w:rsid w:val="0008248C"/>
    <w:rsid w:val="000860CE"/>
    <w:rsid w:val="00086653"/>
    <w:rsid w:val="00090360"/>
    <w:rsid w:val="00090488"/>
    <w:rsid w:val="00090613"/>
    <w:rsid w:val="000906C2"/>
    <w:rsid w:val="00091211"/>
    <w:rsid w:val="000918BF"/>
    <w:rsid w:val="00093FD1"/>
    <w:rsid w:val="00094E39"/>
    <w:rsid w:val="00094EB4"/>
    <w:rsid w:val="0009776D"/>
    <w:rsid w:val="000A0E6E"/>
    <w:rsid w:val="000A0EC9"/>
    <w:rsid w:val="000A15DF"/>
    <w:rsid w:val="000A25E3"/>
    <w:rsid w:val="000A315D"/>
    <w:rsid w:val="000A36CC"/>
    <w:rsid w:val="000A5462"/>
    <w:rsid w:val="000A5AC6"/>
    <w:rsid w:val="000A6D54"/>
    <w:rsid w:val="000B078F"/>
    <w:rsid w:val="000B093B"/>
    <w:rsid w:val="000B2E4C"/>
    <w:rsid w:val="000B35F0"/>
    <w:rsid w:val="000B36E0"/>
    <w:rsid w:val="000B513F"/>
    <w:rsid w:val="000B62E9"/>
    <w:rsid w:val="000B70A8"/>
    <w:rsid w:val="000B7907"/>
    <w:rsid w:val="000C106E"/>
    <w:rsid w:val="000C1CF7"/>
    <w:rsid w:val="000C232C"/>
    <w:rsid w:val="000C3237"/>
    <w:rsid w:val="000C5C90"/>
    <w:rsid w:val="000C6220"/>
    <w:rsid w:val="000C6855"/>
    <w:rsid w:val="000D0E5A"/>
    <w:rsid w:val="000D1E1D"/>
    <w:rsid w:val="000D4C2B"/>
    <w:rsid w:val="000D590C"/>
    <w:rsid w:val="000D6FDD"/>
    <w:rsid w:val="000D7652"/>
    <w:rsid w:val="000E27DB"/>
    <w:rsid w:val="000E3BB4"/>
    <w:rsid w:val="000E4498"/>
    <w:rsid w:val="000E6E86"/>
    <w:rsid w:val="000F0783"/>
    <w:rsid w:val="000F15D2"/>
    <w:rsid w:val="000F3D8A"/>
    <w:rsid w:val="000F432F"/>
    <w:rsid w:val="000F6A49"/>
    <w:rsid w:val="000F6C07"/>
    <w:rsid w:val="000F7ED6"/>
    <w:rsid w:val="00100198"/>
    <w:rsid w:val="00100E37"/>
    <w:rsid w:val="00101DA6"/>
    <w:rsid w:val="001024C7"/>
    <w:rsid w:val="00104ACD"/>
    <w:rsid w:val="00104F21"/>
    <w:rsid w:val="00105F13"/>
    <w:rsid w:val="00106356"/>
    <w:rsid w:val="001100E9"/>
    <w:rsid w:val="001105DF"/>
    <w:rsid w:val="00110AE5"/>
    <w:rsid w:val="001116C0"/>
    <w:rsid w:val="00113A87"/>
    <w:rsid w:val="0011481C"/>
    <w:rsid w:val="00114A98"/>
    <w:rsid w:val="00115639"/>
    <w:rsid w:val="001157B3"/>
    <w:rsid w:val="00115E8D"/>
    <w:rsid w:val="001169B6"/>
    <w:rsid w:val="0011779B"/>
    <w:rsid w:val="00117CDF"/>
    <w:rsid w:val="0012047A"/>
    <w:rsid w:val="0012228F"/>
    <w:rsid w:val="001242A4"/>
    <w:rsid w:val="00124414"/>
    <w:rsid w:val="001252CC"/>
    <w:rsid w:val="00125355"/>
    <w:rsid w:val="0012567A"/>
    <w:rsid w:val="00127617"/>
    <w:rsid w:val="00127E0D"/>
    <w:rsid w:val="00130524"/>
    <w:rsid w:val="0013107D"/>
    <w:rsid w:val="00131256"/>
    <w:rsid w:val="001326B7"/>
    <w:rsid w:val="00132CBE"/>
    <w:rsid w:val="0013367A"/>
    <w:rsid w:val="00133FD7"/>
    <w:rsid w:val="00134D56"/>
    <w:rsid w:val="0013547D"/>
    <w:rsid w:val="00136509"/>
    <w:rsid w:val="00137047"/>
    <w:rsid w:val="00137C6E"/>
    <w:rsid w:val="001400BF"/>
    <w:rsid w:val="00140CF4"/>
    <w:rsid w:val="00141A04"/>
    <w:rsid w:val="0014227C"/>
    <w:rsid w:val="00143BB3"/>
    <w:rsid w:val="00144BDE"/>
    <w:rsid w:val="00144D54"/>
    <w:rsid w:val="00146404"/>
    <w:rsid w:val="0014777B"/>
    <w:rsid w:val="00151E92"/>
    <w:rsid w:val="00154715"/>
    <w:rsid w:val="00154B4A"/>
    <w:rsid w:val="00155BB8"/>
    <w:rsid w:val="00155D67"/>
    <w:rsid w:val="00156858"/>
    <w:rsid w:val="0015696C"/>
    <w:rsid w:val="00156B0D"/>
    <w:rsid w:val="00156CBE"/>
    <w:rsid w:val="001574E4"/>
    <w:rsid w:val="00157BF9"/>
    <w:rsid w:val="00160B1F"/>
    <w:rsid w:val="0016213F"/>
    <w:rsid w:val="00163DE9"/>
    <w:rsid w:val="00163E82"/>
    <w:rsid w:val="001654B9"/>
    <w:rsid w:val="00166295"/>
    <w:rsid w:val="001669BF"/>
    <w:rsid w:val="001676D5"/>
    <w:rsid w:val="00171128"/>
    <w:rsid w:val="00171779"/>
    <w:rsid w:val="00171D4F"/>
    <w:rsid w:val="00172FDD"/>
    <w:rsid w:val="0017379D"/>
    <w:rsid w:val="00175115"/>
    <w:rsid w:val="00177166"/>
    <w:rsid w:val="00177D3E"/>
    <w:rsid w:val="00177D7A"/>
    <w:rsid w:val="00182C46"/>
    <w:rsid w:val="0018350F"/>
    <w:rsid w:val="0018411F"/>
    <w:rsid w:val="00186844"/>
    <w:rsid w:val="001869DD"/>
    <w:rsid w:val="00186BE7"/>
    <w:rsid w:val="00187CB6"/>
    <w:rsid w:val="00190216"/>
    <w:rsid w:val="00192323"/>
    <w:rsid w:val="001923DF"/>
    <w:rsid w:val="00193167"/>
    <w:rsid w:val="00194122"/>
    <w:rsid w:val="0019484C"/>
    <w:rsid w:val="001A0095"/>
    <w:rsid w:val="001A1112"/>
    <w:rsid w:val="001A220B"/>
    <w:rsid w:val="001A3E95"/>
    <w:rsid w:val="001A4046"/>
    <w:rsid w:val="001A40EA"/>
    <w:rsid w:val="001A4F8F"/>
    <w:rsid w:val="001A56F0"/>
    <w:rsid w:val="001B07C0"/>
    <w:rsid w:val="001B0CA1"/>
    <w:rsid w:val="001B0E98"/>
    <w:rsid w:val="001B1983"/>
    <w:rsid w:val="001B21BB"/>
    <w:rsid w:val="001B2EC7"/>
    <w:rsid w:val="001B4104"/>
    <w:rsid w:val="001B58AE"/>
    <w:rsid w:val="001B5A72"/>
    <w:rsid w:val="001B692B"/>
    <w:rsid w:val="001B6AB0"/>
    <w:rsid w:val="001B7961"/>
    <w:rsid w:val="001B79B0"/>
    <w:rsid w:val="001B7E50"/>
    <w:rsid w:val="001C093E"/>
    <w:rsid w:val="001C0A74"/>
    <w:rsid w:val="001C10F6"/>
    <w:rsid w:val="001C2442"/>
    <w:rsid w:val="001C2B13"/>
    <w:rsid w:val="001C3F84"/>
    <w:rsid w:val="001C5128"/>
    <w:rsid w:val="001C53F5"/>
    <w:rsid w:val="001D077D"/>
    <w:rsid w:val="001D0F62"/>
    <w:rsid w:val="001D136C"/>
    <w:rsid w:val="001D162D"/>
    <w:rsid w:val="001D2816"/>
    <w:rsid w:val="001D3E29"/>
    <w:rsid w:val="001D4A8D"/>
    <w:rsid w:val="001D669D"/>
    <w:rsid w:val="001D6920"/>
    <w:rsid w:val="001E0ACD"/>
    <w:rsid w:val="001E16B7"/>
    <w:rsid w:val="001E1756"/>
    <w:rsid w:val="001E2681"/>
    <w:rsid w:val="001E362E"/>
    <w:rsid w:val="001E4E65"/>
    <w:rsid w:val="001E6687"/>
    <w:rsid w:val="001E6A3A"/>
    <w:rsid w:val="001E75CF"/>
    <w:rsid w:val="001E7C7B"/>
    <w:rsid w:val="001F07F6"/>
    <w:rsid w:val="001F243F"/>
    <w:rsid w:val="001F2629"/>
    <w:rsid w:val="001F262E"/>
    <w:rsid w:val="001F2E12"/>
    <w:rsid w:val="001F2E1C"/>
    <w:rsid w:val="001F37AE"/>
    <w:rsid w:val="001F4E2F"/>
    <w:rsid w:val="002003BB"/>
    <w:rsid w:val="00201C91"/>
    <w:rsid w:val="00202EA0"/>
    <w:rsid w:val="00205566"/>
    <w:rsid w:val="002116EE"/>
    <w:rsid w:val="00212E0B"/>
    <w:rsid w:val="002140FC"/>
    <w:rsid w:val="00216249"/>
    <w:rsid w:val="00217009"/>
    <w:rsid w:val="0021741E"/>
    <w:rsid w:val="0022023F"/>
    <w:rsid w:val="0022074B"/>
    <w:rsid w:val="00221210"/>
    <w:rsid w:val="00222EE1"/>
    <w:rsid w:val="00224B8B"/>
    <w:rsid w:val="002266FB"/>
    <w:rsid w:val="00227973"/>
    <w:rsid w:val="00227A31"/>
    <w:rsid w:val="00227A70"/>
    <w:rsid w:val="0023182F"/>
    <w:rsid w:val="00231BC4"/>
    <w:rsid w:val="002329BF"/>
    <w:rsid w:val="00232EDA"/>
    <w:rsid w:val="00234E12"/>
    <w:rsid w:val="00234F8A"/>
    <w:rsid w:val="00236A0C"/>
    <w:rsid w:val="00236B07"/>
    <w:rsid w:val="00240D7E"/>
    <w:rsid w:val="002417C5"/>
    <w:rsid w:val="00241BEF"/>
    <w:rsid w:val="00242031"/>
    <w:rsid w:val="002424D5"/>
    <w:rsid w:val="002437E5"/>
    <w:rsid w:val="002452B4"/>
    <w:rsid w:val="00245379"/>
    <w:rsid w:val="00245861"/>
    <w:rsid w:val="0024675D"/>
    <w:rsid w:val="0024723B"/>
    <w:rsid w:val="00247857"/>
    <w:rsid w:val="00250648"/>
    <w:rsid w:val="002508CE"/>
    <w:rsid w:val="00250E06"/>
    <w:rsid w:val="00252FA3"/>
    <w:rsid w:val="00253495"/>
    <w:rsid w:val="00256046"/>
    <w:rsid w:val="00257AB9"/>
    <w:rsid w:val="0026306C"/>
    <w:rsid w:val="00263286"/>
    <w:rsid w:val="002632EB"/>
    <w:rsid w:val="0026470B"/>
    <w:rsid w:val="00265D86"/>
    <w:rsid w:val="0026730E"/>
    <w:rsid w:val="002673E8"/>
    <w:rsid w:val="00270EEA"/>
    <w:rsid w:val="002712D1"/>
    <w:rsid w:val="00272CFE"/>
    <w:rsid w:val="00272D8C"/>
    <w:rsid w:val="002737EF"/>
    <w:rsid w:val="00273D5B"/>
    <w:rsid w:val="00274E0B"/>
    <w:rsid w:val="00275E53"/>
    <w:rsid w:val="002763EE"/>
    <w:rsid w:val="00276D79"/>
    <w:rsid w:val="00276DFC"/>
    <w:rsid w:val="00277591"/>
    <w:rsid w:val="002803B1"/>
    <w:rsid w:val="00281C04"/>
    <w:rsid w:val="0028240F"/>
    <w:rsid w:val="00282BC3"/>
    <w:rsid w:val="002848CA"/>
    <w:rsid w:val="00284BC9"/>
    <w:rsid w:val="002863A3"/>
    <w:rsid w:val="00290138"/>
    <w:rsid w:val="00290916"/>
    <w:rsid w:val="002909AB"/>
    <w:rsid w:val="00291E2A"/>
    <w:rsid w:val="00291FC8"/>
    <w:rsid w:val="00292E93"/>
    <w:rsid w:val="002933B4"/>
    <w:rsid w:val="00293741"/>
    <w:rsid w:val="0029458B"/>
    <w:rsid w:val="00294EE7"/>
    <w:rsid w:val="00295011"/>
    <w:rsid w:val="00295D51"/>
    <w:rsid w:val="00297AB6"/>
    <w:rsid w:val="00297D75"/>
    <w:rsid w:val="002A2D9A"/>
    <w:rsid w:val="002A2E8B"/>
    <w:rsid w:val="002A3387"/>
    <w:rsid w:val="002A37A7"/>
    <w:rsid w:val="002A4637"/>
    <w:rsid w:val="002A4E5E"/>
    <w:rsid w:val="002A51D9"/>
    <w:rsid w:val="002A5B02"/>
    <w:rsid w:val="002A69DE"/>
    <w:rsid w:val="002A6E78"/>
    <w:rsid w:val="002A7FCA"/>
    <w:rsid w:val="002B200C"/>
    <w:rsid w:val="002B3718"/>
    <w:rsid w:val="002B37B7"/>
    <w:rsid w:val="002B5A8C"/>
    <w:rsid w:val="002B5AC4"/>
    <w:rsid w:val="002B63AC"/>
    <w:rsid w:val="002B67FD"/>
    <w:rsid w:val="002B7BB5"/>
    <w:rsid w:val="002B7F24"/>
    <w:rsid w:val="002C0423"/>
    <w:rsid w:val="002C1296"/>
    <w:rsid w:val="002C1506"/>
    <w:rsid w:val="002C24A0"/>
    <w:rsid w:val="002C3199"/>
    <w:rsid w:val="002C3A2D"/>
    <w:rsid w:val="002C483F"/>
    <w:rsid w:val="002C5EC6"/>
    <w:rsid w:val="002C6CDC"/>
    <w:rsid w:val="002D0B37"/>
    <w:rsid w:val="002D18AF"/>
    <w:rsid w:val="002D1A3A"/>
    <w:rsid w:val="002D3CEA"/>
    <w:rsid w:val="002D520C"/>
    <w:rsid w:val="002D5E45"/>
    <w:rsid w:val="002D65C1"/>
    <w:rsid w:val="002D7E3F"/>
    <w:rsid w:val="002D7E6D"/>
    <w:rsid w:val="002E0B54"/>
    <w:rsid w:val="002E2F0C"/>
    <w:rsid w:val="002E3E97"/>
    <w:rsid w:val="002E3F0D"/>
    <w:rsid w:val="002E425B"/>
    <w:rsid w:val="002E4C08"/>
    <w:rsid w:val="002E5B40"/>
    <w:rsid w:val="002E60B6"/>
    <w:rsid w:val="002E6719"/>
    <w:rsid w:val="002E6E67"/>
    <w:rsid w:val="002E6F1B"/>
    <w:rsid w:val="002F0C59"/>
    <w:rsid w:val="002F1063"/>
    <w:rsid w:val="002F17BB"/>
    <w:rsid w:val="002F2164"/>
    <w:rsid w:val="002F21A7"/>
    <w:rsid w:val="00300261"/>
    <w:rsid w:val="0030033D"/>
    <w:rsid w:val="00300DB1"/>
    <w:rsid w:val="00303DE9"/>
    <w:rsid w:val="003040AF"/>
    <w:rsid w:val="003045A9"/>
    <w:rsid w:val="00305197"/>
    <w:rsid w:val="0030547F"/>
    <w:rsid w:val="00305984"/>
    <w:rsid w:val="00305D1F"/>
    <w:rsid w:val="003069BF"/>
    <w:rsid w:val="003075A8"/>
    <w:rsid w:val="00307683"/>
    <w:rsid w:val="00307DAF"/>
    <w:rsid w:val="00311A89"/>
    <w:rsid w:val="0031278A"/>
    <w:rsid w:val="00313783"/>
    <w:rsid w:val="00316477"/>
    <w:rsid w:val="0031678C"/>
    <w:rsid w:val="003170BD"/>
    <w:rsid w:val="00317213"/>
    <w:rsid w:val="003172E3"/>
    <w:rsid w:val="003172F0"/>
    <w:rsid w:val="00321A65"/>
    <w:rsid w:val="00322E6E"/>
    <w:rsid w:val="003231E5"/>
    <w:rsid w:val="0032361D"/>
    <w:rsid w:val="003260D2"/>
    <w:rsid w:val="0032610E"/>
    <w:rsid w:val="00330F65"/>
    <w:rsid w:val="00331059"/>
    <w:rsid w:val="00331907"/>
    <w:rsid w:val="00332D5E"/>
    <w:rsid w:val="003333F2"/>
    <w:rsid w:val="00333F92"/>
    <w:rsid w:val="00335607"/>
    <w:rsid w:val="00336B70"/>
    <w:rsid w:val="00337084"/>
    <w:rsid w:val="0033741A"/>
    <w:rsid w:val="003379C8"/>
    <w:rsid w:val="00337E32"/>
    <w:rsid w:val="0034019B"/>
    <w:rsid w:val="003401BF"/>
    <w:rsid w:val="00341A72"/>
    <w:rsid w:val="00341EFA"/>
    <w:rsid w:val="00342651"/>
    <w:rsid w:val="00342B4C"/>
    <w:rsid w:val="00343307"/>
    <w:rsid w:val="003438E6"/>
    <w:rsid w:val="00345297"/>
    <w:rsid w:val="00345B00"/>
    <w:rsid w:val="0035167D"/>
    <w:rsid w:val="00352368"/>
    <w:rsid w:val="00354A6F"/>
    <w:rsid w:val="00354D5D"/>
    <w:rsid w:val="00354D7F"/>
    <w:rsid w:val="00354DFE"/>
    <w:rsid w:val="00357551"/>
    <w:rsid w:val="00357803"/>
    <w:rsid w:val="0036008F"/>
    <w:rsid w:val="00362666"/>
    <w:rsid w:val="003633D5"/>
    <w:rsid w:val="0036374B"/>
    <w:rsid w:val="00365A49"/>
    <w:rsid w:val="00365FDD"/>
    <w:rsid w:val="00367302"/>
    <w:rsid w:val="00367459"/>
    <w:rsid w:val="00367EA7"/>
    <w:rsid w:val="00370031"/>
    <w:rsid w:val="0037012F"/>
    <w:rsid w:val="0037081E"/>
    <w:rsid w:val="00373505"/>
    <w:rsid w:val="003743E1"/>
    <w:rsid w:val="00375D2B"/>
    <w:rsid w:val="00380362"/>
    <w:rsid w:val="003806A4"/>
    <w:rsid w:val="00380CE7"/>
    <w:rsid w:val="00380CED"/>
    <w:rsid w:val="00381CF8"/>
    <w:rsid w:val="00382307"/>
    <w:rsid w:val="0038488D"/>
    <w:rsid w:val="003858EA"/>
    <w:rsid w:val="00385F32"/>
    <w:rsid w:val="00387581"/>
    <w:rsid w:val="003905B1"/>
    <w:rsid w:val="00390D54"/>
    <w:rsid w:val="00390E7B"/>
    <w:rsid w:val="00392648"/>
    <w:rsid w:val="003949B4"/>
    <w:rsid w:val="00394F08"/>
    <w:rsid w:val="003952D2"/>
    <w:rsid w:val="003A041D"/>
    <w:rsid w:val="003A15C6"/>
    <w:rsid w:val="003A3505"/>
    <w:rsid w:val="003A6C9E"/>
    <w:rsid w:val="003A7A88"/>
    <w:rsid w:val="003B09C1"/>
    <w:rsid w:val="003B0C02"/>
    <w:rsid w:val="003B0CF8"/>
    <w:rsid w:val="003B2173"/>
    <w:rsid w:val="003B40CF"/>
    <w:rsid w:val="003B50B1"/>
    <w:rsid w:val="003B548A"/>
    <w:rsid w:val="003B66A2"/>
    <w:rsid w:val="003B6799"/>
    <w:rsid w:val="003C06D7"/>
    <w:rsid w:val="003C1FBD"/>
    <w:rsid w:val="003C2A2C"/>
    <w:rsid w:val="003C341B"/>
    <w:rsid w:val="003C3FD9"/>
    <w:rsid w:val="003C4B89"/>
    <w:rsid w:val="003C59D6"/>
    <w:rsid w:val="003C716B"/>
    <w:rsid w:val="003D029A"/>
    <w:rsid w:val="003D06C9"/>
    <w:rsid w:val="003D283B"/>
    <w:rsid w:val="003D3AF7"/>
    <w:rsid w:val="003D6263"/>
    <w:rsid w:val="003D62DE"/>
    <w:rsid w:val="003D7904"/>
    <w:rsid w:val="003E0381"/>
    <w:rsid w:val="003E088B"/>
    <w:rsid w:val="003E0E4A"/>
    <w:rsid w:val="003E1040"/>
    <w:rsid w:val="003E10D0"/>
    <w:rsid w:val="003E11F3"/>
    <w:rsid w:val="003E2BF0"/>
    <w:rsid w:val="003E464F"/>
    <w:rsid w:val="003E63F0"/>
    <w:rsid w:val="003E7DE6"/>
    <w:rsid w:val="003F026A"/>
    <w:rsid w:val="003F0500"/>
    <w:rsid w:val="003F060A"/>
    <w:rsid w:val="003F2275"/>
    <w:rsid w:val="003F2DBF"/>
    <w:rsid w:val="003F3394"/>
    <w:rsid w:val="003F43E3"/>
    <w:rsid w:val="003F7DD5"/>
    <w:rsid w:val="0040045D"/>
    <w:rsid w:val="004014A0"/>
    <w:rsid w:val="00402899"/>
    <w:rsid w:val="00403321"/>
    <w:rsid w:val="0040389B"/>
    <w:rsid w:val="00403D40"/>
    <w:rsid w:val="00404BA2"/>
    <w:rsid w:val="00405B7B"/>
    <w:rsid w:val="0040620A"/>
    <w:rsid w:val="00406A66"/>
    <w:rsid w:val="00412EB4"/>
    <w:rsid w:val="00414788"/>
    <w:rsid w:val="00415275"/>
    <w:rsid w:val="00415463"/>
    <w:rsid w:val="00417645"/>
    <w:rsid w:val="00421875"/>
    <w:rsid w:val="00422B1D"/>
    <w:rsid w:val="00422C43"/>
    <w:rsid w:val="00422DB3"/>
    <w:rsid w:val="004251E3"/>
    <w:rsid w:val="00425230"/>
    <w:rsid w:val="00425FB0"/>
    <w:rsid w:val="00426DF0"/>
    <w:rsid w:val="00426EBC"/>
    <w:rsid w:val="00427165"/>
    <w:rsid w:val="00427BAB"/>
    <w:rsid w:val="00427FF1"/>
    <w:rsid w:val="00430466"/>
    <w:rsid w:val="00430C26"/>
    <w:rsid w:val="004311D7"/>
    <w:rsid w:val="004319C0"/>
    <w:rsid w:val="004327AF"/>
    <w:rsid w:val="0043391E"/>
    <w:rsid w:val="00435A7B"/>
    <w:rsid w:val="004360FA"/>
    <w:rsid w:val="00440B99"/>
    <w:rsid w:val="00440CC5"/>
    <w:rsid w:val="00441192"/>
    <w:rsid w:val="004460B7"/>
    <w:rsid w:val="0044626D"/>
    <w:rsid w:val="004462D4"/>
    <w:rsid w:val="00446CF3"/>
    <w:rsid w:val="00447253"/>
    <w:rsid w:val="0044783F"/>
    <w:rsid w:val="00447952"/>
    <w:rsid w:val="00451F62"/>
    <w:rsid w:val="00452F3E"/>
    <w:rsid w:val="00453D02"/>
    <w:rsid w:val="0045416C"/>
    <w:rsid w:val="004548D9"/>
    <w:rsid w:val="004559CF"/>
    <w:rsid w:val="004573C8"/>
    <w:rsid w:val="00457EE8"/>
    <w:rsid w:val="0046025F"/>
    <w:rsid w:val="004612C8"/>
    <w:rsid w:val="00461823"/>
    <w:rsid w:val="004635DF"/>
    <w:rsid w:val="0046389C"/>
    <w:rsid w:val="00464889"/>
    <w:rsid w:val="004658C2"/>
    <w:rsid w:val="00466B45"/>
    <w:rsid w:val="00466C0B"/>
    <w:rsid w:val="00466FE7"/>
    <w:rsid w:val="0046707B"/>
    <w:rsid w:val="00467961"/>
    <w:rsid w:val="00471113"/>
    <w:rsid w:val="00471756"/>
    <w:rsid w:val="0047190A"/>
    <w:rsid w:val="00472142"/>
    <w:rsid w:val="00472385"/>
    <w:rsid w:val="004734CA"/>
    <w:rsid w:val="004742DD"/>
    <w:rsid w:val="004751DA"/>
    <w:rsid w:val="00475D73"/>
    <w:rsid w:val="00476966"/>
    <w:rsid w:val="00476E6D"/>
    <w:rsid w:val="0047784D"/>
    <w:rsid w:val="00477F2F"/>
    <w:rsid w:val="004808B8"/>
    <w:rsid w:val="004820EB"/>
    <w:rsid w:val="00482196"/>
    <w:rsid w:val="004827B5"/>
    <w:rsid w:val="00483458"/>
    <w:rsid w:val="0048391C"/>
    <w:rsid w:val="004846D7"/>
    <w:rsid w:val="00485148"/>
    <w:rsid w:val="004855A7"/>
    <w:rsid w:val="00485D32"/>
    <w:rsid w:val="00485DD9"/>
    <w:rsid w:val="004860CA"/>
    <w:rsid w:val="00486D78"/>
    <w:rsid w:val="004875F2"/>
    <w:rsid w:val="004902AC"/>
    <w:rsid w:val="004926A7"/>
    <w:rsid w:val="00493013"/>
    <w:rsid w:val="00495736"/>
    <w:rsid w:val="00497E01"/>
    <w:rsid w:val="004A0D40"/>
    <w:rsid w:val="004A1110"/>
    <w:rsid w:val="004A1FA0"/>
    <w:rsid w:val="004A38EA"/>
    <w:rsid w:val="004A511E"/>
    <w:rsid w:val="004A5484"/>
    <w:rsid w:val="004A5FFB"/>
    <w:rsid w:val="004A608F"/>
    <w:rsid w:val="004A6AB0"/>
    <w:rsid w:val="004A6CFF"/>
    <w:rsid w:val="004A6ECD"/>
    <w:rsid w:val="004A7FD2"/>
    <w:rsid w:val="004B20C7"/>
    <w:rsid w:val="004B2E90"/>
    <w:rsid w:val="004B3431"/>
    <w:rsid w:val="004B36D7"/>
    <w:rsid w:val="004B3DF1"/>
    <w:rsid w:val="004B3F4A"/>
    <w:rsid w:val="004B4A82"/>
    <w:rsid w:val="004B566A"/>
    <w:rsid w:val="004B5DF4"/>
    <w:rsid w:val="004B7118"/>
    <w:rsid w:val="004B77C4"/>
    <w:rsid w:val="004B7F1E"/>
    <w:rsid w:val="004B7FD6"/>
    <w:rsid w:val="004C090E"/>
    <w:rsid w:val="004C26FF"/>
    <w:rsid w:val="004C30BD"/>
    <w:rsid w:val="004C33DE"/>
    <w:rsid w:val="004C3894"/>
    <w:rsid w:val="004C4689"/>
    <w:rsid w:val="004C4953"/>
    <w:rsid w:val="004C4D9A"/>
    <w:rsid w:val="004C5138"/>
    <w:rsid w:val="004C532A"/>
    <w:rsid w:val="004C5C0F"/>
    <w:rsid w:val="004C648F"/>
    <w:rsid w:val="004C75A7"/>
    <w:rsid w:val="004C7998"/>
    <w:rsid w:val="004D00AB"/>
    <w:rsid w:val="004D0178"/>
    <w:rsid w:val="004D2FE3"/>
    <w:rsid w:val="004D5747"/>
    <w:rsid w:val="004D6DC4"/>
    <w:rsid w:val="004D7682"/>
    <w:rsid w:val="004D7CEF"/>
    <w:rsid w:val="004D7DFC"/>
    <w:rsid w:val="004E1863"/>
    <w:rsid w:val="004E2187"/>
    <w:rsid w:val="004E363D"/>
    <w:rsid w:val="004E4E9B"/>
    <w:rsid w:val="004E4FDC"/>
    <w:rsid w:val="004E66DE"/>
    <w:rsid w:val="004E690F"/>
    <w:rsid w:val="004E73FD"/>
    <w:rsid w:val="004E79EF"/>
    <w:rsid w:val="004F102D"/>
    <w:rsid w:val="004F2AF3"/>
    <w:rsid w:val="004F304C"/>
    <w:rsid w:val="004F35E8"/>
    <w:rsid w:val="004F3DAB"/>
    <w:rsid w:val="005008D6"/>
    <w:rsid w:val="00501756"/>
    <w:rsid w:val="0050349A"/>
    <w:rsid w:val="00503979"/>
    <w:rsid w:val="00503CEC"/>
    <w:rsid w:val="0050424A"/>
    <w:rsid w:val="00504700"/>
    <w:rsid w:val="0050553E"/>
    <w:rsid w:val="00505A52"/>
    <w:rsid w:val="005065A0"/>
    <w:rsid w:val="005111BD"/>
    <w:rsid w:val="005114C0"/>
    <w:rsid w:val="00512093"/>
    <w:rsid w:val="0051243F"/>
    <w:rsid w:val="005125A6"/>
    <w:rsid w:val="005126E3"/>
    <w:rsid w:val="0051312D"/>
    <w:rsid w:val="00515862"/>
    <w:rsid w:val="0051589F"/>
    <w:rsid w:val="00515914"/>
    <w:rsid w:val="00516D1A"/>
    <w:rsid w:val="00516F46"/>
    <w:rsid w:val="005171D6"/>
    <w:rsid w:val="00517218"/>
    <w:rsid w:val="005205A8"/>
    <w:rsid w:val="00523822"/>
    <w:rsid w:val="00523ACA"/>
    <w:rsid w:val="0052522D"/>
    <w:rsid w:val="00525BE9"/>
    <w:rsid w:val="00526D6B"/>
    <w:rsid w:val="0053013A"/>
    <w:rsid w:val="00530564"/>
    <w:rsid w:val="00531F55"/>
    <w:rsid w:val="005331CF"/>
    <w:rsid w:val="00534461"/>
    <w:rsid w:val="00535218"/>
    <w:rsid w:val="005360C3"/>
    <w:rsid w:val="00537844"/>
    <w:rsid w:val="005378AC"/>
    <w:rsid w:val="00542618"/>
    <w:rsid w:val="00542F98"/>
    <w:rsid w:val="0054360E"/>
    <w:rsid w:val="005440DA"/>
    <w:rsid w:val="00544559"/>
    <w:rsid w:val="00544732"/>
    <w:rsid w:val="00544871"/>
    <w:rsid w:val="00544AB3"/>
    <w:rsid w:val="00545A46"/>
    <w:rsid w:val="005461E2"/>
    <w:rsid w:val="0054652F"/>
    <w:rsid w:val="00547CB8"/>
    <w:rsid w:val="00550EDA"/>
    <w:rsid w:val="00554A45"/>
    <w:rsid w:val="00554EE7"/>
    <w:rsid w:val="00555F4D"/>
    <w:rsid w:val="00556DF2"/>
    <w:rsid w:val="00557368"/>
    <w:rsid w:val="00557EDD"/>
    <w:rsid w:val="0056201C"/>
    <w:rsid w:val="005634EF"/>
    <w:rsid w:val="00564015"/>
    <w:rsid w:val="005709DA"/>
    <w:rsid w:val="00571807"/>
    <w:rsid w:val="00572DF2"/>
    <w:rsid w:val="00574502"/>
    <w:rsid w:val="005756EB"/>
    <w:rsid w:val="0057583C"/>
    <w:rsid w:val="0057625F"/>
    <w:rsid w:val="005769E4"/>
    <w:rsid w:val="00580788"/>
    <w:rsid w:val="005819F5"/>
    <w:rsid w:val="00583564"/>
    <w:rsid w:val="00584D89"/>
    <w:rsid w:val="005851DE"/>
    <w:rsid w:val="005866C2"/>
    <w:rsid w:val="00586748"/>
    <w:rsid w:val="005872E0"/>
    <w:rsid w:val="00587CCE"/>
    <w:rsid w:val="00590E3C"/>
    <w:rsid w:val="00591499"/>
    <w:rsid w:val="005940E7"/>
    <w:rsid w:val="005948BA"/>
    <w:rsid w:val="00595F1B"/>
    <w:rsid w:val="005A083B"/>
    <w:rsid w:val="005A0AD5"/>
    <w:rsid w:val="005A13F6"/>
    <w:rsid w:val="005A2E20"/>
    <w:rsid w:val="005A319F"/>
    <w:rsid w:val="005A42BC"/>
    <w:rsid w:val="005A445A"/>
    <w:rsid w:val="005A59F9"/>
    <w:rsid w:val="005A608E"/>
    <w:rsid w:val="005A675B"/>
    <w:rsid w:val="005A67E9"/>
    <w:rsid w:val="005A7D54"/>
    <w:rsid w:val="005B0399"/>
    <w:rsid w:val="005B22CF"/>
    <w:rsid w:val="005B62AC"/>
    <w:rsid w:val="005B76D9"/>
    <w:rsid w:val="005C0957"/>
    <w:rsid w:val="005C111C"/>
    <w:rsid w:val="005C1421"/>
    <w:rsid w:val="005C4169"/>
    <w:rsid w:val="005C4B69"/>
    <w:rsid w:val="005C5259"/>
    <w:rsid w:val="005C6C1A"/>
    <w:rsid w:val="005C78D8"/>
    <w:rsid w:val="005D2E30"/>
    <w:rsid w:val="005D6687"/>
    <w:rsid w:val="005E0810"/>
    <w:rsid w:val="005E135C"/>
    <w:rsid w:val="005E14E9"/>
    <w:rsid w:val="005E1863"/>
    <w:rsid w:val="005E1F31"/>
    <w:rsid w:val="005E368F"/>
    <w:rsid w:val="005E36BA"/>
    <w:rsid w:val="005F0228"/>
    <w:rsid w:val="005F220A"/>
    <w:rsid w:val="005F34C7"/>
    <w:rsid w:val="005F58E9"/>
    <w:rsid w:val="005F5A8B"/>
    <w:rsid w:val="005F62DD"/>
    <w:rsid w:val="005F6868"/>
    <w:rsid w:val="00601316"/>
    <w:rsid w:val="0060207D"/>
    <w:rsid w:val="006025A9"/>
    <w:rsid w:val="00603394"/>
    <w:rsid w:val="0060634E"/>
    <w:rsid w:val="00606DC6"/>
    <w:rsid w:val="0060723C"/>
    <w:rsid w:val="0061248C"/>
    <w:rsid w:val="00612D3A"/>
    <w:rsid w:val="00612F3B"/>
    <w:rsid w:val="00613A6F"/>
    <w:rsid w:val="00613B59"/>
    <w:rsid w:val="006151B2"/>
    <w:rsid w:val="0061539B"/>
    <w:rsid w:val="006154E8"/>
    <w:rsid w:val="00616D09"/>
    <w:rsid w:val="00616D84"/>
    <w:rsid w:val="00616E9D"/>
    <w:rsid w:val="00617484"/>
    <w:rsid w:val="00617B3F"/>
    <w:rsid w:val="00617BDC"/>
    <w:rsid w:val="00617D53"/>
    <w:rsid w:val="00621238"/>
    <w:rsid w:val="006219CE"/>
    <w:rsid w:val="00621FB0"/>
    <w:rsid w:val="006220DF"/>
    <w:rsid w:val="00624613"/>
    <w:rsid w:val="00625B78"/>
    <w:rsid w:val="00625C88"/>
    <w:rsid w:val="00631725"/>
    <w:rsid w:val="00631A0F"/>
    <w:rsid w:val="00631D22"/>
    <w:rsid w:val="00632DB4"/>
    <w:rsid w:val="00633114"/>
    <w:rsid w:val="00635510"/>
    <w:rsid w:val="00636153"/>
    <w:rsid w:val="00637DF8"/>
    <w:rsid w:val="00640040"/>
    <w:rsid w:val="00643A25"/>
    <w:rsid w:val="006440BA"/>
    <w:rsid w:val="00645103"/>
    <w:rsid w:val="00645466"/>
    <w:rsid w:val="006458BE"/>
    <w:rsid w:val="006459E2"/>
    <w:rsid w:val="00645B40"/>
    <w:rsid w:val="00647D30"/>
    <w:rsid w:val="00650FD2"/>
    <w:rsid w:val="00652334"/>
    <w:rsid w:val="006540E9"/>
    <w:rsid w:val="00654252"/>
    <w:rsid w:val="00654492"/>
    <w:rsid w:val="00655185"/>
    <w:rsid w:val="006574CC"/>
    <w:rsid w:val="006609D1"/>
    <w:rsid w:val="00663042"/>
    <w:rsid w:val="00663DC6"/>
    <w:rsid w:val="00664B58"/>
    <w:rsid w:val="00665662"/>
    <w:rsid w:val="006708BD"/>
    <w:rsid w:val="00670D40"/>
    <w:rsid w:val="00672E0B"/>
    <w:rsid w:val="006742FC"/>
    <w:rsid w:val="00675A50"/>
    <w:rsid w:val="00675D5B"/>
    <w:rsid w:val="00675E54"/>
    <w:rsid w:val="00675FE5"/>
    <w:rsid w:val="0067673D"/>
    <w:rsid w:val="00676D50"/>
    <w:rsid w:val="00677BC0"/>
    <w:rsid w:val="006827A7"/>
    <w:rsid w:val="00682B7B"/>
    <w:rsid w:val="006834BC"/>
    <w:rsid w:val="006837F0"/>
    <w:rsid w:val="0068667B"/>
    <w:rsid w:val="006878DA"/>
    <w:rsid w:val="00691253"/>
    <w:rsid w:val="00691EE0"/>
    <w:rsid w:val="00691F80"/>
    <w:rsid w:val="00692E85"/>
    <w:rsid w:val="006930A2"/>
    <w:rsid w:val="00693483"/>
    <w:rsid w:val="006949FF"/>
    <w:rsid w:val="00694D29"/>
    <w:rsid w:val="00695134"/>
    <w:rsid w:val="00695350"/>
    <w:rsid w:val="0069612A"/>
    <w:rsid w:val="00696448"/>
    <w:rsid w:val="006A0569"/>
    <w:rsid w:val="006A0F1F"/>
    <w:rsid w:val="006A119F"/>
    <w:rsid w:val="006A1ABB"/>
    <w:rsid w:val="006A1DBC"/>
    <w:rsid w:val="006A1E3F"/>
    <w:rsid w:val="006A2A26"/>
    <w:rsid w:val="006A37A5"/>
    <w:rsid w:val="006A4BA7"/>
    <w:rsid w:val="006A530A"/>
    <w:rsid w:val="006A5462"/>
    <w:rsid w:val="006A771F"/>
    <w:rsid w:val="006B0463"/>
    <w:rsid w:val="006B04B3"/>
    <w:rsid w:val="006B0898"/>
    <w:rsid w:val="006B200D"/>
    <w:rsid w:val="006B65E3"/>
    <w:rsid w:val="006B7FB5"/>
    <w:rsid w:val="006C185A"/>
    <w:rsid w:val="006C1B38"/>
    <w:rsid w:val="006C3446"/>
    <w:rsid w:val="006C3474"/>
    <w:rsid w:val="006C3F3D"/>
    <w:rsid w:val="006C5ED7"/>
    <w:rsid w:val="006C605E"/>
    <w:rsid w:val="006C60AF"/>
    <w:rsid w:val="006C62E5"/>
    <w:rsid w:val="006D1D7F"/>
    <w:rsid w:val="006D2041"/>
    <w:rsid w:val="006D6420"/>
    <w:rsid w:val="006D76F6"/>
    <w:rsid w:val="006E02B5"/>
    <w:rsid w:val="006E02C4"/>
    <w:rsid w:val="006E03A2"/>
    <w:rsid w:val="006E168F"/>
    <w:rsid w:val="006E3790"/>
    <w:rsid w:val="006E37E6"/>
    <w:rsid w:val="006E4761"/>
    <w:rsid w:val="006E5665"/>
    <w:rsid w:val="006E641B"/>
    <w:rsid w:val="006E676F"/>
    <w:rsid w:val="006E68A1"/>
    <w:rsid w:val="006E6FA2"/>
    <w:rsid w:val="006E75F7"/>
    <w:rsid w:val="006F08CC"/>
    <w:rsid w:val="006F12F2"/>
    <w:rsid w:val="006F2420"/>
    <w:rsid w:val="006F579E"/>
    <w:rsid w:val="006F6800"/>
    <w:rsid w:val="006F69F2"/>
    <w:rsid w:val="006F70F9"/>
    <w:rsid w:val="0070057D"/>
    <w:rsid w:val="00700F68"/>
    <w:rsid w:val="00701188"/>
    <w:rsid w:val="007019C0"/>
    <w:rsid w:val="00701B3A"/>
    <w:rsid w:val="00701DBF"/>
    <w:rsid w:val="00702647"/>
    <w:rsid w:val="00702F5B"/>
    <w:rsid w:val="00705575"/>
    <w:rsid w:val="00705B09"/>
    <w:rsid w:val="00706DC6"/>
    <w:rsid w:val="0071032B"/>
    <w:rsid w:val="007105B3"/>
    <w:rsid w:val="00710CA4"/>
    <w:rsid w:val="0071367E"/>
    <w:rsid w:val="00713BF6"/>
    <w:rsid w:val="00713D7F"/>
    <w:rsid w:val="00714F69"/>
    <w:rsid w:val="00715E85"/>
    <w:rsid w:val="00715F6D"/>
    <w:rsid w:val="00717CDC"/>
    <w:rsid w:val="0072017D"/>
    <w:rsid w:val="00720359"/>
    <w:rsid w:val="007205E0"/>
    <w:rsid w:val="00721D61"/>
    <w:rsid w:val="0072366B"/>
    <w:rsid w:val="007236A0"/>
    <w:rsid w:val="0072371C"/>
    <w:rsid w:val="007241B5"/>
    <w:rsid w:val="0072646B"/>
    <w:rsid w:val="00726C08"/>
    <w:rsid w:val="00727A57"/>
    <w:rsid w:val="00730054"/>
    <w:rsid w:val="00730914"/>
    <w:rsid w:val="00731259"/>
    <w:rsid w:val="007312B6"/>
    <w:rsid w:val="0073234C"/>
    <w:rsid w:val="00732ECF"/>
    <w:rsid w:val="007357FD"/>
    <w:rsid w:val="00735A71"/>
    <w:rsid w:val="00736790"/>
    <w:rsid w:val="00736A8E"/>
    <w:rsid w:val="00736AC1"/>
    <w:rsid w:val="00736AC9"/>
    <w:rsid w:val="0073733B"/>
    <w:rsid w:val="0073774A"/>
    <w:rsid w:val="007379D9"/>
    <w:rsid w:val="00741F0E"/>
    <w:rsid w:val="00743229"/>
    <w:rsid w:val="00743776"/>
    <w:rsid w:val="007444B4"/>
    <w:rsid w:val="00745DB3"/>
    <w:rsid w:val="00746DD7"/>
    <w:rsid w:val="00747C78"/>
    <w:rsid w:val="007505E4"/>
    <w:rsid w:val="00750A2A"/>
    <w:rsid w:val="00751297"/>
    <w:rsid w:val="0075141B"/>
    <w:rsid w:val="0075274C"/>
    <w:rsid w:val="00755500"/>
    <w:rsid w:val="007559D1"/>
    <w:rsid w:val="00756D76"/>
    <w:rsid w:val="00756EB8"/>
    <w:rsid w:val="00756EC9"/>
    <w:rsid w:val="00757017"/>
    <w:rsid w:val="00760626"/>
    <w:rsid w:val="00760AA4"/>
    <w:rsid w:val="00760ED1"/>
    <w:rsid w:val="00762114"/>
    <w:rsid w:val="00763EE4"/>
    <w:rsid w:val="00764336"/>
    <w:rsid w:val="007647D3"/>
    <w:rsid w:val="0076758A"/>
    <w:rsid w:val="00771AF4"/>
    <w:rsid w:val="007723BC"/>
    <w:rsid w:val="00773106"/>
    <w:rsid w:val="00773DDA"/>
    <w:rsid w:val="00775587"/>
    <w:rsid w:val="00775CFF"/>
    <w:rsid w:val="0077643B"/>
    <w:rsid w:val="0077680B"/>
    <w:rsid w:val="00776EE4"/>
    <w:rsid w:val="00780908"/>
    <w:rsid w:val="007815EB"/>
    <w:rsid w:val="007833A0"/>
    <w:rsid w:val="00783D17"/>
    <w:rsid w:val="00784680"/>
    <w:rsid w:val="00784B64"/>
    <w:rsid w:val="00784CC6"/>
    <w:rsid w:val="00786507"/>
    <w:rsid w:val="00787FDB"/>
    <w:rsid w:val="007917F2"/>
    <w:rsid w:val="00791AE4"/>
    <w:rsid w:val="00791E68"/>
    <w:rsid w:val="00792DF3"/>
    <w:rsid w:val="00793870"/>
    <w:rsid w:val="0079662C"/>
    <w:rsid w:val="00797221"/>
    <w:rsid w:val="0079777F"/>
    <w:rsid w:val="007A0689"/>
    <w:rsid w:val="007A0D55"/>
    <w:rsid w:val="007A1AF6"/>
    <w:rsid w:val="007A2EC0"/>
    <w:rsid w:val="007A3543"/>
    <w:rsid w:val="007B0821"/>
    <w:rsid w:val="007B153F"/>
    <w:rsid w:val="007B1FCA"/>
    <w:rsid w:val="007B20A5"/>
    <w:rsid w:val="007B2304"/>
    <w:rsid w:val="007B2AEA"/>
    <w:rsid w:val="007B2C23"/>
    <w:rsid w:val="007B322B"/>
    <w:rsid w:val="007B4D99"/>
    <w:rsid w:val="007B59B4"/>
    <w:rsid w:val="007B5CBB"/>
    <w:rsid w:val="007B6743"/>
    <w:rsid w:val="007B6846"/>
    <w:rsid w:val="007B6AC2"/>
    <w:rsid w:val="007C06DA"/>
    <w:rsid w:val="007C0AA2"/>
    <w:rsid w:val="007C27D2"/>
    <w:rsid w:val="007C3467"/>
    <w:rsid w:val="007C4C0D"/>
    <w:rsid w:val="007C6498"/>
    <w:rsid w:val="007C693E"/>
    <w:rsid w:val="007D05E3"/>
    <w:rsid w:val="007D3937"/>
    <w:rsid w:val="007D39FE"/>
    <w:rsid w:val="007D409F"/>
    <w:rsid w:val="007D40F0"/>
    <w:rsid w:val="007D4235"/>
    <w:rsid w:val="007D51DC"/>
    <w:rsid w:val="007D6473"/>
    <w:rsid w:val="007D7221"/>
    <w:rsid w:val="007D7B23"/>
    <w:rsid w:val="007E030C"/>
    <w:rsid w:val="007E062E"/>
    <w:rsid w:val="007E2E73"/>
    <w:rsid w:val="007E39AA"/>
    <w:rsid w:val="007E3BE5"/>
    <w:rsid w:val="007E4040"/>
    <w:rsid w:val="007E5847"/>
    <w:rsid w:val="007E68BE"/>
    <w:rsid w:val="007F1EFA"/>
    <w:rsid w:val="007F2167"/>
    <w:rsid w:val="007F22CE"/>
    <w:rsid w:val="007F2627"/>
    <w:rsid w:val="007F3669"/>
    <w:rsid w:val="007F6D74"/>
    <w:rsid w:val="0080044B"/>
    <w:rsid w:val="00800CB3"/>
    <w:rsid w:val="0080224A"/>
    <w:rsid w:val="0080558F"/>
    <w:rsid w:val="00805C24"/>
    <w:rsid w:val="008067C2"/>
    <w:rsid w:val="008121BB"/>
    <w:rsid w:val="00812598"/>
    <w:rsid w:val="0081387A"/>
    <w:rsid w:val="00813C32"/>
    <w:rsid w:val="00814C5B"/>
    <w:rsid w:val="008150C2"/>
    <w:rsid w:val="0081736E"/>
    <w:rsid w:val="008178DA"/>
    <w:rsid w:val="00821C6C"/>
    <w:rsid w:val="008254B1"/>
    <w:rsid w:val="00825921"/>
    <w:rsid w:val="0082605B"/>
    <w:rsid w:val="00826250"/>
    <w:rsid w:val="00827576"/>
    <w:rsid w:val="0082796C"/>
    <w:rsid w:val="00827F17"/>
    <w:rsid w:val="008309F2"/>
    <w:rsid w:val="0083256F"/>
    <w:rsid w:val="008333A2"/>
    <w:rsid w:val="00837CB3"/>
    <w:rsid w:val="0084097F"/>
    <w:rsid w:val="00840F9F"/>
    <w:rsid w:val="00841AE0"/>
    <w:rsid w:val="00842760"/>
    <w:rsid w:val="00842A4C"/>
    <w:rsid w:val="00843696"/>
    <w:rsid w:val="00844475"/>
    <w:rsid w:val="008447FE"/>
    <w:rsid w:val="00847B19"/>
    <w:rsid w:val="00847FA8"/>
    <w:rsid w:val="00850AB4"/>
    <w:rsid w:val="008521A4"/>
    <w:rsid w:val="00852E3F"/>
    <w:rsid w:val="0085322C"/>
    <w:rsid w:val="0085490F"/>
    <w:rsid w:val="00856293"/>
    <w:rsid w:val="0085632D"/>
    <w:rsid w:val="00856680"/>
    <w:rsid w:val="00856D8C"/>
    <w:rsid w:val="008616BB"/>
    <w:rsid w:val="0086298D"/>
    <w:rsid w:val="008634BC"/>
    <w:rsid w:val="008635B2"/>
    <w:rsid w:val="008643CA"/>
    <w:rsid w:val="00864A1D"/>
    <w:rsid w:val="00864F95"/>
    <w:rsid w:val="008652C2"/>
    <w:rsid w:val="00865D55"/>
    <w:rsid w:val="008712FF"/>
    <w:rsid w:val="008723BA"/>
    <w:rsid w:val="008736EB"/>
    <w:rsid w:val="00873E2B"/>
    <w:rsid w:val="008741C2"/>
    <w:rsid w:val="00881B48"/>
    <w:rsid w:val="00883B05"/>
    <w:rsid w:val="00884241"/>
    <w:rsid w:val="008876FB"/>
    <w:rsid w:val="0089050A"/>
    <w:rsid w:val="0089168B"/>
    <w:rsid w:val="00891A19"/>
    <w:rsid w:val="00892E10"/>
    <w:rsid w:val="008932A9"/>
    <w:rsid w:val="00894CD0"/>
    <w:rsid w:val="00894DEF"/>
    <w:rsid w:val="00895460"/>
    <w:rsid w:val="00895E03"/>
    <w:rsid w:val="00895FEB"/>
    <w:rsid w:val="0089693E"/>
    <w:rsid w:val="00896D8F"/>
    <w:rsid w:val="00897A49"/>
    <w:rsid w:val="008A201E"/>
    <w:rsid w:val="008A39B4"/>
    <w:rsid w:val="008A4CD2"/>
    <w:rsid w:val="008A5DEB"/>
    <w:rsid w:val="008A668D"/>
    <w:rsid w:val="008A71DD"/>
    <w:rsid w:val="008A7742"/>
    <w:rsid w:val="008A78C1"/>
    <w:rsid w:val="008B0C89"/>
    <w:rsid w:val="008B372D"/>
    <w:rsid w:val="008B663F"/>
    <w:rsid w:val="008C0ABE"/>
    <w:rsid w:val="008C1500"/>
    <w:rsid w:val="008C2396"/>
    <w:rsid w:val="008C45EE"/>
    <w:rsid w:val="008D087C"/>
    <w:rsid w:val="008D1965"/>
    <w:rsid w:val="008D2C56"/>
    <w:rsid w:val="008D3A1E"/>
    <w:rsid w:val="008D4CFC"/>
    <w:rsid w:val="008D4ECC"/>
    <w:rsid w:val="008D5082"/>
    <w:rsid w:val="008D729E"/>
    <w:rsid w:val="008E0920"/>
    <w:rsid w:val="008E18B8"/>
    <w:rsid w:val="008E2A8D"/>
    <w:rsid w:val="008E2E46"/>
    <w:rsid w:val="008E5F9E"/>
    <w:rsid w:val="008F036A"/>
    <w:rsid w:val="008F0591"/>
    <w:rsid w:val="008F0D15"/>
    <w:rsid w:val="008F1539"/>
    <w:rsid w:val="008F1958"/>
    <w:rsid w:val="008F1D76"/>
    <w:rsid w:val="008F53E0"/>
    <w:rsid w:val="008F5E60"/>
    <w:rsid w:val="00900DFE"/>
    <w:rsid w:val="00901F81"/>
    <w:rsid w:val="00902621"/>
    <w:rsid w:val="00904947"/>
    <w:rsid w:val="009058BA"/>
    <w:rsid w:val="00910968"/>
    <w:rsid w:val="00911F4A"/>
    <w:rsid w:val="00912929"/>
    <w:rsid w:val="00912980"/>
    <w:rsid w:val="009134BF"/>
    <w:rsid w:val="00913E4D"/>
    <w:rsid w:val="00914382"/>
    <w:rsid w:val="00915CC0"/>
    <w:rsid w:val="00920B8B"/>
    <w:rsid w:val="00920F97"/>
    <w:rsid w:val="00921CAB"/>
    <w:rsid w:val="00922D2F"/>
    <w:rsid w:val="00922E6A"/>
    <w:rsid w:val="0092615F"/>
    <w:rsid w:val="0092680A"/>
    <w:rsid w:val="009276AD"/>
    <w:rsid w:val="0093079A"/>
    <w:rsid w:val="00932666"/>
    <w:rsid w:val="00932E86"/>
    <w:rsid w:val="0093302A"/>
    <w:rsid w:val="00934EF4"/>
    <w:rsid w:val="00935B25"/>
    <w:rsid w:val="009363E4"/>
    <w:rsid w:val="00936D37"/>
    <w:rsid w:val="00941D4C"/>
    <w:rsid w:val="00942A47"/>
    <w:rsid w:val="00943AEB"/>
    <w:rsid w:val="0094469E"/>
    <w:rsid w:val="0094661C"/>
    <w:rsid w:val="00946A2F"/>
    <w:rsid w:val="009506F2"/>
    <w:rsid w:val="00950C4A"/>
    <w:rsid w:val="00951AE6"/>
    <w:rsid w:val="00951B59"/>
    <w:rsid w:val="00952F20"/>
    <w:rsid w:val="00953069"/>
    <w:rsid w:val="0095358E"/>
    <w:rsid w:val="00954F5C"/>
    <w:rsid w:val="00955CAA"/>
    <w:rsid w:val="00955ED9"/>
    <w:rsid w:val="00956A0A"/>
    <w:rsid w:val="009613D8"/>
    <w:rsid w:val="00961BBA"/>
    <w:rsid w:val="009624E9"/>
    <w:rsid w:val="00962F4D"/>
    <w:rsid w:val="009636A6"/>
    <w:rsid w:val="00964495"/>
    <w:rsid w:val="00964B2C"/>
    <w:rsid w:val="0096650C"/>
    <w:rsid w:val="0096672E"/>
    <w:rsid w:val="009668A4"/>
    <w:rsid w:val="009679F1"/>
    <w:rsid w:val="00971470"/>
    <w:rsid w:val="009724AE"/>
    <w:rsid w:val="00972C8E"/>
    <w:rsid w:val="00973E57"/>
    <w:rsid w:val="00975341"/>
    <w:rsid w:val="00976C1D"/>
    <w:rsid w:val="009779E6"/>
    <w:rsid w:val="00980C37"/>
    <w:rsid w:val="00980D24"/>
    <w:rsid w:val="00981B3B"/>
    <w:rsid w:val="00982158"/>
    <w:rsid w:val="0098278E"/>
    <w:rsid w:val="009848B4"/>
    <w:rsid w:val="009853AE"/>
    <w:rsid w:val="00985547"/>
    <w:rsid w:val="00990307"/>
    <w:rsid w:val="00990591"/>
    <w:rsid w:val="009917A1"/>
    <w:rsid w:val="0099446C"/>
    <w:rsid w:val="009951A8"/>
    <w:rsid w:val="009959E3"/>
    <w:rsid w:val="00995A12"/>
    <w:rsid w:val="00997958"/>
    <w:rsid w:val="009A17A2"/>
    <w:rsid w:val="009A1CE1"/>
    <w:rsid w:val="009A20C4"/>
    <w:rsid w:val="009A24B3"/>
    <w:rsid w:val="009A24BB"/>
    <w:rsid w:val="009A3B57"/>
    <w:rsid w:val="009A5C28"/>
    <w:rsid w:val="009A7312"/>
    <w:rsid w:val="009A75C6"/>
    <w:rsid w:val="009B0BF4"/>
    <w:rsid w:val="009B6D90"/>
    <w:rsid w:val="009B6FBF"/>
    <w:rsid w:val="009B7114"/>
    <w:rsid w:val="009B74EE"/>
    <w:rsid w:val="009C154F"/>
    <w:rsid w:val="009C2F9A"/>
    <w:rsid w:val="009C36E4"/>
    <w:rsid w:val="009C4CAA"/>
    <w:rsid w:val="009C4ED0"/>
    <w:rsid w:val="009C7B91"/>
    <w:rsid w:val="009C7E4F"/>
    <w:rsid w:val="009D096A"/>
    <w:rsid w:val="009D1210"/>
    <w:rsid w:val="009D1336"/>
    <w:rsid w:val="009D1918"/>
    <w:rsid w:val="009D37E1"/>
    <w:rsid w:val="009D45B5"/>
    <w:rsid w:val="009D4B6F"/>
    <w:rsid w:val="009D7D83"/>
    <w:rsid w:val="009E044D"/>
    <w:rsid w:val="009E103E"/>
    <w:rsid w:val="009E178B"/>
    <w:rsid w:val="009E1BCB"/>
    <w:rsid w:val="009E1F6E"/>
    <w:rsid w:val="009E30DA"/>
    <w:rsid w:val="009E384C"/>
    <w:rsid w:val="009E4F26"/>
    <w:rsid w:val="009E4F60"/>
    <w:rsid w:val="009E55F5"/>
    <w:rsid w:val="009E6306"/>
    <w:rsid w:val="009F026A"/>
    <w:rsid w:val="009F0DEF"/>
    <w:rsid w:val="009F158D"/>
    <w:rsid w:val="009F41A4"/>
    <w:rsid w:val="009F4669"/>
    <w:rsid w:val="009F4993"/>
    <w:rsid w:val="009F5D7B"/>
    <w:rsid w:val="009F6D52"/>
    <w:rsid w:val="009F6E68"/>
    <w:rsid w:val="009F7F62"/>
    <w:rsid w:val="00A007AF"/>
    <w:rsid w:val="00A00CA1"/>
    <w:rsid w:val="00A01CD0"/>
    <w:rsid w:val="00A024D6"/>
    <w:rsid w:val="00A02809"/>
    <w:rsid w:val="00A040D7"/>
    <w:rsid w:val="00A0522E"/>
    <w:rsid w:val="00A055EB"/>
    <w:rsid w:val="00A056A2"/>
    <w:rsid w:val="00A05F1E"/>
    <w:rsid w:val="00A067C1"/>
    <w:rsid w:val="00A072AE"/>
    <w:rsid w:val="00A07F7E"/>
    <w:rsid w:val="00A10F60"/>
    <w:rsid w:val="00A112AD"/>
    <w:rsid w:val="00A1164F"/>
    <w:rsid w:val="00A11733"/>
    <w:rsid w:val="00A11C4E"/>
    <w:rsid w:val="00A13A69"/>
    <w:rsid w:val="00A14B71"/>
    <w:rsid w:val="00A14BAD"/>
    <w:rsid w:val="00A158EA"/>
    <w:rsid w:val="00A15D30"/>
    <w:rsid w:val="00A162E7"/>
    <w:rsid w:val="00A16B46"/>
    <w:rsid w:val="00A17996"/>
    <w:rsid w:val="00A20A19"/>
    <w:rsid w:val="00A21B43"/>
    <w:rsid w:val="00A21C35"/>
    <w:rsid w:val="00A242B5"/>
    <w:rsid w:val="00A24513"/>
    <w:rsid w:val="00A25490"/>
    <w:rsid w:val="00A26850"/>
    <w:rsid w:val="00A27265"/>
    <w:rsid w:val="00A32838"/>
    <w:rsid w:val="00A3339C"/>
    <w:rsid w:val="00A34224"/>
    <w:rsid w:val="00A358EC"/>
    <w:rsid w:val="00A36F2C"/>
    <w:rsid w:val="00A37AC0"/>
    <w:rsid w:val="00A37DF1"/>
    <w:rsid w:val="00A37FBC"/>
    <w:rsid w:val="00A40933"/>
    <w:rsid w:val="00A40DB6"/>
    <w:rsid w:val="00A414C7"/>
    <w:rsid w:val="00A4207F"/>
    <w:rsid w:val="00A42B55"/>
    <w:rsid w:val="00A43E0A"/>
    <w:rsid w:val="00A44021"/>
    <w:rsid w:val="00A45A2E"/>
    <w:rsid w:val="00A508F8"/>
    <w:rsid w:val="00A520F8"/>
    <w:rsid w:val="00A529AE"/>
    <w:rsid w:val="00A53302"/>
    <w:rsid w:val="00A53458"/>
    <w:rsid w:val="00A55DEF"/>
    <w:rsid w:val="00A56DAF"/>
    <w:rsid w:val="00A5700B"/>
    <w:rsid w:val="00A62BED"/>
    <w:rsid w:val="00A62D52"/>
    <w:rsid w:val="00A64EE2"/>
    <w:rsid w:val="00A65770"/>
    <w:rsid w:val="00A665CB"/>
    <w:rsid w:val="00A701D5"/>
    <w:rsid w:val="00A70AEE"/>
    <w:rsid w:val="00A7172B"/>
    <w:rsid w:val="00A72CD6"/>
    <w:rsid w:val="00A73B55"/>
    <w:rsid w:val="00A73BC7"/>
    <w:rsid w:val="00A74572"/>
    <w:rsid w:val="00A74AEE"/>
    <w:rsid w:val="00A74F4B"/>
    <w:rsid w:val="00A75878"/>
    <w:rsid w:val="00A758BE"/>
    <w:rsid w:val="00A7609D"/>
    <w:rsid w:val="00A76681"/>
    <w:rsid w:val="00A76DD3"/>
    <w:rsid w:val="00A77CF6"/>
    <w:rsid w:val="00A808D0"/>
    <w:rsid w:val="00A833C5"/>
    <w:rsid w:val="00A8524D"/>
    <w:rsid w:val="00A85470"/>
    <w:rsid w:val="00A864A9"/>
    <w:rsid w:val="00A86DF5"/>
    <w:rsid w:val="00A87704"/>
    <w:rsid w:val="00A87BC5"/>
    <w:rsid w:val="00A87F6E"/>
    <w:rsid w:val="00A90036"/>
    <w:rsid w:val="00A902D2"/>
    <w:rsid w:val="00A90365"/>
    <w:rsid w:val="00A92530"/>
    <w:rsid w:val="00A927D5"/>
    <w:rsid w:val="00A9482E"/>
    <w:rsid w:val="00A94DF9"/>
    <w:rsid w:val="00A968CE"/>
    <w:rsid w:val="00A970C0"/>
    <w:rsid w:val="00AA08F3"/>
    <w:rsid w:val="00AA0BB8"/>
    <w:rsid w:val="00AA18BD"/>
    <w:rsid w:val="00AA1ACC"/>
    <w:rsid w:val="00AA1DC5"/>
    <w:rsid w:val="00AA1EA4"/>
    <w:rsid w:val="00AA2E04"/>
    <w:rsid w:val="00AA32F5"/>
    <w:rsid w:val="00AA4A87"/>
    <w:rsid w:val="00AA5186"/>
    <w:rsid w:val="00AA5686"/>
    <w:rsid w:val="00AA5707"/>
    <w:rsid w:val="00AA651B"/>
    <w:rsid w:val="00AA7573"/>
    <w:rsid w:val="00AB041B"/>
    <w:rsid w:val="00AB0DE7"/>
    <w:rsid w:val="00AB1763"/>
    <w:rsid w:val="00AB23B8"/>
    <w:rsid w:val="00AB2A88"/>
    <w:rsid w:val="00AB2C05"/>
    <w:rsid w:val="00AB2C96"/>
    <w:rsid w:val="00AB3D3A"/>
    <w:rsid w:val="00AB4311"/>
    <w:rsid w:val="00AB51AF"/>
    <w:rsid w:val="00AB5603"/>
    <w:rsid w:val="00AB615D"/>
    <w:rsid w:val="00AB6308"/>
    <w:rsid w:val="00AB7544"/>
    <w:rsid w:val="00AB7698"/>
    <w:rsid w:val="00AC0070"/>
    <w:rsid w:val="00AC17B5"/>
    <w:rsid w:val="00AC23E3"/>
    <w:rsid w:val="00AC33CA"/>
    <w:rsid w:val="00AC3581"/>
    <w:rsid w:val="00AC45F5"/>
    <w:rsid w:val="00AC62AA"/>
    <w:rsid w:val="00AC62CD"/>
    <w:rsid w:val="00AC6678"/>
    <w:rsid w:val="00AC7473"/>
    <w:rsid w:val="00AD16EF"/>
    <w:rsid w:val="00AD2612"/>
    <w:rsid w:val="00AD2634"/>
    <w:rsid w:val="00AD2CA1"/>
    <w:rsid w:val="00AD40F7"/>
    <w:rsid w:val="00AD437E"/>
    <w:rsid w:val="00AD482D"/>
    <w:rsid w:val="00AD69CD"/>
    <w:rsid w:val="00AD6AF3"/>
    <w:rsid w:val="00AE25BE"/>
    <w:rsid w:val="00AE42BF"/>
    <w:rsid w:val="00AE5315"/>
    <w:rsid w:val="00AF08B2"/>
    <w:rsid w:val="00AF0C95"/>
    <w:rsid w:val="00AF1C93"/>
    <w:rsid w:val="00AF4265"/>
    <w:rsid w:val="00AF5026"/>
    <w:rsid w:val="00AF57F1"/>
    <w:rsid w:val="00AF6546"/>
    <w:rsid w:val="00AF664A"/>
    <w:rsid w:val="00AF7AAC"/>
    <w:rsid w:val="00AF7FFC"/>
    <w:rsid w:val="00B003C9"/>
    <w:rsid w:val="00B01292"/>
    <w:rsid w:val="00B0136C"/>
    <w:rsid w:val="00B0224D"/>
    <w:rsid w:val="00B02357"/>
    <w:rsid w:val="00B044A1"/>
    <w:rsid w:val="00B0450A"/>
    <w:rsid w:val="00B05AAD"/>
    <w:rsid w:val="00B066B0"/>
    <w:rsid w:val="00B079C2"/>
    <w:rsid w:val="00B07FC8"/>
    <w:rsid w:val="00B10D64"/>
    <w:rsid w:val="00B128AE"/>
    <w:rsid w:val="00B12E51"/>
    <w:rsid w:val="00B1510D"/>
    <w:rsid w:val="00B20891"/>
    <w:rsid w:val="00B20E01"/>
    <w:rsid w:val="00B20F1D"/>
    <w:rsid w:val="00B21780"/>
    <w:rsid w:val="00B226EA"/>
    <w:rsid w:val="00B22B0F"/>
    <w:rsid w:val="00B23192"/>
    <w:rsid w:val="00B2336A"/>
    <w:rsid w:val="00B235EF"/>
    <w:rsid w:val="00B23619"/>
    <w:rsid w:val="00B274BB"/>
    <w:rsid w:val="00B27BDE"/>
    <w:rsid w:val="00B27ECB"/>
    <w:rsid w:val="00B31186"/>
    <w:rsid w:val="00B31E4F"/>
    <w:rsid w:val="00B32182"/>
    <w:rsid w:val="00B321C4"/>
    <w:rsid w:val="00B3230F"/>
    <w:rsid w:val="00B32838"/>
    <w:rsid w:val="00B32D28"/>
    <w:rsid w:val="00B345BE"/>
    <w:rsid w:val="00B35A4A"/>
    <w:rsid w:val="00B36528"/>
    <w:rsid w:val="00B37852"/>
    <w:rsid w:val="00B37EC9"/>
    <w:rsid w:val="00B41F79"/>
    <w:rsid w:val="00B42C25"/>
    <w:rsid w:val="00B42E86"/>
    <w:rsid w:val="00B45E7D"/>
    <w:rsid w:val="00B47DDF"/>
    <w:rsid w:val="00B5078C"/>
    <w:rsid w:val="00B540F3"/>
    <w:rsid w:val="00B54FAC"/>
    <w:rsid w:val="00B56F5A"/>
    <w:rsid w:val="00B5794D"/>
    <w:rsid w:val="00B57DA5"/>
    <w:rsid w:val="00B64C6F"/>
    <w:rsid w:val="00B659F9"/>
    <w:rsid w:val="00B6630D"/>
    <w:rsid w:val="00B663D0"/>
    <w:rsid w:val="00B669D9"/>
    <w:rsid w:val="00B70C13"/>
    <w:rsid w:val="00B713A7"/>
    <w:rsid w:val="00B7173D"/>
    <w:rsid w:val="00B73046"/>
    <w:rsid w:val="00B7322A"/>
    <w:rsid w:val="00B7338C"/>
    <w:rsid w:val="00B73E97"/>
    <w:rsid w:val="00B74E5F"/>
    <w:rsid w:val="00B7533D"/>
    <w:rsid w:val="00B75DF6"/>
    <w:rsid w:val="00B75EA3"/>
    <w:rsid w:val="00B77268"/>
    <w:rsid w:val="00B77A26"/>
    <w:rsid w:val="00B77ED6"/>
    <w:rsid w:val="00B80048"/>
    <w:rsid w:val="00B800B2"/>
    <w:rsid w:val="00B80A0B"/>
    <w:rsid w:val="00B80A2F"/>
    <w:rsid w:val="00B81204"/>
    <w:rsid w:val="00B8152A"/>
    <w:rsid w:val="00B82229"/>
    <w:rsid w:val="00B8329D"/>
    <w:rsid w:val="00B855AA"/>
    <w:rsid w:val="00B865C8"/>
    <w:rsid w:val="00B866C8"/>
    <w:rsid w:val="00B906DD"/>
    <w:rsid w:val="00B91AF1"/>
    <w:rsid w:val="00B928F3"/>
    <w:rsid w:val="00B936B2"/>
    <w:rsid w:val="00B9528E"/>
    <w:rsid w:val="00B9657E"/>
    <w:rsid w:val="00B97459"/>
    <w:rsid w:val="00B9750C"/>
    <w:rsid w:val="00B97EC4"/>
    <w:rsid w:val="00BA0010"/>
    <w:rsid w:val="00BA0E3A"/>
    <w:rsid w:val="00BA0ED5"/>
    <w:rsid w:val="00BA23CB"/>
    <w:rsid w:val="00BA4285"/>
    <w:rsid w:val="00BA439A"/>
    <w:rsid w:val="00BA47BD"/>
    <w:rsid w:val="00BA6639"/>
    <w:rsid w:val="00BB0330"/>
    <w:rsid w:val="00BB1B31"/>
    <w:rsid w:val="00BB2871"/>
    <w:rsid w:val="00BB399B"/>
    <w:rsid w:val="00BB47BA"/>
    <w:rsid w:val="00BC0BB8"/>
    <w:rsid w:val="00BC0C0E"/>
    <w:rsid w:val="00BC0DC8"/>
    <w:rsid w:val="00BC2324"/>
    <w:rsid w:val="00BC23D2"/>
    <w:rsid w:val="00BC3308"/>
    <w:rsid w:val="00BC3DC4"/>
    <w:rsid w:val="00BC447F"/>
    <w:rsid w:val="00BC4608"/>
    <w:rsid w:val="00BC4A6E"/>
    <w:rsid w:val="00BC7453"/>
    <w:rsid w:val="00BC7A79"/>
    <w:rsid w:val="00BD0496"/>
    <w:rsid w:val="00BD10A1"/>
    <w:rsid w:val="00BD17E5"/>
    <w:rsid w:val="00BD2898"/>
    <w:rsid w:val="00BD4755"/>
    <w:rsid w:val="00BD6AC1"/>
    <w:rsid w:val="00BD76C0"/>
    <w:rsid w:val="00BD791A"/>
    <w:rsid w:val="00BD7C20"/>
    <w:rsid w:val="00BE05C7"/>
    <w:rsid w:val="00BE20EF"/>
    <w:rsid w:val="00BE2476"/>
    <w:rsid w:val="00BE2E09"/>
    <w:rsid w:val="00BE57CE"/>
    <w:rsid w:val="00BE7DC3"/>
    <w:rsid w:val="00BF06FD"/>
    <w:rsid w:val="00BF07A4"/>
    <w:rsid w:val="00BF08AA"/>
    <w:rsid w:val="00BF1B84"/>
    <w:rsid w:val="00BF3245"/>
    <w:rsid w:val="00BF4ADD"/>
    <w:rsid w:val="00BF4E9C"/>
    <w:rsid w:val="00BF5AE7"/>
    <w:rsid w:val="00C001C3"/>
    <w:rsid w:val="00C006D9"/>
    <w:rsid w:val="00C01019"/>
    <w:rsid w:val="00C01027"/>
    <w:rsid w:val="00C01932"/>
    <w:rsid w:val="00C02E7D"/>
    <w:rsid w:val="00C03F10"/>
    <w:rsid w:val="00C04773"/>
    <w:rsid w:val="00C04B67"/>
    <w:rsid w:val="00C05E4A"/>
    <w:rsid w:val="00C0691E"/>
    <w:rsid w:val="00C11116"/>
    <w:rsid w:val="00C117A2"/>
    <w:rsid w:val="00C11D79"/>
    <w:rsid w:val="00C124AB"/>
    <w:rsid w:val="00C13FE6"/>
    <w:rsid w:val="00C1442C"/>
    <w:rsid w:val="00C1559D"/>
    <w:rsid w:val="00C15A54"/>
    <w:rsid w:val="00C2226B"/>
    <w:rsid w:val="00C24652"/>
    <w:rsid w:val="00C24C00"/>
    <w:rsid w:val="00C25AA4"/>
    <w:rsid w:val="00C2631D"/>
    <w:rsid w:val="00C26890"/>
    <w:rsid w:val="00C26B25"/>
    <w:rsid w:val="00C33005"/>
    <w:rsid w:val="00C333F0"/>
    <w:rsid w:val="00C3369A"/>
    <w:rsid w:val="00C33A7A"/>
    <w:rsid w:val="00C3542F"/>
    <w:rsid w:val="00C3548B"/>
    <w:rsid w:val="00C359B1"/>
    <w:rsid w:val="00C35DF0"/>
    <w:rsid w:val="00C37990"/>
    <w:rsid w:val="00C37E10"/>
    <w:rsid w:val="00C409F6"/>
    <w:rsid w:val="00C40CEC"/>
    <w:rsid w:val="00C418F9"/>
    <w:rsid w:val="00C436B5"/>
    <w:rsid w:val="00C436FC"/>
    <w:rsid w:val="00C43E25"/>
    <w:rsid w:val="00C44C6A"/>
    <w:rsid w:val="00C4736A"/>
    <w:rsid w:val="00C477BB"/>
    <w:rsid w:val="00C51B6A"/>
    <w:rsid w:val="00C51D98"/>
    <w:rsid w:val="00C5397F"/>
    <w:rsid w:val="00C55876"/>
    <w:rsid w:val="00C565AC"/>
    <w:rsid w:val="00C570FE"/>
    <w:rsid w:val="00C5754D"/>
    <w:rsid w:val="00C576FA"/>
    <w:rsid w:val="00C57867"/>
    <w:rsid w:val="00C61155"/>
    <w:rsid w:val="00C628FC"/>
    <w:rsid w:val="00C6315D"/>
    <w:rsid w:val="00C64EBD"/>
    <w:rsid w:val="00C65C91"/>
    <w:rsid w:val="00C6660A"/>
    <w:rsid w:val="00C66D27"/>
    <w:rsid w:val="00C66FF5"/>
    <w:rsid w:val="00C7020E"/>
    <w:rsid w:val="00C7022F"/>
    <w:rsid w:val="00C703C3"/>
    <w:rsid w:val="00C706D4"/>
    <w:rsid w:val="00C7091C"/>
    <w:rsid w:val="00C70EFA"/>
    <w:rsid w:val="00C71141"/>
    <w:rsid w:val="00C713CB"/>
    <w:rsid w:val="00C730CD"/>
    <w:rsid w:val="00C73929"/>
    <w:rsid w:val="00C740D9"/>
    <w:rsid w:val="00C7547F"/>
    <w:rsid w:val="00C757EA"/>
    <w:rsid w:val="00C75CC8"/>
    <w:rsid w:val="00C762BB"/>
    <w:rsid w:val="00C768D0"/>
    <w:rsid w:val="00C76E9D"/>
    <w:rsid w:val="00C773F6"/>
    <w:rsid w:val="00C80C85"/>
    <w:rsid w:val="00C813BB"/>
    <w:rsid w:val="00C8343B"/>
    <w:rsid w:val="00C834F8"/>
    <w:rsid w:val="00C83F7D"/>
    <w:rsid w:val="00C84C5E"/>
    <w:rsid w:val="00C8632D"/>
    <w:rsid w:val="00C86F3D"/>
    <w:rsid w:val="00C9220E"/>
    <w:rsid w:val="00C93C09"/>
    <w:rsid w:val="00C94B15"/>
    <w:rsid w:val="00C94CDB"/>
    <w:rsid w:val="00C94DDB"/>
    <w:rsid w:val="00C96C34"/>
    <w:rsid w:val="00CA0131"/>
    <w:rsid w:val="00CA2F8A"/>
    <w:rsid w:val="00CA31A3"/>
    <w:rsid w:val="00CA3361"/>
    <w:rsid w:val="00CA7E9E"/>
    <w:rsid w:val="00CB0402"/>
    <w:rsid w:val="00CB37BB"/>
    <w:rsid w:val="00CB424B"/>
    <w:rsid w:val="00CB4700"/>
    <w:rsid w:val="00CB4C90"/>
    <w:rsid w:val="00CB4E8D"/>
    <w:rsid w:val="00CB5DBE"/>
    <w:rsid w:val="00CB6C5F"/>
    <w:rsid w:val="00CB6D75"/>
    <w:rsid w:val="00CB7770"/>
    <w:rsid w:val="00CC084E"/>
    <w:rsid w:val="00CC0B25"/>
    <w:rsid w:val="00CC3720"/>
    <w:rsid w:val="00CC3AD4"/>
    <w:rsid w:val="00CC4AF3"/>
    <w:rsid w:val="00CC4CBF"/>
    <w:rsid w:val="00CC5F28"/>
    <w:rsid w:val="00CC67B1"/>
    <w:rsid w:val="00CC6E65"/>
    <w:rsid w:val="00CC741A"/>
    <w:rsid w:val="00CD2A6C"/>
    <w:rsid w:val="00CD5051"/>
    <w:rsid w:val="00CD50CD"/>
    <w:rsid w:val="00CD7269"/>
    <w:rsid w:val="00CD794D"/>
    <w:rsid w:val="00CE012B"/>
    <w:rsid w:val="00CE219E"/>
    <w:rsid w:val="00CE229E"/>
    <w:rsid w:val="00CE2899"/>
    <w:rsid w:val="00CE4557"/>
    <w:rsid w:val="00CE4ABB"/>
    <w:rsid w:val="00CE5CE6"/>
    <w:rsid w:val="00CE7095"/>
    <w:rsid w:val="00CE7998"/>
    <w:rsid w:val="00CE7EFD"/>
    <w:rsid w:val="00CF18A8"/>
    <w:rsid w:val="00CF1DDF"/>
    <w:rsid w:val="00CF2084"/>
    <w:rsid w:val="00CF20E2"/>
    <w:rsid w:val="00CF4E58"/>
    <w:rsid w:val="00CF754B"/>
    <w:rsid w:val="00CF77B5"/>
    <w:rsid w:val="00D006F2"/>
    <w:rsid w:val="00D03AFD"/>
    <w:rsid w:val="00D03B40"/>
    <w:rsid w:val="00D03CC0"/>
    <w:rsid w:val="00D04582"/>
    <w:rsid w:val="00D05C86"/>
    <w:rsid w:val="00D07891"/>
    <w:rsid w:val="00D07C79"/>
    <w:rsid w:val="00D11A1E"/>
    <w:rsid w:val="00D12850"/>
    <w:rsid w:val="00D135E3"/>
    <w:rsid w:val="00D1518B"/>
    <w:rsid w:val="00D15791"/>
    <w:rsid w:val="00D16700"/>
    <w:rsid w:val="00D16D1F"/>
    <w:rsid w:val="00D17FDF"/>
    <w:rsid w:val="00D20252"/>
    <w:rsid w:val="00D204FB"/>
    <w:rsid w:val="00D2066A"/>
    <w:rsid w:val="00D2083E"/>
    <w:rsid w:val="00D209D9"/>
    <w:rsid w:val="00D20DD3"/>
    <w:rsid w:val="00D2172A"/>
    <w:rsid w:val="00D2179B"/>
    <w:rsid w:val="00D24113"/>
    <w:rsid w:val="00D24155"/>
    <w:rsid w:val="00D26A13"/>
    <w:rsid w:val="00D314F4"/>
    <w:rsid w:val="00D31792"/>
    <w:rsid w:val="00D31E00"/>
    <w:rsid w:val="00D337FB"/>
    <w:rsid w:val="00D3763A"/>
    <w:rsid w:val="00D40058"/>
    <w:rsid w:val="00D414CA"/>
    <w:rsid w:val="00D421E2"/>
    <w:rsid w:val="00D42CEC"/>
    <w:rsid w:val="00D431EA"/>
    <w:rsid w:val="00D447D6"/>
    <w:rsid w:val="00D463B5"/>
    <w:rsid w:val="00D46595"/>
    <w:rsid w:val="00D467BD"/>
    <w:rsid w:val="00D47DD0"/>
    <w:rsid w:val="00D526BC"/>
    <w:rsid w:val="00D52D17"/>
    <w:rsid w:val="00D5327D"/>
    <w:rsid w:val="00D546A0"/>
    <w:rsid w:val="00D547A9"/>
    <w:rsid w:val="00D55FF3"/>
    <w:rsid w:val="00D5715F"/>
    <w:rsid w:val="00D572E5"/>
    <w:rsid w:val="00D60DD7"/>
    <w:rsid w:val="00D60F17"/>
    <w:rsid w:val="00D628D6"/>
    <w:rsid w:val="00D6397B"/>
    <w:rsid w:val="00D63C75"/>
    <w:rsid w:val="00D644D3"/>
    <w:rsid w:val="00D6655A"/>
    <w:rsid w:val="00D671E2"/>
    <w:rsid w:val="00D71D63"/>
    <w:rsid w:val="00D7362D"/>
    <w:rsid w:val="00D74CD6"/>
    <w:rsid w:val="00D74D02"/>
    <w:rsid w:val="00D74D55"/>
    <w:rsid w:val="00D77877"/>
    <w:rsid w:val="00D80965"/>
    <w:rsid w:val="00D818E2"/>
    <w:rsid w:val="00D82DDB"/>
    <w:rsid w:val="00D83181"/>
    <w:rsid w:val="00D8435A"/>
    <w:rsid w:val="00D858A0"/>
    <w:rsid w:val="00D87049"/>
    <w:rsid w:val="00D901C5"/>
    <w:rsid w:val="00D905E5"/>
    <w:rsid w:val="00D91475"/>
    <w:rsid w:val="00D9191C"/>
    <w:rsid w:val="00D9204F"/>
    <w:rsid w:val="00D935FD"/>
    <w:rsid w:val="00D93CC9"/>
    <w:rsid w:val="00D942A8"/>
    <w:rsid w:val="00D94E8C"/>
    <w:rsid w:val="00D96992"/>
    <w:rsid w:val="00D9768B"/>
    <w:rsid w:val="00D97CB5"/>
    <w:rsid w:val="00D97CC2"/>
    <w:rsid w:val="00DA00DE"/>
    <w:rsid w:val="00DA11C9"/>
    <w:rsid w:val="00DA1C0F"/>
    <w:rsid w:val="00DA26D7"/>
    <w:rsid w:val="00DA307D"/>
    <w:rsid w:val="00DA3359"/>
    <w:rsid w:val="00DA39FC"/>
    <w:rsid w:val="00DA41D2"/>
    <w:rsid w:val="00DA4738"/>
    <w:rsid w:val="00DA4DAF"/>
    <w:rsid w:val="00DA4F23"/>
    <w:rsid w:val="00DA767F"/>
    <w:rsid w:val="00DA7EC6"/>
    <w:rsid w:val="00DA7EF9"/>
    <w:rsid w:val="00DB07D3"/>
    <w:rsid w:val="00DB0B49"/>
    <w:rsid w:val="00DB1CBB"/>
    <w:rsid w:val="00DB213B"/>
    <w:rsid w:val="00DB2B8F"/>
    <w:rsid w:val="00DB725D"/>
    <w:rsid w:val="00DC03F7"/>
    <w:rsid w:val="00DC1068"/>
    <w:rsid w:val="00DC1729"/>
    <w:rsid w:val="00DC275F"/>
    <w:rsid w:val="00DC28E3"/>
    <w:rsid w:val="00DC296B"/>
    <w:rsid w:val="00DC6BAE"/>
    <w:rsid w:val="00DC7629"/>
    <w:rsid w:val="00DC7CE8"/>
    <w:rsid w:val="00DD0B0C"/>
    <w:rsid w:val="00DD0B35"/>
    <w:rsid w:val="00DD11A9"/>
    <w:rsid w:val="00DD1A58"/>
    <w:rsid w:val="00DD24CC"/>
    <w:rsid w:val="00DD4C4E"/>
    <w:rsid w:val="00DD6E33"/>
    <w:rsid w:val="00DD775D"/>
    <w:rsid w:val="00DE033E"/>
    <w:rsid w:val="00DE0796"/>
    <w:rsid w:val="00DE113E"/>
    <w:rsid w:val="00DE347C"/>
    <w:rsid w:val="00DE580B"/>
    <w:rsid w:val="00DE5CC0"/>
    <w:rsid w:val="00DE60CA"/>
    <w:rsid w:val="00DE7F91"/>
    <w:rsid w:val="00DF0AB9"/>
    <w:rsid w:val="00DF1365"/>
    <w:rsid w:val="00DF20C5"/>
    <w:rsid w:val="00DF25C0"/>
    <w:rsid w:val="00DF328C"/>
    <w:rsid w:val="00DF6474"/>
    <w:rsid w:val="00DF7592"/>
    <w:rsid w:val="00DF78FB"/>
    <w:rsid w:val="00E01F27"/>
    <w:rsid w:val="00E02386"/>
    <w:rsid w:val="00E0596E"/>
    <w:rsid w:val="00E0692E"/>
    <w:rsid w:val="00E07131"/>
    <w:rsid w:val="00E072A9"/>
    <w:rsid w:val="00E11537"/>
    <w:rsid w:val="00E117FD"/>
    <w:rsid w:val="00E118A2"/>
    <w:rsid w:val="00E12B35"/>
    <w:rsid w:val="00E132C7"/>
    <w:rsid w:val="00E14DC6"/>
    <w:rsid w:val="00E158EA"/>
    <w:rsid w:val="00E15AA6"/>
    <w:rsid w:val="00E15CC4"/>
    <w:rsid w:val="00E2006E"/>
    <w:rsid w:val="00E21446"/>
    <w:rsid w:val="00E214EB"/>
    <w:rsid w:val="00E2226C"/>
    <w:rsid w:val="00E234C4"/>
    <w:rsid w:val="00E25498"/>
    <w:rsid w:val="00E25F03"/>
    <w:rsid w:val="00E271D6"/>
    <w:rsid w:val="00E278BA"/>
    <w:rsid w:val="00E27F2A"/>
    <w:rsid w:val="00E3028A"/>
    <w:rsid w:val="00E3049B"/>
    <w:rsid w:val="00E30CBC"/>
    <w:rsid w:val="00E31036"/>
    <w:rsid w:val="00E31C5D"/>
    <w:rsid w:val="00E32048"/>
    <w:rsid w:val="00E32568"/>
    <w:rsid w:val="00E32938"/>
    <w:rsid w:val="00E34039"/>
    <w:rsid w:val="00E345E0"/>
    <w:rsid w:val="00E347FD"/>
    <w:rsid w:val="00E367D0"/>
    <w:rsid w:val="00E36AA5"/>
    <w:rsid w:val="00E3787A"/>
    <w:rsid w:val="00E37ACC"/>
    <w:rsid w:val="00E40ECA"/>
    <w:rsid w:val="00E438E3"/>
    <w:rsid w:val="00E43C71"/>
    <w:rsid w:val="00E440B4"/>
    <w:rsid w:val="00E44242"/>
    <w:rsid w:val="00E44627"/>
    <w:rsid w:val="00E46433"/>
    <w:rsid w:val="00E46FC9"/>
    <w:rsid w:val="00E47180"/>
    <w:rsid w:val="00E47298"/>
    <w:rsid w:val="00E477D1"/>
    <w:rsid w:val="00E47FDC"/>
    <w:rsid w:val="00E47FEB"/>
    <w:rsid w:val="00E507A5"/>
    <w:rsid w:val="00E5086C"/>
    <w:rsid w:val="00E5173D"/>
    <w:rsid w:val="00E51CC0"/>
    <w:rsid w:val="00E528A4"/>
    <w:rsid w:val="00E563BE"/>
    <w:rsid w:val="00E5756D"/>
    <w:rsid w:val="00E604CF"/>
    <w:rsid w:val="00E606C0"/>
    <w:rsid w:val="00E6219E"/>
    <w:rsid w:val="00E6256D"/>
    <w:rsid w:val="00E6278A"/>
    <w:rsid w:val="00E628BF"/>
    <w:rsid w:val="00E6409F"/>
    <w:rsid w:val="00E64D49"/>
    <w:rsid w:val="00E64FCC"/>
    <w:rsid w:val="00E65009"/>
    <w:rsid w:val="00E65268"/>
    <w:rsid w:val="00E66494"/>
    <w:rsid w:val="00E66677"/>
    <w:rsid w:val="00E668D4"/>
    <w:rsid w:val="00E70205"/>
    <w:rsid w:val="00E7208D"/>
    <w:rsid w:val="00E727E1"/>
    <w:rsid w:val="00E73E17"/>
    <w:rsid w:val="00E745B6"/>
    <w:rsid w:val="00E75F1E"/>
    <w:rsid w:val="00E77138"/>
    <w:rsid w:val="00E8067E"/>
    <w:rsid w:val="00E8081A"/>
    <w:rsid w:val="00E80A69"/>
    <w:rsid w:val="00E810E6"/>
    <w:rsid w:val="00E821E6"/>
    <w:rsid w:val="00E833B4"/>
    <w:rsid w:val="00E8365E"/>
    <w:rsid w:val="00E83AE8"/>
    <w:rsid w:val="00E83B00"/>
    <w:rsid w:val="00E85019"/>
    <w:rsid w:val="00E8618A"/>
    <w:rsid w:val="00E9006E"/>
    <w:rsid w:val="00E90F63"/>
    <w:rsid w:val="00E91404"/>
    <w:rsid w:val="00E91473"/>
    <w:rsid w:val="00E92CBB"/>
    <w:rsid w:val="00E93557"/>
    <w:rsid w:val="00E94A15"/>
    <w:rsid w:val="00EA161D"/>
    <w:rsid w:val="00EA1DC5"/>
    <w:rsid w:val="00EA3FB0"/>
    <w:rsid w:val="00EA466A"/>
    <w:rsid w:val="00EA5F7E"/>
    <w:rsid w:val="00EB0BAA"/>
    <w:rsid w:val="00EB1BD8"/>
    <w:rsid w:val="00EB21B3"/>
    <w:rsid w:val="00EB274D"/>
    <w:rsid w:val="00EB279B"/>
    <w:rsid w:val="00EB28E3"/>
    <w:rsid w:val="00EB2B1E"/>
    <w:rsid w:val="00EB4D13"/>
    <w:rsid w:val="00EB583F"/>
    <w:rsid w:val="00EB5E82"/>
    <w:rsid w:val="00EB66D1"/>
    <w:rsid w:val="00EB6D06"/>
    <w:rsid w:val="00EB728B"/>
    <w:rsid w:val="00EC1545"/>
    <w:rsid w:val="00EC19F1"/>
    <w:rsid w:val="00EC1F1E"/>
    <w:rsid w:val="00EC256E"/>
    <w:rsid w:val="00EC3BD1"/>
    <w:rsid w:val="00EC4994"/>
    <w:rsid w:val="00EC4B3D"/>
    <w:rsid w:val="00EC63E6"/>
    <w:rsid w:val="00EC76A6"/>
    <w:rsid w:val="00ED0ABE"/>
    <w:rsid w:val="00ED13EC"/>
    <w:rsid w:val="00ED1B04"/>
    <w:rsid w:val="00ED355D"/>
    <w:rsid w:val="00ED48FE"/>
    <w:rsid w:val="00ED5016"/>
    <w:rsid w:val="00ED5875"/>
    <w:rsid w:val="00EE0850"/>
    <w:rsid w:val="00EE18AA"/>
    <w:rsid w:val="00EE2857"/>
    <w:rsid w:val="00EE2EFA"/>
    <w:rsid w:val="00EE379A"/>
    <w:rsid w:val="00EE3F17"/>
    <w:rsid w:val="00EE5053"/>
    <w:rsid w:val="00EE615C"/>
    <w:rsid w:val="00EE6477"/>
    <w:rsid w:val="00EE79BC"/>
    <w:rsid w:val="00EE7CB9"/>
    <w:rsid w:val="00EF027F"/>
    <w:rsid w:val="00EF0AED"/>
    <w:rsid w:val="00EF2325"/>
    <w:rsid w:val="00EF311C"/>
    <w:rsid w:val="00EF3489"/>
    <w:rsid w:val="00EF3A68"/>
    <w:rsid w:val="00EF565A"/>
    <w:rsid w:val="00EF633E"/>
    <w:rsid w:val="00F00FBB"/>
    <w:rsid w:val="00F01A98"/>
    <w:rsid w:val="00F01BE1"/>
    <w:rsid w:val="00F03F17"/>
    <w:rsid w:val="00F060AF"/>
    <w:rsid w:val="00F0626D"/>
    <w:rsid w:val="00F06F37"/>
    <w:rsid w:val="00F07014"/>
    <w:rsid w:val="00F10C79"/>
    <w:rsid w:val="00F12E3B"/>
    <w:rsid w:val="00F1320F"/>
    <w:rsid w:val="00F14137"/>
    <w:rsid w:val="00F14273"/>
    <w:rsid w:val="00F15305"/>
    <w:rsid w:val="00F15549"/>
    <w:rsid w:val="00F1612C"/>
    <w:rsid w:val="00F171D5"/>
    <w:rsid w:val="00F177EE"/>
    <w:rsid w:val="00F20A35"/>
    <w:rsid w:val="00F212B5"/>
    <w:rsid w:val="00F21743"/>
    <w:rsid w:val="00F21A43"/>
    <w:rsid w:val="00F22196"/>
    <w:rsid w:val="00F26781"/>
    <w:rsid w:val="00F30A66"/>
    <w:rsid w:val="00F30E77"/>
    <w:rsid w:val="00F31AD2"/>
    <w:rsid w:val="00F32116"/>
    <w:rsid w:val="00F32A6A"/>
    <w:rsid w:val="00F3380F"/>
    <w:rsid w:val="00F33A0C"/>
    <w:rsid w:val="00F33EB0"/>
    <w:rsid w:val="00F346CD"/>
    <w:rsid w:val="00F35E06"/>
    <w:rsid w:val="00F36094"/>
    <w:rsid w:val="00F36DBB"/>
    <w:rsid w:val="00F37484"/>
    <w:rsid w:val="00F40873"/>
    <w:rsid w:val="00F40D79"/>
    <w:rsid w:val="00F41397"/>
    <w:rsid w:val="00F41C8C"/>
    <w:rsid w:val="00F41E3D"/>
    <w:rsid w:val="00F42414"/>
    <w:rsid w:val="00F445C6"/>
    <w:rsid w:val="00F4572B"/>
    <w:rsid w:val="00F46634"/>
    <w:rsid w:val="00F47C77"/>
    <w:rsid w:val="00F5612E"/>
    <w:rsid w:val="00F564EA"/>
    <w:rsid w:val="00F577C5"/>
    <w:rsid w:val="00F601A9"/>
    <w:rsid w:val="00F601FB"/>
    <w:rsid w:val="00F61B06"/>
    <w:rsid w:val="00F61FE1"/>
    <w:rsid w:val="00F63FF3"/>
    <w:rsid w:val="00F65F9A"/>
    <w:rsid w:val="00F6648C"/>
    <w:rsid w:val="00F66974"/>
    <w:rsid w:val="00F66EAA"/>
    <w:rsid w:val="00F710EF"/>
    <w:rsid w:val="00F7175B"/>
    <w:rsid w:val="00F7184A"/>
    <w:rsid w:val="00F729B5"/>
    <w:rsid w:val="00F73019"/>
    <w:rsid w:val="00F730B9"/>
    <w:rsid w:val="00F733FF"/>
    <w:rsid w:val="00F74C45"/>
    <w:rsid w:val="00F76F8B"/>
    <w:rsid w:val="00F83F59"/>
    <w:rsid w:val="00F84981"/>
    <w:rsid w:val="00F85306"/>
    <w:rsid w:val="00F85D47"/>
    <w:rsid w:val="00F903B0"/>
    <w:rsid w:val="00F90B2A"/>
    <w:rsid w:val="00F91A3F"/>
    <w:rsid w:val="00F91CDA"/>
    <w:rsid w:val="00F92FFA"/>
    <w:rsid w:val="00F937DE"/>
    <w:rsid w:val="00F96C40"/>
    <w:rsid w:val="00F9782E"/>
    <w:rsid w:val="00FA30A3"/>
    <w:rsid w:val="00FA3AC8"/>
    <w:rsid w:val="00FA3E6A"/>
    <w:rsid w:val="00FA40B5"/>
    <w:rsid w:val="00FA4233"/>
    <w:rsid w:val="00FB00F4"/>
    <w:rsid w:val="00FB0AE7"/>
    <w:rsid w:val="00FB0C96"/>
    <w:rsid w:val="00FB1ACC"/>
    <w:rsid w:val="00FB32EA"/>
    <w:rsid w:val="00FB3A91"/>
    <w:rsid w:val="00FB3D7F"/>
    <w:rsid w:val="00FB42AF"/>
    <w:rsid w:val="00FB4632"/>
    <w:rsid w:val="00FB6E23"/>
    <w:rsid w:val="00FB7685"/>
    <w:rsid w:val="00FB7F0A"/>
    <w:rsid w:val="00FC047F"/>
    <w:rsid w:val="00FC0993"/>
    <w:rsid w:val="00FC0AED"/>
    <w:rsid w:val="00FC1B56"/>
    <w:rsid w:val="00FC52A3"/>
    <w:rsid w:val="00FC72A2"/>
    <w:rsid w:val="00FC7371"/>
    <w:rsid w:val="00FC73D0"/>
    <w:rsid w:val="00FC7DFF"/>
    <w:rsid w:val="00FD0BE6"/>
    <w:rsid w:val="00FD0C53"/>
    <w:rsid w:val="00FD1614"/>
    <w:rsid w:val="00FD3AC5"/>
    <w:rsid w:val="00FD52E2"/>
    <w:rsid w:val="00FD71BA"/>
    <w:rsid w:val="00FD74D0"/>
    <w:rsid w:val="00FD7822"/>
    <w:rsid w:val="00FD7A51"/>
    <w:rsid w:val="00FE0B74"/>
    <w:rsid w:val="00FE0F32"/>
    <w:rsid w:val="00FE1894"/>
    <w:rsid w:val="00FE21D6"/>
    <w:rsid w:val="00FE2B12"/>
    <w:rsid w:val="00FE339F"/>
    <w:rsid w:val="00FE38D4"/>
    <w:rsid w:val="00FE3C66"/>
    <w:rsid w:val="00FE3EB9"/>
    <w:rsid w:val="00FE5922"/>
    <w:rsid w:val="00FE6596"/>
    <w:rsid w:val="00FE6BCE"/>
    <w:rsid w:val="00FE76E3"/>
    <w:rsid w:val="00FE7F22"/>
    <w:rsid w:val="00FF0177"/>
    <w:rsid w:val="00FF0223"/>
    <w:rsid w:val="00FF029A"/>
    <w:rsid w:val="00FF2F00"/>
    <w:rsid w:val="00FF3092"/>
    <w:rsid w:val="00FF339D"/>
    <w:rsid w:val="00FF57D9"/>
    <w:rsid w:val="00FF5ABD"/>
    <w:rsid w:val="00FF5D69"/>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18A00"/>
  <w15:docId w15:val="{541218FF-5222-4575-B29A-D3838EB6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545"/>
    <w:pPr>
      <w:jc w:val="both"/>
    </w:pPr>
    <w:rPr>
      <w:sz w:val="22"/>
      <w:szCs w:val="24"/>
      <w:lang w:val="en-GB"/>
    </w:rPr>
  </w:style>
  <w:style w:type="paragraph" w:styleId="Titre1">
    <w:name w:val="heading 1"/>
    <w:basedOn w:val="Normal"/>
    <w:next w:val="Normal"/>
    <w:link w:val="Titre1Car"/>
    <w:qFormat/>
    <w:rsid w:val="00475D73"/>
    <w:pPr>
      <w:keepNext/>
      <w:suppressLineNumbers/>
      <w:suppressAutoHyphens/>
      <w:kinsoku w:val="0"/>
      <w:overflowPunct w:val="0"/>
      <w:autoSpaceDE w:val="0"/>
      <w:autoSpaceDN w:val="0"/>
      <w:spacing w:before="240"/>
      <w:ind w:right="6"/>
      <w:jc w:val="center"/>
      <w:outlineLvl w:val="0"/>
    </w:pPr>
    <w:rPr>
      <w:rFonts w:ascii="Times New Roman Bold" w:hAnsi="Times New Roman Bold" w:cs="Times New Roman Bold"/>
      <w:b/>
      <w:bCs/>
      <w:caps/>
      <w:snapToGrid w:val="0"/>
      <w:kern w:val="22"/>
      <w:szCs w:val="22"/>
    </w:rPr>
  </w:style>
  <w:style w:type="paragraph" w:styleId="Titre2">
    <w:name w:val="heading 2"/>
    <w:basedOn w:val="Normal"/>
    <w:next w:val="Normal"/>
    <w:link w:val="Titre2Car"/>
    <w:qFormat/>
    <w:rsid w:val="002D7E6D"/>
    <w:pPr>
      <w:keepNext/>
      <w:spacing w:before="240"/>
      <w:jc w:val="center"/>
      <w:outlineLvl w:val="1"/>
    </w:pPr>
    <w:rPr>
      <w:b/>
      <w:bCs/>
      <w:iCs/>
      <w:snapToGrid w:val="0"/>
      <w:lang w:eastAsia="x-none"/>
    </w:rPr>
  </w:style>
  <w:style w:type="paragraph" w:styleId="Titre3">
    <w:name w:val="heading 3"/>
    <w:basedOn w:val="Normal"/>
    <w:next w:val="Normal"/>
    <w:link w:val="Titre3Car"/>
    <w:qFormat/>
    <w:rsid w:val="006B7FB5"/>
    <w:pPr>
      <w:keepNext/>
      <w:suppressLineNumbers/>
      <w:suppressAutoHyphens/>
      <w:kinsoku w:val="0"/>
      <w:overflowPunct w:val="0"/>
      <w:autoSpaceDE w:val="0"/>
      <w:autoSpaceDN w:val="0"/>
      <w:spacing w:before="120"/>
      <w:outlineLvl w:val="2"/>
    </w:pPr>
    <w:rPr>
      <w:rFonts w:eastAsia="Times New Roman"/>
      <w:i/>
      <w:iCs/>
      <w:snapToGrid w:val="0"/>
      <w:kern w:val="22"/>
      <w:szCs w:val="22"/>
      <w:lang w:eastAsia="en-CA"/>
    </w:rPr>
  </w:style>
  <w:style w:type="paragraph" w:styleId="Titre4">
    <w:name w:val="heading 4"/>
    <w:basedOn w:val="Normal"/>
    <w:link w:val="Titre4Car"/>
    <w:qFormat/>
    <w:rsid w:val="003A3F1C"/>
    <w:pPr>
      <w:keepNext/>
      <w:spacing w:before="120"/>
      <w:outlineLvl w:val="3"/>
    </w:pPr>
    <w:rPr>
      <w:rFonts w:eastAsia="Arial Unicode MS" w:cs="Arial"/>
      <w:b/>
      <w:i/>
    </w:rPr>
  </w:style>
  <w:style w:type="paragraph" w:styleId="Titre5">
    <w:name w:val="heading 5"/>
    <w:basedOn w:val="Normal"/>
    <w:next w:val="Normal"/>
    <w:link w:val="Titre5Car"/>
    <w:qFormat/>
    <w:rsid w:val="003A3F1C"/>
    <w:pPr>
      <w:keepNext/>
      <w:numPr>
        <w:ilvl w:val="4"/>
        <w:numId w:val="4"/>
      </w:numPr>
      <w:spacing w:before="120"/>
      <w:jc w:val="left"/>
      <w:outlineLvl w:val="4"/>
    </w:pPr>
    <w:rPr>
      <w:bCs/>
      <w:i/>
      <w:szCs w:val="26"/>
      <w:lang w:val="en-CA"/>
    </w:rPr>
  </w:style>
  <w:style w:type="paragraph" w:styleId="Titre6">
    <w:name w:val="heading 6"/>
    <w:basedOn w:val="Normal"/>
    <w:next w:val="Normal"/>
    <w:link w:val="Titre6Car"/>
    <w:qFormat/>
    <w:rsid w:val="003A3F1C"/>
    <w:pPr>
      <w:keepNext/>
      <w:spacing w:after="240" w:line="240" w:lineRule="exact"/>
      <w:outlineLvl w:val="5"/>
    </w:pPr>
    <w:rPr>
      <w:i/>
      <w:sz w:val="24"/>
      <w:szCs w:val="20"/>
    </w:rPr>
  </w:style>
  <w:style w:type="paragraph" w:styleId="Titre7">
    <w:name w:val="heading 7"/>
    <w:basedOn w:val="Normal"/>
    <w:next w:val="Normal"/>
    <w:link w:val="Titre7Car"/>
    <w:qFormat/>
    <w:rsid w:val="003A3F1C"/>
    <w:pPr>
      <w:keepNext/>
      <w:jc w:val="right"/>
      <w:outlineLvl w:val="6"/>
    </w:pPr>
    <w:rPr>
      <w:rFonts w:ascii="Univers" w:hAnsi="Univers"/>
      <w:b/>
      <w:sz w:val="28"/>
    </w:rPr>
  </w:style>
  <w:style w:type="paragraph" w:styleId="Titre8">
    <w:name w:val="heading 8"/>
    <w:basedOn w:val="Normal"/>
    <w:next w:val="Normal"/>
    <w:link w:val="Titre8Car"/>
    <w:qFormat/>
    <w:rsid w:val="003A3F1C"/>
    <w:pPr>
      <w:keepNext/>
      <w:jc w:val="right"/>
      <w:outlineLvl w:val="7"/>
    </w:pPr>
    <w:rPr>
      <w:rFonts w:ascii="Univers" w:hAnsi="Univers"/>
      <w:b/>
      <w:sz w:val="32"/>
    </w:rPr>
  </w:style>
  <w:style w:type="paragraph" w:styleId="Titre9">
    <w:name w:val="heading 9"/>
    <w:basedOn w:val="Normal"/>
    <w:next w:val="Normal"/>
    <w:link w:val="Titre9Car"/>
    <w:qFormat/>
    <w:rsid w:val="003A3F1C"/>
    <w:pPr>
      <w:keepNext/>
      <w:spacing w:before="100" w:beforeAutospacing="1"/>
      <w:outlineLvl w:val="8"/>
    </w:pPr>
    <w:rPr>
      <w:i/>
      <w:iCs/>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475D73"/>
    <w:rPr>
      <w:rFonts w:ascii="Times New Roman Bold" w:hAnsi="Times New Roman Bold" w:cs="Times New Roman Bold"/>
      <w:b/>
      <w:bCs/>
      <w:caps/>
      <w:snapToGrid w:val="0"/>
      <w:kern w:val="22"/>
      <w:sz w:val="22"/>
      <w:szCs w:val="22"/>
      <w:lang w:val="en-GB"/>
    </w:rPr>
  </w:style>
  <w:style w:type="character" w:customStyle="1" w:styleId="Titre2Car">
    <w:name w:val="Titre 2 Car"/>
    <w:link w:val="Titre2"/>
    <w:rsid w:val="002D7E6D"/>
    <w:rPr>
      <w:b/>
      <w:bCs/>
      <w:iCs/>
      <w:snapToGrid w:val="0"/>
      <w:sz w:val="22"/>
      <w:szCs w:val="24"/>
      <w:lang w:val="en-GB" w:eastAsia="x-none"/>
    </w:rPr>
  </w:style>
  <w:style w:type="character" w:customStyle="1" w:styleId="Titre3Car">
    <w:name w:val="Titre 3 Car"/>
    <w:basedOn w:val="Policepardfaut"/>
    <w:link w:val="Titre3"/>
    <w:rsid w:val="00F01A98"/>
    <w:rPr>
      <w:rFonts w:eastAsia="Times New Roman"/>
      <w:i/>
      <w:iCs/>
      <w:snapToGrid w:val="0"/>
      <w:kern w:val="22"/>
      <w:sz w:val="22"/>
      <w:szCs w:val="22"/>
      <w:lang w:val="en-GB" w:eastAsia="en-CA"/>
    </w:rPr>
  </w:style>
  <w:style w:type="character" w:customStyle="1" w:styleId="Titre4Car">
    <w:name w:val="Titre 4 Car"/>
    <w:basedOn w:val="Policepardfaut"/>
    <w:link w:val="Titre4"/>
    <w:rsid w:val="00DE347C"/>
    <w:rPr>
      <w:rFonts w:eastAsia="Arial Unicode MS" w:cs="Arial"/>
      <w:b/>
      <w:i/>
      <w:sz w:val="22"/>
      <w:szCs w:val="24"/>
      <w:lang w:val="en-GB"/>
    </w:rPr>
  </w:style>
  <w:style w:type="character" w:customStyle="1" w:styleId="Titre5Car">
    <w:name w:val="Titre 5 Car"/>
    <w:basedOn w:val="Policepardfaut"/>
    <w:link w:val="Titre5"/>
    <w:rsid w:val="00DE347C"/>
    <w:rPr>
      <w:bCs/>
      <w:i/>
      <w:sz w:val="22"/>
      <w:szCs w:val="26"/>
      <w:lang w:val="en-CA"/>
    </w:rPr>
  </w:style>
  <w:style w:type="character" w:customStyle="1" w:styleId="Titre6Car">
    <w:name w:val="Titre 6 Car"/>
    <w:link w:val="Titre6"/>
    <w:locked/>
    <w:rsid w:val="004B44FA"/>
    <w:rPr>
      <w:i/>
      <w:sz w:val="24"/>
      <w:lang w:val="en-GB" w:eastAsia="en-US"/>
    </w:rPr>
  </w:style>
  <w:style w:type="character" w:customStyle="1" w:styleId="Titre7Car">
    <w:name w:val="Titre 7 Car"/>
    <w:basedOn w:val="Policepardfaut"/>
    <w:link w:val="Titre7"/>
    <w:rsid w:val="00DE347C"/>
    <w:rPr>
      <w:rFonts w:ascii="Univers" w:hAnsi="Univers"/>
      <w:b/>
      <w:sz w:val="28"/>
      <w:szCs w:val="24"/>
      <w:lang w:val="en-GB"/>
    </w:rPr>
  </w:style>
  <w:style w:type="character" w:customStyle="1" w:styleId="Titre8Car">
    <w:name w:val="Titre 8 Car"/>
    <w:basedOn w:val="Policepardfaut"/>
    <w:link w:val="Titre8"/>
    <w:rsid w:val="00DE347C"/>
    <w:rPr>
      <w:rFonts w:ascii="Univers" w:hAnsi="Univers"/>
      <w:b/>
      <w:sz w:val="32"/>
      <w:szCs w:val="24"/>
      <w:lang w:val="en-GB"/>
    </w:rPr>
  </w:style>
  <w:style w:type="character" w:customStyle="1" w:styleId="Titre9Car">
    <w:name w:val="Titre 9 Car"/>
    <w:link w:val="Titre9"/>
    <w:rsid w:val="006F507F"/>
    <w:rPr>
      <w:i/>
      <w:iCs/>
      <w:sz w:val="22"/>
      <w:szCs w:val="24"/>
      <w:lang w:val="en-GB"/>
    </w:rPr>
  </w:style>
  <w:style w:type="paragraph" w:styleId="Textedebulles">
    <w:name w:val="Balloon Text"/>
    <w:basedOn w:val="Normal"/>
    <w:link w:val="TextedebullesCar"/>
    <w:uiPriority w:val="99"/>
    <w:semiHidden/>
    <w:rsid w:val="003A3F1C"/>
    <w:rPr>
      <w:rFonts w:ascii="Lucida Grande" w:hAnsi="Lucida Grande"/>
      <w:sz w:val="18"/>
      <w:szCs w:val="18"/>
      <w:lang w:val="x-none" w:eastAsia="x-none"/>
    </w:rPr>
  </w:style>
  <w:style w:type="character" w:customStyle="1" w:styleId="TextedebullesCar">
    <w:name w:val="Texte de bulles Car"/>
    <w:link w:val="Textedebulles"/>
    <w:uiPriority w:val="99"/>
    <w:semiHidden/>
    <w:rsid w:val="00B573FE"/>
    <w:rPr>
      <w:rFonts w:ascii="Lucida Grande" w:hAnsi="Lucida Grande"/>
      <w:sz w:val="18"/>
      <w:szCs w:val="18"/>
    </w:rPr>
  </w:style>
  <w:style w:type="character" w:customStyle="1" w:styleId="BalloonTextChar">
    <w:name w:val="Balloon Text Char"/>
    <w:uiPriority w:val="99"/>
    <w:semiHidden/>
    <w:rsid w:val="008F669E"/>
    <w:rPr>
      <w:rFonts w:ascii="Lucida Grande" w:hAnsi="Lucida Grande"/>
      <w:sz w:val="18"/>
      <w:szCs w:val="18"/>
    </w:rPr>
  </w:style>
  <w:style w:type="character" w:customStyle="1" w:styleId="BalloonTextChar2">
    <w:name w:val="Balloon Text Char2"/>
    <w:uiPriority w:val="99"/>
    <w:semiHidden/>
    <w:rsid w:val="008F669E"/>
    <w:rPr>
      <w:rFonts w:ascii="Lucida Grande" w:hAnsi="Lucida Grande"/>
      <w:sz w:val="18"/>
      <w:szCs w:val="18"/>
    </w:rPr>
  </w:style>
  <w:style w:type="paragraph" w:styleId="Corpsdetexte">
    <w:name w:val="Body Text"/>
    <w:basedOn w:val="Normal"/>
    <w:link w:val="CorpsdetexteCar"/>
    <w:rsid w:val="003A3F1C"/>
    <w:pPr>
      <w:spacing w:before="120"/>
      <w:ind w:firstLine="720"/>
    </w:pPr>
    <w:rPr>
      <w:iCs/>
      <w:lang w:eastAsia="x-none"/>
    </w:rPr>
  </w:style>
  <w:style w:type="character" w:customStyle="1" w:styleId="CorpsdetexteCar">
    <w:name w:val="Corps de texte Car"/>
    <w:link w:val="Corpsdetexte"/>
    <w:rsid w:val="00A86E5D"/>
    <w:rPr>
      <w:iCs/>
      <w:sz w:val="22"/>
      <w:szCs w:val="24"/>
      <w:lang w:val="en-GB"/>
    </w:rPr>
  </w:style>
  <w:style w:type="paragraph" w:styleId="Pieddepage">
    <w:name w:val="footer"/>
    <w:basedOn w:val="Normal"/>
    <w:link w:val="PieddepageCar"/>
    <w:rsid w:val="003A3F1C"/>
    <w:pPr>
      <w:tabs>
        <w:tab w:val="center" w:pos="4320"/>
        <w:tab w:val="right" w:pos="8640"/>
      </w:tabs>
      <w:ind w:firstLine="720"/>
      <w:jc w:val="right"/>
    </w:pPr>
  </w:style>
  <w:style w:type="character" w:customStyle="1" w:styleId="PieddepageCar">
    <w:name w:val="Pied de page Car"/>
    <w:basedOn w:val="Policepardfaut"/>
    <w:link w:val="Pieddepage"/>
    <w:rsid w:val="005B76D9"/>
    <w:rPr>
      <w:sz w:val="22"/>
      <w:szCs w:val="24"/>
      <w:lang w:val="en-GB"/>
    </w:rPr>
  </w:style>
  <w:style w:type="paragraph" w:customStyle="1" w:styleId="Para1">
    <w:name w:val="Para1"/>
    <w:basedOn w:val="Normal"/>
    <w:link w:val="Para1Char"/>
    <w:rsid w:val="00FC047F"/>
    <w:pPr>
      <w:numPr>
        <w:numId w:val="7"/>
      </w:numPr>
      <w:tabs>
        <w:tab w:val="left" w:pos="567"/>
        <w:tab w:val="num" w:pos="2912"/>
      </w:tabs>
      <w:spacing w:before="120"/>
    </w:pPr>
    <w:rPr>
      <w:szCs w:val="18"/>
    </w:rPr>
  </w:style>
  <w:style w:type="character" w:customStyle="1" w:styleId="Para1Char">
    <w:name w:val="Para1 Char"/>
    <w:link w:val="Para1"/>
    <w:locked/>
    <w:rsid w:val="00FC047F"/>
    <w:rPr>
      <w:sz w:val="22"/>
      <w:szCs w:val="18"/>
      <w:lang w:val="en-GB"/>
    </w:rPr>
  </w:style>
  <w:style w:type="paragraph" w:customStyle="1" w:styleId="Para20">
    <w:name w:val="Para2"/>
    <w:basedOn w:val="Para1"/>
    <w:rsid w:val="003A3F1C"/>
    <w:pPr>
      <w:numPr>
        <w:numId w:val="8"/>
      </w:numPr>
      <w:tabs>
        <w:tab w:val="num" w:pos="990"/>
      </w:tabs>
      <w:autoSpaceDE w:val="0"/>
      <w:autoSpaceDN w:val="0"/>
    </w:pPr>
  </w:style>
  <w:style w:type="paragraph" w:customStyle="1" w:styleId="Para3">
    <w:name w:val="Para3"/>
    <w:basedOn w:val="Normal"/>
    <w:rsid w:val="003A3F1C"/>
    <w:pPr>
      <w:spacing w:before="80" w:after="80"/>
    </w:pPr>
    <w:rPr>
      <w:szCs w:val="20"/>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3A3F1C"/>
    <w:pPr>
      <w:keepLines/>
      <w:spacing w:after="60"/>
      <w:ind w:firstLine="720"/>
    </w:pPr>
    <w:rPr>
      <w:sz w:val="18"/>
      <w:lang w:eastAsia="x-none"/>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link w:val="Notedebasdepage"/>
    <w:uiPriority w:val="99"/>
    <w:rsid w:val="006C79FD"/>
    <w:rPr>
      <w:sz w:val="18"/>
      <w:szCs w:val="24"/>
      <w:lang w:val="en-GB"/>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3A3F1C"/>
    <w:rPr>
      <w:sz w:val="18"/>
      <w:u w:val="single"/>
      <w:vertAlign w:val="baselin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D7B"/>
    <w:pPr>
      <w:spacing w:after="160" w:line="240" w:lineRule="exact"/>
      <w:jc w:val="left"/>
    </w:pPr>
    <w:rPr>
      <w:sz w:val="18"/>
      <w:szCs w:val="20"/>
      <w:u w:val="single"/>
      <w:lang w:val="en-US"/>
    </w:rPr>
  </w:style>
  <w:style w:type="paragraph" w:customStyle="1" w:styleId="Cornernotation">
    <w:name w:val="Corner notation"/>
    <w:basedOn w:val="Normal"/>
    <w:rsid w:val="003A3F1C"/>
    <w:pPr>
      <w:ind w:left="284" w:right="4398" w:hanging="284"/>
      <w:jc w:val="left"/>
    </w:pPr>
  </w:style>
  <w:style w:type="paragraph" w:customStyle="1" w:styleId="para2">
    <w:name w:val="para2"/>
    <w:basedOn w:val="Normal"/>
    <w:rsid w:val="003A3F1C"/>
    <w:pPr>
      <w:numPr>
        <w:numId w:val="3"/>
      </w:numPr>
      <w:tabs>
        <w:tab w:val="clear" w:pos="360"/>
      </w:tabs>
      <w:spacing w:before="120"/>
    </w:pPr>
    <w:rPr>
      <w:szCs w:val="20"/>
    </w:rPr>
  </w:style>
  <w:style w:type="paragraph" w:customStyle="1" w:styleId="Paranum">
    <w:name w:val="Paranum"/>
    <w:basedOn w:val="Para1"/>
    <w:rsid w:val="003A3F1C"/>
    <w:pPr>
      <w:numPr>
        <w:numId w:val="2"/>
      </w:numPr>
      <w:spacing w:line="240" w:lineRule="exact"/>
    </w:pPr>
    <w:rPr>
      <w:szCs w:val="20"/>
      <w:lang w:val="en-US"/>
    </w:rPr>
  </w:style>
  <w:style w:type="paragraph" w:styleId="Notedefin">
    <w:name w:val="endnote text"/>
    <w:basedOn w:val="Normal"/>
    <w:link w:val="NotedefinCar"/>
    <w:semiHidden/>
    <w:rsid w:val="003A3F1C"/>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DE347C"/>
    <w:rPr>
      <w:rFonts w:ascii="Courier New" w:hAnsi="Courier New"/>
      <w:sz w:val="22"/>
      <w:szCs w:val="24"/>
      <w:lang w:val="en-GB"/>
    </w:rPr>
  </w:style>
  <w:style w:type="character" w:styleId="Appeldenotedefin">
    <w:name w:val="endnote reference"/>
    <w:semiHidden/>
    <w:rsid w:val="003A3F1C"/>
    <w:rPr>
      <w:vertAlign w:val="superscript"/>
    </w:rPr>
  </w:style>
  <w:style w:type="character" w:styleId="Numrodepage">
    <w:name w:val="page number"/>
    <w:rsid w:val="003A3F1C"/>
    <w:rPr>
      <w:rFonts w:ascii="Times New Roman" w:hAnsi="Times New Roman"/>
      <w:sz w:val="22"/>
    </w:rPr>
  </w:style>
  <w:style w:type="paragraph" w:customStyle="1" w:styleId="para4">
    <w:name w:val="para4"/>
    <w:basedOn w:val="Normal"/>
    <w:rsid w:val="003A3F1C"/>
    <w:pPr>
      <w:numPr>
        <w:ilvl w:val="3"/>
        <w:numId w:val="6"/>
      </w:numPr>
      <w:tabs>
        <w:tab w:val="clear" w:pos="1440"/>
        <w:tab w:val="num" w:pos="2160"/>
      </w:tabs>
      <w:overflowPunct w:val="0"/>
      <w:autoSpaceDE w:val="0"/>
      <w:autoSpaceDN w:val="0"/>
      <w:adjustRightInd w:val="0"/>
      <w:spacing w:line="240" w:lineRule="atLeast"/>
      <w:ind w:left="2160" w:hanging="720"/>
      <w:textAlignment w:val="baseline"/>
    </w:pPr>
    <w:rPr>
      <w:rFonts w:ascii="Courier" w:hAnsi="Courier"/>
      <w:color w:val="000000"/>
      <w:sz w:val="20"/>
      <w:szCs w:val="20"/>
    </w:rPr>
  </w:style>
  <w:style w:type="paragraph" w:customStyle="1" w:styleId="Heading1multiline">
    <w:name w:val="Heading 1 (multiline)"/>
    <w:basedOn w:val="Titre1"/>
    <w:rsid w:val="00475D73"/>
    <w:pPr>
      <w:tabs>
        <w:tab w:val="left" w:pos="1701"/>
      </w:tabs>
      <w:ind w:left="1701" w:right="610" w:hanging="1134"/>
      <w:jc w:val="left"/>
    </w:pPr>
  </w:style>
  <w:style w:type="paragraph" w:customStyle="1" w:styleId="Heading2multiline">
    <w:name w:val="Heading 2 (multiline)"/>
    <w:basedOn w:val="Titre1"/>
    <w:next w:val="Normal"/>
    <w:rsid w:val="003A3F1C"/>
    <w:pPr>
      <w:spacing w:before="120"/>
      <w:ind w:left="1843" w:right="998" w:hanging="567"/>
      <w:jc w:val="left"/>
    </w:pPr>
    <w:rPr>
      <w:i/>
      <w:iCs/>
      <w:caps w:val="0"/>
    </w:rPr>
  </w:style>
  <w:style w:type="paragraph" w:customStyle="1" w:styleId="Heading3multiline">
    <w:name w:val="Heading 3 (multiline)"/>
    <w:basedOn w:val="Titre3"/>
    <w:next w:val="Normal"/>
    <w:rsid w:val="003A3F1C"/>
    <w:pPr>
      <w:tabs>
        <w:tab w:val="left" w:pos="567"/>
      </w:tabs>
      <w:ind w:left="1418" w:hanging="425"/>
      <w:jc w:val="left"/>
    </w:pPr>
  </w:style>
  <w:style w:type="paragraph" w:customStyle="1" w:styleId="Heading2longmultiline">
    <w:name w:val="Heading 2 (long multiline)"/>
    <w:basedOn w:val="Heading2multiline"/>
    <w:rsid w:val="00D74CD6"/>
    <w:pPr>
      <w:ind w:left="2127" w:hanging="1276"/>
    </w:pPr>
  </w:style>
  <w:style w:type="paragraph" w:customStyle="1" w:styleId="Heading1longmultiline">
    <w:name w:val="Heading 1 (long multiline)"/>
    <w:basedOn w:val="Titre1"/>
    <w:rsid w:val="003A3F1C"/>
    <w:pPr>
      <w:ind w:left="1843" w:hanging="1134"/>
      <w:jc w:val="left"/>
    </w:pPr>
  </w:style>
  <w:style w:type="paragraph" w:styleId="Retraitcorpsdetexte">
    <w:name w:val="Body Text Indent"/>
    <w:basedOn w:val="Normal"/>
    <w:link w:val="RetraitcorpsdetexteCar"/>
    <w:rsid w:val="003A3F1C"/>
    <w:pPr>
      <w:spacing w:before="120"/>
      <w:ind w:left="1440" w:hanging="720"/>
      <w:jc w:val="left"/>
    </w:pPr>
  </w:style>
  <w:style w:type="character" w:customStyle="1" w:styleId="RetraitcorpsdetexteCar">
    <w:name w:val="Retrait corps de texte Car"/>
    <w:basedOn w:val="Policepardfaut"/>
    <w:link w:val="Retraitcorpsdetexte"/>
    <w:rsid w:val="00DE347C"/>
    <w:rPr>
      <w:sz w:val="22"/>
      <w:szCs w:val="24"/>
      <w:lang w:val="en-GB"/>
    </w:rPr>
  </w:style>
  <w:style w:type="paragraph" w:customStyle="1" w:styleId="Heading-plainbold">
    <w:name w:val="Heading-plain bold"/>
    <w:basedOn w:val="Corpsdetexte"/>
    <w:rsid w:val="003A3F1C"/>
    <w:pPr>
      <w:ind w:firstLine="0"/>
      <w:jc w:val="center"/>
    </w:pPr>
    <w:rPr>
      <w:b/>
      <w:bCs/>
      <w:i/>
      <w:iCs w:val="0"/>
    </w:rPr>
  </w:style>
  <w:style w:type="paragraph" w:customStyle="1" w:styleId="Heading-plainitalic">
    <w:name w:val="Heading-plain italic"/>
    <w:basedOn w:val="Normal"/>
    <w:rsid w:val="003A3F1C"/>
    <w:pPr>
      <w:spacing w:before="120"/>
      <w:jc w:val="center"/>
    </w:pPr>
    <w:rPr>
      <w:i/>
      <w:szCs w:val="20"/>
    </w:rPr>
  </w:style>
  <w:style w:type="paragraph" w:styleId="TM1">
    <w:name w:val="toc 1"/>
    <w:basedOn w:val="Normal"/>
    <w:next w:val="Normal"/>
    <w:autoRedefine/>
    <w:rsid w:val="003A3F1C"/>
    <w:pPr>
      <w:tabs>
        <w:tab w:val="left" w:pos="1200"/>
        <w:tab w:val="right" w:leader="dot" w:pos="9350"/>
      </w:tabs>
      <w:spacing w:before="120"/>
      <w:ind w:left="1210" w:right="450" w:hanging="1210"/>
      <w:jc w:val="left"/>
    </w:pPr>
    <w:rPr>
      <w:noProof/>
      <w:szCs w:val="22"/>
      <w:lang w:val="en-CA"/>
    </w:rPr>
  </w:style>
  <w:style w:type="paragraph" w:styleId="TM2">
    <w:name w:val="toc 2"/>
    <w:basedOn w:val="Normal"/>
    <w:next w:val="Normal"/>
    <w:autoRedefine/>
    <w:rsid w:val="00375D2B"/>
    <w:pPr>
      <w:tabs>
        <w:tab w:val="left" w:pos="9356"/>
      </w:tabs>
      <w:spacing w:before="120" w:line="240" w:lineRule="auto"/>
      <w:ind w:left="2310" w:right="610" w:hanging="1100"/>
      <w:jc w:val="left"/>
    </w:pPr>
    <w:rPr>
      <w:noProof/>
      <w:szCs w:val="22"/>
      <w:lang w:val="en-US"/>
    </w:rPr>
  </w:style>
  <w:style w:type="paragraph" w:styleId="TM3">
    <w:name w:val="toc 3"/>
    <w:basedOn w:val="Normal"/>
    <w:next w:val="Normal"/>
    <w:autoRedefine/>
    <w:rsid w:val="003A3F1C"/>
    <w:pPr>
      <w:spacing w:before="120"/>
      <w:ind w:left="480"/>
      <w:jc w:val="left"/>
    </w:pPr>
    <w:rPr>
      <w:lang w:val="en-CA"/>
    </w:rPr>
  </w:style>
  <w:style w:type="paragraph" w:styleId="En-tte">
    <w:name w:val="header"/>
    <w:basedOn w:val="Normal"/>
    <w:link w:val="En-tteCar"/>
    <w:rsid w:val="003A3F1C"/>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En-tteCar">
    <w:name w:val="En-tête Car"/>
    <w:basedOn w:val="Policepardfaut"/>
    <w:link w:val="En-tte"/>
    <w:rsid w:val="00DE347C"/>
    <w:rPr>
      <w:sz w:val="22"/>
      <w:lang w:val="en-GB"/>
    </w:rPr>
  </w:style>
  <w:style w:type="paragraph" w:customStyle="1" w:styleId="HEADINGNOTFORTOC">
    <w:name w:val="HEADING (NOT FOR TOC)"/>
    <w:basedOn w:val="Titre1"/>
    <w:next w:val="Titre2"/>
    <w:rsid w:val="003A3F1C"/>
  </w:style>
  <w:style w:type="paragraph" w:customStyle="1" w:styleId="Paragraph">
    <w:name w:val="Paragraph"/>
    <w:basedOn w:val="Normal"/>
    <w:rsid w:val="003A3F1C"/>
    <w:pPr>
      <w:spacing w:before="120"/>
    </w:pPr>
  </w:style>
  <w:style w:type="paragraph" w:customStyle="1" w:styleId="Heading4">
    <w:name w:val="Heading4"/>
    <w:basedOn w:val="Normal"/>
    <w:rsid w:val="003A3F1C"/>
    <w:pPr>
      <w:numPr>
        <w:numId w:val="1"/>
      </w:numPr>
    </w:pPr>
    <w:rPr>
      <w:b/>
      <w:i/>
      <w:iCs/>
      <w:szCs w:val="20"/>
    </w:rPr>
  </w:style>
  <w:style w:type="paragraph" w:customStyle="1" w:styleId="Activity">
    <w:name w:val="Activity"/>
    <w:basedOn w:val="Normal"/>
    <w:rsid w:val="003A3F1C"/>
    <w:pPr>
      <w:numPr>
        <w:ilvl w:val="1"/>
        <w:numId w:val="5"/>
      </w:numPr>
      <w:spacing w:before="120"/>
    </w:pPr>
  </w:style>
  <w:style w:type="paragraph" w:styleId="Retraitcorpsdetexte3">
    <w:name w:val="Body Text Indent 3"/>
    <w:basedOn w:val="Normal"/>
    <w:rsid w:val="003A3F1C"/>
    <w:pPr>
      <w:ind w:left="720"/>
      <w:jc w:val="left"/>
    </w:pPr>
    <w:rPr>
      <w:szCs w:val="20"/>
    </w:rPr>
  </w:style>
  <w:style w:type="paragraph" w:styleId="Corpsdetexte2">
    <w:name w:val="Body Text 2"/>
    <w:basedOn w:val="Normal"/>
    <w:rsid w:val="003A3F1C"/>
    <w:pPr>
      <w:jc w:val="right"/>
    </w:pPr>
    <w:rPr>
      <w:szCs w:val="20"/>
    </w:rPr>
  </w:style>
  <w:style w:type="paragraph" w:customStyle="1" w:styleId="HEADING">
    <w:name w:val="HEADING"/>
    <w:basedOn w:val="Normal"/>
    <w:rsid w:val="003A3F1C"/>
    <w:pPr>
      <w:keepNext/>
      <w:tabs>
        <w:tab w:val="left" w:pos="1134"/>
      </w:tabs>
      <w:spacing w:before="240"/>
      <w:jc w:val="center"/>
    </w:pPr>
    <w:rPr>
      <w:b/>
      <w:caps/>
    </w:rPr>
  </w:style>
  <w:style w:type="paragraph" w:customStyle="1" w:styleId="Heading2-center">
    <w:name w:val="Heading 2-center"/>
    <w:basedOn w:val="Titre2"/>
    <w:rsid w:val="003A3F1C"/>
    <w:pPr>
      <w:ind w:left="1304" w:right="1134" w:hanging="340"/>
      <w:outlineLvl w:val="9"/>
    </w:pPr>
    <w:rPr>
      <w:b w:val="0"/>
      <w:i/>
      <w:caps/>
      <w:szCs w:val="28"/>
    </w:rPr>
  </w:style>
  <w:style w:type="paragraph" w:styleId="Retraitcorpsdetexte2">
    <w:name w:val="Body Text Indent 2"/>
    <w:basedOn w:val="Normal"/>
    <w:rsid w:val="003A3F1C"/>
    <w:pPr>
      <w:ind w:firstLine="709"/>
    </w:pPr>
  </w:style>
  <w:style w:type="paragraph" w:customStyle="1" w:styleId="bodytextnoindent">
    <w:name w:val="body text (no indent)"/>
    <w:basedOn w:val="Normal"/>
    <w:rsid w:val="003A3F1C"/>
    <w:pPr>
      <w:spacing w:before="120"/>
    </w:pPr>
  </w:style>
  <w:style w:type="paragraph" w:customStyle="1" w:styleId="Heading2noletter">
    <w:name w:val="Heading 2 (no letter)"/>
    <w:basedOn w:val="Titre2"/>
    <w:rsid w:val="003A3F1C"/>
  </w:style>
  <w:style w:type="paragraph" w:customStyle="1" w:styleId="Heading4indent">
    <w:name w:val="Heading 4 indent"/>
    <w:basedOn w:val="Titre4"/>
    <w:rsid w:val="003A3F1C"/>
    <w:pPr>
      <w:ind w:left="720"/>
      <w:outlineLvl w:val="9"/>
    </w:pPr>
  </w:style>
  <w:style w:type="paragraph" w:customStyle="1" w:styleId="heading-plainbold0">
    <w:name w:val="heading-plain bold"/>
    <w:basedOn w:val="Titre1"/>
    <w:rsid w:val="003A3F1C"/>
    <w:pPr>
      <w:spacing w:before="120"/>
      <w:ind w:right="0"/>
    </w:pPr>
    <w:rPr>
      <w:i/>
      <w:iCs/>
      <w:caps w:val="0"/>
    </w:rPr>
  </w:style>
  <w:style w:type="character" w:styleId="Lienhypertexte">
    <w:name w:val="Hyperlink"/>
    <w:rsid w:val="003A3F1C"/>
    <w:rPr>
      <w:color w:val="0000FF"/>
      <w:sz w:val="18"/>
      <w:u w:val="single"/>
    </w:rPr>
  </w:style>
  <w:style w:type="paragraph" w:customStyle="1" w:styleId="aident">
    <w:name w:val="(a) ident"/>
    <w:basedOn w:val="Normal"/>
    <w:rsid w:val="003A3F1C"/>
    <w:pPr>
      <w:tabs>
        <w:tab w:val="num" w:pos="1077"/>
      </w:tabs>
      <w:autoSpaceDE w:val="0"/>
      <w:autoSpaceDN w:val="0"/>
      <w:spacing w:before="120"/>
      <w:ind w:left="1077" w:hanging="357"/>
    </w:pPr>
    <w:rPr>
      <w:szCs w:val="18"/>
    </w:rPr>
  </w:style>
  <w:style w:type="paragraph" w:customStyle="1" w:styleId="para10">
    <w:name w:val="para1"/>
    <w:basedOn w:val="Normal"/>
    <w:rsid w:val="003A3F1C"/>
    <w:pPr>
      <w:spacing w:before="100" w:beforeAutospacing="1" w:after="100" w:afterAutospacing="1"/>
      <w:jc w:val="left"/>
    </w:pPr>
    <w:rPr>
      <w:rFonts w:ascii="Arial Unicode MS" w:eastAsia="Arial Unicode MS" w:hAnsi="Arial Unicode MS" w:cs="Arial Unicode MS"/>
      <w:sz w:val="24"/>
      <w:lang w:val="en-US"/>
    </w:rPr>
  </w:style>
  <w:style w:type="character" w:styleId="Lienhypertextesuivivisit">
    <w:name w:val="FollowedHyperlink"/>
    <w:uiPriority w:val="99"/>
    <w:rsid w:val="003A3F1C"/>
    <w:rPr>
      <w:color w:val="800080"/>
      <w:u w:val="single"/>
    </w:rPr>
  </w:style>
  <w:style w:type="character" w:styleId="Marquedecommentaire">
    <w:name w:val="annotation reference"/>
    <w:semiHidden/>
    <w:rsid w:val="003A3F1C"/>
    <w:rPr>
      <w:sz w:val="16"/>
    </w:rPr>
  </w:style>
  <w:style w:type="paragraph" w:styleId="Commentaire">
    <w:name w:val="annotation text"/>
    <w:basedOn w:val="Normal"/>
    <w:link w:val="CommentaireCar"/>
    <w:semiHidden/>
    <w:rsid w:val="003A3F1C"/>
    <w:rPr>
      <w:sz w:val="20"/>
      <w:szCs w:val="20"/>
      <w:lang w:eastAsia="x-none"/>
    </w:rPr>
  </w:style>
  <w:style w:type="character" w:customStyle="1" w:styleId="CommentaireCar">
    <w:name w:val="Commentaire Car"/>
    <w:link w:val="Commentaire"/>
    <w:semiHidden/>
    <w:rsid w:val="009F7E7D"/>
    <w:rPr>
      <w:lang w:val="en-GB"/>
    </w:rPr>
  </w:style>
  <w:style w:type="paragraph" w:customStyle="1" w:styleId="FOOTNOTETEX">
    <w:name w:val="FOOTNOTE TEX"/>
    <w:rsid w:val="003A3F1C"/>
    <w:pPr>
      <w:widowControl w:val="0"/>
      <w:tabs>
        <w:tab w:val="left" w:pos="-720"/>
      </w:tabs>
      <w:suppressAutoHyphens/>
    </w:pPr>
  </w:style>
  <w:style w:type="character" w:styleId="lev">
    <w:name w:val="Strong"/>
    <w:qFormat/>
    <w:rsid w:val="003A3F1C"/>
    <w:rPr>
      <w:b/>
    </w:rPr>
  </w:style>
  <w:style w:type="paragraph" w:customStyle="1" w:styleId="Paraofficial">
    <w:name w:val="Para official"/>
    <w:basedOn w:val="Normal"/>
    <w:rsid w:val="003A3F1C"/>
    <w:pPr>
      <w:framePr w:hSpace="187" w:vSpace="187" w:wrap="notBeside" w:vAnchor="text" w:hAnchor="text" w:y="1"/>
      <w:numPr>
        <w:numId w:val="9"/>
      </w:numPr>
      <w:spacing w:before="240" w:after="240"/>
      <w:jc w:val="left"/>
    </w:pPr>
    <w:rPr>
      <w:szCs w:val="20"/>
    </w:rPr>
  </w:style>
  <w:style w:type="paragraph" w:styleId="Corpsdetexte3">
    <w:name w:val="Body Text 3"/>
    <w:basedOn w:val="Normal"/>
    <w:rsid w:val="003A3F1C"/>
    <w:rPr>
      <w:color w:val="FF0000"/>
    </w:rPr>
  </w:style>
  <w:style w:type="paragraph" w:styleId="NormalWeb">
    <w:name w:val="Normal (Web)"/>
    <w:basedOn w:val="Normal"/>
    <w:rsid w:val="003A3F1C"/>
    <w:pPr>
      <w:spacing w:before="100" w:beforeAutospacing="1" w:after="100" w:afterAutospacing="1"/>
      <w:jc w:val="left"/>
    </w:pPr>
    <w:rPr>
      <w:sz w:val="24"/>
      <w:lang w:val="en-US"/>
    </w:rPr>
  </w:style>
  <w:style w:type="paragraph" w:customStyle="1" w:styleId="Numbering">
    <w:name w:val="Numbering"/>
    <w:basedOn w:val="Normal"/>
    <w:rsid w:val="003A3F1C"/>
    <w:pPr>
      <w:numPr>
        <w:numId w:val="10"/>
      </w:numPr>
    </w:pPr>
    <w:rPr>
      <w:lang w:val="en-US"/>
    </w:rPr>
  </w:style>
  <w:style w:type="paragraph" w:customStyle="1" w:styleId="Para2rev">
    <w:name w:val="Para 2 (rev)"/>
    <w:basedOn w:val="Normal"/>
    <w:rsid w:val="003A3F1C"/>
    <w:pPr>
      <w:tabs>
        <w:tab w:val="num" w:pos="720"/>
      </w:tabs>
      <w:ind w:firstLine="720"/>
    </w:pPr>
  </w:style>
  <w:style w:type="character" w:customStyle="1" w:styleId="CharChar2">
    <w:name w:val="Char Char2"/>
    <w:semiHidden/>
    <w:rsid w:val="003A3F1C"/>
    <w:rPr>
      <w:lang w:val="en-GB" w:eastAsia="en-US"/>
    </w:rPr>
  </w:style>
  <w:style w:type="paragraph" w:styleId="Objetducommentaire">
    <w:name w:val="annotation subject"/>
    <w:basedOn w:val="Commentaire"/>
    <w:next w:val="Commentaire"/>
    <w:link w:val="ObjetducommentaireCar"/>
    <w:uiPriority w:val="99"/>
    <w:semiHidden/>
    <w:rsid w:val="003A3F1C"/>
    <w:rPr>
      <w:b/>
      <w:bCs/>
    </w:rPr>
  </w:style>
  <w:style w:type="character" w:customStyle="1" w:styleId="ObjetducommentaireCar">
    <w:name w:val="Objet du commentaire Car"/>
    <w:basedOn w:val="CommentaireCar"/>
    <w:link w:val="Objetducommentaire"/>
    <w:uiPriority w:val="99"/>
    <w:semiHidden/>
    <w:rsid w:val="00DE347C"/>
    <w:rPr>
      <w:b/>
      <w:bCs/>
      <w:lang w:val="en-GB" w:eastAsia="x-none"/>
    </w:rPr>
  </w:style>
  <w:style w:type="paragraph" w:styleId="Listepuces">
    <w:name w:val="List Bullet"/>
    <w:aliases w:val="UL 1"/>
    <w:basedOn w:val="Normal"/>
    <w:autoRedefine/>
    <w:uiPriority w:val="9"/>
    <w:qFormat/>
    <w:rsid w:val="00C01027"/>
    <w:pPr>
      <w:suppressLineNumbers/>
      <w:suppressAutoHyphens/>
      <w:spacing w:before="120"/>
      <w:ind w:firstLine="709"/>
    </w:pPr>
    <w:rPr>
      <w:szCs w:val="22"/>
      <w:lang w:val="en-US"/>
    </w:rPr>
  </w:style>
  <w:style w:type="paragraph" w:customStyle="1" w:styleId="ColorfulList-Accent11">
    <w:name w:val="Colorful List - Accent 11"/>
    <w:basedOn w:val="Normal"/>
    <w:rsid w:val="00070FAC"/>
    <w:pPr>
      <w:spacing w:after="200"/>
      <w:ind w:left="720"/>
      <w:contextualSpacing/>
      <w:jc w:val="left"/>
    </w:pPr>
    <w:rPr>
      <w:rFonts w:ascii="Calibri" w:hAnsi="Calibri"/>
      <w:szCs w:val="22"/>
      <w:lang w:val="en-CA"/>
    </w:rPr>
  </w:style>
  <w:style w:type="character" w:styleId="Accentuation">
    <w:name w:val="Emphasis"/>
    <w:qFormat/>
    <w:rsid w:val="00C06B8D"/>
    <w:rPr>
      <w:i/>
    </w:rPr>
  </w:style>
  <w:style w:type="character" w:customStyle="1" w:styleId="CharChar3">
    <w:name w:val="Char Char3"/>
    <w:rsid w:val="004B44FA"/>
    <w:rPr>
      <w:rFonts w:ascii="Times New Roman" w:hAnsi="Times New Roman"/>
      <w:b/>
      <w:caps/>
      <w:sz w:val="24"/>
      <w:lang w:val="en-GB"/>
    </w:rPr>
  </w:style>
  <w:style w:type="paragraph" w:styleId="TM9">
    <w:name w:val="toc 9"/>
    <w:basedOn w:val="Normal"/>
    <w:next w:val="Normal"/>
    <w:autoRedefine/>
    <w:rsid w:val="005F1D07"/>
    <w:pPr>
      <w:spacing w:before="120"/>
      <w:ind w:left="1760"/>
      <w:jc w:val="left"/>
    </w:pPr>
  </w:style>
  <w:style w:type="paragraph" w:customStyle="1" w:styleId="Default">
    <w:name w:val="Default"/>
    <w:rsid w:val="00C627A3"/>
    <w:pPr>
      <w:autoSpaceDE w:val="0"/>
      <w:autoSpaceDN w:val="0"/>
      <w:adjustRightInd w:val="0"/>
    </w:pPr>
    <w:rPr>
      <w:rFonts w:eastAsia="MS Mincho"/>
      <w:color w:val="000000"/>
      <w:sz w:val="24"/>
      <w:szCs w:val="24"/>
      <w:lang w:val="en-CA" w:eastAsia="ja-JP"/>
    </w:rPr>
  </w:style>
  <w:style w:type="character" w:customStyle="1" w:styleId="apple-style-span">
    <w:name w:val="apple-style-span"/>
    <w:rsid w:val="0070309B"/>
  </w:style>
  <w:style w:type="paragraph" w:customStyle="1" w:styleId="ColorfulShading-Accent11">
    <w:name w:val="Colorful Shading - Accent 11"/>
    <w:hidden/>
    <w:uiPriority w:val="99"/>
    <w:semiHidden/>
    <w:rsid w:val="00BE2DBA"/>
    <w:rPr>
      <w:sz w:val="22"/>
      <w:szCs w:val="24"/>
      <w:lang w:val="en-GB"/>
    </w:rPr>
  </w:style>
  <w:style w:type="paragraph" w:styleId="Explorateurdedocuments">
    <w:name w:val="Document Map"/>
    <w:basedOn w:val="Normal"/>
    <w:semiHidden/>
    <w:rsid w:val="00464E3B"/>
    <w:pPr>
      <w:shd w:val="clear" w:color="auto" w:fill="000080"/>
    </w:pPr>
    <w:rPr>
      <w:rFonts w:ascii="Tahoma" w:hAnsi="Tahoma" w:cs="Tahoma"/>
      <w:sz w:val="20"/>
      <w:szCs w:val="20"/>
    </w:rPr>
  </w:style>
  <w:style w:type="paragraph" w:customStyle="1" w:styleId="ColorfulList-Accent12">
    <w:name w:val="Colorful List - Accent 12"/>
    <w:basedOn w:val="Normal"/>
    <w:uiPriority w:val="34"/>
    <w:qFormat/>
    <w:rsid w:val="00A916A6"/>
    <w:pPr>
      <w:ind w:left="720"/>
    </w:pPr>
  </w:style>
  <w:style w:type="character" w:customStyle="1" w:styleId="hps">
    <w:name w:val="hps"/>
    <w:rsid w:val="002205A4"/>
  </w:style>
  <w:style w:type="table" w:styleId="Grilledutableau">
    <w:name w:val="Table Grid"/>
    <w:basedOn w:val="TableauNormal"/>
    <w:uiPriority w:val="59"/>
    <w:rsid w:val="00881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E954F6"/>
    <w:rPr>
      <w:snapToGrid w:val="0"/>
      <w:szCs w:val="20"/>
    </w:rPr>
  </w:style>
  <w:style w:type="paragraph" w:customStyle="1" w:styleId="Para40">
    <w:name w:val="Para4"/>
    <w:basedOn w:val="Para3"/>
    <w:rsid w:val="00CA5B5A"/>
    <w:pPr>
      <w:tabs>
        <w:tab w:val="left" w:pos="2552"/>
        <w:tab w:val="num" w:pos="2880"/>
      </w:tabs>
      <w:ind w:left="2880" w:hanging="360"/>
    </w:pPr>
  </w:style>
  <w:style w:type="paragraph" w:styleId="Rvision">
    <w:name w:val="Revision"/>
    <w:hidden/>
    <w:uiPriority w:val="99"/>
    <w:semiHidden/>
    <w:rsid w:val="00253495"/>
    <w:rPr>
      <w:sz w:val="22"/>
      <w:szCs w:val="24"/>
      <w:lang w:val="en-GB"/>
    </w:rPr>
  </w:style>
  <w:style w:type="character" w:customStyle="1" w:styleId="Para1Char1">
    <w:name w:val="Para1 Char1"/>
    <w:rsid w:val="00486D78"/>
    <w:rPr>
      <w:rFonts w:cs="Angsana New"/>
      <w:snapToGrid w:val="0"/>
      <w:sz w:val="22"/>
      <w:szCs w:val="18"/>
      <w:lang w:val="en-GB"/>
    </w:rPr>
  </w:style>
  <w:style w:type="character" w:styleId="Textedelespacerserv">
    <w:name w:val="Placeholder Text"/>
    <w:basedOn w:val="Policepardfaut"/>
    <w:uiPriority w:val="99"/>
    <w:rsid w:val="001E75CF"/>
    <w:rPr>
      <w:color w:val="808080"/>
    </w:rPr>
  </w:style>
  <w:style w:type="character" w:customStyle="1" w:styleId="UnresolvedMention1">
    <w:name w:val="Unresolved Mention1"/>
    <w:basedOn w:val="Policepardfaut"/>
    <w:uiPriority w:val="99"/>
    <w:semiHidden/>
    <w:unhideWhenUsed/>
    <w:rsid w:val="006025A9"/>
    <w:rPr>
      <w:color w:val="808080"/>
      <w:shd w:val="clear" w:color="auto" w:fill="E6E6E6"/>
    </w:rPr>
  </w:style>
  <w:style w:type="paragraph" w:styleId="Paragraphedeliste">
    <w:name w:val="List Paragraph"/>
    <w:aliases w:val="Dot pt,List Paragraph12,MAIN CONTENT,List Paragraph2,Rec para,List Paragraph1,Recommendation,List Paragraph11,F5 List Paragraph,List Paragraph Char Char Char,Indicator Text"/>
    <w:basedOn w:val="Normal"/>
    <w:link w:val="ParagraphedelisteCar"/>
    <w:uiPriority w:val="34"/>
    <w:qFormat/>
    <w:rsid w:val="00B42E86"/>
    <w:pPr>
      <w:ind w:left="720"/>
      <w:contextualSpacing/>
    </w:pPr>
  </w:style>
  <w:style w:type="character" w:customStyle="1" w:styleId="ParagraphedelisteCar">
    <w:name w:val="Paragraphe de liste Car"/>
    <w:aliases w:val="Dot pt Car,List Paragraph12 Car,MAIN CONTENT Car,List Paragraph2 Car,Rec para Car,List Paragraph1 Car,Recommendation Car,List Paragraph11 Car,F5 List Paragraph Car,List Paragraph Char Char Char Car,Indicator Text Car"/>
    <w:basedOn w:val="Policepardfaut"/>
    <w:link w:val="Paragraphedeliste"/>
    <w:uiPriority w:val="34"/>
    <w:qFormat/>
    <w:locked/>
    <w:rsid w:val="000307F5"/>
    <w:rPr>
      <w:sz w:val="22"/>
      <w:szCs w:val="24"/>
      <w:lang w:val="en-GB"/>
    </w:rPr>
  </w:style>
  <w:style w:type="table" w:customStyle="1" w:styleId="TableGrid1">
    <w:name w:val="Table Grid1"/>
    <w:basedOn w:val="TableauNormal"/>
    <w:next w:val="Grilledutableau"/>
    <w:uiPriority w:val="59"/>
    <w:rsid w:val="00784CC6"/>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921CAB"/>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0B093B"/>
  </w:style>
  <w:style w:type="character" w:customStyle="1" w:styleId="eop">
    <w:name w:val="eop"/>
    <w:rsid w:val="000B093B"/>
  </w:style>
  <w:style w:type="paragraph" w:customStyle="1" w:styleId="Item">
    <w:name w:val="Item"/>
    <w:basedOn w:val="Titre2"/>
    <w:qFormat/>
    <w:rsid w:val="000B093B"/>
    <w:pPr>
      <w:spacing w:before="120"/>
    </w:pPr>
    <w:rPr>
      <w:snapToGrid/>
      <w:lang w:eastAsia="en-US"/>
    </w:rPr>
  </w:style>
  <w:style w:type="character" w:customStyle="1" w:styleId="highlight">
    <w:name w:val="highlight"/>
    <w:basedOn w:val="Policepardfaut"/>
    <w:rsid w:val="00C576FA"/>
  </w:style>
  <w:style w:type="paragraph" w:customStyle="1" w:styleId="gmail-para1">
    <w:name w:val="gmail-para1"/>
    <w:basedOn w:val="Normal"/>
    <w:rsid w:val="00E3787A"/>
    <w:pPr>
      <w:spacing w:before="100" w:beforeAutospacing="1" w:after="100" w:afterAutospacing="1"/>
      <w:jc w:val="left"/>
    </w:pPr>
    <w:rPr>
      <w:rFonts w:ascii="Calibri" w:eastAsiaTheme="minorHAnsi" w:hAnsi="Calibri" w:cs="Calibri"/>
      <w:szCs w:val="22"/>
      <w:lang w:val="en-CA" w:eastAsia="en-CA"/>
    </w:rPr>
  </w:style>
  <w:style w:type="paragraph" w:customStyle="1" w:styleId="recommendationheader">
    <w:name w:val="recommendation header"/>
    <w:basedOn w:val="Titre2"/>
    <w:qFormat/>
    <w:rsid w:val="009F5D7B"/>
    <w:pPr>
      <w:tabs>
        <w:tab w:val="left" w:pos="720"/>
      </w:tabs>
      <w:spacing w:before="120"/>
    </w:pPr>
    <w:rPr>
      <w:rFonts w:eastAsia="Times New Roman"/>
      <w:snapToGrid/>
      <w:lang w:eastAsia="en-US"/>
    </w:rPr>
  </w:style>
  <w:style w:type="character" w:customStyle="1" w:styleId="StyleFootnoteReferencenumberFootnoteReferenceSuperscript-EF">
    <w:name w:val="Style Footnote ReferencenumberFootnote Reference Superscript-E F..."/>
    <w:rsid w:val="009E044D"/>
    <w:rPr>
      <w:kern w:val="22"/>
      <w:sz w:val="18"/>
      <w:u w:val="none"/>
      <w:vertAlign w:val="superscript"/>
    </w:rPr>
  </w:style>
  <w:style w:type="paragraph" w:customStyle="1" w:styleId="heading2notforTOC">
    <w:name w:val="heading 2 not for TOC"/>
    <w:basedOn w:val="Titre3"/>
    <w:rsid w:val="00F01A98"/>
    <w:pPr>
      <w:suppressLineNumbers w:val="0"/>
      <w:tabs>
        <w:tab w:val="left" w:pos="567"/>
      </w:tabs>
      <w:suppressAutoHyphens w:val="0"/>
      <w:kinsoku/>
      <w:overflowPunct/>
      <w:autoSpaceDE/>
      <w:autoSpaceDN/>
      <w:jc w:val="center"/>
    </w:pPr>
    <w:rPr>
      <w:snapToGrid/>
      <w:kern w:val="0"/>
      <w:szCs w:val="24"/>
      <w:lang w:eastAsia="en-US"/>
    </w:rPr>
  </w:style>
  <w:style w:type="paragraph" w:customStyle="1" w:styleId="Heading1report">
    <w:name w:val="Heading 1 report"/>
    <w:basedOn w:val="Titre1"/>
    <w:qFormat/>
    <w:rsid w:val="003A15C6"/>
    <w:pPr>
      <w:numPr>
        <w:numId w:val="53"/>
      </w:numPr>
    </w:pPr>
  </w:style>
  <w:style w:type="paragraph" w:customStyle="1" w:styleId="Heading1-item">
    <w:name w:val="Heading 1 -item"/>
    <w:basedOn w:val="Titre1"/>
    <w:qFormat/>
    <w:rsid w:val="000B078F"/>
  </w:style>
  <w:style w:type="paragraph" w:styleId="En-ttedetabledesmatires">
    <w:name w:val="TOC Heading"/>
    <w:basedOn w:val="Titre1"/>
    <w:next w:val="Normal"/>
    <w:uiPriority w:val="39"/>
    <w:unhideWhenUsed/>
    <w:qFormat/>
    <w:rsid w:val="000B078F"/>
    <w:pPr>
      <w:keepLines/>
      <w:suppressLineNumbers w:val="0"/>
      <w:suppressAutoHyphens w:val="0"/>
      <w:kinsoku/>
      <w:overflowPunct/>
      <w:autoSpaceDE/>
      <w:autoSpaceDN/>
      <w:spacing w:after="0" w:line="259" w:lineRule="auto"/>
      <w:ind w:right="0"/>
      <w:jc w:val="left"/>
      <w:outlineLvl w:val="9"/>
    </w:pPr>
    <w:rPr>
      <w:rFonts w:asciiTheme="majorHAnsi" w:eastAsiaTheme="majorEastAsia" w:hAnsiTheme="majorHAnsi" w:cstheme="majorBidi"/>
      <w:b w:val="0"/>
      <w:bCs w:val="0"/>
      <w:caps w:val="0"/>
      <w:snapToGrid/>
      <w:color w:val="2F5496" w:themeColor="accent1" w:themeShade="BF"/>
      <w:kern w:val="0"/>
      <w:sz w:val="32"/>
      <w:szCs w:val="32"/>
      <w:lang w:val="en-US"/>
    </w:rPr>
  </w:style>
  <w:style w:type="paragraph" w:customStyle="1" w:styleId="meetingname">
    <w:name w:val="meeting name"/>
    <w:basedOn w:val="Normal"/>
    <w:qFormat/>
    <w:rsid w:val="00DE347C"/>
    <w:pPr>
      <w:ind w:left="142" w:right="4218" w:hanging="142"/>
    </w:pPr>
    <w:rPr>
      <w:rFonts w:eastAsia="Times New Roman"/>
      <w:caps/>
      <w:szCs w:val="22"/>
    </w:rPr>
  </w:style>
  <w:style w:type="paragraph" w:styleId="Titre">
    <w:name w:val="Title"/>
    <w:basedOn w:val="Normal"/>
    <w:next w:val="Normal"/>
    <w:link w:val="TitreCar"/>
    <w:uiPriority w:val="10"/>
    <w:qFormat/>
    <w:rsid w:val="00DE347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DE347C"/>
    <w:rPr>
      <w:rFonts w:asciiTheme="majorHAnsi" w:eastAsiaTheme="majorEastAsia" w:hAnsiTheme="majorHAnsi" w:cstheme="majorBidi"/>
      <w:color w:val="323E4F" w:themeColor="text2" w:themeShade="BF"/>
      <w:spacing w:val="5"/>
      <w:kern w:val="28"/>
      <w:sz w:val="52"/>
      <w:szCs w:val="52"/>
      <w:lang w:val="en-GB"/>
    </w:rPr>
  </w:style>
  <w:style w:type="paragraph" w:styleId="Sous-titre">
    <w:name w:val="Subtitle"/>
    <w:basedOn w:val="Normal"/>
    <w:next w:val="Normal"/>
    <w:link w:val="Sous-titreCar"/>
    <w:uiPriority w:val="11"/>
    <w:qFormat/>
    <w:rsid w:val="00DE347C"/>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DE347C"/>
    <w:rPr>
      <w:rFonts w:asciiTheme="majorHAnsi" w:eastAsiaTheme="majorEastAsia" w:hAnsiTheme="majorHAnsi" w:cstheme="majorBidi"/>
      <w:i/>
      <w:iCs/>
      <w:color w:val="4472C4" w:themeColor="accent1"/>
      <w:spacing w:val="15"/>
      <w:sz w:val="24"/>
      <w:szCs w:val="24"/>
      <w:lang w:val="en-GB"/>
    </w:rPr>
  </w:style>
  <w:style w:type="paragraph" w:customStyle="1" w:styleId="Para-decision">
    <w:name w:val="Para-decision"/>
    <w:basedOn w:val="Normal"/>
    <w:rsid w:val="00DE347C"/>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rFonts w:eastAsia="Times New Roman"/>
      <w:color w:val="000000"/>
    </w:rPr>
  </w:style>
  <w:style w:type="paragraph" w:customStyle="1" w:styleId="Quotationtextindented">
    <w:name w:val="Quotation text (indented)"/>
    <w:basedOn w:val="Normal"/>
    <w:qFormat/>
    <w:rsid w:val="00DE347C"/>
    <w:pPr>
      <w:spacing w:before="120"/>
      <w:ind w:left="720" w:right="720"/>
    </w:pPr>
    <w:rPr>
      <w:rFonts w:eastAsia="Times New Roman"/>
      <w:bCs/>
    </w:rPr>
  </w:style>
  <w:style w:type="paragraph" w:customStyle="1" w:styleId="recommendationheaderlong">
    <w:name w:val="recommendation header long"/>
    <w:basedOn w:val="Heading2longmultiline"/>
    <w:qFormat/>
    <w:rsid w:val="00DE347C"/>
    <w:pPr>
      <w:suppressLineNumbers w:val="0"/>
      <w:tabs>
        <w:tab w:val="left" w:pos="720"/>
      </w:tabs>
      <w:suppressAutoHyphens w:val="0"/>
      <w:kinsoku/>
      <w:overflowPunct/>
      <w:autoSpaceDE/>
      <w:autoSpaceDN/>
    </w:pPr>
    <w:rPr>
      <w:rFonts w:ascii="Times New Roman" w:eastAsia="Times New Roman" w:hAnsi="Times New Roman" w:cs="Times New Roman"/>
      <w:bCs w:val="0"/>
      <w:snapToGrid/>
      <w:kern w:val="0"/>
      <w:szCs w:val="24"/>
    </w:rPr>
  </w:style>
  <w:style w:type="paragraph" w:customStyle="1" w:styleId="reference">
    <w:name w:val="reference"/>
    <w:basedOn w:val="Titre9"/>
    <w:qFormat/>
    <w:rsid w:val="00DE347C"/>
    <w:rPr>
      <w:rFonts w:eastAsia="Times New Roman"/>
      <w:i w:val="0"/>
      <w:sz w:val="18"/>
      <w:lang w:eastAsia="en-US"/>
    </w:rPr>
  </w:style>
  <w:style w:type="character" w:customStyle="1" w:styleId="StyleFootnoteReferenceNounderline">
    <w:name w:val="Style Footnote Reference + No underline"/>
    <w:rsid w:val="00DE347C"/>
    <w:rPr>
      <w:sz w:val="18"/>
      <w:u w:val="none"/>
      <w:vertAlign w:val="baseline"/>
    </w:rPr>
  </w:style>
  <w:style w:type="paragraph" w:customStyle="1" w:styleId="tabletitle">
    <w:name w:val="table title"/>
    <w:basedOn w:val="Titre2"/>
    <w:qFormat/>
    <w:rsid w:val="00DE347C"/>
    <w:pPr>
      <w:tabs>
        <w:tab w:val="left" w:pos="720"/>
      </w:tabs>
      <w:spacing w:before="120"/>
      <w:jc w:val="left"/>
      <w:outlineLvl w:val="9"/>
    </w:pPr>
    <w:rPr>
      <w:rFonts w:eastAsia="Times New Roman"/>
      <w:i/>
      <w:snapToGrid/>
      <w:lang w:eastAsia="en-US"/>
    </w:rPr>
  </w:style>
  <w:style w:type="paragraph" w:customStyle="1" w:styleId="CBD-Doc-Type">
    <w:name w:val="CBD-Doc-Type"/>
    <w:basedOn w:val="Normal"/>
    <w:rsid w:val="00DE347C"/>
    <w:pPr>
      <w:keepLines/>
      <w:spacing w:before="240"/>
    </w:pPr>
    <w:rPr>
      <w:rFonts w:eastAsia="Times New Roman" w:cs="Angsana New"/>
      <w:b/>
      <w:i/>
      <w:sz w:val="24"/>
    </w:rPr>
  </w:style>
  <w:style w:type="paragraph" w:customStyle="1" w:styleId="CBD-Doc">
    <w:name w:val="CBD-Doc"/>
    <w:basedOn w:val="Normal"/>
    <w:rsid w:val="00DE347C"/>
    <w:pPr>
      <w:keepLines/>
      <w:numPr>
        <w:numId w:val="70"/>
      </w:numPr>
    </w:pPr>
    <w:rPr>
      <w:rFonts w:eastAsia="Times New Roman" w:cs="Angsana New"/>
    </w:rPr>
  </w:style>
  <w:style w:type="paragraph" w:styleId="Lgende">
    <w:name w:val="caption"/>
    <w:basedOn w:val="Normal"/>
    <w:next w:val="Normal"/>
    <w:uiPriority w:val="35"/>
    <w:unhideWhenUsed/>
    <w:qFormat/>
    <w:rsid w:val="00DE347C"/>
    <w:pPr>
      <w:keepNext/>
      <w:keepLines/>
      <w:spacing w:after="200"/>
    </w:pPr>
    <w:rPr>
      <w:rFonts w:eastAsia="Times New Roman"/>
      <w:b/>
      <w:iCs/>
      <w:szCs w:val="18"/>
    </w:rPr>
  </w:style>
  <w:style w:type="paragraph" w:styleId="Sansinterligne">
    <w:name w:val="No Spacing"/>
    <w:link w:val="SansinterligneCar"/>
    <w:uiPriority w:val="1"/>
    <w:qFormat/>
    <w:rsid w:val="00DE347C"/>
    <w:rPr>
      <w:rFonts w:ascii="Calibri" w:eastAsia="Calibri" w:hAnsi="Calibri"/>
      <w:sz w:val="22"/>
      <w:szCs w:val="22"/>
    </w:rPr>
  </w:style>
  <w:style w:type="character" w:customStyle="1" w:styleId="SansinterligneCar">
    <w:name w:val="Sans interligne Car"/>
    <w:basedOn w:val="Policepardfaut"/>
    <w:link w:val="Sansinterligne"/>
    <w:uiPriority w:val="1"/>
    <w:rsid w:val="00DE347C"/>
    <w:rPr>
      <w:rFonts w:ascii="Calibri" w:eastAsia="Calibri" w:hAnsi="Calibri"/>
      <w:sz w:val="22"/>
      <w:szCs w:val="22"/>
    </w:rPr>
  </w:style>
  <w:style w:type="paragraph" w:customStyle="1" w:styleId="xl65">
    <w:name w:val="xl65"/>
    <w:basedOn w:val="Normal"/>
    <w:rsid w:val="00DE347C"/>
    <w:pPr>
      <w:spacing w:before="100" w:beforeAutospacing="1" w:after="100" w:afterAutospacing="1"/>
      <w:jc w:val="center"/>
      <w:textAlignment w:val="center"/>
    </w:pPr>
    <w:rPr>
      <w:rFonts w:eastAsia="Times New Roman"/>
      <w:sz w:val="24"/>
      <w:lang w:val="en-CA" w:eastAsia="en-CA"/>
    </w:rPr>
  </w:style>
  <w:style w:type="paragraph" w:customStyle="1" w:styleId="xl66">
    <w:name w:val="xl66"/>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lang w:val="en-CA" w:eastAsia="en-CA"/>
    </w:rPr>
  </w:style>
  <w:style w:type="paragraph" w:customStyle="1" w:styleId="xl67">
    <w:name w:val="xl67"/>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4"/>
      <w:lang w:val="en-CA" w:eastAsia="en-CA"/>
    </w:rPr>
  </w:style>
  <w:style w:type="paragraph" w:customStyle="1" w:styleId="xl68">
    <w:name w:val="xl68"/>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4"/>
      <w:lang w:val="en-CA" w:eastAsia="en-CA"/>
    </w:rPr>
  </w:style>
  <w:style w:type="paragraph" w:customStyle="1" w:styleId="xl69">
    <w:name w:val="xl69"/>
    <w:basedOn w:val="Normal"/>
    <w:rsid w:val="00DE347C"/>
    <w:pPr>
      <w:spacing w:before="100" w:beforeAutospacing="1" w:after="100" w:afterAutospacing="1"/>
      <w:jc w:val="left"/>
      <w:textAlignment w:val="center"/>
    </w:pPr>
    <w:rPr>
      <w:rFonts w:eastAsia="Times New Roman"/>
      <w:sz w:val="24"/>
      <w:lang w:val="en-CA" w:eastAsia="en-CA"/>
    </w:rPr>
  </w:style>
  <w:style w:type="paragraph" w:customStyle="1" w:styleId="xl70">
    <w:name w:val="xl70"/>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lang w:val="en-CA" w:eastAsia="en-CA"/>
    </w:rPr>
  </w:style>
  <w:style w:type="paragraph" w:customStyle="1" w:styleId="xl71">
    <w:name w:val="xl71"/>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lang w:val="en-CA" w:eastAsia="en-CA"/>
    </w:rPr>
  </w:style>
  <w:style w:type="paragraph" w:customStyle="1" w:styleId="xl72">
    <w:name w:val="xl72"/>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lang w:val="en-CA" w:eastAsia="en-CA"/>
    </w:rPr>
  </w:style>
  <w:style w:type="paragraph" w:customStyle="1" w:styleId="xl73">
    <w:name w:val="xl73"/>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lang w:val="en-CA" w:eastAsia="en-CA"/>
    </w:rPr>
  </w:style>
  <w:style w:type="paragraph" w:customStyle="1" w:styleId="xl74">
    <w:name w:val="xl74"/>
    <w:basedOn w:val="Normal"/>
    <w:rsid w:val="00DE347C"/>
    <w:pPr>
      <w:spacing w:before="100" w:beforeAutospacing="1" w:after="100" w:afterAutospacing="1"/>
      <w:jc w:val="right"/>
      <w:textAlignment w:val="center"/>
    </w:pPr>
    <w:rPr>
      <w:rFonts w:eastAsia="Times New Roman"/>
      <w:sz w:val="24"/>
      <w:lang w:val="en-CA" w:eastAsia="en-CA"/>
    </w:rPr>
  </w:style>
  <w:style w:type="paragraph" w:customStyle="1" w:styleId="xl75">
    <w:name w:val="xl75"/>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lang w:val="en-CA" w:eastAsia="en-CA"/>
    </w:rPr>
  </w:style>
  <w:style w:type="paragraph" w:customStyle="1" w:styleId="xl76">
    <w:name w:val="xl76"/>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lang w:val="en-CA" w:eastAsia="en-CA"/>
    </w:rPr>
  </w:style>
  <w:style w:type="paragraph" w:customStyle="1" w:styleId="xl77">
    <w:name w:val="xl77"/>
    <w:basedOn w:val="Normal"/>
    <w:rsid w:val="00DE34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lang w:val="en-CA" w:eastAsia="en-CA"/>
    </w:rPr>
  </w:style>
  <w:style w:type="paragraph" w:customStyle="1" w:styleId="xl78">
    <w:name w:val="xl78"/>
    <w:basedOn w:val="Normal"/>
    <w:rsid w:val="00DE347C"/>
    <w:pPr>
      <w:spacing w:before="100" w:beforeAutospacing="1" w:after="100" w:afterAutospacing="1"/>
      <w:jc w:val="right"/>
      <w:textAlignment w:val="center"/>
    </w:pPr>
    <w:rPr>
      <w:rFonts w:eastAsia="Times New Roman"/>
      <w:sz w:val="24"/>
      <w:lang w:val="en-CA" w:eastAsia="en-CA"/>
    </w:rPr>
  </w:style>
  <w:style w:type="table" w:customStyle="1" w:styleId="TableGrid3">
    <w:name w:val="Table Grid3"/>
    <w:basedOn w:val="TableauNormal"/>
    <w:next w:val="Grilledutableau"/>
    <w:uiPriority w:val="59"/>
    <w:rsid w:val="005111B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erred">
    <w:name w:val="preferred"/>
    <w:basedOn w:val="Policepardfaut"/>
    <w:rsid w:val="00341A72"/>
  </w:style>
  <w:style w:type="character" w:customStyle="1" w:styleId="UnresolvedMention">
    <w:name w:val="Unresolved Mention"/>
    <w:basedOn w:val="Policepardfaut"/>
    <w:uiPriority w:val="99"/>
    <w:semiHidden/>
    <w:unhideWhenUsed/>
    <w:rsid w:val="00BF3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81540">
      <w:bodyDiv w:val="1"/>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436995189">
      <w:bodyDiv w:val="1"/>
      <w:marLeft w:val="0"/>
      <w:marRight w:val="0"/>
      <w:marTop w:val="0"/>
      <w:marBottom w:val="0"/>
      <w:divBdr>
        <w:top w:val="none" w:sz="0" w:space="0" w:color="auto"/>
        <w:left w:val="none" w:sz="0" w:space="0" w:color="auto"/>
        <w:bottom w:val="none" w:sz="0" w:space="0" w:color="auto"/>
        <w:right w:val="none" w:sz="0" w:space="0" w:color="auto"/>
      </w:divBdr>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555774136">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570193094">
      <w:bodyDiv w:val="1"/>
      <w:marLeft w:val="0"/>
      <w:marRight w:val="0"/>
      <w:marTop w:val="0"/>
      <w:marBottom w:val="0"/>
      <w:divBdr>
        <w:top w:val="none" w:sz="0" w:space="0" w:color="auto"/>
        <w:left w:val="none" w:sz="0" w:space="0" w:color="auto"/>
        <w:bottom w:val="none" w:sz="0" w:space="0" w:color="auto"/>
        <w:right w:val="none" w:sz="0" w:space="0" w:color="auto"/>
      </w:divBdr>
      <w:divsChild>
        <w:div w:id="618803363">
          <w:marLeft w:val="0"/>
          <w:marRight w:val="0"/>
          <w:marTop w:val="0"/>
          <w:marBottom w:val="0"/>
          <w:divBdr>
            <w:top w:val="none" w:sz="0" w:space="0" w:color="auto"/>
            <w:left w:val="none" w:sz="0" w:space="0" w:color="auto"/>
            <w:bottom w:val="none" w:sz="0" w:space="0" w:color="auto"/>
            <w:right w:val="none" w:sz="0" w:space="0" w:color="auto"/>
          </w:divBdr>
          <w:divsChild>
            <w:div w:id="468329846">
              <w:marLeft w:val="0"/>
              <w:marRight w:val="0"/>
              <w:marTop w:val="0"/>
              <w:marBottom w:val="0"/>
              <w:divBdr>
                <w:top w:val="none" w:sz="0" w:space="0" w:color="auto"/>
                <w:left w:val="none" w:sz="0" w:space="0" w:color="auto"/>
                <w:bottom w:val="none" w:sz="0" w:space="0" w:color="auto"/>
                <w:right w:val="none" w:sz="0" w:space="0" w:color="auto"/>
              </w:divBdr>
              <w:divsChild>
                <w:div w:id="17329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1/np-mop-01-dec-08-fr.pdf" TargetMode="External"/><Relationship Id="rId18" Type="http://schemas.openxmlformats.org/officeDocument/2006/relationships/hyperlink" Target="https://www.cbd.int/doc/decisions/np-mop-02/np-mop-02-dec-12-fr.pdf"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cbd.int/decision/cop/default.shtml?id=7097" TargetMode="External"/><Relationship Id="rId7" Type="http://schemas.openxmlformats.org/officeDocument/2006/relationships/footnotes" Target="footnotes.xml"/><Relationship Id="rId12" Type="http://schemas.openxmlformats.org/officeDocument/2006/relationships/hyperlink" Target="https://www.cbd.int/doc/decisions/np-mop-01/np-mop-01-dec-02-fr.pdf" TargetMode="External"/><Relationship Id="rId17" Type="http://schemas.openxmlformats.org/officeDocument/2006/relationships/hyperlink" Target="https://www.cbd.int/doc/decisions/np-mop-01/np-mop-01-dec-12-fr.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decisions/cop-12/cop-12-dec-13-fr.pdf" TargetMode="External"/><Relationship Id="rId20" Type="http://schemas.openxmlformats.org/officeDocument/2006/relationships/hyperlink" Target="https://www.cbd.int/doc/decisions/cop-13/cop-13-dec-32-fr.pdf" TargetMode="External"/><Relationship Id="rId29" Type="http://schemas.openxmlformats.org/officeDocument/2006/relationships/hyperlink" Target="https://www.cbd.int/doc/decisions/cop-13/cop-13-dec-33-f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bd.int/doc/decisions/cop-13/cop-13-dec-23-fr.pdf"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image" Target="media/image2.emf"/><Relationship Id="rId19" Type="http://schemas.openxmlformats.org/officeDocument/2006/relationships/hyperlink" Target="https://www.cbd.int/doc/decisions/np-mop-02/np-mop-02-dec-13-fr.pdf"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np-mop-02/np-mop-02-dec-08-fr.pdf"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fed2/2690/aac7b6afa9bc2362035d9114/np-mop-03-04-fr.pdf" TargetMode="External"/><Relationship Id="rId2" Type="http://schemas.openxmlformats.org/officeDocument/2006/relationships/hyperlink" Target="https://documents-dds-ny.un.org/doc/UNDOC/GEN/N15/291/90/PDF/N1529190.pdf?OpenElement" TargetMode="External"/><Relationship Id="rId1" Type="http://schemas.openxmlformats.org/officeDocument/2006/relationships/hyperlink" Target="https://www.cbd.int/doc/meetings/tk/wg8j-08/information/wg8j-08-inf-10-en.pdf" TargetMode="External"/><Relationship Id="rId5" Type="http://schemas.openxmlformats.org/officeDocument/2006/relationships/hyperlink" Target="https://www.cbd.int/doc/c/05f0/079c/26c076ae93d93fa4d9741346/np-mop-03-05-fr.pdf" TargetMode="External"/><Relationship Id="rId4" Type="http://schemas.openxmlformats.org/officeDocument/2006/relationships/hyperlink" Target="https://www.cbd.int/doc/c/be78/9d90/808b5d2f0ba67db850d4ddd7/np-mop-03-09-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A360793BC64D399A021CF8819C75E4"/>
        <w:category>
          <w:name w:val="General"/>
          <w:gallery w:val="placeholder"/>
        </w:category>
        <w:types>
          <w:type w:val="bbPlcHdr"/>
        </w:types>
        <w:behaviors>
          <w:behavior w:val="content"/>
        </w:behaviors>
        <w:guid w:val="{FE46B417-F4AE-41DD-AD67-11A5EE16560B}"/>
      </w:docPartPr>
      <w:docPartBody>
        <w:p w:rsidR="00141375" w:rsidRDefault="00141375" w:rsidP="00141375">
          <w:pPr>
            <w:pStyle w:val="C6A360793BC64D399A021CF8819C75E4"/>
          </w:pPr>
          <w:r w:rsidRPr="007E02EB">
            <w:rPr>
              <w:rStyle w:val="Textedelespacerserv"/>
            </w:rPr>
            <w:t>[Status]</w:t>
          </w:r>
        </w:p>
      </w:docPartBody>
    </w:docPart>
    <w:docPart>
      <w:docPartPr>
        <w:name w:val="DC00FD0B698B4096A87445AB89260D34"/>
        <w:category>
          <w:name w:val="General"/>
          <w:gallery w:val="placeholder"/>
        </w:category>
        <w:types>
          <w:type w:val="bbPlcHdr"/>
        </w:types>
        <w:behaviors>
          <w:behavior w:val="content"/>
        </w:behaviors>
        <w:guid w:val="{A9293B0E-6058-4542-8D8A-54AD43B2C04C}"/>
      </w:docPartPr>
      <w:docPartBody>
        <w:p w:rsidR="00141375" w:rsidRDefault="00141375" w:rsidP="00141375">
          <w:pPr>
            <w:pStyle w:val="DC00FD0B698B4096A87445AB89260D34"/>
          </w:pPr>
          <w:r w:rsidRPr="007E02EB">
            <w:rPr>
              <w:rStyle w:val="Textedelespacerserv"/>
            </w:rPr>
            <w:t>[Subject]</w:t>
          </w:r>
        </w:p>
      </w:docPartBody>
    </w:docPart>
    <w:docPart>
      <w:docPartPr>
        <w:name w:val="FACD5019A315438BBAB24F663071927D"/>
        <w:category>
          <w:name w:val="General"/>
          <w:gallery w:val="placeholder"/>
        </w:category>
        <w:types>
          <w:type w:val="bbPlcHdr"/>
        </w:types>
        <w:behaviors>
          <w:behavior w:val="content"/>
        </w:behaviors>
        <w:guid w:val="{6C97A240-2984-4136-A809-DCF48D884172}"/>
      </w:docPartPr>
      <w:docPartBody>
        <w:p w:rsidR="00214F2F" w:rsidRDefault="0021207B" w:rsidP="0021207B">
          <w:pPr>
            <w:pStyle w:val="FACD5019A315438BBAB24F663071927D"/>
          </w:pPr>
          <w:r w:rsidRPr="007E02EB">
            <w:rPr>
              <w:rStyle w:val="Textedelespacerserv"/>
            </w:rPr>
            <w:t>[Subject]</w:t>
          </w:r>
        </w:p>
      </w:docPartBody>
    </w:docPart>
    <w:docPart>
      <w:docPartPr>
        <w:name w:val="28B5361FFE95474E9916877774AE28E2"/>
        <w:category>
          <w:name w:val="General"/>
          <w:gallery w:val="placeholder"/>
        </w:category>
        <w:types>
          <w:type w:val="bbPlcHdr"/>
        </w:types>
        <w:behaviors>
          <w:behavior w:val="content"/>
        </w:behaviors>
        <w:guid w:val="{5395EFE4-E33D-40A0-86AA-5B30AD9C1AA2}"/>
      </w:docPartPr>
      <w:docPartBody>
        <w:p w:rsidR="00214F2F" w:rsidRDefault="0021207B" w:rsidP="0021207B">
          <w:pPr>
            <w:pStyle w:val="28B5361FFE95474E9916877774AE28E2"/>
          </w:pPr>
          <w:r w:rsidRPr="007E02EB">
            <w:rPr>
              <w:rStyle w:val="Textedelespacerserv"/>
            </w:rPr>
            <w:t>[Subject]</w:t>
          </w:r>
        </w:p>
      </w:docPartBody>
    </w:docPart>
    <w:docPart>
      <w:docPartPr>
        <w:name w:val="4D0A6CE60D4B492695D985CC8DEC3E27"/>
        <w:category>
          <w:name w:val="Général"/>
          <w:gallery w:val="placeholder"/>
        </w:category>
        <w:types>
          <w:type w:val="bbPlcHdr"/>
        </w:types>
        <w:behaviors>
          <w:behavior w:val="content"/>
        </w:behaviors>
        <w:guid w:val="{E5B99FF3-E113-46AC-B2C8-28D843FCC256}"/>
      </w:docPartPr>
      <w:docPartBody>
        <w:p w:rsidR="008F11D0" w:rsidRDefault="008F11D0" w:rsidP="008F11D0">
          <w:pPr>
            <w:pStyle w:val="4D0A6CE60D4B492695D985CC8DEC3E27"/>
          </w:pPr>
          <w:r w:rsidRPr="007E02EB">
            <w:rPr>
              <w:rStyle w:val="Textedelespacerserv"/>
            </w:rPr>
            <w:t>[Title]</w:t>
          </w:r>
        </w:p>
      </w:docPartBody>
    </w:docPart>
    <w:docPart>
      <w:docPartPr>
        <w:name w:val="0D586005A49042D8AD4FF37647EFF599"/>
        <w:category>
          <w:name w:val="Général"/>
          <w:gallery w:val="placeholder"/>
        </w:category>
        <w:types>
          <w:type w:val="bbPlcHdr"/>
        </w:types>
        <w:behaviors>
          <w:behavior w:val="content"/>
        </w:behaviors>
        <w:guid w:val="{31B0C528-822E-49C9-84B0-4223D7551BB7}"/>
      </w:docPartPr>
      <w:docPartBody>
        <w:p w:rsidR="008F11D0" w:rsidRDefault="008F11D0" w:rsidP="008F11D0">
          <w:pPr>
            <w:pStyle w:val="0D586005A49042D8AD4FF37647EFF599"/>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Times New Roman Bold">
    <w:altName w:val="Time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Arial"/>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4D"/>
    <w:rsid w:val="00010785"/>
    <w:rsid w:val="00020603"/>
    <w:rsid w:val="001042E6"/>
    <w:rsid w:val="00141375"/>
    <w:rsid w:val="00161B05"/>
    <w:rsid w:val="0021207B"/>
    <w:rsid w:val="00214F2F"/>
    <w:rsid w:val="002344F9"/>
    <w:rsid w:val="00282B1A"/>
    <w:rsid w:val="002C4508"/>
    <w:rsid w:val="002E2B58"/>
    <w:rsid w:val="00331E39"/>
    <w:rsid w:val="00357425"/>
    <w:rsid w:val="003755F4"/>
    <w:rsid w:val="003A1B97"/>
    <w:rsid w:val="003F6786"/>
    <w:rsid w:val="004A2B7A"/>
    <w:rsid w:val="00525050"/>
    <w:rsid w:val="005A4150"/>
    <w:rsid w:val="006C5D4D"/>
    <w:rsid w:val="0074414D"/>
    <w:rsid w:val="0076355E"/>
    <w:rsid w:val="008422C8"/>
    <w:rsid w:val="00850CF0"/>
    <w:rsid w:val="008A14FD"/>
    <w:rsid w:val="008F11D0"/>
    <w:rsid w:val="00932166"/>
    <w:rsid w:val="00943E38"/>
    <w:rsid w:val="0096749D"/>
    <w:rsid w:val="00A316F8"/>
    <w:rsid w:val="00A31804"/>
    <w:rsid w:val="00A42B1E"/>
    <w:rsid w:val="00AA4517"/>
    <w:rsid w:val="00B459DA"/>
    <w:rsid w:val="00C02718"/>
    <w:rsid w:val="00C44824"/>
    <w:rsid w:val="00C47E72"/>
    <w:rsid w:val="00CF1FC4"/>
    <w:rsid w:val="00D06FCF"/>
    <w:rsid w:val="00D27436"/>
    <w:rsid w:val="00D56B4B"/>
    <w:rsid w:val="00D61593"/>
    <w:rsid w:val="00D71D1D"/>
    <w:rsid w:val="00ED2EDE"/>
    <w:rsid w:val="00F21F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8F11D0"/>
    <w:rPr>
      <w:color w:val="808080"/>
    </w:rPr>
  </w:style>
  <w:style w:type="paragraph" w:customStyle="1" w:styleId="393A1EB7C724476598B815DDCC3D0A87">
    <w:name w:val="393A1EB7C724476598B815DDCC3D0A87"/>
    <w:rsid w:val="006C5D4D"/>
  </w:style>
  <w:style w:type="paragraph" w:customStyle="1" w:styleId="003AEFA348234772A691A86113B4E232">
    <w:name w:val="003AEFA348234772A691A86113B4E232"/>
    <w:rsid w:val="006C5D4D"/>
  </w:style>
  <w:style w:type="paragraph" w:customStyle="1" w:styleId="242583F38B2F484086052ED8F2CEF48D">
    <w:name w:val="242583F38B2F484086052ED8F2CEF48D"/>
    <w:rsid w:val="006C5D4D"/>
  </w:style>
  <w:style w:type="paragraph" w:customStyle="1" w:styleId="BFD858A4350040EEB0D3C63414DBBD5D">
    <w:name w:val="BFD858A4350040EEB0D3C63414DBBD5D"/>
    <w:rsid w:val="006C5D4D"/>
  </w:style>
  <w:style w:type="paragraph" w:customStyle="1" w:styleId="C6A360793BC64D399A021CF8819C75E4">
    <w:name w:val="C6A360793BC64D399A021CF8819C75E4"/>
    <w:rsid w:val="00141375"/>
    <w:rPr>
      <w:lang w:val="en-CA" w:eastAsia="en-CA"/>
    </w:rPr>
  </w:style>
  <w:style w:type="paragraph" w:customStyle="1" w:styleId="DC00FD0B698B4096A87445AB89260D34">
    <w:name w:val="DC00FD0B698B4096A87445AB89260D34"/>
    <w:rsid w:val="00141375"/>
    <w:rPr>
      <w:lang w:val="en-CA" w:eastAsia="en-CA"/>
    </w:rPr>
  </w:style>
  <w:style w:type="paragraph" w:customStyle="1" w:styleId="0616ACEF845040C1B0462EB4AED4F1FC">
    <w:name w:val="0616ACEF845040C1B0462EB4AED4F1FC"/>
    <w:rsid w:val="00141375"/>
    <w:rPr>
      <w:lang w:val="en-CA" w:eastAsia="en-CA"/>
    </w:rPr>
  </w:style>
  <w:style w:type="paragraph" w:customStyle="1" w:styleId="47C967355E954A4094BAD1B297704055">
    <w:name w:val="47C967355E954A4094BAD1B297704055"/>
    <w:rsid w:val="00357425"/>
    <w:rPr>
      <w:lang w:val="en-CA" w:eastAsia="en-CA"/>
    </w:rPr>
  </w:style>
  <w:style w:type="paragraph" w:customStyle="1" w:styleId="460455E332CE4C63B5F164DB763A7643">
    <w:name w:val="460455E332CE4C63B5F164DB763A7643"/>
    <w:rsid w:val="00357425"/>
    <w:rPr>
      <w:lang w:val="en-CA" w:eastAsia="en-CA"/>
    </w:rPr>
  </w:style>
  <w:style w:type="paragraph" w:customStyle="1" w:styleId="BA63F60044EB4B46B6E7EDE258FF4671">
    <w:name w:val="BA63F60044EB4B46B6E7EDE258FF4671"/>
    <w:rsid w:val="00357425"/>
    <w:rPr>
      <w:lang w:val="en-CA" w:eastAsia="en-CA"/>
    </w:rPr>
  </w:style>
  <w:style w:type="paragraph" w:customStyle="1" w:styleId="932AD4DBC4B14804AE7FC24962C25D0A">
    <w:name w:val="932AD4DBC4B14804AE7FC24962C25D0A"/>
    <w:rsid w:val="00357425"/>
    <w:rPr>
      <w:lang w:val="en-CA" w:eastAsia="en-CA"/>
    </w:rPr>
  </w:style>
  <w:style w:type="paragraph" w:customStyle="1" w:styleId="E7E9B43504C847C38F9F498242615AFD">
    <w:name w:val="E7E9B43504C847C38F9F498242615AFD"/>
    <w:rsid w:val="00357425"/>
    <w:rPr>
      <w:lang w:val="en-CA" w:eastAsia="en-CA"/>
    </w:rPr>
  </w:style>
  <w:style w:type="paragraph" w:customStyle="1" w:styleId="DB4A818B91764D3FB4C56A6A565CE37B">
    <w:name w:val="DB4A818B91764D3FB4C56A6A565CE37B"/>
    <w:rsid w:val="00357425"/>
    <w:rPr>
      <w:lang w:val="en-CA" w:eastAsia="en-CA"/>
    </w:rPr>
  </w:style>
  <w:style w:type="paragraph" w:customStyle="1" w:styleId="C00DC7C4752A4055B31E736A74F6BE07">
    <w:name w:val="C00DC7C4752A4055B31E736A74F6BE07"/>
    <w:rsid w:val="00357425"/>
    <w:rPr>
      <w:lang w:val="en-CA" w:eastAsia="en-CA"/>
    </w:rPr>
  </w:style>
  <w:style w:type="paragraph" w:customStyle="1" w:styleId="26A1F03C8ABC41F19492FD465C4D0DFF">
    <w:name w:val="26A1F03C8ABC41F19492FD465C4D0DFF"/>
    <w:rsid w:val="00357425"/>
    <w:rPr>
      <w:lang w:val="en-CA" w:eastAsia="en-CA"/>
    </w:rPr>
  </w:style>
  <w:style w:type="paragraph" w:customStyle="1" w:styleId="ACAA2BB709D44010BDE5FE38167D7C33">
    <w:name w:val="ACAA2BB709D44010BDE5FE38167D7C33"/>
    <w:rsid w:val="00357425"/>
    <w:rPr>
      <w:lang w:val="en-CA" w:eastAsia="en-CA"/>
    </w:rPr>
  </w:style>
  <w:style w:type="paragraph" w:customStyle="1" w:styleId="FD40366098984522A80470753E1FB71E">
    <w:name w:val="FD40366098984522A80470753E1FB71E"/>
    <w:rsid w:val="00357425"/>
    <w:rPr>
      <w:lang w:val="en-CA" w:eastAsia="en-CA"/>
    </w:rPr>
  </w:style>
  <w:style w:type="paragraph" w:customStyle="1" w:styleId="F411D8BB4BD34321997FB2891651FA45">
    <w:name w:val="F411D8BB4BD34321997FB2891651FA45"/>
    <w:rsid w:val="00357425"/>
    <w:rPr>
      <w:lang w:val="en-CA" w:eastAsia="en-CA"/>
    </w:rPr>
  </w:style>
  <w:style w:type="paragraph" w:customStyle="1" w:styleId="C9E2E78F52B64979998D34BB15B3423B">
    <w:name w:val="C9E2E78F52B64979998D34BB15B3423B"/>
    <w:rsid w:val="00357425"/>
    <w:rPr>
      <w:lang w:val="en-CA" w:eastAsia="en-CA"/>
    </w:rPr>
  </w:style>
  <w:style w:type="paragraph" w:customStyle="1" w:styleId="0502E9B1C95E43829CE1E12ABF4316C7">
    <w:name w:val="0502E9B1C95E43829CE1E12ABF4316C7"/>
    <w:rsid w:val="00357425"/>
    <w:rPr>
      <w:lang w:val="en-CA" w:eastAsia="en-CA"/>
    </w:rPr>
  </w:style>
  <w:style w:type="paragraph" w:customStyle="1" w:styleId="300E11D673C5477C968BF9948C74FC4E">
    <w:name w:val="300E11D673C5477C968BF9948C74FC4E"/>
    <w:rsid w:val="00357425"/>
    <w:rPr>
      <w:lang w:val="en-CA" w:eastAsia="en-CA"/>
    </w:rPr>
  </w:style>
  <w:style w:type="paragraph" w:customStyle="1" w:styleId="D246CF3EEEF64E53906FB8FA9F3D44CC">
    <w:name w:val="D246CF3EEEF64E53906FB8FA9F3D44CC"/>
    <w:rsid w:val="00357425"/>
    <w:rPr>
      <w:lang w:val="en-CA" w:eastAsia="en-CA"/>
    </w:rPr>
  </w:style>
  <w:style w:type="paragraph" w:customStyle="1" w:styleId="E556E404CB1B4280B0740C40FE46938D">
    <w:name w:val="E556E404CB1B4280B0740C40FE46938D"/>
    <w:rsid w:val="00357425"/>
    <w:rPr>
      <w:lang w:val="en-CA" w:eastAsia="en-CA"/>
    </w:rPr>
  </w:style>
  <w:style w:type="paragraph" w:customStyle="1" w:styleId="1A776ECEC45C4AF2AC9236F07CF1E7EF">
    <w:name w:val="1A776ECEC45C4AF2AC9236F07CF1E7EF"/>
    <w:rsid w:val="00357425"/>
    <w:rPr>
      <w:lang w:val="en-CA" w:eastAsia="en-CA"/>
    </w:rPr>
  </w:style>
  <w:style w:type="paragraph" w:customStyle="1" w:styleId="A04DC71649354F8B85A02FB82968E72E">
    <w:name w:val="A04DC71649354F8B85A02FB82968E72E"/>
    <w:rsid w:val="00357425"/>
    <w:rPr>
      <w:lang w:val="en-CA" w:eastAsia="en-CA"/>
    </w:rPr>
  </w:style>
  <w:style w:type="paragraph" w:customStyle="1" w:styleId="C29BD31A91BF4FD5B4505CBB03004DF0">
    <w:name w:val="C29BD31A91BF4FD5B4505CBB03004DF0"/>
    <w:rsid w:val="00357425"/>
    <w:rPr>
      <w:lang w:val="en-CA" w:eastAsia="en-CA"/>
    </w:rPr>
  </w:style>
  <w:style w:type="paragraph" w:customStyle="1" w:styleId="1BD9CBCE071B45FE8A126060CE6248A7">
    <w:name w:val="1BD9CBCE071B45FE8A126060CE6248A7"/>
    <w:rsid w:val="00357425"/>
    <w:rPr>
      <w:lang w:val="en-CA" w:eastAsia="en-CA"/>
    </w:rPr>
  </w:style>
  <w:style w:type="paragraph" w:customStyle="1" w:styleId="894AFDE8B6E3467FB6AA576F35FB0024">
    <w:name w:val="894AFDE8B6E3467FB6AA576F35FB0024"/>
    <w:rsid w:val="00357425"/>
    <w:rPr>
      <w:lang w:val="en-CA" w:eastAsia="en-CA"/>
    </w:rPr>
  </w:style>
  <w:style w:type="paragraph" w:customStyle="1" w:styleId="27A88C4C4DF34EC8B237D7CB6246156A">
    <w:name w:val="27A88C4C4DF34EC8B237D7CB6246156A"/>
    <w:rsid w:val="00357425"/>
    <w:rPr>
      <w:lang w:val="en-CA" w:eastAsia="en-CA"/>
    </w:rPr>
  </w:style>
  <w:style w:type="paragraph" w:customStyle="1" w:styleId="38019441079C4E7FB3A42A82CB7A9B97">
    <w:name w:val="38019441079C4E7FB3A42A82CB7A9B97"/>
    <w:rsid w:val="00357425"/>
    <w:rPr>
      <w:lang w:val="en-CA" w:eastAsia="en-CA"/>
    </w:rPr>
  </w:style>
  <w:style w:type="paragraph" w:customStyle="1" w:styleId="B0404E2804F2453C978751B90278FA33">
    <w:name w:val="B0404E2804F2453C978751B90278FA33"/>
    <w:rsid w:val="00357425"/>
    <w:rPr>
      <w:lang w:val="en-CA" w:eastAsia="en-CA"/>
    </w:rPr>
  </w:style>
  <w:style w:type="paragraph" w:customStyle="1" w:styleId="2373A7CD98204216A46EC2CA5A4E2AEE">
    <w:name w:val="2373A7CD98204216A46EC2CA5A4E2AEE"/>
    <w:rsid w:val="00357425"/>
    <w:rPr>
      <w:lang w:val="en-CA" w:eastAsia="en-CA"/>
    </w:rPr>
  </w:style>
  <w:style w:type="paragraph" w:customStyle="1" w:styleId="A676BF29891340FFA8559F9E3A24F66B">
    <w:name w:val="A676BF29891340FFA8559F9E3A24F66B"/>
    <w:rsid w:val="00357425"/>
    <w:rPr>
      <w:lang w:val="en-CA" w:eastAsia="en-CA"/>
    </w:rPr>
  </w:style>
  <w:style w:type="paragraph" w:customStyle="1" w:styleId="3B5F9262A76A42B790F38D3D92510661">
    <w:name w:val="3B5F9262A76A42B790F38D3D92510661"/>
    <w:rsid w:val="00357425"/>
    <w:rPr>
      <w:lang w:val="en-CA" w:eastAsia="en-CA"/>
    </w:rPr>
  </w:style>
  <w:style w:type="paragraph" w:customStyle="1" w:styleId="AC07F920344E454A820043F54BC6C63B">
    <w:name w:val="AC07F920344E454A820043F54BC6C63B"/>
    <w:rsid w:val="00357425"/>
    <w:rPr>
      <w:lang w:val="en-CA" w:eastAsia="en-CA"/>
    </w:rPr>
  </w:style>
  <w:style w:type="paragraph" w:customStyle="1" w:styleId="F31C966BAC6E4B86925C02F133F40A35">
    <w:name w:val="F31C966BAC6E4B86925C02F133F40A35"/>
    <w:rsid w:val="00357425"/>
    <w:rPr>
      <w:lang w:val="en-CA" w:eastAsia="en-CA"/>
    </w:rPr>
  </w:style>
  <w:style w:type="paragraph" w:customStyle="1" w:styleId="2AA687CED7444F42BFB92AC805A8562D">
    <w:name w:val="2AA687CED7444F42BFB92AC805A8562D"/>
    <w:rsid w:val="00357425"/>
    <w:rPr>
      <w:lang w:val="en-CA" w:eastAsia="en-CA"/>
    </w:rPr>
  </w:style>
  <w:style w:type="paragraph" w:customStyle="1" w:styleId="C618E6C0A4124ABF9C354A2D5FC2ADED">
    <w:name w:val="C618E6C0A4124ABF9C354A2D5FC2ADED"/>
    <w:rsid w:val="00357425"/>
    <w:rPr>
      <w:lang w:val="en-CA" w:eastAsia="en-CA"/>
    </w:rPr>
  </w:style>
  <w:style w:type="paragraph" w:customStyle="1" w:styleId="A4AB3361FC5D4671A80508DC6C7C7227">
    <w:name w:val="A4AB3361FC5D4671A80508DC6C7C7227"/>
    <w:rsid w:val="00357425"/>
    <w:rPr>
      <w:lang w:val="en-CA" w:eastAsia="en-CA"/>
    </w:rPr>
  </w:style>
  <w:style w:type="paragraph" w:customStyle="1" w:styleId="510CE2DE20FF4BE4B31515B5C4994038">
    <w:name w:val="510CE2DE20FF4BE4B31515B5C4994038"/>
    <w:rsid w:val="00357425"/>
    <w:rPr>
      <w:lang w:val="en-CA" w:eastAsia="en-CA"/>
    </w:rPr>
  </w:style>
  <w:style w:type="paragraph" w:customStyle="1" w:styleId="6C0E6E8B639D4AEBB815E41CB8EED667">
    <w:name w:val="6C0E6E8B639D4AEBB815E41CB8EED667"/>
    <w:rsid w:val="00357425"/>
    <w:rPr>
      <w:lang w:val="en-CA" w:eastAsia="en-CA"/>
    </w:rPr>
  </w:style>
  <w:style w:type="paragraph" w:customStyle="1" w:styleId="1F5B574D48634FADBCA8665E0CE68996">
    <w:name w:val="1F5B574D48634FADBCA8665E0CE68996"/>
    <w:rsid w:val="00357425"/>
    <w:rPr>
      <w:lang w:val="en-CA" w:eastAsia="en-CA"/>
    </w:rPr>
  </w:style>
  <w:style w:type="paragraph" w:customStyle="1" w:styleId="6F0810722CCD47E389B6D4F7D7906537">
    <w:name w:val="6F0810722CCD47E389B6D4F7D7906537"/>
    <w:rsid w:val="00357425"/>
    <w:rPr>
      <w:lang w:val="en-CA" w:eastAsia="en-CA"/>
    </w:rPr>
  </w:style>
  <w:style w:type="paragraph" w:customStyle="1" w:styleId="867AFEDE0E37480E9EB912A6E5DC59CF">
    <w:name w:val="867AFEDE0E37480E9EB912A6E5DC59CF"/>
    <w:rsid w:val="00357425"/>
    <w:rPr>
      <w:lang w:val="en-CA" w:eastAsia="en-CA"/>
    </w:rPr>
  </w:style>
  <w:style w:type="paragraph" w:customStyle="1" w:styleId="BE47B00936F141688034D6621287A8D7">
    <w:name w:val="BE47B00936F141688034D6621287A8D7"/>
    <w:rsid w:val="00357425"/>
    <w:rPr>
      <w:lang w:val="en-CA" w:eastAsia="en-CA"/>
    </w:rPr>
  </w:style>
  <w:style w:type="paragraph" w:customStyle="1" w:styleId="FDFE5712CACD419A8FBE196064F8E415">
    <w:name w:val="FDFE5712CACD419A8FBE196064F8E415"/>
    <w:rsid w:val="00357425"/>
    <w:rPr>
      <w:lang w:val="en-CA" w:eastAsia="en-CA"/>
    </w:rPr>
  </w:style>
  <w:style w:type="paragraph" w:customStyle="1" w:styleId="FBE1E44B68EF438F9CFF4A0784936D82">
    <w:name w:val="FBE1E44B68EF438F9CFF4A0784936D82"/>
    <w:rsid w:val="00357425"/>
    <w:rPr>
      <w:lang w:val="en-CA" w:eastAsia="en-CA"/>
    </w:rPr>
  </w:style>
  <w:style w:type="paragraph" w:customStyle="1" w:styleId="52F65DD55C81462D9F396C4102B7F8F2">
    <w:name w:val="52F65DD55C81462D9F396C4102B7F8F2"/>
    <w:rsid w:val="00357425"/>
    <w:rPr>
      <w:lang w:val="en-CA" w:eastAsia="en-CA"/>
    </w:rPr>
  </w:style>
  <w:style w:type="paragraph" w:customStyle="1" w:styleId="29C9BADDD4B749A3827C78A7254E2050">
    <w:name w:val="29C9BADDD4B749A3827C78A7254E2050"/>
    <w:rsid w:val="00357425"/>
    <w:rPr>
      <w:lang w:val="en-CA" w:eastAsia="en-CA"/>
    </w:rPr>
  </w:style>
  <w:style w:type="paragraph" w:customStyle="1" w:styleId="C8EC4778E4ED41E99177388816E13B2E">
    <w:name w:val="C8EC4778E4ED41E99177388816E13B2E"/>
    <w:rsid w:val="00357425"/>
    <w:rPr>
      <w:lang w:val="en-CA" w:eastAsia="en-CA"/>
    </w:rPr>
  </w:style>
  <w:style w:type="paragraph" w:customStyle="1" w:styleId="23111CE88A544BDBBEF5170D130A32AC">
    <w:name w:val="23111CE88A544BDBBEF5170D130A32AC"/>
    <w:rsid w:val="00357425"/>
    <w:rPr>
      <w:lang w:val="en-CA" w:eastAsia="en-CA"/>
    </w:rPr>
  </w:style>
  <w:style w:type="paragraph" w:customStyle="1" w:styleId="C860F38C34324BCAB9FB7F7264ED6C7A">
    <w:name w:val="C860F38C34324BCAB9FB7F7264ED6C7A"/>
    <w:rsid w:val="00357425"/>
    <w:rPr>
      <w:lang w:val="en-CA" w:eastAsia="en-CA"/>
    </w:rPr>
  </w:style>
  <w:style w:type="paragraph" w:customStyle="1" w:styleId="D1D264F793274B6A9DAC2C6213179E01">
    <w:name w:val="D1D264F793274B6A9DAC2C6213179E01"/>
    <w:rsid w:val="00357425"/>
    <w:rPr>
      <w:lang w:val="en-CA" w:eastAsia="en-CA"/>
    </w:rPr>
  </w:style>
  <w:style w:type="paragraph" w:customStyle="1" w:styleId="EF28EE7D74DB470EAEB95A31AB0B33EB">
    <w:name w:val="EF28EE7D74DB470EAEB95A31AB0B33EB"/>
    <w:rsid w:val="00357425"/>
    <w:rPr>
      <w:lang w:val="en-CA" w:eastAsia="en-CA"/>
    </w:rPr>
  </w:style>
  <w:style w:type="paragraph" w:customStyle="1" w:styleId="2C7DE724DD4D47BEA58B77DB53B3C07C">
    <w:name w:val="2C7DE724DD4D47BEA58B77DB53B3C07C"/>
    <w:rsid w:val="00357425"/>
    <w:rPr>
      <w:lang w:val="en-CA" w:eastAsia="en-CA"/>
    </w:rPr>
  </w:style>
  <w:style w:type="paragraph" w:customStyle="1" w:styleId="FAAE8C274FE348C0A6DD2A5A8CC9BC52">
    <w:name w:val="FAAE8C274FE348C0A6DD2A5A8CC9BC52"/>
    <w:rsid w:val="00357425"/>
    <w:rPr>
      <w:lang w:val="en-CA" w:eastAsia="en-CA"/>
    </w:rPr>
  </w:style>
  <w:style w:type="paragraph" w:customStyle="1" w:styleId="BF45164CF77440A4A50D8954FF923E09">
    <w:name w:val="BF45164CF77440A4A50D8954FF923E09"/>
    <w:rsid w:val="00357425"/>
    <w:rPr>
      <w:lang w:val="en-CA" w:eastAsia="en-CA"/>
    </w:rPr>
  </w:style>
  <w:style w:type="paragraph" w:customStyle="1" w:styleId="F0AD6AD0464744D0A1658678C405BAB9">
    <w:name w:val="F0AD6AD0464744D0A1658678C405BAB9"/>
    <w:rsid w:val="00AA4517"/>
    <w:rPr>
      <w:lang w:val="en-CA" w:eastAsia="en-CA"/>
    </w:rPr>
  </w:style>
  <w:style w:type="paragraph" w:customStyle="1" w:styleId="21DEF58A95C14527AAAE5AB764886004">
    <w:name w:val="21DEF58A95C14527AAAE5AB764886004"/>
    <w:rsid w:val="00AA4517"/>
    <w:rPr>
      <w:lang w:val="en-CA" w:eastAsia="en-CA"/>
    </w:rPr>
  </w:style>
  <w:style w:type="paragraph" w:customStyle="1" w:styleId="AA22870854694DDA9B5E150A9E850BDB">
    <w:name w:val="AA22870854694DDA9B5E150A9E850BDB"/>
    <w:rsid w:val="00AA4517"/>
    <w:rPr>
      <w:lang w:val="en-CA" w:eastAsia="en-CA"/>
    </w:rPr>
  </w:style>
  <w:style w:type="paragraph" w:customStyle="1" w:styleId="BC4C1ADF0E7940329B5D898FE3224885">
    <w:name w:val="BC4C1ADF0E7940329B5D898FE3224885"/>
    <w:rsid w:val="00AA4517"/>
    <w:rPr>
      <w:lang w:val="en-CA" w:eastAsia="en-CA"/>
    </w:rPr>
  </w:style>
  <w:style w:type="paragraph" w:customStyle="1" w:styleId="FACD5019A315438BBAB24F663071927D">
    <w:name w:val="FACD5019A315438BBAB24F663071927D"/>
    <w:rsid w:val="0021207B"/>
    <w:rPr>
      <w:lang w:val="en-GB" w:eastAsia="en-GB"/>
    </w:rPr>
  </w:style>
  <w:style w:type="paragraph" w:customStyle="1" w:styleId="28B5361FFE95474E9916877774AE28E2">
    <w:name w:val="28B5361FFE95474E9916877774AE28E2"/>
    <w:rsid w:val="0021207B"/>
    <w:rPr>
      <w:lang w:val="en-GB" w:eastAsia="en-GB"/>
    </w:rPr>
  </w:style>
  <w:style w:type="paragraph" w:customStyle="1" w:styleId="DD28AF7857EB4B129389B936E42A95D2">
    <w:name w:val="DD28AF7857EB4B129389B936E42A95D2"/>
    <w:rsid w:val="00214F2F"/>
    <w:rPr>
      <w:lang w:val="en-GB" w:eastAsia="en-GB"/>
    </w:rPr>
  </w:style>
  <w:style w:type="paragraph" w:customStyle="1" w:styleId="4D0A6CE60D4B492695D985CC8DEC3E27">
    <w:name w:val="4D0A6CE60D4B492695D985CC8DEC3E27"/>
    <w:rsid w:val="008F11D0"/>
    <w:rPr>
      <w:lang w:val="fr-CA" w:eastAsia="fr-CA"/>
    </w:rPr>
  </w:style>
  <w:style w:type="paragraph" w:customStyle="1" w:styleId="F3FDD3A1B60E411A9B5D4A68025CA78E">
    <w:name w:val="F3FDD3A1B60E411A9B5D4A68025CA78E"/>
    <w:rsid w:val="008F11D0"/>
    <w:rPr>
      <w:lang w:val="fr-CA" w:eastAsia="fr-CA"/>
    </w:rPr>
  </w:style>
  <w:style w:type="paragraph" w:customStyle="1" w:styleId="27CB93F4309E4D009B16A5C29A1B239A">
    <w:name w:val="27CB93F4309E4D009B16A5C29A1B239A"/>
    <w:rsid w:val="008F11D0"/>
    <w:rPr>
      <w:lang w:val="fr-CA" w:eastAsia="fr-CA"/>
    </w:rPr>
  </w:style>
  <w:style w:type="paragraph" w:customStyle="1" w:styleId="E078A6975C4A496BB35EC5464CDB47D0">
    <w:name w:val="E078A6975C4A496BB35EC5464CDB47D0"/>
    <w:rsid w:val="008F11D0"/>
    <w:rPr>
      <w:lang w:val="fr-CA" w:eastAsia="fr-CA"/>
    </w:rPr>
  </w:style>
  <w:style w:type="paragraph" w:customStyle="1" w:styleId="0D586005A49042D8AD4FF37647EFF599">
    <w:name w:val="0D586005A49042D8AD4FF37647EFF599"/>
    <w:rsid w:val="008F11D0"/>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B5A80A-FC0F-4962-9DA1-EAFB83D8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COP-6.dot</Template>
  <TotalTime>488</TotalTime>
  <Pages>69</Pages>
  <Words>28533</Words>
  <Characters>156937</Characters>
  <Application>Microsoft Office Word</Application>
  <DocSecurity>0</DocSecurity>
  <Lines>1307</Lines>
  <Paragraphs>370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3/1 Évaluation et examen de l’efficacité du Protocole (article 31)</vt:lpstr>
      <vt:lpstr>Report of the Conference of the Parties to the Convention on Biological Diversity serving as the meeting of the Parties to the Nagoya Protocol on Access to Genetic Resources and the Fair and Equitable Sharing of Benefits Arising from their Utilization on </vt:lpstr>
    </vt:vector>
  </TitlesOfParts>
  <Company>Hewlett-Packard Company</Company>
  <LinksUpToDate>false</LinksUpToDate>
  <CharactersWithSpaces>185100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Évaluation et examen de l’efficacité du Protocole (article 31)</dc:title>
  <dc:subject>CBD/NP/MOP/3/10</dc:subject>
  <dc:creator>NP MOP 3</dc:creator>
  <cp:keywords>Convention on Biological Diversity, Nagoya Protocol on Access to Genetic Resources and the Fair and Equitable Sharing of Benefits Arising from their Utilization</cp:keywords>
  <dc:description/>
  <cp:lastModifiedBy>Louise</cp:lastModifiedBy>
  <cp:revision>20</cp:revision>
  <cp:lastPrinted>2019-03-26T15:49:00Z</cp:lastPrinted>
  <dcterms:created xsi:type="dcterms:W3CDTF">2019-03-25T12:02:00Z</dcterms:created>
  <dcterms:modified xsi:type="dcterms:W3CDTF">2019-03-27T16:07:00Z</dcterms:modified>
  <cp:contentStatus>GÉNÉRALE</cp:contentStatus>
</cp:coreProperties>
</file>