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672FBFE5" w:rsidR="008A1499" w:rsidRPr="003F1A75" w:rsidRDefault="00D755D5" w:rsidP="008A1499">
            <w:pPr>
              <w:pStyle w:val="AASmallLogo"/>
            </w:pPr>
            <w:r>
              <w:t>,</w:t>
            </w:r>
            <w:r w:rsidR="008A1499"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5B41069A" w:rsidR="008A1499" w:rsidRPr="003F1A75" w:rsidRDefault="008A1499" w:rsidP="003F1A75">
            <w:pPr>
              <w:pStyle w:val="ABSymbol"/>
            </w:pPr>
            <w:r w:rsidRPr="003F1A75">
              <w:rPr>
                <w:sz w:val="40"/>
              </w:rPr>
              <w:t>CBD</w:t>
            </w:r>
            <w:r w:rsidRPr="003F1A75">
              <w:t>/</w:t>
            </w:r>
            <w:r w:rsidR="00975047">
              <w:t>NP</w:t>
            </w:r>
            <w:r w:rsidRPr="003F1A75">
              <w:t>/</w:t>
            </w:r>
            <w:r w:rsidR="00975047">
              <w:t>MOP/6/</w:t>
            </w:r>
            <w:r w:rsidR="00B40D6F">
              <w:t>L.6</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68A71FFA" w:rsidR="008A1499" w:rsidRPr="003F1A75" w:rsidRDefault="00EB7286" w:rsidP="008A1499">
            <w:pPr>
              <w:pStyle w:val="AEDistrNormal"/>
            </w:pPr>
            <w:r>
              <w:t>2</w:t>
            </w:r>
            <w:r w:rsidR="00E308D6">
              <w:t>3</w:t>
            </w:r>
            <w:r w:rsidR="00642599">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6827B5B1" w:rsidR="008A1499" w:rsidRPr="003F1A75" w:rsidRDefault="0087796A" w:rsidP="008A1499">
            <w:pPr>
              <w:pStyle w:val="AFCorNNormal"/>
            </w:pPr>
            <w:r>
              <w:t>Agenda i</w:t>
            </w:r>
            <w:r w:rsidR="008A1499" w:rsidRPr="003F1A75">
              <w:t xml:space="preserve">tem </w:t>
            </w:r>
            <w:r w:rsidR="00B53730">
              <w:t>10</w:t>
            </w:r>
            <w:r w:rsidR="008A1499" w:rsidRPr="003F1A75">
              <w:t xml:space="preserve"> </w:t>
            </w:r>
          </w:p>
          <w:p w14:paraId="66DC3FF7" w14:textId="28BB56BD" w:rsidR="005649FD" w:rsidRPr="005649FD" w:rsidRDefault="00BD69C0" w:rsidP="00AC4606">
            <w:pPr>
              <w:pStyle w:val="AFCorNBold"/>
            </w:pPr>
            <w:r w:rsidRPr="00BD69C0">
              <w:t>Financial mechanism and resources</w:t>
            </w:r>
          </w:p>
        </w:tc>
        <w:tc>
          <w:tcPr>
            <w:tcW w:w="4388" w:type="dxa"/>
          </w:tcPr>
          <w:p w14:paraId="2A8ED09B" w14:textId="77777777" w:rsidR="008A1499" w:rsidRPr="003F1A75" w:rsidRDefault="008A1499" w:rsidP="008A1499">
            <w:pPr>
              <w:pStyle w:val="CBDNormal"/>
              <w:jc w:val="left"/>
            </w:pPr>
          </w:p>
        </w:tc>
      </w:tr>
    </w:tbl>
    <w:p w14:paraId="59E00E1B" w14:textId="3BE960E9" w:rsidR="00C9161D" w:rsidRPr="003F1A75" w:rsidRDefault="0055256E" w:rsidP="00A111D1">
      <w:pPr>
        <w:pStyle w:val="CBDTitle"/>
        <w:rPr>
          <w:caps/>
        </w:rPr>
      </w:pPr>
      <w:sdt>
        <w:sdtPr>
          <w:rPr>
            <w:bdr w:val="none" w:sz="0" w:space="0" w:color="auto" w:frame="1"/>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BD69C0" w:rsidRPr="00BD69C0">
            <w:rPr>
              <w:bdr w:val="none" w:sz="0" w:space="0" w:color="auto" w:frame="1"/>
            </w:rPr>
            <w:t>Financial mechanism and resources</w:t>
          </w:r>
        </w:sdtContent>
      </w:sdt>
      <w:r w:rsidR="00105372" w:rsidRPr="003F1A75">
        <w:rPr>
          <w:caps/>
        </w:rPr>
        <w:t xml:space="preserve"> </w:t>
      </w:r>
    </w:p>
    <w:p w14:paraId="038A19D9" w14:textId="013F93D0" w:rsidR="00F6586C" w:rsidRPr="003F1A75" w:rsidRDefault="005649FD" w:rsidP="00A111D1">
      <w:pPr>
        <w:pStyle w:val="CBDSubTitle"/>
      </w:pPr>
      <w:r>
        <w:t xml:space="preserve">Draft decision submitted by </w:t>
      </w:r>
      <w:r w:rsidR="004A756D">
        <w:t>the Chair of Working Group I</w:t>
      </w:r>
    </w:p>
    <w:p w14:paraId="24DAE17D" w14:textId="77777777" w:rsidR="004A756D" w:rsidRPr="00EE7CA8" w:rsidRDefault="004A756D" w:rsidP="004A756D">
      <w:pPr>
        <w:pStyle w:val="CBDNormalNoNumber"/>
        <w:ind w:firstLine="567"/>
        <w:rPr>
          <w:i/>
          <w:iCs/>
        </w:rPr>
      </w:pPr>
      <w:r w:rsidRPr="00EE7CA8">
        <w:rPr>
          <w:i/>
          <w:iCs/>
        </w:rPr>
        <w:t>The Conference of the Parties serving as the meeting of the Parties to the Nagoya Protocol</w:t>
      </w:r>
      <w:r w:rsidRPr="00EE7CA8">
        <w:t>,</w:t>
      </w:r>
    </w:p>
    <w:p w14:paraId="7C09339A" w14:textId="77777777" w:rsidR="004A756D" w:rsidRPr="00EE7CA8" w:rsidRDefault="004A756D" w:rsidP="004A756D">
      <w:pPr>
        <w:pStyle w:val="CBDNormalNumber"/>
        <w:numPr>
          <w:ilvl w:val="0"/>
          <w:numId w:val="0"/>
        </w:numPr>
        <w:ind w:left="567" w:firstLine="567"/>
      </w:pPr>
      <w:r w:rsidRPr="00EE7CA8">
        <w:rPr>
          <w:i/>
          <w:iCs/>
        </w:rPr>
        <w:t xml:space="preserve">Recalling </w:t>
      </w:r>
      <w:r w:rsidRPr="00EE7CA8">
        <w:t>Article 25 of the Nagoya Protocol on Access to Genetic Resources and the Fair and Equitable Sharing of Benefits Arising from Their Utilization,</w:t>
      </w:r>
      <w:r w:rsidRPr="00EE7CA8">
        <w:rPr>
          <w:rStyle w:val="FootnoteReference"/>
        </w:rPr>
        <w:footnoteReference w:id="1"/>
      </w:r>
    </w:p>
    <w:p w14:paraId="080D87D2" w14:textId="77777777" w:rsidR="004A756D" w:rsidRPr="00EE7CA8" w:rsidRDefault="004A756D" w:rsidP="004A756D">
      <w:pPr>
        <w:pStyle w:val="CBDNormalNumber"/>
        <w:numPr>
          <w:ilvl w:val="0"/>
          <w:numId w:val="0"/>
        </w:numPr>
        <w:ind w:left="567" w:firstLine="567"/>
        <w:rPr>
          <w:i/>
          <w:iCs/>
        </w:rPr>
      </w:pPr>
      <w:r w:rsidRPr="00EE7CA8">
        <w:rPr>
          <w:i/>
          <w:iCs/>
        </w:rPr>
        <w:t xml:space="preserve">Having considered </w:t>
      </w:r>
      <w:r w:rsidRPr="00EE7CA8">
        <w:t>the information on the Nagoya Protocol in the report of the Council of the Global Environment Facility for the seventeenth meeting of the Conference of the Parties to the Convention on Biological Diversity,</w:t>
      </w:r>
      <w:r w:rsidRPr="00EE7CA8">
        <w:rPr>
          <w:rStyle w:val="FootnoteReference"/>
        </w:rPr>
        <w:footnoteReference w:id="2"/>
      </w:r>
      <w:r w:rsidRPr="00EE7CA8">
        <w:rPr>
          <w:vertAlign w:val="superscript"/>
        </w:rPr>
        <w:t>,</w:t>
      </w:r>
      <w:r w:rsidRPr="00EE7CA8">
        <w:rPr>
          <w:rStyle w:val="FootnoteReference"/>
        </w:rPr>
        <w:footnoteReference w:id="3"/>
      </w:r>
    </w:p>
    <w:p w14:paraId="0A2033EC" w14:textId="77777777" w:rsidR="004A756D" w:rsidRPr="00EE7CA8" w:rsidRDefault="004A756D" w:rsidP="004A756D">
      <w:pPr>
        <w:pStyle w:val="CBDsubpara-item"/>
        <w:ind w:left="567" w:firstLine="564"/>
        <w:jc w:val="both"/>
        <w:rPr>
          <w:lang w:val="en-ZA" w:eastAsia="en-GB"/>
        </w:rPr>
      </w:pPr>
      <w:r w:rsidRPr="00EE7CA8">
        <w:rPr>
          <w:lang w:val="en-ZA" w:eastAsia="en-GB"/>
        </w:rPr>
        <w:t>1.</w:t>
      </w:r>
      <w:r w:rsidRPr="00EE7CA8">
        <w:rPr>
          <w:lang w:val="en-ZA" w:eastAsia="en-GB"/>
        </w:rPr>
        <w:tab/>
      </w:r>
      <w:r w:rsidRPr="00EE7CA8">
        <w:rPr>
          <w:i/>
          <w:iCs/>
          <w:lang w:val="en-ZA" w:eastAsia="en-GB"/>
        </w:rPr>
        <w:t xml:space="preserve">Welcomes </w:t>
      </w:r>
      <w:r w:rsidRPr="00EE7CA8">
        <w:rPr>
          <w:lang w:val="en-ZA" w:eastAsia="en-GB"/>
        </w:rPr>
        <w:t>the report of the Council of the Global Environment Facility for the seventeenth meeting of the Conference of the Parties to the Convention on Biological Diversity;</w:t>
      </w:r>
    </w:p>
    <w:p w14:paraId="107493CB" w14:textId="4D72522D" w:rsidR="004A756D" w:rsidRPr="00EE7CA8" w:rsidRDefault="004A756D" w:rsidP="004A756D">
      <w:pPr>
        <w:pStyle w:val="CBDsubpara-item"/>
        <w:ind w:left="567" w:firstLine="564"/>
        <w:jc w:val="both"/>
        <w:rPr>
          <w:lang w:val="en-ZA" w:eastAsia="en-GB"/>
        </w:rPr>
      </w:pPr>
      <w:r w:rsidRPr="00EE7CA8">
        <w:rPr>
          <w:lang w:val="en-ZA" w:eastAsia="en-GB"/>
        </w:rPr>
        <w:t>2.</w:t>
      </w:r>
      <w:r w:rsidRPr="00EE7CA8">
        <w:rPr>
          <w:lang w:val="en-ZA" w:eastAsia="en-GB"/>
        </w:rPr>
        <w:tab/>
      </w:r>
      <w:r w:rsidRPr="00EE7CA8">
        <w:rPr>
          <w:i/>
          <w:iCs/>
          <w:lang w:val="en-ZA" w:eastAsia="en-GB"/>
        </w:rPr>
        <w:t>Also</w:t>
      </w:r>
      <w:r w:rsidRPr="00EE7CA8">
        <w:rPr>
          <w:lang w:val="en-ZA" w:eastAsia="en-GB"/>
        </w:rPr>
        <w:t xml:space="preserve"> </w:t>
      </w:r>
      <w:r w:rsidRPr="00EE7CA8">
        <w:rPr>
          <w:i/>
          <w:iCs/>
          <w:lang w:val="en-ZA" w:eastAsia="en-GB"/>
        </w:rPr>
        <w:t>welcomes</w:t>
      </w:r>
      <w:r w:rsidRPr="00EE7CA8">
        <w:rPr>
          <w:lang w:val="en-ZA" w:eastAsia="en-GB"/>
        </w:rPr>
        <w:t xml:space="preserve"> the </w:t>
      </w:r>
      <w:r w:rsidRPr="00EE7CA8">
        <w:rPr>
          <w:rFonts w:eastAsia="MS Mincho"/>
          <w:iCs/>
          <w:lang w:val="en-ZA"/>
        </w:rPr>
        <w:t>ninth</w:t>
      </w:r>
      <w:r w:rsidRPr="00EE7CA8">
        <w:rPr>
          <w:lang w:val="en-ZA" w:eastAsia="en-GB"/>
        </w:rPr>
        <w:t xml:space="preserve"> replenishment of the Global Environment Facility Trust Fund and its programming directions</w:t>
      </w:r>
      <w:r w:rsidR="00EE488B" w:rsidRPr="00EE488B">
        <w:rPr>
          <w:lang w:eastAsia="en-GB"/>
        </w:rPr>
        <w:t>, emphasi</w:t>
      </w:r>
      <w:r w:rsidR="00EB7286">
        <w:rPr>
          <w:lang w:eastAsia="en-GB"/>
        </w:rPr>
        <w:t>z</w:t>
      </w:r>
      <w:r w:rsidR="00EE488B" w:rsidRPr="00EE488B">
        <w:rPr>
          <w:lang w:eastAsia="en-GB"/>
        </w:rPr>
        <w:t xml:space="preserve">es the importance of ensuring that the resources thus made available </w:t>
      </w:r>
      <w:r w:rsidR="0062509A" w:rsidRPr="00DC05C5">
        <w:rPr>
          <w:lang w:eastAsia="en-GB"/>
        </w:rPr>
        <w:t>are</w:t>
      </w:r>
      <w:r w:rsidR="00EE488B" w:rsidRPr="00EE488B">
        <w:rPr>
          <w:lang w:eastAsia="en-GB"/>
        </w:rPr>
        <w:t xml:space="preserve"> adequate, accessible</w:t>
      </w:r>
      <w:r w:rsidR="002F7FD9">
        <w:rPr>
          <w:lang w:eastAsia="en-GB"/>
        </w:rPr>
        <w:t xml:space="preserve">, </w:t>
      </w:r>
      <w:r w:rsidR="00EE488B" w:rsidRPr="00BE183F">
        <w:rPr>
          <w:lang w:eastAsia="en-GB"/>
        </w:rPr>
        <w:t xml:space="preserve">predictable </w:t>
      </w:r>
      <w:r w:rsidR="002F7FD9" w:rsidRPr="00BE183F">
        <w:rPr>
          <w:lang w:eastAsia="en-GB"/>
        </w:rPr>
        <w:t>and responsive</w:t>
      </w:r>
      <w:r w:rsidR="00EE488B" w:rsidRPr="00BE183F">
        <w:rPr>
          <w:lang w:eastAsia="en-GB"/>
        </w:rPr>
        <w:t xml:space="preserve"> to the needs of eligible Parties in implementing the Nagoya Protocol</w:t>
      </w:r>
      <w:r w:rsidR="00495A0F" w:rsidRPr="00BE183F">
        <w:rPr>
          <w:lang w:val="en-US" w:eastAsia="en-GB"/>
        </w:rPr>
        <w:t xml:space="preserve">, </w:t>
      </w:r>
      <w:r w:rsidR="00495A0F" w:rsidRPr="006A60D7">
        <w:rPr>
          <w:lang w:val="en-US" w:eastAsia="en-GB"/>
        </w:rPr>
        <w:t>including through dedicated allocations for national implementation and capacity-building activities</w:t>
      </w:r>
      <w:r w:rsidR="00495A0F" w:rsidRPr="00BE183F">
        <w:rPr>
          <w:lang w:val="en-US" w:eastAsia="en-GB"/>
        </w:rPr>
        <w:t>,</w:t>
      </w:r>
      <w:r w:rsidR="00495A0F" w:rsidRPr="00495A0F">
        <w:rPr>
          <w:lang w:val="en-US" w:eastAsia="en-GB"/>
        </w:rPr>
        <w:t xml:space="preserve"> </w:t>
      </w:r>
      <w:r w:rsidRPr="00EE7CA8">
        <w:rPr>
          <w:lang w:val="en-ZA" w:eastAsia="en-GB"/>
        </w:rPr>
        <w:t>and expresses its appreciation to the countries that contributed to the replenishment;</w:t>
      </w:r>
    </w:p>
    <w:p w14:paraId="635688EB" w14:textId="3E0B91BB" w:rsidR="004A756D" w:rsidRPr="00EE7CA8" w:rsidRDefault="004A756D" w:rsidP="004A756D">
      <w:pPr>
        <w:pStyle w:val="CBDsubpara-item"/>
        <w:ind w:left="567" w:firstLine="564"/>
        <w:jc w:val="both"/>
        <w:rPr>
          <w:lang w:val="en-ZA" w:eastAsia="en-GB"/>
        </w:rPr>
      </w:pPr>
      <w:r w:rsidRPr="00EE7CA8">
        <w:rPr>
          <w:lang w:val="en-ZA" w:eastAsia="en-GB"/>
        </w:rPr>
        <w:t>3.</w:t>
      </w:r>
      <w:r w:rsidRPr="00EE7CA8">
        <w:rPr>
          <w:lang w:val="en-ZA" w:eastAsia="en-GB"/>
        </w:rPr>
        <w:tab/>
      </w:r>
      <w:r w:rsidRPr="00EE7CA8">
        <w:rPr>
          <w:i/>
          <w:iCs/>
          <w:lang w:val="en-ZA" w:eastAsia="en-GB"/>
        </w:rPr>
        <w:t xml:space="preserve">Welcomes with appreciation </w:t>
      </w:r>
      <w:r w:rsidRPr="00EE7CA8">
        <w:t xml:space="preserve">the measures taken by the Global Environment Facility to enhance </w:t>
      </w:r>
      <w:r w:rsidRPr="00EE7CA8">
        <w:rPr>
          <w:lang w:val="en-ZA" w:eastAsia="en-GB"/>
        </w:rPr>
        <w:t>the financial mechanism with respect to the Nagoya Protocol;</w:t>
      </w:r>
    </w:p>
    <w:p w14:paraId="09CF85BA" w14:textId="5CE27AF0" w:rsidR="004A756D" w:rsidRPr="00EE7CA8" w:rsidRDefault="004A756D" w:rsidP="004A756D">
      <w:pPr>
        <w:pStyle w:val="CBDsubpara-item"/>
        <w:ind w:left="567" w:firstLine="564"/>
        <w:jc w:val="both"/>
        <w:rPr>
          <w:lang w:val="en-ZA" w:eastAsia="en-GB"/>
        </w:rPr>
      </w:pPr>
      <w:r w:rsidRPr="00EE7CA8">
        <w:rPr>
          <w:lang w:val="en-ZA" w:eastAsia="en-GB"/>
        </w:rPr>
        <w:t>4.</w:t>
      </w:r>
      <w:r w:rsidRPr="00EE7CA8">
        <w:rPr>
          <w:lang w:val="en-ZA" w:eastAsia="en-GB"/>
        </w:rPr>
        <w:tab/>
      </w:r>
      <w:r w:rsidRPr="00EE7CA8">
        <w:rPr>
          <w:i/>
          <w:iCs/>
          <w:lang w:val="en-ZA" w:eastAsia="en-GB"/>
        </w:rPr>
        <w:t>Notes with appreciation</w:t>
      </w:r>
      <w:r w:rsidRPr="00EE7CA8">
        <w:rPr>
          <w:lang w:val="en-ZA" w:eastAsia="en-GB"/>
        </w:rPr>
        <w:t xml:space="preserve"> that the programming directions for the ninth replenishment period of the Global Environment Facility Trust Fund reflect all elements of the four-year outcome-oriented framework of biodiversity programme priorities of the Convention and its Protocols adopted by the Conference of the Parties at its sixteenth meeting</w:t>
      </w:r>
      <w:r w:rsidRPr="00EE7CA8">
        <w:rPr>
          <w:rStyle w:val="FootnoteReference"/>
          <w:lang w:eastAsia="en-GB"/>
        </w:rPr>
        <w:footnoteReference w:id="4"/>
      </w:r>
      <w:r w:rsidRPr="00EE7CA8">
        <w:rPr>
          <w:lang w:val="en-ZA" w:eastAsia="en-GB"/>
        </w:rPr>
        <w:t xml:space="preserve"> and thus demonstrate an effective response to the guidance provided by the Conference of the Parties;</w:t>
      </w:r>
    </w:p>
    <w:p w14:paraId="7949E8B0" w14:textId="77777777" w:rsidR="004A756D" w:rsidRPr="00EE7CA8" w:rsidRDefault="004A756D" w:rsidP="004A756D">
      <w:pPr>
        <w:pStyle w:val="CBDNormalNoNumber"/>
        <w:tabs>
          <w:tab w:val="clear" w:pos="567"/>
        </w:tabs>
        <w:ind w:firstLine="567"/>
        <w:rPr>
          <w:rFonts w:eastAsia="Times New Roman"/>
          <w:szCs w:val="24"/>
        </w:rPr>
      </w:pPr>
      <w:r w:rsidRPr="00EE7CA8">
        <w:rPr>
          <w:rFonts w:eastAsia="Times New Roman"/>
          <w:szCs w:val="24"/>
        </w:rPr>
        <w:lastRenderedPageBreak/>
        <w:t>5.</w:t>
      </w:r>
      <w:r w:rsidRPr="00EE7CA8">
        <w:rPr>
          <w:rFonts w:eastAsia="Times New Roman"/>
          <w:szCs w:val="24"/>
        </w:rPr>
        <w:tab/>
      </w:r>
      <w:r w:rsidRPr="00EE7CA8">
        <w:rPr>
          <w:rFonts w:eastAsia="Times New Roman"/>
          <w:i/>
          <w:szCs w:val="24"/>
        </w:rPr>
        <w:t>Recalls</w:t>
      </w:r>
      <w:r w:rsidRPr="00EE7CA8">
        <w:rPr>
          <w:rFonts w:eastAsia="Times New Roman"/>
          <w:iCs/>
          <w:szCs w:val="24"/>
        </w:rPr>
        <w:t xml:space="preserve"> its </w:t>
      </w:r>
      <w:r w:rsidRPr="00EE7CA8">
        <w:t>decisions</w:t>
      </w:r>
      <w:r w:rsidRPr="00EE7CA8">
        <w:rPr>
          <w:rFonts w:eastAsia="Times New Roman"/>
          <w:iCs/>
          <w:szCs w:val="24"/>
        </w:rPr>
        <w:t xml:space="preserve"> </w:t>
      </w:r>
      <w:hyperlink r:id="rId15" w:history="1">
        <w:r w:rsidRPr="00EE7CA8">
          <w:rPr>
            <w:rStyle w:val="Hyperlink"/>
            <w:rFonts w:eastAsia="Times New Roman"/>
            <w:iCs/>
            <w:szCs w:val="24"/>
          </w:rPr>
          <w:t>NP-4/8</w:t>
        </w:r>
      </w:hyperlink>
      <w:r w:rsidRPr="00EE7CA8">
        <w:rPr>
          <w:rFonts w:eastAsia="Times New Roman"/>
          <w:iCs/>
          <w:szCs w:val="24"/>
        </w:rPr>
        <w:t xml:space="preserve"> of 10 December 2022 and </w:t>
      </w:r>
      <w:hyperlink r:id="rId16" w:history="1">
        <w:r w:rsidRPr="00EE7CA8">
          <w:rPr>
            <w:rStyle w:val="Hyperlink"/>
            <w:rFonts w:eastAsia="Times New Roman"/>
            <w:iCs/>
            <w:szCs w:val="24"/>
          </w:rPr>
          <w:t>NP-5/2</w:t>
        </w:r>
      </w:hyperlink>
      <w:r w:rsidRPr="00EE7CA8">
        <w:t xml:space="preserve"> of 1 November 2024;</w:t>
      </w:r>
      <w:r w:rsidRPr="00EE7CA8">
        <w:rPr>
          <w:rFonts w:eastAsia="Times New Roman"/>
          <w:szCs w:val="24"/>
        </w:rPr>
        <w:t xml:space="preserve"> </w:t>
      </w:r>
    </w:p>
    <w:p w14:paraId="2370AA04" w14:textId="35FB67CD" w:rsidR="004A756D" w:rsidRPr="00EE7CA8" w:rsidRDefault="004A756D" w:rsidP="0049161D">
      <w:pPr>
        <w:pStyle w:val="CBDNormalNoNumber"/>
        <w:tabs>
          <w:tab w:val="clear" w:pos="567"/>
        </w:tabs>
        <w:spacing w:before="120"/>
        <w:ind w:firstLine="567"/>
        <w:rPr>
          <w:rFonts w:eastAsia="Times New Roman"/>
          <w:szCs w:val="24"/>
        </w:rPr>
      </w:pPr>
      <w:r w:rsidRPr="00EE7CA8">
        <w:rPr>
          <w:rFonts w:eastAsia="Times New Roman"/>
          <w:szCs w:val="24"/>
        </w:rPr>
        <w:t>[6.</w:t>
      </w:r>
      <w:r w:rsidRPr="00EE7CA8">
        <w:rPr>
          <w:rFonts w:eastAsia="Times New Roman"/>
          <w:szCs w:val="24"/>
        </w:rPr>
        <w:tab/>
      </w:r>
      <w:r w:rsidRPr="00EE7CA8">
        <w:rPr>
          <w:rFonts w:eastAsia="Times New Roman"/>
          <w:i/>
          <w:iCs/>
          <w:szCs w:val="24"/>
        </w:rPr>
        <w:t>Urges</w:t>
      </w:r>
      <w:r w:rsidRPr="00EE7CA8">
        <w:rPr>
          <w:rFonts w:eastAsia="Times New Roman"/>
          <w:szCs w:val="24"/>
        </w:rPr>
        <w:t xml:space="preserve"> developed country Parties and other Parties that voluntarily assume the obligations of developed country Parties to provide new and additional, adequate, predictable and timely financial resources to developing country Parties, in particular the least developed countries and the small island developing States among them, and Parties with economies in transition for the implementation of the Nagoya Protocol, in accordance with Article 25 of the Protocol and Article 20 of the Convention;]</w:t>
      </w:r>
      <w:r w:rsidR="00545B25">
        <w:rPr>
          <w:rFonts w:eastAsia="Times New Roman"/>
          <w:szCs w:val="24"/>
        </w:rPr>
        <w:t xml:space="preserve"> </w:t>
      </w:r>
    </w:p>
    <w:p w14:paraId="34371B85" w14:textId="77777777" w:rsidR="004A756D" w:rsidRPr="00EE7CA8" w:rsidRDefault="004A756D" w:rsidP="0049161D">
      <w:pPr>
        <w:pStyle w:val="CBDNormalNoNumber"/>
        <w:keepNext/>
        <w:tabs>
          <w:tab w:val="clear" w:pos="567"/>
        </w:tabs>
        <w:spacing w:before="120"/>
        <w:ind w:firstLine="567"/>
        <w:rPr>
          <w:rFonts w:eastAsia="Times New Roman"/>
          <w:iCs/>
          <w:szCs w:val="24"/>
        </w:rPr>
      </w:pPr>
      <w:r w:rsidRPr="00EE7CA8">
        <w:rPr>
          <w:rFonts w:eastAsia="Times New Roman"/>
          <w:szCs w:val="24"/>
        </w:rPr>
        <w:t>7.</w:t>
      </w:r>
      <w:r w:rsidRPr="00EE7CA8">
        <w:rPr>
          <w:rFonts w:eastAsia="Times New Roman"/>
          <w:szCs w:val="24"/>
        </w:rPr>
        <w:tab/>
      </w:r>
      <w:r w:rsidRPr="00EE7CA8">
        <w:rPr>
          <w:rFonts w:eastAsia="Times New Roman"/>
          <w:i/>
          <w:szCs w:val="24"/>
        </w:rPr>
        <w:t xml:space="preserve">Invites </w:t>
      </w:r>
      <w:r w:rsidRPr="00EE7CA8">
        <w:rPr>
          <w:rFonts w:eastAsia="Times New Roman"/>
          <w:iCs/>
          <w:szCs w:val="24"/>
        </w:rPr>
        <w:t>Parties,</w:t>
      </w:r>
      <w:r w:rsidRPr="00EE7CA8">
        <w:rPr>
          <w:rFonts w:eastAsia="Times New Roman"/>
          <w:i/>
          <w:szCs w:val="24"/>
        </w:rPr>
        <w:t xml:space="preserve"> </w:t>
      </w:r>
      <w:r w:rsidRPr="00EE7CA8">
        <w:t>international</w:t>
      </w:r>
      <w:r w:rsidRPr="00EE7CA8">
        <w:rPr>
          <w:rFonts w:eastAsia="Times New Roman"/>
          <w:iCs/>
          <w:szCs w:val="24"/>
        </w:rPr>
        <w:t xml:space="preserve"> organizations, regional development banks, other programmes and initiatives, and the private sector:</w:t>
      </w:r>
    </w:p>
    <w:p w14:paraId="41277C68" w14:textId="77777777" w:rsidR="004A756D" w:rsidRPr="00EE7CA8" w:rsidRDefault="004A756D" w:rsidP="0049161D">
      <w:pPr>
        <w:pStyle w:val="CBDNormalNoNumber"/>
        <w:tabs>
          <w:tab w:val="clear" w:pos="567"/>
        </w:tabs>
        <w:spacing w:before="120"/>
        <w:ind w:firstLine="567"/>
        <w:rPr>
          <w:rFonts w:eastAsia="Arial Unicode MS"/>
          <w:color w:val="000000"/>
          <w:kern w:val="22"/>
          <w:u w:color="000000"/>
          <w:bdr w:val="nil"/>
        </w:rPr>
      </w:pPr>
      <w:r w:rsidRPr="00EE7CA8">
        <w:rPr>
          <w:rFonts w:eastAsia="Arial Unicode MS"/>
          <w:color w:val="000000"/>
          <w:kern w:val="22"/>
          <w:u w:color="000000"/>
          <w:bdr w:val="nil"/>
        </w:rPr>
        <w:t>(a)</w:t>
      </w:r>
      <w:r w:rsidRPr="00EE7CA8">
        <w:rPr>
          <w:rFonts w:eastAsia="Arial Unicode MS"/>
          <w:color w:val="000000"/>
          <w:kern w:val="22"/>
          <w:u w:color="000000"/>
          <w:bdr w:val="nil"/>
        </w:rPr>
        <w:tab/>
      </w:r>
      <w:r w:rsidRPr="00EE7CA8">
        <w:rPr>
          <w:rFonts w:eastAsia="Arial Unicode MS"/>
          <w:bCs/>
          <w:color w:val="000000"/>
          <w:kern w:val="22"/>
          <w:u w:color="000000"/>
          <w:bdr w:val="nil"/>
        </w:rPr>
        <w:t>To</w:t>
      </w:r>
      <w:r w:rsidRPr="00EE7CA8">
        <w:rPr>
          <w:rFonts w:eastAsia="Arial Unicode MS"/>
          <w:color w:val="000000"/>
          <w:kern w:val="22"/>
          <w:u w:color="000000"/>
          <w:bdr w:val="nil"/>
        </w:rPr>
        <w:t xml:space="preserve"> provide </w:t>
      </w:r>
      <w:r w:rsidRPr="00EE7CA8">
        <w:t>additional</w:t>
      </w:r>
      <w:r w:rsidRPr="00EE7CA8">
        <w:rPr>
          <w:rFonts w:eastAsia="Arial Unicode MS"/>
          <w:color w:val="000000"/>
          <w:kern w:val="22"/>
          <w:u w:color="000000"/>
          <w:bdr w:val="nil"/>
        </w:rPr>
        <w:t xml:space="preserve"> financial resources, as appropriate and, where relevant, in line with their respective mandates, to support the implementation of the Nagoya Protocol;</w:t>
      </w:r>
    </w:p>
    <w:p w14:paraId="22DC7960" w14:textId="77777777" w:rsidR="004A756D" w:rsidRPr="00EE7CA8" w:rsidRDefault="004A756D" w:rsidP="0049161D">
      <w:pPr>
        <w:pStyle w:val="CBDNormalNoNumber"/>
        <w:tabs>
          <w:tab w:val="clear" w:pos="567"/>
        </w:tabs>
        <w:spacing w:before="120"/>
        <w:ind w:firstLine="567"/>
        <w:rPr>
          <w:rFonts w:eastAsia="Arial Unicode MS"/>
          <w:color w:val="000000"/>
          <w:kern w:val="22"/>
          <w:u w:color="000000"/>
          <w:bdr w:val="nil"/>
        </w:rPr>
      </w:pPr>
      <w:r w:rsidRPr="00EE7CA8">
        <w:rPr>
          <w:rFonts w:eastAsia="Arial Unicode MS"/>
          <w:color w:val="000000"/>
          <w:kern w:val="22"/>
          <w:u w:color="000000"/>
          <w:bdr w:val="nil"/>
        </w:rPr>
        <w:t>(b)</w:t>
      </w:r>
      <w:r w:rsidRPr="00EE7CA8">
        <w:rPr>
          <w:rFonts w:eastAsia="Arial Unicode MS"/>
          <w:color w:val="000000"/>
          <w:kern w:val="22"/>
          <w:u w:color="000000"/>
          <w:bdr w:val="nil"/>
        </w:rPr>
        <w:tab/>
      </w:r>
      <w:r w:rsidRPr="00EE7CA8">
        <w:rPr>
          <w:rFonts w:eastAsia="Arial Unicode MS"/>
          <w:bCs/>
          <w:color w:val="000000"/>
          <w:kern w:val="22"/>
          <w:u w:color="000000"/>
          <w:bdr w:val="nil"/>
        </w:rPr>
        <w:t>To</w:t>
      </w:r>
      <w:r w:rsidRPr="00EE7CA8">
        <w:rPr>
          <w:rFonts w:eastAsia="Arial Unicode MS"/>
          <w:color w:val="000000"/>
          <w:kern w:val="22"/>
          <w:u w:color="000000"/>
          <w:bdr w:val="nil"/>
        </w:rPr>
        <w:t xml:space="preserve"> take into account the key findings and messages </w:t>
      </w:r>
      <w:r w:rsidRPr="00EE7CA8">
        <w:rPr>
          <w:rFonts w:eastAsia="Times New Roman"/>
          <w:iCs/>
          <w:szCs w:val="24"/>
        </w:rPr>
        <w:t xml:space="preserve">of the second assessment and review </w:t>
      </w:r>
      <w:r w:rsidRPr="00EE7CA8">
        <w:t xml:space="preserve">of the effectiveness </w:t>
      </w:r>
      <w:r w:rsidRPr="00EE7CA8">
        <w:rPr>
          <w:rFonts w:eastAsia="Times New Roman"/>
          <w:iCs/>
          <w:szCs w:val="24"/>
        </w:rPr>
        <w:t xml:space="preserve">of the Nagoya Protocol, which include areas where Parties require further support, </w:t>
      </w:r>
      <w:r w:rsidRPr="00EE7CA8">
        <w:rPr>
          <w:rFonts w:eastAsia="Arial Unicode MS"/>
          <w:color w:val="000000"/>
          <w:kern w:val="22"/>
          <w:u w:color="000000"/>
          <w:bdr w:val="nil"/>
        </w:rPr>
        <w:t xml:space="preserve">and the indicative actions </w:t>
      </w:r>
      <w:r w:rsidRPr="00EE7CA8">
        <w:t>that could be taken at the national level to enhance the implementation of the Protocol</w:t>
      </w:r>
      <w:r w:rsidRPr="00EE7CA8">
        <w:rPr>
          <w:rFonts w:eastAsia="Arial Unicode MS"/>
          <w:color w:val="000000"/>
          <w:kern w:val="22"/>
          <w:u w:color="000000"/>
          <w:bdr w:val="nil"/>
        </w:rPr>
        <w:t>;</w:t>
      </w:r>
      <w:r w:rsidRPr="00EE7CA8">
        <w:rPr>
          <w:rStyle w:val="FootnoteReference"/>
          <w:rFonts w:eastAsia="Arial Unicode MS"/>
          <w:color w:val="000000"/>
          <w:kern w:val="22"/>
          <w:u w:color="000000"/>
          <w:bdr w:val="nil"/>
        </w:rPr>
        <w:footnoteReference w:id="5"/>
      </w:r>
      <w:r w:rsidRPr="00EE7CA8">
        <w:rPr>
          <w:rFonts w:eastAsia="Arial Unicode MS"/>
          <w:color w:val="000000"/>
          <w:kern w:val="22"/>
          <w:u w:color="000000"/>
          <w:bdr w:val="nil"/>
        </w:rPr>
        <w:t xml:space="preserve"> </w:t>
      </w:r>
    </w:p>
    <w:p w14:paraId="7F29184F" w14:textId="77777777" w:rsidR="004A756D" w:rsidRPr="00EE7CA8" w:rsidRDefault="004A756D" w:rsidP="0049161D">
      <w:pPr>
        <w:pStyle w:val="CBDNormalNoNumber"/>
        <w:keepNext/>
        <w:tabs>
          <w:tab w:val="clear" w:pos="567"/>
        </w:tabs>
        <w:spacing w:before="120"/>
        <w:ind w:firstLine="567"/>
        <w:rPr>
          <w:rFonts w:eastAsia="Times New Roman"/>
          <w:szCs w:val="24"/>
        </w:rPr>
      </w:pPr>
      <w:r w:rsidRPr="00EE7CA8">
        <w:rPr>
          <w:rFonts w:eastAsia="Times New Roman"/>
          <w:szCs w:val="24"/>
        </w:rPr>
        <w:t>8.</w:t>
      </w:r>
      <w:r w:rsidRPr="00EE7CA8">
        <w:rPr>
          <w:rFonts w:eastAsia="Times New Roman"/>
          <w:szCs w:val="24"/>
        </w:rPr>
        <w:tab/>
      </w:r>
      <w:r w:rsidRPr="00EE7CA8">
        <w:rPr>
          <w:rFonts w:eastAsia="Times New Roman"/>
          <w:i/>
          <w:szCs w:val="24"/>
        </w:rPr>
        <w:t xml:space="preserve">Recommends </w:t>
      </w:r>
      <w:r w:rsidRPr="00EE7CA8">
        <w:rPr>
          <w:rFonts w:eastAsia="Times New Roman"/>
          <w:szCs w:val="24"/>
        </w:rPr>
        <w:t xml:space="preserve">that, in adopting its guidance to the Global Environment Facility, </w:t>
      </w:r>
      <w:r w:rsidRPr="00EE7CA8">
        <w:rPr>
          <w:rFonts w:eastAsia="Times New Roman"/>
          <w:iCs/>
          <w:szCs w:val="24"/>
        </w:rPr>
        <w:t>t</w:t>
      </w:r>
      <w:r w:rsidRPr="00EE7CA8">
        <w:rPr>
          <w:rFonts w:eastAsia="Times New Roman"/>
          <w:szCs w:val="24"/>
        </w:rPr>
        <w:t>he Conference of the Parties to the Convention</w:t>
      </w:r>
      <w:r w:rsidRPr="00EE7CA8" w:rsidDel="00926765">
        <w:rPr>
          <w:rFonts w:eastAsia="Times New Roman"/>
          <w:szCs w:val="24"/>
        </w:rPr>
        <w:t xml:space="preserve"> </w:t>
      </w:r>
      <w:r w:rsidRPr="00EE7CA8">
        <w:rPr>
          <w:rFonts w:eastAsia="Times New Roman"/>
          <w:color w:val="000000" w:themeColor="text1"/>
          <w:szCs w:val="24"/>
        </w:rPr>
        <w:t xml:space="preserve">request </w:t>
      </w:r>
      <w:r w:rsidRPr="00EE7CA8">
        <w:rPr>
          <w:rFonts w:eastAsia="Times New Roman"/>
          <w:szCs w:val="24"/>
        </w:rPr>
        <w:t xml:space="preserve">the Facility: </w:t>
      </w:r>
    </w:p>
    <w:p w14:paraId="669696FE" w14:textId="5D9B50B0" w:rsidR="004A756D" w:rsidRPr="00B3039C" w:rsidRDefault="004A756D" w:rsidP="0049161D">
      <w:pPr>
        <w:pStyle w:val="CBDNormalNoNumber"/>
        <w:tabs>
          <w:tab w:val="clear" w:pos="567"/>
        </w:tabs>
        <w:spacing w:before="120"/>
        <w:ind w:firstLine="567"/>
        <w:rPr>
          <w:rFonts w:eastAsia="Times New Roman"/>
          <w:szCs w:val="24"/>
        </w:rPr>
      </w:pPr>
      <w:r w:rsidRPr="00EE7CA8">
        <w:rPr>
          <w:rFonts w:eastAsia="Times New Roman"/>
          <w:szCs w:val="24"/>
        </w:rPr>
        <w:t>(a)</w:t>
      </w:r>
      <w:r w:rsidRPr="00EE7CA8">
        <w:rPr>
          <w:rFonts w:eastAsia="Times New Roman"/>
          <w:szCs w:val="24"/>
        </w:rPr>
        <w:tab/>
        <w:t xml:space="preserve">To continue to </w:t>
      </w:r>
      <w:r w:rsidRPr="00EE7CA8">
        <w:t>assist</w:t>
      </w:r>
      <w:r w:rsidRPr="00EE7CA8">
        <w:rPr>
          <w:rFonts w:eastAsia="Times New Roman"/>
          <w:szCs w:val="24"/>
        </w:rPr>
        <w:t xml:space="preserve"> developing country Parties, in particular the least developed countries and the small island developing States among them, and Parties with economies in transition in implementing the </w:t>
      </w:r>
      <w:r w:rsidRPr="00EE7CA8">
        <w:rPr>
          <w:rFonts w:eastAsia="Times New Roman"/>
          <w:iCs/>
          <w:szCs w:val="24"/>
        </w:rPr>
        <w:t xml:space="preserve">Nagoya </w:t>
      </w:r>
      <w:r w:rsidRPr="00EE7CA8">
        <w:rPr>
          <w:rFonts w:eastAsia="Times New Roman"/>
          <w:szCs w:val="24"/>
        </w:rPr>
        <w:t xml:space="preserve">Protocol, taking into account the outcomes of the second assessment and review, including </w:t>
      </w:r>
      <w:r w:rsidR="00B831CB">
        <w:rPr>
          <w:rFonts w:eastAsia="Times New Roman"/>
          <w:szCs w:val="24"/>
        </w:rPr>
        <w:t>by</w:t>
      </w:r>
      <w:r w:rsidR="00B831CB" w:rsidRPr="00EE7CA8">
        <w:rPr>
          <w:rFonts w:eastAsia="Times New Roman"/>
          <w:szCs w:val="24"/>
        </w:rPr>
        <w:t xml:space="preserve"> </w:t>
      </w:r>
      <w:r w:rsidRPr="00EE7CA8">
        <w:rPr>
          <w:rFonts w:eastAsia="Times New Roman"/>
          <w:szCs w:val="24"/>
        </w:rPr>
        <w:t>support</w:t>
      </w:r>
      <w:r w:rsidR="00B831CB">
        <w:rPr>
          <w:rFonts w:eastAsia="Times New Roman"/>
          <w:szCs w:val="24"/>
        </w:rPr>
        <w:t>ing</w:t>
      </w:r>
      <w:r w:rsidRPr="00EE7CA8">
        <w:rPr>
          <w:rFonts w:eastAsia="Times New Roman"/>
          <w:szCs w:val="24"/>
        </w:rPr>
        <w:t xml:space="preserve"> the establishment and operationalization of checkpoints</w:t>
      </w:r>
      <w:r w:rsidR="00A82738">
        <w:rPr>
          <w:rFonts w:eastAsia="Times New Roman"/>
          <w:szCs w:val="24"/>
        </w:rPr>
        <w:t>,</w:t>
      </w:r>
      <w:r w:rsidR="007618BF">
        <w:rPr>
          <w:rFonts w:eastAsia="Times New Roman"/>
          <w:szCs w:val="24"/>
        </w:rPr>
        <w:t xml:space="preserve"> </w:t>
      </w:r>
      <w:r w:rsidRPr="00EE7CA8">
        <w:rPr>
          <w:rFonts w:eastAsia="Times New Roman"/>
          <w:szCs w:val="24"/>
        </w:rPr>
        <w:t>the publication of checkpoint information through the Access and Benefit-sharing Clearing-House</w:t>
      </w:r>
      <w:r w:rsidR="002A35EF">
        <w:rPr>
          <w:rFonts w:eastAsia="Times New Roman"/>
          <w:szCs w:val="24"/>
        </w:rPr>
        <w:t xml:space="preserve"> </w:t>
      </w:r>
      <w:r w:rsidR="0004043D">
        <w:rPr>
          <w:rFonts w:eastAsia="Times New Roman"/>
          <w:szCs w:val="24"/>
        </w:rPr>
        <w:t>and</w:t>
      </w:r>
      <w:r w:rsidR="0019282C">
        <w:rPr>
          <w:rFonts w:eastAsia="Times New Roman"/>
          <w:szCs w:val="24"/>
        </w:rPr>
        <w:t>,</w:t>
      </w:r>
      <w:r w:rsidR="0004043D">
        <w:rPr>
          <w:rFonts w:eastAsia="Times New Roman"/>
          <w:szCs w:val="24"/>
        </w:rPr>
        <w:t xml:space="preserve"> </w:t>
      </w:r>
      <w:r w:rsidR="009B6024">
        <w:rPr>
          <w:rFonts w:eastAsia="Times New Roman"/>
          <w:szCs w:val="24"/>
        </w:rPr>
        <w:t>where appropriate and in accordance with national circumstances</w:t>
      </w:r>
      <w:r w:rsidR="0019282C">
        <w:rPr>
          <w:rFonts w:eastAsia="Times New Roman"/>
          <w:szCs w:val="24"/>
        </w:rPr>
        <w:t>,</w:t>
      </w:r>
      <w:r w:rsidR="009B6024">
        <w:rPr>
          <w:rFonts w:eastAsia="Times New Roman"/>
          <w:szCs w:val="24"/>
        </w:rPr>
        <w:t xml:space="preserve"> the effective participation </w:t>
      </w:r>
      <w:r w:rsidR="00AE084A">
        <w:rPr>
          <w:rFonts w:eastAsia="Times New Roman"/>
          <w:szCs w:val="24"/>
        </w:rPr>
        <w:t>of indigenous peoples and local communities</w:t>
      </w:r>
      <w:r w:rsidRPr="00EE7CA8">
        <w:rPr>
          <w:rFonts w:eastAsia="Times New Roman"/>
          <w:szCs w:val="24"/>
        </w:rPr>
        <w:t xml:space="preserve">, </w:t>
      </w:r>
      <w:r w:rsidR="00A61029">
        <w:rPr>
          <w:rFonts w:eastAsia="Times New Roman"/>
          <w:szCs w:val="24"/>
        </w:rPr>
        <w:t xml:space="preserve">to </w:t>
      </w:r>
      <w:r w:rsidRPr="00EE7CA8">
        <w:rPr>
          <w:rFonts w:eastAsia="Times New Roman"/>
          <w:szCs w:val="24"/>
        </w:rPr>
        <w:t xml:space="preserve">encourage the </w:t>
      </w:r>
      <w:r w:rsidRPr="00EE7CA8">
        <w:rPr>
          <w:rFonts w:eastAsia="Times New Roman"/>
          <w:iCs/>
          <w:szCs w:val="24"/>
        </w:rPr>
        <w:t>use of global and regional projects and</w:t>
      </w:r>
      <w:r w:rsidR="0058511B">
        <w:rPr>
          <w:rFonts w:eastAsia="Times New Roman"/>
          <w:iCs/>
          <w:szCs w:val="24"/>
        </w:rPr>
        <w:t xml:space="preserve"> to</w:t>
      </w:r>
      <w:r w:rsidRPr="00EE7CA8">
        <w:rPr>
          <w:rFonts w:eastAsia="Times New Roman"/>
          <w:iCs/>
          <w:szCs w:val="24"/>
        </w:rPr>
        <w:t xml:space="preserve"> make </w:t>
      </w:r>
      <w:r w:rsidRPr="00EE7CA8">
        <w:rPr>
          <w:rFonts w:eastAsia="Times New Roman"/>
          <w:szCs w:val="24"/>
        </w:rPr>
        <w:t>funds available to that end</w:t>
      </w:r>
      <w:r w:rsidRPr="00EE7CA8">
        <w:rPr>
          <w:rFonts w:eastAsia="Times New Roman"/>
          <w:iCs/>
          <w:szCs w:val="24"/>
        </w:rPr>
        <w:t>;</w:t>
      </w:r>
    </w:p>
    <w:p w14:paraId="255CB059" w14:textId="189A0996" w:rsidR="00633F8A" w:rsidRDefault="004A756D" w:rsidP="0049161D">
      <w:pPr>
        <w:pStyle w:val="CBDNormalNoNumber"/>
        <w:tabs>
          <w:tab w:val="clear" w:pos="567"/>
        </w:tabs>
        <w:spacing w:before="120"/>
        <w:ind w:firstLine="567"/>
        <w:rPr>
          <w:rFonts w:eastAsia="Times New Roman"/>
          <w:szCs w:val="24"/>
        </w:rPr>
      </w:pPr>
      <w:r w:rsidRPr="00EE7CA8">
        <w:rPr>
          <w:rFonts w:eastAsia="Times New Roman"/>
          <w:szCs w:val="24"/>
        </w:rPr>
        <w:t>(b)</w:t>
      </w:r>
      <w:r w:rsidRPr="00EE7CA8">
        <w:rPr>
          <w:rFonts w:eastAsia="Times New Roman"/>
          <w:szCs w:val="24"/>
        </w:rPr>
        <w:tab/>
        <w:t>To make funds available in a timely manner to support eligible Parties in the preparation and submission of their second national reports on the implementation of the Nagoya Protocol, without creating additional reporting requirements</w:t>
      </w:r>
      <w:r w:rsidR="00786609" w:rsidRPr="00C02497">
        <w:rPr>
          <w:rFonts w:eastAsia="Times New Roman"/>
          <w:szCs w:val="24"/>
        </w:rPr>
        <w:t>, with a</w:t>
      </w:r>
      <w:r w:rsidR="001F0B3A">
        <w:rPr>
          <w:rFonts w:eastAsia="Times New Roman"/>
          <w:szCs w:val="24"/>
        </w:rPr>
        <w:t xml:space="preserve"> </w:t>
      </w:r>
      <w:r w:rsidR="00786609" w:rsidRPr="00C02497">
        <w:rPr>
          <w:rFonts w:eastAsia="Times New Roman"/>
          <w:szCs w:val="24"/>
        </w:rPr>
        <w:t>view to securing project approval by the end of 2027, as recommended by the</w:t>
      </w:r>
      <w:r w:rsidR="001F0B3A">
        <w:rPr>
          <w:rFonts w:eastAsia="Times New Roman"/>
          <w:szCs w:val="24"/>
        </w:rPr>
        <w:t xml:space="preserve"> </w:t>
      </w:r>
      <w:r w:rsidR="00786609" w:rsidRPr="00C02497">
        <w:rPr>
          <w:rFonts w:eastAsia="Times New Roman"/>
          <w:szCs w:val="24"/>
        </w:rPr>
        <w:t>Compliance Committee</w:t>
      </w:r>
      <w:r w:rsidR="001F34E3" w:rsidRPr="001F34E3">
        <w:rPr>
          <w:rFonts w:ascii="Segoe UI" w:hAnsi="Segoe UI" w:cs="Segoe UI"/>
          <w:color w:val="00483A"/>
          <w:spacing w:val="6"/>
        </w:rPr>
        <w:t xml:space="preserve"> </w:t>
      </w:r>
      <w:r w:rsidR="001F34E3" w:rsidRPr="001F34E3">
        <w:rPr>
          <w:rFonts w:eastAsia="Times New Roman"/>
          <w:szCs w:val="24"/>
        </w:rPr>
        <w:t>under the Nagoya Protocol</w:t>
      </w:r>
      <w:r w:rsidR="00786609" w:rsidRPr="00C02497">
        <w:rPr>
          <w:rFonts w:eastAsia="Times New Roman"/>
          <w:szCs w:val="24"/>
        </w:rPr>
        <w:t>;</w:t>
      </w:r>
      <w:r w:rsidR="00786609">
        <w:rPr>
          <w:rFonts w:eastAsia="Times New Roman"/>
          <w:szCs w:val="24"/>
        </w:rPr>
        <w:t xml:space="preserve"> </w:t>
      </w:r>
    </w:p>
    <w:p w14:paraId="4239CB36" w14:textId="7A5634B0" w:rsidR="001E63A8" w:rsidRPr="00EE7CA8" w:rsidRDefault="001E63A8" w:rsidP="0049161D">
      <w:pPr>
        <w:pStyle w:val="CBDNormalNoNumber"/>
        <w:tabs>
          <w:tab w:val="clear" w:pos="567"/>
          <w:tab w:val="clear" w:pos="1134"/>
        </w:tabs>
        <w:spacing w:before="120"/>
        <w:ind w:firstLine="567"/>
        <w:rPr>
          <w:rFonts w:eastAsia="Times New Roman"/>
          <w:iCs/>
          <w:szCs w:val="24"/>
          <w:lang w:val="en-CA"/>
        </w:rPr>
      </w:pPr>
      <w:r>
        <w:rPr>
          <w:rFonts w:eastAsia="Times New Roman"/>
          <w:szCs w:val="24"/>
        </w:rPr>
        <w:t>(</w:t>
      </w:r>
      <w:r w:rsidR="00456180">
        <w:rPr>
          <w:rFonts w:eastAsia="Times New Roman"/>
          <w:szCs w:val="24"/>
        </w:rPr>
        <w:t>c</w:t>
      </w:r>
      <w:r>
        <w:rPr>
          <w:rFonts w:eastAsia="Times New Roman"/>
          <w:szCs w:val="24"/>
        </w:rPr>
        <w:t>)</w:t>
      </w:r>
      <w:r w:rsidR="00456180">
        <w:rPr>
          <w:rFonts w:eastAsia="Times New Roman"/>
          <w:iCs/>
          <w:szCs w:val="24"/>
          <w:lang w:val="en-CA"/>
        </w:rPr>
        <w:tab/>
        <w:t>T</w:t>
      </w:r>
      <w:r>
        <w:rPr>
          <w:rFonts w:eastAsia="Times New Roman"/>
          <w:iCs/>
          <w:szCs w:val="24"/>
          <w:lang w:val="en-CA"/>
        </w:rPr>
        <w:t xml:space="preserve">o ensure </w:t>
      </w:r>
      <w:r w:rsidRPr="00EE7CA8">
        <w:rPr>
          <w:rFonts w:eastAsia="Times New Roman"/>
          <w:iCs/>
          <w:szCs w:val="24"/>
          <w:lang w:val="en-CA"/>
        </w:rPr>
        <w:t xml:space="preserve">that implementing agencies involved in the project </w:t>
      </w:r>
      <w:r w:rsidR="00B831CB" w:rsidRPr="00B831CB">
        <w:rPr>
          <w:rFonts w:eastAsia="Times New Roman"/>
          <w:iCs/>
          <w:szCs w:val="24"/>
          <w:lang w:val="en-CA"/>
        </w:rPr>
        <w:t>to support the preparation and submission of the second national reports on the implementation of the Nagoya Protocol</w:t>
      </w:r>
      <w:r w:rsidR="00B831CB">
        <w:rPr>
          <w:rFonts w:eastAsia="Times New Roman"/>
          <w:iCs/>
          <w:szCs w:val="24"/>
          <w:lang w:val="en-CA"/>
        </w:rPr>
        <w:t xml:space="preserve"> </w:t>
      </w:r>
      <w:r w:rsidRPr="00EE7CA8">
        <w:rPr>
          <w:rFonts w:eastAsia="Times New Roman"/>
          <w:iCs/>
          <w:szCs w:val="24"/>
          <w:lang w:val="en-CA"/>
        </w:rPr>
        <w:t xml:space="preserve">take steps to minimize administrative, procedural and operational delays </w:t>
      </w:r>
      <w:proofErr w:type="gramStart"/>
      <w:r w:rsidRPr="00EE7CA8">
        <w:rPr>
          <w:rFonts w:eastAsia="Times New Roman"/>
          <w:iCs/>
          <w:szCs w:val="24"/>
          <w:lang w:val="en-CA"/>
        </w:rPr>
        <w:t>in order to</w:t>
      </w:r>
      <w:proofErr w:type="gramEnd"/>
      <w:r w:rsidRPr="00EE7CA8">
        <w:rPr>
          <w:rFonts w:eastAsia="Times New Roman"/>
          <w:iCs/>
          <w:szCs w:val="24"/>
          <w:lang w:val="en-CA"/>
        </w:rPr>
        <w:t xml:space="preserve"> facilitate the expeditious disbursement of funding</w:t>
      </w:r>
      <w:r w:rsidR="000368B2">
        <w:rPr>
          <w:rFonts w:eastAsia="Times New Roman"/>
          <w:iCs/>
          <w:szCs w:val="24"/>
          <w:lang w:val="en-CA"/>
        </w:rPr>
        <w:t>;</w:t>
      </w:r>
    </w:p>
    <w:p w14:paraId="26EC0BC8" w14:textId="3DB8BCD3" w:rsidR="001E63A8" w:rsidRDefault="001E63A8" w:rsidP="0049161D">
      <w:pPr>
        <w:pStyle w:val="CBDNormalNoNumber"/>
        <w:tabs>
          <w:tab w:val="clear" w:pos="567"/>
        </w:tabs>
        <w:spacing w:before="120"/>
        <w:ind w:firstLine="567"/>
        <w:rPr>
          <w:lang w:eastAsia="en-GB"/>
        </w:rPr>
      </w:pPr>
      <w:r>
        <w:rPr>
          <w:rFonts w:eastAsia="Times New Roman"/>
          <w:szCs w:val="24"/>
        </w:rPr>
        <w:t>(</w:t>
      </w:r>
      <w:r w:rsidR="00456180">
        <w:rPr>
          <w:rFonts w:eastAsia="Times New Roman"/>
          <w:szCs w:val="24"/>
        </w:rPr>
        <w:t>d</w:t>
      </w:r>
      <w:r>
        <w:rPr>
          <w:rFonts w:eastAsia="Times New Roman"/>
          <w:szCs w:val="24"/>
        </w:rPr>
        <w:t>)</w:t>
      </w:r>
      <w:r w:rsidR="00456180">
        <w:rPr>
          <w:rFonts w:eastAsia="Times New Roman"/>
          <w:szCs w:val="24"/>
        </w:rPr>
        <w:tab/>
      </w:r>
      <w:r w:rsidR="00C77ACF">
        <w:rPr>
          <w:rFonts w:eastAsia="Times New Roman"/>
          <w:szCs w:val="24"/>
        </w:rPr>
        <w:t xml:space="preserve">To </w:t>
      </w:r>
      <w:r w:rsidR="00C77ACF">
        <w:rPr>
          <w:lang w:eastAsia="en-GB"/>
        </w:rPr>
        <w:t>r</w:t>
      </w:r>
      <w:r>
        <w:rPr>
          <w:lang w:eastAsia="en-GB"/>
        </w:rPr>
        <w:t xml:space="preserve">equest the </w:t>
      </w:r>
      <w:r w:rsidR="00985B4A">
        <w:rPr>
          <w:rFonts w:eastAsia="Times New Roman"/>
          <w:iCs/>
          <w:szCs w:val="24"/>
        </w:rPr>
        <w:t xml:space="preserve">Global Environment </w:t>
      </w:r>
      <w:r w:rsidR="000368B2">
        <w:rPr>
          <w:lang w:eastAsia="en-GB"/>
        </w:rPr>
        <w:t>F</w:t>
      </w:r>
      <w:r>
        <w:rPr>
          <w:lang w:eastAsia="en-GB"/>
        </w:rPr>
        <w:t xml:space="preserve">acility </w:t>
      </w:r>
      <w:r w:rsidRPr="00583E5B">
        <w:rPr>
          <w:lang w:eastAsia="en-GB"/>
        </w:rPr>
        <w:t>to continue its efforts to facilitate access by eligible Parties to the resources necessary for the development and implementation of their national frameworks for access and benefit-sharing</w:t>
      </w:r>
      <w:r w:rsidR="00FC06C3">
        <w:rPr>
          <w:lang w:eastAsia="en-GB"/>
        </w:rPr>
        <w:t>;</w:t>
      </w:r>
    </w:p>
    <w:p w14:paraId="01ABC233" w14:textId="6CE2A3DA" w:rsidR="004523B2" w:rsidRPr="005D35DE" w:rsidRDefault="005D672E" w:rsidP="00AC4606">
      <w:pPr>
        <w:pStyle w:val="CBDNormalNoNumber"/>
        <w:spacing w:before="120"/>
        <w:ind w:firstLine="567"/>
        <w:rPr>
          <w:rFonts w:eastAsia="Times New Roman"/>
          <w:lang w:val="en-US"/>
        </w:rPr>
      </w:pPr>
      <w:r w:rsidRPr="005D672E">
        <w:rPr>
          <w:lang w:eastAsia="en-GB"/>
        </w:rPr>
        <w:t>(e)</w:t>
      </w:r>
      <w:r w:rsidRPr="005D672E">
        <w:rPr>
          <w:lang w:eastAsia="en-GB"/>
        </w:rPr>
        <w:tab/>
        <w:t xml:space="preserve">To </w:t>
      </w:r>
      <w:r w:rsidR="00AE3DDE">
        <w:rPr>
          <w:lang w:eastAsia="en-GB"/>
        </w:rPr>
        <w:t>continue to provide</w:t>
      </w:r>
      <w:r w:rsidRPr="005D672E">
        <w:rPr>
          <w:lang w:eastAsia="en-GB"/>
        </w:rPr>
        <w:t xml:space="preserve">, within its biodiversity focal area, </w:t>
      </w:r>
      <w:r w:rsidR="00AE3DDE">
        <w:rPr>
          <w:lang w:eastAsia="en-GB"/>
        </w:rPr>
        <w:t>funding</w:t>
      </w:r>
      <w:r w:rsidR="00E04464">
        <w:rPr>
          <w:lang w:eastAsia="en-GB"/>
        </w:rPr>
        <w:t xml:space="preserve"> </w:t>
      </w:r>
      <w:r w:rsidRPr="005D672E">
        <w:rPr>
          <w:lang w:eastAsia="en-GB"/>
        </w:rPr>
        <w:t>for the implementation of the Nagoya Protocol, with adequate</w:t>
      </w:r>
      <w:r w:rsidR="00E04464">
        <w:rPr>
          <w:lang w:eastAsia="en-GB"/>
        </w:rPr>
        <w:t>, accessible</w:t>
      </w:r>
      <w:r w:rsidRPr="005D672E">
        <w:rPr>
          <w:lang w:eastAsia="en-GB"/>
        </w:rPr>
        <w:t xml:space="preserve"> and predictable resources, </w:t>
      </w:r>
      <w:proofErr w:type="gramStart"/>
      <w:r w:rsidRPr="005D672E">
        <w:rPr>
          <w:lang w:eastAsia="en-GB"/>
        </w:rPr>
        <w:t>taking into account</w:t>
      </w:r>
      <w:proofErr w:type="gramEnd"/>
      <w:r w:rsidRPr="005D672E">
        <w:rPr>
          <w:lang w:eastAsia="en-GB"/>
        </w:rPr>
        <w:t xml:space="preserve"> the national priorities and needs of eligible Parties</w:t>
      </w:r>
      <w:r w:rsidR="00E04464">
        <w:rPr>
          <w:lang w:eastAsia="en-GB"/>
        </w:rPr>
        <w:t xml:space="preserve">, </w:t>
      </w:r>
      <w:r w:rsidR="00E04464">
        <w:rPr>
          <w:rFonts w:eastAsia="Times New Roman"/>
          <w:szCs w:val="24"/>
        </w:rPr>
        <w:t>in particular the special needs and conditions of least developed countries and small island developing States</w:t>
      </w:r>
      <w:r w:rsidRPr="005D672E">
        <w:rPr>
          <w:lang w:eastAsia="en-GB"/>
        </w:rPr>
        <w:t xml:space="preserve">; </w:t>
      </w:r>
    </w:p>
    <w:p w14:paraId="2BFA1CA8" w14:textId="1D4F0449" w:rsidR="004B40E4" w:rsidRPr="004B40E4" w:rsidRDefault="00A2716C" w:rsidP="004B40E4">
      <w:pPr>
        <w:pStyle w:val="CBDNormalNoNumber"/>
        <w:tabs>
          <w:tab w:val="clear" w:pos="567"/>
          <w:tab w:val="clear" w:pos="1134"/>
        </w:tabs>
        <w:ind w:firstLine="567"/>
        <w:rPr>
          <w:rFonts w:eastAsia="Times New Roman"/>
          <w:iCs/>
          <w:szCs w:val="24"/>
        </w:rPr>
      </w:pPr>
      <w:r>
        <w:rPr>
          <w:rFonts w:eastAsia="Times New Roman"/>
        </w:rPr>
        <w:t>9</w:t>
      </w:r>
      <w:r w:rsidR="00B12B51">
        <w:rPr>
          <w:rFonts w:eastAsia="Times New Roman"/>
        </w:rPr>
        <w:t>.</w:t>
      </w:r>
      <w:r>
        <w:rPr>
          <w:rFonts w:eastAsia="Times New Roman"/>
        </w:rPr>
        <w:tab/>
      </w:r>
      <w:r w:rsidR="004B40E4" w:rsidRPr="00CE3E51">
        <w:rPr>
          <w:rFonts w:eastAsia="Times New Roman"/>
          <w:i/>
          <w:szCs w:val="24"/>
        </w:rPr>
        <w:t>Encourages</w:t>
      </w:r>
      <w:r w:rsidR="004B40E4">
        <w:rPr>
          <w:rFonts w:eastAsia="Times New Roman"/>
          <w:iCs/>
          <w:szCs w:val="24"/>
        </w:rPr>
        <w:t xml:space="preserve"> the Global Environment Facility, its implementing agencies and relevant partners, within their respective mandates, to continue efforts to enhance the accessibility, efficiency and timeline</w:t>
      </w:r>
      <w:r w:rsidR="00C7694D">
        <w:rPr>
          <w:rFonts w:eastAsia="Times New Roman"/>
          <w:iCs/>
          <w:szCs w:val="24"/>
        </w:rPr>
        <w:t>s</w:t>
      </w:r>
      <w:r w:rsidR="004B40E4">
        <w:rPr>
          <w:rFonts w:eastAsia="Times New Roman"/>
          <w:iCs/>
          <w:szCs w:val="24"/>
        </w:rPr>
        <w:t xml:space="preserve">s of financial support for the implementation of the Nagoya Protocol, including, as appropriate, by streamlining administrative and operational procedures, facilitating project </w:t>
      </w:r>
      <w:r w:rsidR="004B40E4">
        <w:rPr>
          <w:rFonts w:eastAsia="Times New Roman"/>
          <w:iCs/>
          <w:szCs w:val="24"/>
        </w:rPr>
        <w:lastRenderedPageBreak/>
        <w:t>development and approval processes and minimizing avoidable delays in the disbursement of resources</w:t>
      </w:r>
      <w:r w:rsidR="006A0820">
        <w:rPr>
          <w:rFonts w:eastAsia="Times New Roman"/>
          <w:iCs/>
          <w:szCs w:val="24"/>
        </w:rPr>
        <w:t>;</w:t>
      </w:r>
    </w:p>
    <w:p w14:paraId="6BD17E28" w14:textId="7191E646" w:rsidR="0044344A" w:rsidRDefault="00A2716C" w:rsidP="005A3154">
      <w:pPr>
        <w:pStyle w:val="CBDNormalNoNumber"/>
        <w:tabs>
          <w:tab w:val="clear" w:pos="567"/>
          <w:tab w:val="clear" w:pos="1134"/>
        </w:tabs>
        <w:spacing w:after="100"/>
        <w:ind w:firstLine="567"/>
        <w:rPr>
          <w:rFonts w:eastAsia="Times New Roman"/>
        </w:rPr>
      </w:pPr>
      <w:r>
        <w:rPr>
          <w:rFonts w:eastAsia="Times New Roman"/>
        </w:rPr>
        <w:t>10</w:t>
      </w:r>
      <w:r w:rsidR="004B40E4">
        <w:rPr>
          <w:rFonts w:eastAsia="Times New Roman"/>
        </w:rPr>
        <w:t>.</w:t>
      </w:r>
      <w:r>
        <w:rPr>
          <w:rFonts w:eastAsia="Times New Roman"/>
        </w:rPr>
        <w:tab/>
      </w:r>
      <w:r w:rsidR="0044344A" w:rsidRPr="00B15CEA">
        <w:rPr>
          <w:rFonts w:eastAsia="Times New Roman"/>
          <w:i/>
          <w:iCs/>
        </w:rPr>
        <w:t>Invites</w:t>
      </w:r>
      <w:r w:rsidR="0044344A" w:rsidRPr="00A0744E">
        <w:rPr>
          <w:rFonts w:eastAsia="Times New Roman"/>
        </w:rPr>
        <w:t xml:space="preserve"> Parties to the Nagoya Protocol to provide information</w:t>
      </w:r>
      <w:r w:rsidR="0044344A">
        <w:rPr>
          <w:rFonts w:eastAsia="Times New Roman"/>
        </w:rPr>
        <w:t xml:space="preserve">, as </w:t>
      </w:r>
      <w:r w:rsidR="0028027B">
        <w:rPr>
          <w:rFonts w:eastAsia="Times New Roman"/>
        </w:rPr>
        <w:t>appropriate</w:t>
      </w:r>
      <w:r w:rsidR="004C44E0">
        <w:rPr>
          <w:rFonts w:eastAsia="Times New Roman"/>
        </w:rPr>
        <w:t>,</w:t>
      </w:r>
      <w:r w:rsidR="0044344A" w:rsidRPr="00A0744E">
        <w:rPr>
          <w:rFonts w:eastAsia="Times New Roman"/>
        </w:rPr>
        <w:t xml:space="preserve"> on their </w:t>
      </w:r>
      <w:r w:rsidR="00427954">
        <w:rPr>
          <w:rFonts w:eastAsia="Times New Roman"/>
        </w:rPr>
        <w:t>needs and pr</w:t>
      </w:r>
      <w:r w:rsidR="0082179C">
        <w:rPr>
          <w:rFonts w:eastAsia="Times New Roman"/>
        </w:rPr>
        <w:t>iorities</w:t>
      </w:r>
      <w:r w:rsidR="00526E36">
        <w:rPr>
          <w:rFonts w:eastAsia="Times New Roman"/>
        </w:rPr>
        <w:t xml:space="preserve"> for </w:t>
      </w:r>
      <w:r w:rsidR="0044344A" w:rsidRPr="00A0744E">
        <w:rPr>
          <w:rFonts w:eastAsia="Times New Roman"/>
        </w:rPr>
        <w:t xml:space="preserve">the implementation of the Protocol, including </w:t>
      </w:r>
      <w:r w:rsidR="00526E36">
        <w:rPr>
          <w:rFonts w:eastAsia="Times New Roman"/>
        </w:rPr>
        <w:t xml:space="preserve">needs related </w:t>
      </w:r>
      <w:r w:rsidR="00FE4B0B">
        <w:rPr>
          <w:rFonts w:eastAsia="Times New Roman"/>
        </w:rPr>
        <w:t>to</w:t>
      </w:r>
      <w:r w:rsidR="0044344A" w:rsidRPr="00A0744E">
        <w:rPr>
          <w:rFonts w:eastAsia="Times New Roman"/>
        </w:rPr>
        <w:t xml:space="preserve"> institutional development,</w:t>
      </w:r>
      <w:r w:rsidR="00C84D66">
        <w:rPr>
          <w:rFonts w:eastAsia="Times New Roman"/>
        </w:rPr>
        <w:t xml:space="preserve"> </w:t>
      </w:r>
      <w:r w:rsidR="0044344A" w:rsidRPr="00A0744E">
        <w:rPr>
          <w:rFonts w:eastAsia="Times New Roman"/>
        </w:rPr>
        <w:t>access and benefit-sharing measures, compliance and monitoring systems, benefit-sharing arrangements, information management systems, capacity-building and</w:t>
      </w:r>
      <w:r w:rsidR="00961571">
        <w:rPr>
          <w:rFonts w:eastAsia="Times New Roman"/>
        </w:rPr>
        <w:t xml:space="preserve"> </w:t>
      </w:r>
      <w:r w:rsidR="0044344A" w:rsidRPr="00A0744E">
        <w:rPr>
          <w:rFonts w:eastAsia="Times New Roman"/>
        </w:rPr>
        <w:t xml:space="preserve">support for indigenous peoples and local communities, as input </w:t>
      </w:r>
      <w:r w:rsidR="00E04775">
        <w:rPr>
          <w:rFonts w:eastAsia="Times New Roman"/>
        </w:rPr>
        <w:t>in</w:t>
      </w:r>
      <w:r w:rsidR="0044344A" w:rsidRPr="00A0744E">
        <w:rPr>
          <w:rFonts w:eastAsia="Times New Roman"/>
        </w:rPr>
        <w:t>to the assessment of</w:t>
      </w:r>
      <w:r w:rsidR="00961571">
        <w:rPr>
          <w:rFonts w:eastAsia="Times New Roman"/>
        </w:rPr>
        <w:t xml:space="preserve"> </w:t>
      </w:r>
      <w:r w:rsidR="0044344A" w:rsidRPr="00A0744E">
        <w:rPr>
          <w:rFonts w:eastAsia="Times New Roman"/>
        </w:rPr>
        <w:t xml:space="preserve">funding needs </w:t>
      </w:r>
      <w:r w:rsidR="001D2E79">
        <w:rPr>
          <w:rFonts w:eastAsia="Times New Roman"/>
        </w:rPr>
        <w:t>and the development of pro</w:t>
      </w:r>
      <w:r w:rsidR="007024BF">
        <w:rPr>
          <w:rFonts w:eastAsia="Times New Roman"/>
        </w:rPr>
        <w:t xml:space="preserve">gramme priorities </w:t>
      </w:r>
      <w:r w:rsidR="0044344A" w:rsidRPr="00A0744E">
        <w:rPr>
          <w:rFonts w:eastAsia="Times New Roman"/>
        </w:rPr>
        <w:t>for the tenth replenishment period of the Global Environment Facility</w:t>
      </w:r>
      <w:r w:rsidR="00961571">
        <w:rPr>
          <w:rFonts w:eastAsia="Times New Roman"/>
        </w:rPr>
        <w:t xml:space="preserve"> </w:t>
      </w:r>
      <w:r w:rsidR="0044344A" w:rsidRPr="00A0744E">
        <w:rPr>
          <w:rFonts w:eastAsia="Times New Roman"/>
        </w:rPr>
        <w:t>Trust Fund</w:t>
      </w:r>
      <w:r w:rsidR="0044344A">
        <w:rPr>
          <w:rFonts w:eastAsia="Times New Roman"/>
        </w:rPr>
        <w:t xml:space="preserve">; </w:t>
      </w:r>
    </w:p>
    <w:p w14:paraId="51AEC2AF" w14:textId="5877DA13" w:rsidR="005D35DE" w:rsidRPr="005D35DE" w:rsidRDefault="008C7B54" w:rsidP="005D35DE">
      <w:pPr>
        <w:pStyle w:val="CBDNormalNoNumber"/>
        <w:ind w:firstLine="567"/>
        <w:rPr>
          <w:rFonts w:eastAsia="Times New Roman"/>
          <w:szCs w:val="24"/>
          <w:lang w:val="en-US"/>
        </w:rPr>
      </w:pPr>
      <w:r>
        <w:rPr>
          <w:rFonts w:eastAsia="Times New Roman"/>
          <w:szCs w:val="24"/>
          <w:lang w:val="en-US"/>
        </w:rPr>
        <w:t>11</w:t>
      </w:r>
      <w:r w:rsidR="00E62818">
        <w:rPr>
          <w:rFonts w:eastAsia="Times New Roman"/>
          <w:szCs w:val="24"/>
          <w:lang w:val="en-US"/>
        </w:rPr>
        <w:t>.</w:t>
      </w:r>
      <w:r w:rsidR="003A12FC">
        <w:rPr>
          <w:rFonts w:eastAsia="Times New Roman"/>
          <w:szCs w:val="24"/>
          <w:lang w:val="en-US"/>
        </w:rPr>
        <w:tab/>
      </w:r>
      <w:r w:rsidR="005D35DE" w:rsidRPr="00B15CEA">
        <w:rPr>
          <w:rFonts w:eastAsia="Times New Roman"/>
          <w:i/>
          <w:iCs/>
          <w:szCs w:val="24"/>
          <w:lang w:val="en-US"/>
        </w:rPr>
        <w:t>Encourages</w:t>
      </w:r>
      <w:r w:rsidR="005D35DE" w:rsidRPr="005D35DE">
        <w:rPr>
          <w:rFonts w:eastAsia="Times New Roman"/>
          <w:szCs w:val="24"/>
          <w:lang w:val="en-US"/>
        </w:rPr>
        <w:t xml:space="preserve"> eligible Parties to use the resources allocated to the implementation of the Nagoya Protocol by the Global Environment Facility through its System for Transparent Allocation of Resources and to integrate </w:t>
      </w:r>
      <w:r w:rsidR="00A61C7D">
        <w:rPr>
          <w:rFonts w:eastAsia="Times New Roman"/>
          <w:szCs w:val="24"/>
          <w:lang w:val="en-US"/>
        </w:rPr>
        <w:t>a</w:t>
      </w:r>
      <w:r w:rsidR="005D35DE" w:rsidRPr="005D35DE">
        <w:rPr>
          <w:rFonts w:eastAsia="Times New Roman"/>
          <w:szCs w:val="24"/>
          <w:lang w:val="en-US"/>
        </w:rPr>
        <w:t xml:space="preserve">ccess and </w:t>
      </w:r>
      <w:r w:rsidR="00A61C7D">
        <w:rPr>
          <w:rFonts w:eastAsia="Times New Roman"/>
          <w:szCs w:val="24"/>
          <w:lang w:val="en-US"/>
        </w:rPr>
        <w:t>b</w:t>
      </w:r>
      <w:r w:rsidR="005D35DE" w:rsidRPr="005D35DE">
        <w:rPr>
          <w:rFonts w:eastAsia="Times New Roman"/>
          <w:szCs w:val="24"/>
          <w:lang w:val="en-US"/>
        </w:rPr>
        <w:t>enefit</w:t>
      </w:r>
      <w:r w:rsidR="00A61C7D">
        <w:rPr>
          <w:rFonts w:eastAsia="Times New Roman"/>
          <w:szCs w:val="24"/>
          <w:lang w:val="en-US"/>
        </w:rPr>
        <w:t>-s</w:t>
      </w:r>
      <w:r w:rsidR="005D35DE" w:rsidRPr="005D35DE">
        <w:rPr>
          <w:rFonts w:eastAsia="Times New Roman"/>
          <w:szCs w:val="24"/>
          <w:lang w:val="en-US"/>
        </w:rPr>
        <w:t>haring into their biodiversity projects, in accordance with nationally identified needs and priorities;</w:t>
      </w:r>
    </w:p>
    <w:p w14:paraId="659FBDE6" w14:textId="4FC048FE" w:rsidR="004A756D" w:rsidRPr="00EE7CA8" w:rsidRDefault="008C7B54" w:rsidP="004A756D">
      <w:pPr>
        <w:pStyle w:val="CBDNormalNoNumber"/>
        <w:tabs>
          <w:tab w:val="clear" w:pos="567"/>
          <w:tab w:val="clear" w:pos="1134"/>
        </w:tabs>
        <w:ind w:firstLine="567"/>
        <w:rPr>
          <w:rFonts w:eastAsia="Times New Roman"/>
          <w:iCs/>
          <w:szCs w:val="24"/>
          <w:lang w:val="en-CA"/>
        </w:rPr>
      </w:pPr>
      <w:r>
        <w:rPr>
          <w:rFonts w:eastAsia="Times New Roman"/>
          <w:iCs/>
          <w:szCs w:val="24"/>
          <w:lang w:val="en-CA"/>
        </w:rPr>
        <w:t>12</w:t>
      </w:r>
      <w:r w:rsidR="004A756D" w:rsidRPr="00EE7CA8">
        <w:rPr>
          <w:rFonts w:eastAsia="Times New Roman"/>
          <w:iCs/>
          <w:szCs w:val="24"/>
          <w:lang w:val="en-CA"/>
        </w:rPr>
        <w:t>.</w:t>
      </w:r>
      <w:r w:rsidR="004A756D" w:rsidRPr="00EE7CA8">
        <w:rPr>
          <w:rFonts w:eastAsia="Times New Roman"/>
          <w:iCs/>
          <w:szCs w:val="24"/>
          <w:lang w:val="en-CA"/>
        </w:rPr>
        <w:tab/>
      </w:r>
      <w:r w:rsidR="004A756D" w:rsidRPr="00EE7CA8">
        <w:rPr>
          <w:rFonts w:eastAsia="Times New Roman"/>
          <w:i/>
          <w:szCs w:val="24"/>
          <w:lang w:val="en-CA"/>
        </w:rPr>
        <w:t>Underlines</w:t>
      </w:r>
      <w:r w:rsidR="004A756D" w:rsidRPr="00EE7CA8">
        <w:rPr>
          <w:rFonts w:eastAsia="Times New Roman"/>
          <w:iCs/>
          <w:szCs w:val="24"/>
          <w:lang w:val="en-CA"/>
        </w:rPr>
        <w:t xml:space="preserve"> that it is important for eligible Parties to submit their letters of endorsement for the Global Environment Facility project to support the preparation of the second national reports in a timely manner</w:t>
      </w:r>
      <w:r w:rsidR="009A4ECD">
        <w:rPr>
          <w:rFonts w:eastAsia="Times New Roman"/>
          <w:iCs/>
          <w:szCs w:val="24"/>
          <w:lang w:val="en-CA"/>
        </w:rPr>
        <w:t>;</w:t>
      </w:r>
    </w:p>
    <w:p w14:paraId="3C451658" w14:textId="5DEE93D3" w:rsidR="004A756D" w:rsidRPr="00EE7CA8" w:rsidRDefault="008C7B54" w:rsidP="004A756D">
      <w:pPr>
        <w:pStyle w:val="CBDsubpara-item"/>
        <w:ind w:left="567" w:firstLine="564"/>
        <w:jc w:val="both"/>
        <w:rPr>
          <w:lang w:val="en-ZA" w:eastAsia="en-GB"/>
        </w:rPr>
      </w:pPr>
      <w:r>
        <w:rPr>
          <w:lang w:val="en-ZA" w:eastAsia="en-GB"/>
        </w:rPr>
        <w:t>13</w:t>
      </w:r>
      <w:r w:rsidR="004A756D" w:rsidRPr="00EE7CA8">
        <w:rPr>
          <w:lang w:val="en-ZA" w:eastAsia="en-GB"/>
        </w:rPr>
        <w:t>.</w:t>
      </w:r>
      <w:r w:rsidR="004A756D" w:rsidRPr="00EE7CA8">
        <w:rPr>
          <w:lang w:val="en-ZA" w:eastAsia="en-GB"/>
        </w:rPr>
        <w:tab/>
      </w:r>
      <w:r w:rsidR="004A756D" w:rsidRPr="00EE7CA8">
        <w:rPr>
          <w:i/>
          <w:iCs/>
          <w:lang w:val="en-ZA" w:eastAsia="en-GB"/>
        </w:rPr>
        <w:t>Recognizes</w:t>
      </w:r>
      <w:r w:rsidR="004A756D" w:rsidRPr="00EE7CA8">
        <w:rPr>
          <w:lang w:val="en-ZA" w:eastAsia="en-GB"/>
        </w:rPr>
        <w:t xml:space="preserve"> the importance of ensuring the timely availability of financial resources for the preparation of national reports </w:t>
      </w:r>
      <w:r w:rsidR="00F7266D" w:rsidRPr="00F7266D">
        <w:rPr>
          <w:lang w:eastAsia="en-GB"/>
        </w:rPr>
        <w:t>and the effective implementation o</w:t>
      </w:r>
      <w:r w:rsidR="00F7266D">
        <w:rPr>
          <w:lang w:eastAsia="en-GB"/>
        </w:rPr>
        <w:t xml:space="preserve">f </w:t>
      </w:r>
      <w:r w:rsidR="004A756D" w:rsidRPr="00EE7CA8">
        <w:rPr>
          <w:lang w:val="en-ZA" w:eastAsia="en-GB"/>
        </w:rPr>
        <w:t>the Nagoya Protocol;</w:t>
      </w:r>
    </w:p>
    <w:p w14:paraId="4176F620" w14:textId="26EF33EB" w:rsidR="004A756D" w:rsidRPr="00EE7CA8" w:rsidRDefault="008C7B54" w:rsidP="004A756D">
      <w:pPr>
        <w:pStyle w:val="CBDsubpara-item"/>
        <w:ind w:left="567" w:firstLine="564"/>
        <w:jc w:val="both"/>
        <w:rPr>
          <w:lang w:val="en-ZA" w:eastAsia="en-GB"/>
        </w:rPr>
      </w:pPr>
      <w:r>
        <w:rPr>
          <w:lang w:val="en-ZA" w:eastAsia="en-GB"/>
        </w:rPr>
        <w:t>14</w:t>
      </w:r>
      <w:r w:rsidR="004A756D" w:rsidRPr="00EE7CA8">
        <w:rPr>
          <w:lang w:val="en-ZA" w:eastAsia="en-GB"/>
        </w:rPr>
        <w:t>.</w:t>
      </w:r>
      <w:r w:rsidR="004A756D" w:rsidRPr="00EE7CA8">
        <w:rPr>
          <w:lang w:val="en-ZA" w:eastAsia="en-GB"/>
        </w:rPr>
        <w:tab/>
      </w:r>
      <w:r w:rsidR="004A756D" w:rsidRPr="00EE7CA8">
        <w:rPr>
          <w:i/>
          <w:iCs/>
          <w:lang w:val="en-ZA" w:eastAsia="en-GB"/>
        </w:rPr>
        <w:t>Encourages</w:t>
      </w:r>
      <w:r w:rsidR="004A756D" w:rsidRPr="00EE7CA8">
        <w:rPr>
          <w:lang w:val="en-ZA" w:eastAsia="en-GB"/>
        </w:rPr>
        <w:t xml:space="preserve"> efforts to facilitate early project development and implementation arrangements to support the preparation and submission of </w:t>
      </w:r>
      <w:r w:rsidR="00763D7F">
        <w:rPr>
          <w:lang w:val="en-ZA" w:eastAsia="en-GB"/>
        </w:rPr>
        <w:t xml:space="preserve">the </w:t>
      </w:r>
      <w:r w:rsidR="004A756D" w:rsidRPr="00EE7CA8">
        <w:rPr>
          <w:lang w:val="en-ZA" w:eastAsia="en-GB"/>
        </w:rPr>
        <w:t>second national reports under the Nagoya Protocol;</w:t>
      </w:r>
    </w:p>
    <w:p w14:paraId="0BCD0065" w14:textId="518AAF33" w:rsidR="004A756D" w:rsidRPr="00EE7CA8" w:rsidRDefault="008C7B54" w:rsidP="004A756D">
      <w:pPr>
        <w:pStyle w:val="CBDNormalNoNumber"/>
        <w:keepNext/>
        <w:tabs>
          <w:tab w:val="clear" w:pos="567"/>
          <w:tab w:val="clear" w:pos="1134"/>
        </w:tabs>
        <w:ind w:firstLine="567"/>
        <w:rPr>
          <w:rFonts w:eastAsia="Times New Roman"/>
          <w:iCs/>
          <w:szCs w:val="24"/>
        </w:rPr>
      </w:pPr>
      <w:r>
        <w:rPr>
          <w:rFonts w:eastAsia="Times New Roman"/>
          <w:szCs w:val="24"/>
        </w:rPr>
        <w:t>15</w:t>
      </w:r>
      <w:r w:rsidR="004A756D" w:rsidRPr="00EE7CA8">
        <w:rPr>
          <w:rFonts w:eastAsia="Times New Roman"/>
          <w:szCs w:val="24"/>
        </w:rPr>
        <w:t>.</w:t>
      </w:r>
      <w:r w:rsidR="004A756D" w:rsidRPr="00EE7CA8">
        <w:rPr>
          <w:rFonts w:eastAsia="Times New Roman"/>
          <w:szCs w:val="24"/>
        </w:rPr>
        <w:tab/>
      </w:r>
      <w:r w:rsidR="004A756D" w:rsidRPr="00EE7CA8">
        <w:rPr>
          <w:rFonts w:eastAsia="Times New Roman"/>
          <w:i/>
          <w:szCs w:val="24"/>
        </w:rPr>
        <w:t xml:space="preserve">Requests </w:t>
      </w:r>
      <w:r w:rsidR="004A756D" w:rsidRPr="00EE7CA8">
        <w:rPr>
          <w:rFonts w:eastAsia="Times New Roman"/>
          <w:iCs/>
          <w:szCs w:val="24"/>
        </w:rPr>
        <w:t xml:space="preserve">the Executive </w:t>
      </w:r>
      <w:r w:rsidR="004A756D" w:rsidRPr="00EE7CA8">
        <w:t>Secretary</w:t>
      </w:r>
      <w:r w:rsidR="004A756D" w:rsidRPr="00EE7CA8">
        <w:rPr>
          <w:rFonts w:eastAsia="Times New Roman"/>
          <w:iCs/>
          <w:szCs w:val="24"/>
        </w:rPr>
        <w:t>:</w:t>
      </w:r>
    </w:p>
    <w:p w14:paraId="5294E334" w14:textId="77777777" w:rsidR="004A756D" w:rsidRPr="00EE7CA8" w:rsidRDefault="004A756D" w:rsidP="004A756D">
      <w:pPr>
        <w:pStyle w:val="CBDNormalNoNumber"/>
        <w:tabs>
          <w:tab w:val="clear" w:pos="567"/>
          <w:tab w:val="clear" w:pos="1134"/>
        </w:tabs>
        <w:ind w:firstLine="567"/>
        <w:rPr>
          <w:rFonts w:eastAsia="Arial Unicode MS"/>
          <w:bCs/>
          <w:color w:val="000000"/>
          <w:kern w:val="22"/>
          <w:u w:color="000000"/>
          <w:bdr w:val="nil"/>
        </w:rPr>
      </w:pPr>
      <w:r w:rsidRPr="00EE7CA8">
        <w:rPr>
          <w:rFonts w:eastAsia="Arial Unicode MS"/>
          <w:bCs/>
          <w:color w:val="000000"/>
          <w:kern w:val="22"/>
          <w:u w:color="000000"/>
          <w:bdr w:val="nil"/>
        </w:rPr>
        <w:t>(a)</w:t>
      </w:r>
      <w:r w:rsidRPr="00EE7CA8">
        <w:rPr>
          <w:rFonts w:eastAsia="Arial Unicode MS"/>
          <w:bCs/>
          <w:color w:val="000000"/>
          <w:kern w:val="22"/>
          <w:u w:color="000000"/>
          <w:bdr w:val="nil"/>
        </w:rPr>
        <w:tab/>
        <w:t xml:space="preserve">To disseminate information on existing financial resources and funding opportunities to Parties and indigenous </w:t>
      </w:r>
      <w:r w:rsidRPr="00EE7CA8">
        <w:t>peoples</w:t>
      </w:r>
      <w:r w:rsidRPr="00EE7CA8">
        <w:rPr>
          <w:rFonts w:eastAsia="Arial Unicode MS"/>
          <w:bCs/>
          <w:color w:val="000000"/>
          <w:kern w:val="22"/>
          <w:u w:color="000000"/>
          <w:bdr w:val="nil"/>
        </w:rPr>
        <w:t xml:space="preserve"> and local communities, women and youth for the implementation of the </w:t>
      </w:r>
      <w:r w:rsidRPr="00EE7CA8">
        <w:rPr>
          <w:rFonts w:eastAsia="Times New Roman"/>
          <w:iCs/>
          <w:szCs w:val="24"/>
        </w:rPr>
        <w:t xml:space="preserve">Nagoya </w:t>
      </w:r>
      <w:r w:rsidRPr="00EE7CA8">
        <w:rPr>
          <w:rFonts w:eastAsia="Arial Unicode MS"/>
          <w:bCs/>
          <w:color w:val="000000"/>
          <w:kern w:val="22"/>
          <w:u w:color="000000"/>
          <w:bdr w:val="nil"/>
        </w:rPr>
        <w:t>Protocol;</w:t>
      </w:r>
    </w:p>
    <w:p w14:paraId="34DD2ACB" w14:textId="77777777" w:rsidR="004A756D" w:rsidRPr="00EE7CA8" w:rsidRDefault="004A756D" w:rsidP="005A3154">
      <w:pPr>
        <w:pStyle w:val="CBDNormalNoNumber"/>
        <w:tabs>
          <w:tab w:val="clear" w:pos="567"/>
          <w:tab w:val="clear" w:pos="1134"/>
        </w:tabs>
        <w:spacing w:after="100"/>
        <w:ind w:firstLine="567"/>
        <w:rPr>
          <w:rFonts w:eastAsia="Times New Roman"/>
          <w:iCs/>
          <w:szCs w:val="24"/>
        </w:rPr>
      </w:pPr>
      <w:r w:rsidRPr="00EE7CA8">
        <w:rPr>
          <w:rFonts w:eastAsia="Arial Unicode MS"/>
          <w:bCs/>
          <w:color w:val="000000"/>
          <w:kern w:val="22"/>
          <w:u w:color="000000"/>
          <w:bdr w:val="nil"/>
        </w:rPr>
        <w:t>(b)</w:t>
      </w:r>
      <w:r w:rsidRPr="00EE7CA8">
        <w:rPr>
          <w:rFonts w:eastAsia="Arial Unicode MS"/>
          <w:bCs/>
          <w:color w:val="000000"/>
          <w:kern w:val="22"/>
          <w:u w:color="000000"/>
          <w:bdr w:val="nil"/>
        </w:rPr>
        <w:tab/>
        <w:t xml:space="preserve">To take </w:t>
      </w:r>
      <w:r w:rsidRPr="00EE7CA8">
        <w:rPr>
          <w:rFonts w:eastAsia="Times New Roman"/>
          <w:iCs/>
          <w:szCs w:val="24"/>
        </w:rPr>
        <w:t xml:space="preserve">into account the </w:t>
      </w:r>
      <w:r w:rsidRPr="00EE7CA8">
        <w:t>outcomes</w:t>
      </w:r>
      <w:r w:rsidRPr="00EE7CA8">
        <w:rPr>
          <w:rFonts w:eastAsia="Times New Roman"/>
          <w:iCs/>
          <w:szCs w:val="24"/>
        </w:rPr>
        <w:t xml:space="preserve"> of the second assessment and review, including the needs of </w:t>
      </w:r>
      <w:r w:rsidRPr="00EE7CA8">
        <w:rPr>
          <w:rFonts w:eastAsia="Times New Roman"/>
          <w:szCs w:val="24"/>
        </w:rPr>
        <w:t>developing country Parties, in particular the least developed countries and the small island developing States among them, and Parties with economies in transition,</w:t>
      </w:r>
      <w:r w:rsidRPr="00EE7CA8">
        <w:rPr>
          <w:rFonts w:eastAsia="Times New Roman"/>
          <w:iCs/>
          <w:szCs w:val="24"/>
        </w:rPr>
        <w:t xml:space="preserve"> when preparing the documentation related to the four-year outcome-oriented framework of programme priorities for the tenth replenishment period of the Global Environment Facility Trust Fund that will be submitted for consideration by the Conference of the Parties serving as the meeting of the Parties to the Nagoya Protocol at its seventh meeting;</w:t>
      </w:r>
    </w:p>
    <w:p w14:paraId="1D04F499" w14:textId="1309A044" w:rsidR="00A45799" w:rsidRDefault="008C7B54" w:rsidP="0049161D">
      <w:pPr>
        <w:pStyle w:val="CBDNormalNoNumber"/>
        <w:spacing w:before="120"/>
        <w:ind w:firstLine="561"/>
        <w:rPr>
          <w:lang w:val="en-ZA" w:eastAsia="en-GB"/>
        </w:rPr>
      </w:pPr>
      <w:r>
        <w:rPr>
          <w:lang w:val="en-ZA" w:eastAsia="en-GB"/>
        </w:rPr>
        <w:t>16</w:t>
      </w:r>
      <w:r w:rsidR="004A756D" w:rsidRPr="00EE7CA8">
        <w:rPr>
          <w:lang w:val="en-ZA" w:eastAsia="en-GB"/>
        </w:rPr>
        <w:t>.</w:t>
      </w:r>
      <w:r w:rsidR="004A756D" w:rsidRPr="00EE7CA8">
        <w:rPr>
          <w:lang w:val="en-ZA" w:eastAsia="en-GB"/>
        </w:rPr>
        <w:tab/>
      </w:r>
      <w:r w:rsidR="004A756D" w:rsidRPr="00EE7CA8">
        <w:rPr>
          <w:i/>
          <w:iCs/>
          <w:lang w:val="en-ZA" w:eastAsia="en-GB"/>
        </w:rPr>
        <w:t xml:space="preserve">Recommends </w:t>
      </w:r>
      <w:r w:rsidR="004A756D" w:rsidRPr="00EE7CA8">
        <w:rPr>
          <w:lang w:val="en-ZA" w:eastAsia="en-GB"/>
        </w:rPr>
        <w:t xml:space="preserve">that the </w:t>
      </w:r>
      <w:r w:rsidR="004A756D" w:rsidRPr="00CE3E51">
        <w:rPr>
          <w:rFonts w:eastAsia="Times New Roman"/>
          <w:iCs/>
          <w:szCs w:val="24"/>
        </w:rPr>
        <w:t>Conference</w:t>
      </w:r>
      <w:r w:rsidR="004A756D" w:rsidRPr="00EE7CA8">
        <w:rPr>
          <w:lang w:val="en-ZA" w:eastAsia="en-GB"/>
        </w:rPr>
        <w:t xml:space="preserve"> of the Parties to the Convention give full consideration to the Nagoya Protocol in the terms of reference to be adopted for the seventh quadrennial review of the effectiveness of the financial mechanism under the Convention</w:t>
      </w:r>
      <w:r w:rsidR="003B1836" w:rsidRPr="00633799">
        <w:t>,</w:t>
      </w:r>
      <w:r w:rsidR="00CC6DF8" w:rsidRPr="00CC6DF8">
        <w:rPr>
          <w:lang w:val="en-ZA" w:eastAsia="en-GB"/>
        </w:rPr>
        <w:t xml:space="preserve"> </w:t>
      </w:r>
      <w:r w:rsidR="00CC6DF8" w:rsidRPr="00A45799">
        <w:rPr>
          <w:lang w:val="en-ZA" w:eastAsia="en-GB"/>
        </w:rPr>
        <w:t xml:space="preserve">including </w:t>
      </w:r>
      <w:r w:rsidR="00B831CB">
        <w:rPr>
          <w:lang w:val="en-ZA" w:eastAsia="en-GB"/>
        </w:rPr>
        <w:t xml:space="preserve">by requesting </w:t>
      </w:r>
      <w:r w:rsidR="00CC6DF8" w:rsidRPr="00A45799">
        <w:rPr>
          <w:lang w:val="en-ZA" w:eastAsia="en-GB"/>
        </w:rPr>
        <w:t xml:space="preserve">an assessment of the accessibility, effectiveness and impact of financial resources in supporting the implementation of the Protocol, </w:t>
      </w:r>
      <w:r w:rsidR="00B831CB">
        <w:rPr>
          <w:lang w:val="en-ZA" w:eastAsia="en-GB"/>
        </w:rPr>
        <w:t xml:space="preserve">as well as of </w:t>
      </w:r>
      <w:r w:rsidR="00CC6DF8" w:rsidRPr="00A45799">
        <w:rPr>
          <w:lang w:val="en-ZA" w:eastAsia="en-GB"/>
        </w:rPr>
        <w:t xml:space="preserve">any gaps and challenges in access to such resources, their responsiveness to national needs and priorities, the efficiency of project development and implementation processes, and options for improving support for </w:t>
      </w:r>
      <w:r w:rsidR="00AC0B69">
        <w:rPr>
          <w:lang w:val="en-ZA" w:eastAsia="en-GB"/>
        </w:rPr>
        <w:t xml:space="preserve">the </w:t>
      </w:r>
      <w:r w:rsidR="00CC6DF8" w:rsidRPr="00A45799">
        <w:rPr>
          <w:lang w:val="en-ZA" w:eastAsia="en-GB"/>
        </w:rPr>
        <w:t>implementation of the Protocol</w:t>
      </w:r>
      <w:r w:rsidR="004A756D" w:rsidRPr="00EE7CA8">
        <w:rPr>
          <w:lang w:val="en-ZA" w:eastAsia="en-GB"/>
        </w:rPr>
        <w:t>;</w:t>
      </w:r>
    </w:p>
    <w:p w14:paraId="01B685BA" w14:textId="326834AA" w:rsidR="004A756D" w:rsidRPr="00EE7CA8" w:rsidRDefault="008C7B54" w:rsidP="0049161D">
      <w:pPr>
        <w:pStyle w:val="CBDsubpara-item"/>
        <w:ind w:left="567" w:firstLine="564"/>
        <w:jc w:val="both"/>
        <w:rPr>
          <w:i/>
          <w:iCs/>
          <w:lang w:val="en-ZA" w:eastAsia="en-GB"/>
        </w:rPr>
      </w:pPr>
      <w:r>
        <w:rPr>
          <w:lang w:val="en-ZA" w:eastAsia="en-GB"/>
        </w:rPr>
        <w:t>17</w:t>
      </w:r>
      <w:r w:rsidR="004A756D" w:rsidRPr="00EE7CA8">
        <w:rPr>
          <w:lang w:val="en-ZA" w:eastAsia="en-GB"/>
        </w:rPr>
        <w:t>.</w:t>
      </w:r>
      <w:r w:rsidR="004A756D" w:rsidRPr="00EE7CA8">
        <w:rPr>
          <w:lang w:val="en-ZA" w:eastAsia="en-GB"/>
        </w:rPr>
        <w:tab/>
      </w:r>
      <w:r w:rsidR="004A756D" w:rsidRPr="00EE7CA8">
        <w:rPr>
          <w:i/>
          <w:iCs/>
          <w:lang w:val="en-ZA" w:eastAsia="en-GB"/>
        </w:rPr>
        <w:t xml:space="preserve">Invites </w:t>
      </w:r>
      <w:r w:rsidR="004A756D" w:rsidRPr="00EE7CA8">
        <w:rPr>
          <w:lang w:val="en-ZA" w:eastAsia="en-GB"/>
        </w:rPr>
        <w:t>Parties to the Nagoya Protocol to contribute to and participate in the seventh quadrennial review of the effectiveness of the financial mechanism</w:t>
      </w:r>
      <w:r w:rsidR="0056693A">
        <w:rPr>
          <w:lang w:val="en-ZA" w:eastAsia="en-GB"/>
        </w:rPr>
        <w:t xml:space="preserve">, </w:t>
      </w:r>
      <w:r w:rsidR="0056693A" w:rsidRPr="0056693A">
        <w:rPr>
          <w:lang w:eastAsia="en-GB"/>
        </w:rPr>
        <w:t xml:space="preserve">including by providing information on their experience in </w:t>
      </w:r>
      <w:r w:rsidR="007D2036">
        <w:rPr>
          <w:lang w:eastAsia="en-GB"/>
        </w:rPr>
        <w:t xml:space="preserve">getting </w:t>
      </w:r>
      <w:r w:rsidR="0056693A" w:rsidRPr="0056693A">
        <w:rPr>
          <w:lang w:eastAsia="en-GB"/>
        </w:rPr>
        <w:t xml:space="preserve">access </w:t>
      </w:r>
      <w:r w:rsidR="007D2036">
        <w:rPr>
          <w:lang w:eastAsia="en-GB"/>
        </w:rPr>
        <w:t xml:space="preserve">to </w:t>
      </w:r>
      <w:r w:rsidR="0056693A" w:rsidRPr="0056693A">
        <w:rPr>
          <w:lang w:eastAsia="en-GB"/>
        </w:rPr>
        <w:t xml:space="preserve">and using available resources </w:t>
      </w:r>
      <w:r w:rsidR="007D2036" w:rsidRPr="0056693A">
        <w:rPr>
          <w:lang w:eastAsia="en-GB"/>
        </w:rPr>
        <w:t>effectively</w:t>
      </w:r>
      <w:r w:rsidR="0029463C">
        <w:rPr>
          <w:lang w:eastAsia="en-GB"/>
        </w:rPr>
        <w:t>,</w:t>
      </w:r>
      <w:r w:rsidR="007D2036" w:rsidRPr="0056693A">
        <w:rPr>
          <w:lang w:eastAsia="en-GB"/>
        </w:rPr>
        <w:t xml:space="preserve"> </w:t>
      </w:r>
      <w:r w:rsidR="0056693A" w:rsidRPr="0056693A">
        <w:rPr>
          <w:lang w:eastAsia="en-GB"/>
        </w:rPr>
        <w:t>and on factors affecting the implementation of the Protocol</w:t>
      </w:r>
      <w:r w:rsidR="004A756D" w:rsidRPr="00EE7CA8">
        <w:rPr>
          <w:lang w:val="en-ZA" w:eastAsia="en-GB"/>
        </w:rPr>
        <w:t>;</w:t>
      </w:r>
    </w:p>
    <w:p w14:paraId="5234D702" w14:textId="1CEA9FBC" w:rsidR="004A756D" w:rsidRDefault="00672530" w:rsidP="0049161D">
      <w:pPr>
        <w:pStyle w:val="CBDNormalNoNumber"/>
        <w:keepNext/>
        <w:tabs>
          <w:tab w:val="clear" w:pos="567"/>
          <w:tab w:val="clear" w:pos="1134"/>
        </w:tabs>
        <w:spacing w:before="120"/>
        <w:ind w:firstLine="567"/>
        <w:rPr>
          <w:rFonts w:eastAsia="Times New Roman"/>
          <w:iCs/>
          <w:szCs w:val="24"/>
        </w:rPr>
      </w:pPr>
      <w:r>
        <w:rPr>
          <w:rFonts w:eastAsia="Times New Roman"/>
          <w:iCs/>
          <w:szCs w:val="24"/>
        </w:rPr>
        <w:t>18</w:t>
      </w:r>
      <w:r w:rsidRPr="00EE7CA8">
        <w:rPr>
          <w:rFonts w:eastAsia="Times New Roman"/>
          <w:iCs/>
          <w:szCs w:val="24"/>
        </w:rPr>
        <w:t>.</w:t>
      </w:r>
      <w:r w:rsidRPr="00EE7CA8">
        <w:rPr>
          <w:rFonts w:eastAsia="Times New Roman"/>
          <w:iCs/>
          <w:szCs w:val="24"/>
        </w:rPr>
        <w:tab/>
      </w:r>
      <w:r w:rsidRPr="00EE7CA8">
        <w:rPr>
          <w:rFonts w:eastAsia="Times New Roman"/>
          <w:i/>
          <w:szCs w:val="24"/>
        </w:rPr>
        <w:t>Invites</w:t>
      </w:r>
      <w:r w:rsidRPr="00EE7CA8">
        <w:rPr>
          <w:rFonts w:eastAsia="Times New Roman"/>
          <w:iCs/>
          <w:szCs w:val="24"/>
        </w:rPr>
        <w:t xml:space="preserve"> the Conference of the Parties to the Convention to </w:t>
      </w:r>
      <w:r w:rsidR="004E7E11">
        <w:rPr>
          <w:rFonts w:eastAsia="Times New Roman"/>
          <w:iCs/>
          <w:szCs w:val="24"/>
        </w:rPr>
        <w:t xml:space="preserve">take into consideration </w:t>
      </w:r>
      <w:r w:rsidR="004A756D" w:rsidRPr="00EE7CA8">
        <w:rPr>
          <w:rFonts w:eastAsia="Times New Roman"/>
          <w:iCs/>
          <w:szCs w:val="24"/>
        </w:rPr>
        <w:t>the core functions of the Secretariat related to the Nagoya Protocol, including the Access and Benefit-sharing Clearing-House</w:t>
      </w:r>
      <w:r w:rsidR="00FE6604">
        <w:rPr>
          <w:rFonts w:eastAsia="Times New Roman"/>
          <w:iCs/>
          <w:szCs w:val="24"/>
        </w:rPr>
        <w:t>,</w:t>
      </w:r>
      <w:r w:rsidR="004E7E11">
        <w:rPr>
          <w:rFonts w:eastAsia="Times New Roman"/>
          <w:iCs/>
          <w:szCs w:val="24"/>
        </w:rPr>
        <w:t xml:space="preserve"> as part of </w:t>
      </w:r>
      <w:r w:rsidR="00542371">
        <w:rPr>
          <w:rFonts w:eastAsia="Times New Roman"/>
          <w:iCs/>
          <w:szCs w:val="24"/>
        </w:rPr>
        <w:t>its</w:t>
      </w:r>
      <w:r w:rsidR="004E7E11">
        <w:rPr>
          <w:rFonts w:eastAsia="Times New Roman"/>
          <w:iCs/>
          <w:szCs w:val="24"/>
        </w:rPr>
        <w:t xml:space="preserve"> discussions on the integrated programme of work and budget</w:t>
      </w:r>
      <w:r w:rsidR="00AB7722">
        <w:rPr>
          <w:rFonts w:eastAsia="Times New Roman"/>
          <w:iCs/>
          <w:szCs w:val="24"/>
        </w:rPr>
        <w:t>.</w:t>
      </w:r>
    </w:p>
    <w:p w14:paraId="5F2B403A" w14:textId="791488F9" w:rsidR="00A111D1" w:rsidRPr="003F1A75" w:rsidRDefault="00A111D1" w:rsidP="00CE3E51">
      <w:pPr>
        <w:pStyle w:val="CBDNormalNoNumber"/>
        <w:spacing w:after="0"/>
        <w:jc w:val="center"/>
      </w:pPr>
      <w:r w:rsidRPr="003F1A75">
        <w:t>__________</w:t>
      </w:r>
    </w:p>
    <w:sectPr w:rsidR="00A111D1" w:rsidRPr="003F1A75" w:rsidSect="00341E39">
      <w:headerReference w:type="even" r:id="rId17"/>
      <w:headerReference w:type="default" r:id="rId18"/>
      <w:footerReference w:type="even" r:id="rId19"/>
      <w:footerReference w:type="default" r:id="rId20"/>
      <w:headerReference w:type="first" r:id="rId21"/>
      <w:pgSz w:w="12240" w:h="15840"/>
      <w:pgMar w:top="567" w:right="1440" w:bottom="1134"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D8636" w14:textId="77777777" w:rsidR="0055256E" w:rsidRPr="003F1A75" w:rsidRDefault="0055256E" w:rsidP="00CF1848">
      <w:r w:rsidRPr="003F1A75">
        <w:separator/>
      </w:r>
    </w:p>
  </w:endnote>
  <w:endnote w:type="continuationSeparator" w:id="0">
    <w:p w14:paraId="3487CE52" w14:textId="77777777" w:rsidR="0055256E" w:rsidRPr="003F1A75" w:rsidRDefault="0055256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CE3E51">
              <w:rPr>
                <w:szCs w:val="20"/>
              </w:rPr>
              <w:fldChar w:fldCharType="begin"/>
            </w:r>
            <w:r w:rsidRPr="00CE3E51">
              <w:rPr>
                <w:szCs w:val="20"/>
              </w:rPr>
              <w:instrText xml:space="preserve"> PAGE </w:instrText>
            </w:r>
            <w:r w:rsidRPr="00CE3E51">
              <w:rPr>
                <w:szCs w:val="20"/>
              </w:rPr>
              <w:fldChar w:fldCharType="separate"/>
            </w:r>
            <w:r w:rsidRPr="00CE3E51">
              <w:rPr>
                <w:noProof/>
                <w:szCs w:val="20"/>
              </w:rPr>
              <w:t>2</w:t>
            </w:r>
            <w:r w:rsidRPr="00CE3E51">
              <w:rPr>
                <w:szCs w:val="20"/>
              </w:rPr>
              <w:fldChar w:fldCharType="end"/>
            </w:r>
            <w:r w:rsidRPr="00CE3E51">
              <w:rPr>
                <w:szCs w:val="20"/>
              </w:rPr>
              <w:t>/</w:t>
            </w:r>
            <w:r w:rsidRPr="00CE3E51">
              <w:rPr>
                <w:szCs w:val="20"/>
              </w:rPr>
              <w:fldChar w:fldCharType="begin"/>
            </w:r>
            <w:r w:rsidRPr="00CE3E51">
              <w:rPr>
                <w:szCs w:val="20"/>
              </w:rPr>
              <w:instrText xml:space="preserve"> NUMPAGES  </w:instrText>
            </w:r>
            <w:r w:rsidRPr="00CE3E51">
              <w:rPr>
                <w:szCs w:val="20"/>
              </w:rPr>
              <w:fldChar w:fldCharType="separate"/>
            </w:r>
            <w:r w:rsidRPr="00CE3E51">
              <w:rPr>
                <w:noProof/>
                <w:szCs w:val="20"/>
              </w:rPr>
              <w:t>2</w:t>
            </w:r>
            <w:r w:rsidRPr="00CE3E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CE3E51">
        <w:pPr>
          <w:pStyle w:val="Footer"/>
          <w:jc w:val="right"/>
        </w:pPr>
        <w:r w:rsidRPr="00CE3E51">
          <w:rPr>
            <w:szCs w:val="20"/>
          </w:rPr>
          <w:fldChar w:fldCharType="begin"/>
        </w:r>
        <w:r w:rsidRPr="00CE3E51">
          <w:rPr>
            <w:szCs w:val="20"/>
          </w:rPr>
          <w:instrText xml:space="preserve"> PAGE </w:instrText>
        </w:r>
        <w:r w:rsidRPr="00CE3E51">
          <w:rPr>
            <w:szCs w:val="20"/>
          </w:rPr>
          <w:fldChar w:fldCharType="separate"/>
        </w:r>
        <w:r w:rsidRPr="00CE3E51">
          <w:rPr>
            <w:szCs w:val="20"/>
          </w:rPr>
          <w:t>2</w:t>
        </w:r>
        <w:r w:rsidRPr="00CE3E51">
          <w:rPr>
            <w:szCs w:val="20"/>
          </w:rPr>
          <w:fldChar w:fldCharType="end"/>
        </w:r>
        <w:r w:rsidRPr="00042107">
          <w:rPr>
            <w:szCs w:val="20"/>
          </w:rPr>
          <w:t>/</w:t>
        </w:r>
        <w:r w:rsidRPr="00CE3E51">
          <w:rPr>
            <w:szCs w:val="20"/>
          </w:rPr>
          <w:fldChar w:fldCharType="begin"/>
        </w:r>
        <w:r w:rsidRPr="00CE3E51">
          <w:rPr>
            <w:szCs w:val="20"/>
          </w:rPr>
          <w:instrText xml:space="preserve"> NUMPAGES  </w:instrText>
        </w:r>
        <w:r w:rsidRPr="00CE3E51">
          <w:rPr>
            <w:szCs w:val="20"/>
          </w:rPr>
          <w:fldChar w:fldCharType="separate"/>
        </w:r>
        <w:r w:rsidRPr="00CE3E51">
          <w:rPr>
            <w:szCs w:val="20"/>
          </w:rPr>
          <w:t>3</w:t>
        </w:r>
        <w:r w:rsidRPr="00CE3E5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6C231" w14:textId="77777777" w:rsidR="0055256E" w:rsidRPr="003F1A75" w:rsidRDefault="0055256E" w:rsidP="00CF1848">
      <w:r w:rsidRPr="003F1A75">
        <w:separator/>
      </w:r>
    </w:p>
  </w:footnote>
  <w:footnote w:type="continuationSeparator" w:id="0">
    <w:p w14:paraId="26C5CCBB" w14:textId="77777777" w:rsidR="0055256E" w:rsidRPr="003F1A75" w:rsidRDefault="0055256E" w:rsidP="00CF1848">
      <w:r w:rsidRPr="003F1A75">
        <w:continuationSeparator/>
      </w:r>
    </w:p>
  </w:footnote>
  <w:footnote w:id="1">
    <w:p w14:paraId="50294889" w14:textId="77777777" w:rsidR="004A756D" w:rsidRDefault="004A756D" w:rsidP="004A756D">
      <w:pPr>
        <w:pStyle w:val="FootnoteText"/>
      </w:pPr>
      <w:r>
        <w:rPr>
          <w:rStyle w:val="FootnoteReference"/>
        </w:rPr>
        <w:footnoteRef/>
      </w:r>
      <w:r>
        <w:t xml:space="preserve"> </w:t>
      </w:r>
      <w:r w:rsidRPr="00DD5F31">
        <w:t xml:space="preserve">United Nations, </w:t>
      </w:r>
      <w:r w:rsidRPr="00193F4E">
        <w:rPr>
          <w:i/>
          <w:iCs/>
        </w:rPr>
        <w:t>Treaty Series</w:t>
      </w:r>
      <w:r w:rsidRPr="00DD5F31">
        <w:t>, vol. 3008, No. 30619</w:t>
      </w:r>
      <w:r>
        <w:t>.</w:t>
      </w:r>
    </w:p>
  </w:footnote>
  <w:footnote w:id="2">
    <w:p w14:paraId="0ED704DA" w14:textId="77777777" w:rsidR="004A756D" w:rsidRDefault="004A756D" w:rsidP="004A756D">
      <w:pPr>
        <w:pStyle w:val="FootnoteText"/>
      </w:pPr>
      <w:r>
        <w:rPr>
          <w:rStyle w:val="FootnoteReference"/>
        </w:rPr>
        <w:footnoteRef/>
      </w:r>
      <w:r>
        <w:t xml:space="preserve"> Ibid.</w:t>
      </w:r>
      <w:r w:rsidRPr="007E0D80">
        <w:t>, vol. 1760, No. 30619</w:t>
      </w:r>
      <w:r>
        <w:t>.</w:t>
      </w:r>
    </w:p>
  </w:footnote>
  <w:footnote w:id="3">
    <w:p w14:paraId="69E1EAB9" w14:textId="77777777" w:rsidR="004A756D" w:rsidRDefault="004A756D" w:rsidP="004A756D">
      <w:pPr>
        <w:pStyle w:val="FootnoteText"/>
      </w:pPr>
      <w:r>
        <w:rPr>
          <w:rStyle w:val="FootnoteReference"/>
        </w:rPr>
        <w:footnoteRef/>
      </w:r>
      <w:r>
        <w:t xml:space="preserve"> </w:t>
      </w:r>
      <w:hyperlink r:id="rId1" w:history="1">
        <w:r w:rsidRPr="00DC3C3A">
          <w:rPr>
            <w:rStyle w:val="Hyperlink"/>
          </w:rPr>
          <w:t>CBD/COP/17/5/Add.1</w:t>
        </w:r>
      </w:hyperlink>
      <w:r>
        <w:t>.</w:t>
      </w:r>
    </w:p>
  </w:footnote>
  <w:footnote w:id="4">
    <w:p w14:paraId="1AF698A5" w14:textId="77777777" w:rsidR="004A756D" w:rsidRDefault="004A756D" w:rsidP="004A756D">
      <w:pPr>
        <w:pStyle w:val="FootnoteText"/>
      </w:pPr>
      <w:r>
        <w:rPr>
          <w:rStyle w:val="FootnoteReference"/>
        </w:rPr>
        <w:footnoteRef/>
      </w:r>
      <w:r>
        <w:t xml:space="preserve"> Decision </w:t>
      </w:r>
      <w:hyperlink r:id="rId2" w:history="1">
        <w:r w:rsidRPr="000F4C2A">
          <w:rPr>
            <w:rStyle w:val="Hyperlink"/>
          </w:rPr>
          <w:t>16/33</w:t>
        </w:r>
      </w:hyperlink>
      <w:r>
        <w:t>, annex I.</w:t>
      </w:r>
    </w:p>
  </w:footnote>
  <w:footnote w:id="5">
    <w:p w14:paraId="014AB8D4" w14:textId="77777777" w:rsidR="004A756D" w:rsidRPr="005E0E9C" w:rsidRDefault="004A756D" w:rsidP="004A756D">
      <w:pPr>
        <w:pStyle w:val="FootnoteText"/>
      </w:pPr>
      <w:r w:rsidRPr="005E0E9C">
        <w:rPr>
          <w:rStyle w:val="FootnoteReference"/>
        </w:rPr>
        <w:footnoteRef/>
      </w:r>
      <w:r w:rsidRPr="005E0E9C">
        <w:t xml:space="preserve"> </w:t>
      </w:r>
      <w:hyperlink r:id="rId3" w:history="1">
        <w:r w:rsidRPr="003B6772">
          <w:rPr>
            <w:rStyle w:val="Hyperlink"/>
            <w:rFonts w:eastAsia="Arial Unicode MS"/>
            <w:kern w:val="22"/>
            <w:bdr w:val="nil"/>
          </w:rPr>
          <w:t>CBD/SBI/7/7</w:t>
        </w:r>
      </w:hyperlink>
      <w:r w:rsidRPr="000C0990">
        <w:rPr>
          <w:rFonts w:eastAsia="Times New Roman"/>
          <w:iCs/>
          <w:szCs w:val="24"/>
        </w:rPr>
        <w:t>, annexes I and II</w:t>
      </w:r>
      <w:r w:rsidRPr="006B144A">
        <w:rPr>
          <w:rFonts w:eastAsia="Arial Unicode MS"/>
          <w:color w:val="000000"/>
          <w:kern w:val="22"/>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75BCAE53" w:rsidR="00534681" w:rsidRPr="003F1A75" w:rsidRDefault="0055256E"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E308D6">
          <w:rPr>
            <w:szCs w:val="20"/>
          </w:rPr>
          <w:t>CBD/NP/MOP/6/L.6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D135" w14:textId="6278AB00" w:rsidR="009505C9" w:rsidRPr="003F1A75" w:rsidRDefault="0055256E"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E308D6">
          <w:t>CBD/NP/MOP/6/L.6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79D7" w14:textId="77777777" w:rsidR="008C7B54" w:rsidRDefault="008C7B54" w:rsidP="00CE3E5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103E"/>
    <w:rsid w:val="0000313C"/>
    <w:rsid w:val="0000666F"/>
    <w:rsid w:val="00010DFB"/>
    <w:rsid w:val="0001610F"/>
    <w:rsid w:val="00020E5F"/>
    <w:rsid w:val="00021245"/>
    <w:rsid w:val="0002391E"/>
    <w:rsid w:val="00024892"/>
    <w:rsid w:val="000268D5"/>
    <w:rsid w:val="00030BF7"/>
    <w:rsid w:val="00032602"/>
    <w:rsid w:val="000368B2"/>
    <w:rsid w:val="0004043D"/>
    <w:rsid w:val="000404D3"/>
    <w:rsid w:val="00042107"/>
    <w:rsid w:val="00042C03"/>
    <w:rsid w:val="00050599"/>
    <w:rsid w:val="00050E51"/>
    <w:rsid w:val="0005472C"/>
    <w:rsid w:val="00055CF5"/>
    <w:rsid w:val="0006196C"/>
    <w:rsid w:val="00062258"/>
    <w:rsid w:val="0007171B"/>
    <w:rsid w:val="00084947"/>
    <w:rsid w:val="00085273"/>
    <w:rsid w:val="000861D3"/>
    <w:rsid w:val="000867B5"/>
    <w:rsid w:val="00087396"/>
    <w:rsid w:val="00093971"/>
    <w:rsid w:val="00096028"/>
    <w:rsid w:val="000960F3"/>
    <w:rsid w:val="00096384"/>
    <w:rsid w:val="000A33DC"/>
    <w:rsid w:val="000A706C"/>
    <w:rsid w:val="000A7A4D"/>
    <w:rsid w:val="000A7D40"/>
    <w:rsid w:val="000B3AE6"/>
    <w:rsid w:val="000C193D"/>
    <w:rsid w:val="000C1DD8"/>
    <w:rsid w:val="000D03F7"/>
    <w:rsid w:val="000D0F68"/>
    <w:rsid w:val="000D21EB"/>
    <w:rsid w:val="000D7C97"/>
    <w:rsid w:val="000E430E"/>
    <w:rsid w:val="000E6328"/>
    <w:rsid w:val="000E673A"/>
    <w:rsid w:val="000F6945"/>
    <w:rsid w:val="000F74F5"/>
    <w:rsid w:val="000F78FC"/>
    <w:rsid w:val="001017B7"/>
    <w:rsid w:val="00102820"/>
    <w:rsid w:val="001031DF"/>
    <w:rsid w:val="00105372"/>
    <w:rsid w:val="001054A6"/>
    <w:rsid w:val="00105649"/>
    <w:rsid w:val="0010564B"/>
    <w:rsid w:val="00105A86"/>
    <w:rsid w:val="0010614F"/>
    <w:rsid w:val="00107364"/>
    <w:rsid w:val="001078A1"/>
    <w:rsid w:val="00107A2E"/>
    <w:rsid w:val="001106C4"/>
    <w:rsid w:val="00110FE9"/>
    <w:rsid w:val="00115F36"/>
    <w:rsid w:val="001166E0"/>
    <w:rsid w:val="001216CC"/>
    <w:rsid w:val="00123725"/>
    <w:rsid w:val="001248BE"/>
    <w:rsid w:val="00124A72"/>
    <w:rsid w:val="00126C89"/>
    <w:rsid w:val="001312AD"/>
    <w:rsid w:val="00131E7A"/>
    <w:rsid w:val="00132417"/>
    <w:rsid w:val="00133C47"/>
    <w:rsid w:val="001344F7"/>
    <w:rsid w:val="00134621"/>
    <w:rsid w:val="001347D3"/>
    <w:rsid w:val="00134846"/>
    <w:rsid w:val="00134EA6"/>
    <w:rsid w:val="00144784"/>
    <w:rsid w:val="001469CB"/>
    <w:rsid w:val="00147872"/>
    <w:rsid w:val="001479EF"/>
    <w:rsid w:val="0015569E"/>
    <w:rsid w:val="00161DDB"/>
    <w:rsid w:val="00172AF6"/>
    <w:rsid w:val="0017632B"/>
    <w:rsid w:val="00176CEE"/>
    <w:rsid w:val="00177E6B"/>
    <w:rsid w:val="00181C27"/>
    <w:rsid w:val="00182452"/>
    <w:rsid w:val="001847AD"/>
    <w:rsid w:val="00186DD8"/>
    <w:rsid w:val="00191F5C"/>
    <w:rsid w:val="0019282C"/>
    <w:rsid w:val="001945EF"/>
    <w:rsid w:val="001955C6"/>
    <w:rsid w:val="00195B7F"/>
    <w:rsid w:val="001966E0"/>
    <w:rsid w:val="001967D6"/>
    <w:rsid w:val="001A05F9"/>
    <w:rsid w:val="001A35EC"/>
    <w:rsid w:val="001A390D"/>
    <w:rsid w:val="001A4170"/>
    <w:rsid w:val="001A4B58"/>
    <w:rsid w:val="001A6BFE"/>
    <w:rsid w:val="001A7D68"/>
    <w:rsid w:val="001B13FE"/>
    <w:rsid w:val="001B2FFB"/>
    <w:rsid w:val="001B7565"/>
    <w:rsid w:val="001B7ECE"/>
    <w:rsid w:val="001C0B9C"/>
    <w:rsid w:val="001D001A"/>
    <w:rsid w:val="001D1711"/>
    <w:rsid w:val="001D2E79"/>
    <w:rsid w:val="001D4FAE"/>
    <w:rsid w:val="001E63A8"/>
    <w:rsid w:val="001F0B3A"/>
    <w:rsid w:val="001F15A4"/>
    <w:rsid w:val="001F34E3"/>
    <w:rsid w:val="001F767F"/>
    <w:rsid w:val="0020199E"/>
    <w:rsid w:val="00203221"/>
    <w:rsid w:val="002035B5"/>
    <w:rsid w:val="002054EB"/>
    <w:rsid w:val="00206CAC"/>
    <w:rsid w:val="00212E64"/>
    <w:rsid w:val="002152D4"/>
    <w:rsid w:val="00216423"/>
    <w:rsid w:val="00217810"/>
    <w:rsid w:val="00223134"/>
    <w:rsid w:val="0022436D"/>
    <w:rsid w:val="00227D0F"/>
    <w:rsid w:val="00227D4E"/>
    <w:rsid w:val="00230512"/>
    <w:rsid w:val="0023124B"/>
    <w:rsid w:val="0023795E"/>
    <w:rsid w:val="00244788"/>
    <w:rsid w:val="00247298"/>
    <w:rsid w:val="00254B22"/>
    <w:rsid w:val="00263E2B"/>
    <w:rsid w:val="002675A5"/>
    <w:rsid w:val="00267AEB"/>
    <w:rsid w:val="0028027B"/>
    <w:rsid w:val="00281531"/>
    <w:rsid w:val="00281BA4"/>
    <w:rsid w:val="00284A06"/>
    <w:rsid w:val="002868F6"/>
    <w:rsid w:val="002872D6"/>
    <w:rsid w:val="00291EE5"/>
    <w:rsid w:val="00293F81"/>
    <w:rsid w:val="0029463C"/>
    <w:rsid w:val="00295120"/>
    <w:rsid w:val="002A2282"/>
    <w:rsid w:val="002A24F8"/>
    <w:rsid w:val="002A35EF"/>
    <w:rsid w:val="002B0C13"/>
    <w:rsid w:val="002B2D5E"/>
    <w:rsid w:val="002B3C97"/>
    <w:rsid w:val="002C2739"/>
    <w:rsid w:val="002C6933"/>
    <w:rsid w:val="002D1EA0"/>
    <w:rsid w:val="002D36DB"/>
    <w:rsid w:val="002D391C"/>
    <w:rsid w:val="002D428A"/>
    <w:rsid w:val="002D664E"/>
    <w:rsid w:val="002D73EE"/>
    <w:rsid w:val="002E3258"/>
    <w:rsid w:val="002E3641"/>
    <w:rsid w:val="002F7246"/>
    <w:rsid w:val="002F745C"/>
    <w:rsid w:val="002F7FD9"/>
    <w:rsid w:val="003008FE"/>
    <w:rsid w:val="00301239"/>
    <w:rsid w:val="0030169D"/>
    <w:rsid w:val="003020A2"/>
    <w:rsid w:val="00302183"/>
    <w:rsid w:val="003060EB"/>
    <w:rsid w:val="003153EB"/>
    <w:rsid w:val="003153EE"/>
    <w:rsid w:val="0032136E"/>
    <w:rsid w:val="00321985"/>
    <w:rsid w:val="0032440D"/>
    <w:rsid w:val="003248DA"/>
    <w:rsid w:val="003268DD"/>
    <w:rsid w:val="00326B6B"/>
    <w:rsid w:val="00327466"/>
    <w:rsid w:val="00327FF1"/>
    <w:rsid w:val="00331C0C"/>
    <w:rsid w:val="00331E56"/>
    <w:rsid w:val="0033435A"/>
    <w:rsid w:val="0033526D"/>
    <w:rsid w:val="00340A32"/>
    <w:rsid w:val="0034102F"/>
    <w:rsid w:val="003412B8"/>
    <w:rsid w:val="003415F2"/>
    <w:rsid w:val="003417F9"/>
    <w:rsid w:val="00341DC0"/>
    <w:rsid w:val="00341E39"/>
    <w:rsid w:val="00343572"/>
    <w:rsid w:val="00345636"/>
    <w:rsid w:val="00346E15"/>
    <w:rsid w:val="003470DA"/>
    <w:rsid w:val="0034784D"/>
    <w:rsid w:val="0035061A"/>
    <w:rsid w:val="00351205"/>
    <w:rsid w:val="003567E1"/>
    <w:rsid w:val="003613A3"/>
    <w:rsid w:val="00365E74"/>
    <w:rsid w:val="00366A98"/>
    <w:rsid w:val="00367746"/>
    <w:rsid w:val="0037254A"/>
    <w:rsid w:val="00372F74"/>
    <w:rsid w:val="003866E4"/>
    <w:rsid w:val="00397678"/>
    <w:rsid w:val="003A053E"/>
    <w:rsid w:val="003A12FC"/>
    <w:rsid w:val="003A5AD6"/>
    <w:rsid w:val="003B1836"/>
    <w:rsid w:val="003B260B"/>
    <w:rsid w:val="003B2809"/>
    <w:rsid w:val="003B4CB4"/>
    <w:rsid w:val="003B619E"/>
    <w:rsid w:val="003B68BA"/>
    <w:rsid w:val="003B73C6"/>
    <w:rsid w:val="003C6147"/>
    <w:rsid w:val="003D333F"/>
    <w:rsid w:val="003E0F87"/>
    <w:rsid w:val="003E5650"/>
    <w:rsid w:val="003E705A"/>
    <w:rsid w:val="003F11AD"/>
    <w:rsid w:val="003F1A75"/>
    <w:rsid w:val="003F20F5"/>
    <w:rsid w:val="003F28C2"/>
    <w:rsid w:val="003F7224"/>
    <w:rsid w:val="003F7EBB"/>
    <w:rsid w:val="004032D9"/>
    <w:rsid w:val="00404340"/>
    <w:rsid w:val="004070AF"/>
    <w:rsid w:val="00411CD8"/>
    <w:rsid w:val="00413827"/>
    <w:rsid w:val="0041436B"/>
    <w:rsid w:val="004223F8"/>
    <w:rsid w:val="00422B6B"/>
    <w:rsid w:val="00423DDC"/>
    <w:rsid w:val="00425AD4"/>
    <w:rsid w:val="00426D6F"/>
    <w:rsid w:val="00426F86"/>
    <w:rsid w:val="00427954"/>
    <w:rsid w:val="00427D21"/>
    <w:rsid w:val="00435C67"/>
    <w:rsid w:val="00437CFD"/>
    <w:rsid w:val="00440CEF"/>
    <w:rsid w:val="0044275C"/>
    <w:rsid w:val="0044344A"/>
    <w:rsid w:val="00443FA0"/>
    <w:rsid w:val="00446304"/>
    <w:rsid w:val="00447C3D"/>
    <w:rsid w:val="00447F4A"/>
    <w:rsid w:val="004523B2"/>
    <w:rsid w:val="0045375F"/>
    <w:rsid w:val="00455322"/>
    <w:rsid w:val="00456180"/>
    <w:rsid w:val="00456F67"/>
    <w:rsid w:val="004644C2"/>
    <w:rsid w:val="004660CB"/>
    <w:rsid w:val="0046637E"/>
    <w:rsid w:val="00467F9C"/>
    <w:rsid w:val="004747B4"/>
    <w:rsid w:val="0048239B"/>
    <w:rsid w:val="00485C5C"/>
    <w:rsid w:val="00490839"/>
    <w:rsid w:val="004911F9"/>
    <w:rsid w:val="0049161D"/>
    <w:rsid w:val="00495A0F"/>
    <w:rsid w:val="004A122B"/>
    <w:rsid w:val="004A6CF4"/>
    <w:rsid w:val="004A756D"/>
    <w:rsid w:val="004A7F63"/>
    <w:rsid w:val="004B0313"/>
    <w:rsid w:val="004B40E4"/>
    <w:rsid w:val="004B6DEB"/>
    <w:rsid w:val="004C44E0"/>
    <w:rsid w:val="004C59D2"/>
    <w:rsid w:val="004C5B66"/>
    <w:rsid w:val="004D4D99"/>
    <w:rsid w:val="004D5136"/>
    <w:rsid w:val="004D7861"/>
    <w:rsid w:val="004E0228"/>
    <w:rsid w:val="004E525F"/>
    <w:rsid w:val="004E5361"/>
    <w:rsid w:val="004E5A60"/>
    <w:rsid w:val="004E7AA6"/>
    <w:rsid w:val="004E7E11"/>
    <w:rsid w:val="004F1CF6"/>
    <w:rsid w:val="004F5B36"/>
    <w:rsid w:val="004F71C3"/>
    <w:rsid w:val="00507859"/>
    <w:rsid w:val="0051006C"/>
    <w:rsid w:val="00511920"/>
    <w:rsid w:val="005140B7"/>
    <w:rsid w:val="005146AE"/>
    <w:rsid w:val="00514E09"/>
    <w:rsid w:val="00516103"/>
    <w:rsid w:val="00521FB3"/>
    <w:rsid w:val="00523B83"/>
    <w:rsid w:val="005256A7"/>
    <w:rsid w:val="00526783"/>
    <w:rsid w:val="00526E36"/>
    <w:rsid w:val="005344C6"/>
    <w:rsid w:val="00534681"/>
    <w:rsid w:val="00536AA3"/>
    <w:rsid w:val="00536C58"/>
    <w:rsid w:val="00537FBC"/>
    <w:rsid w:val="00542371"/>
    <w:rsid w:val="00545B25"/>
    <w:rsid w:val="00545C0A"/>
    <w:rsid w:val="00547DEF"/>
    <w:rsid w:val="00550BA6"/>
    <w:rsid w:val="0055256E"/>
    <w:rsid w:val="00555F91"/>
    <w:rsid w:val="0056068E"/>
    <w:rsid w:val="00563047"/>
    <w:rsid w:val="00563442"/>
    <w:rsid w:val="0056348E"/>
    <w:rsid w:val="005649FD"/>
    <w:rsid w:val="00565625"/>
    <w:rsid w:val="00565B42"/>
    <w:rsid w:val="0056693A"/>
    <w:rsid w:val="00574079"/>
    <w:rsid w:val="00581EAC"/>
    <w:rsid w:val="00583E5B"/>
    <w:rsid w:val="0058511B"/>
    <w:rsid w:val="005877F3"/>
    <w:rsid w:val="005A2CD4"/>
    <w:rsid w:val="005A2D38"/>
    <w:rsid w:val="005A3154"/>
    <w:rsid w:val="005A4AFC"/>
    <w:rsid w:val="005A5467"/>
    <w:rsid w:val="005A6843"/>
    <w:rsid w:val="005B188A"/>
    <w:rsid w:val="005B352D"/>
    <w:rsid w:val="005B35E2"/>
    <w:rsid w:val="005B6949"/>
    <w:rsid w:val="005C0B81"/>
    <w:rsid w:val="005C4CE6"/>
    <w:rsid w:val="005C5E2E"/>
    <w:rsid w:val="005C73E0"/>
    <w:rsid w:val="005D2C13"/>
    <w:rsid w:val="005D35DE"/>
    <w:rsid w:val="005D49EC"/>
    <w:rsid w:val="005D4FEE"/>
    <w:rsid w:val="005D672E"/>
    <w:rsid w:val="005E4C09"/>
    <w:rsid w:val="005F0D2B"/>
    <w:rsid w:val="005F66B8"/>
    <w:rsid w:val="00602BF8"/>
    <w:rsid w:val="0060755D"/>
    <w:rsid w:val="006122BA"/>
    <w:rsid w:val="006147F0"/>
    <w:rsid w:val="00617C75"/>
    <w:rsid w:val="0062108D"/>
    <w:rsid w:val="0062325C"/>
    <w:rsid w:val="00624473"/>
    <w:rsid w:val="0062509A"/>
    <w:rsid w:val="00631FA8"/>
    <w:rsid w:val="00633F8A"/>
    <w:rsid w:val="00637700"/>
    <w:rsid w:val="00642599"/>
    <w:rsid w:val="0064472F"/>
    <w:rsid w:val="006478BF"/>
    <w:rsid w:val="006513E0"/>
    <w:rsid w:val="006723C2"/>
    <w:rsid w:val="00672530"/>
    <w:rsid w:val="00672880"/>
    <w:rsid w:val="006823B0"/>
    <w:rsid w:val="0068496B"/>
    <w:rsid w:val="006862CD"/>
    <w:rsid w:val="00691543"/>
    <w:rsid w:val="00693FF5"/>
    <w:rsid w:val="006A0820"/>
    <w:rsid w:val="006A34E4"/>
    <w:rsid w:val="006A60D7"/>
    <w:rsid w:val="006A73C1"/>
    <w:rsid w:val="006B2290"/>
    <w:rsid w:val="006B3C95"/>
    <w:rsid w:val="006C3B2F"/>
    <w:rsid w:val="006C4513"/>
    <w:rsid w:val="006C76EE"/>
    <w:rsid w:val="006D0BB4"/>
    <w:rsid w:val="006D11DB"/>
    <w:rsid w:val="006D1A5F"/>
    <w:rsid w:val="006D28E4"/>
    <w:rsid w:val="006D2B1D"/>
    <w:rsid w:val="006D5EA4"/>
    <w:rsid w:val="006E1FBB"/>
    <w:rsid w:val="006F354B"/>
    <w:rsid w:val="006F6A82"/>
    <w:rsid w:val="006F7F6C"/>
    <w:rsid w:val="007024BF"/>
    <w:rsid w:val="0070277A"/>
    <w:rsid w:val="00704452"/>
    <w:rsid w:val="00704851"/>
    <w:rsid w:val="00705884"/>
    <w:rsid w:val="00707A27"/>
    <w:rsid w:val="00710447"/>
    <w:rsid w:val="007124F8"/>
    <w:rsid w:val="007140CE"/>
    <w:rsid w:val="007156F3"/>
    <w:rsid w:val="00717535"/>
    <w:rsid w:val="00717D88"/>
    <w:rsid w:val="00720348"/>
    <w:rsid w:val="00720E54"/>
    <w:rsid w:val="00722819"/>
    <w:rsid w:val="00726A43"/>
    <w:rsid w:val="0073069C"/>
    <w:rsid w:val="00734700"/>
    <w:rsid w:val="007351D0"/>
    <w:rsid w:val="00735206"/>
    <w:rsid w:val="00736B52"/>
    <w:rsid w:val="00741E73"/>
    <w:rsid w:val="00742127"/>
    <w:rsid w:val="00742451"/>
    <w:rsid w:val="00746482"/>
    <w:rsid w:val="0075094C"/>
    <w:rsid w:val="007557BA"/>
    <w:rsid w:val="00760429"/>
    <w:rsid w:val="007618BF"/>
    <w:rsid w:val="00761A81"/>
    <w:rsid w:val="00762241"/>
    <w:rsid w:val="00762961"/>
    <w:rsid w:val="00762D35"/>
    <w:rsid w:val="00763D7F"/>
    <w:rsid w:val="007651A1"/>
    <w:rsid w:val="007728F6"/>
    <w:rsid w:val="00772C64"/>
    <w:rsid w:val="00776F57"/>
    <w:rsid w:val="00780B0E"/>
    <w:rsid w:val="007815E2"/>
    <w:rsid w:val="0078196B"/>
    <w:rsid w:val="00781A88"/>
    <w:rsid w:val="00786056"/>
    <w:rsid w:val="00786609"/>
    <w:rsid w:val="00792498"/>
    <w:rsid w:val="007929EB"/>
    <w:rsid w:val="007942D3"/>
    <w:rsid w:val="007A3EFF"/>
    <w:rsid w:val="007A45D9"/>
    <w:rsid w:val="007A5271"/>
    <w:rsid w:val="007B2099"/>
    <w:rsid w:val="007B41CA"/>
    <w:rsid w:val="007B4B16"/>
    <w:rsid w:val="007B5D0A"/>
    <w:rsid w:val="007B61A4"/>
    <w:rsid w:val="007B6C09"/>
    <w:rsid w:val="007B7741"/>
    <w:rsid w:val="007C1B4C"/>
    <w:rsid w:val="007C1D38"/>
    <w:rsid w:val="007C3CFA"/>
    <w:rsid w:val="007C40DC"/>
    <w:rsid w:val="007C4809"/>
    <w:rsid w:val="007C4951"/>
    <w:rsid w:val="007C5421"/>
    <w:rsid w:val="007D05EA"/>
    <w:rsid w:val="007D1F2D"/>
    <w:rsid w:val="007D2036"/>
    <w:rsid w:val="007D45A2"/>
    <w:rsid w:val="007D74A1"/>
    <w:rsid w:val="007D768C"/>
    <w:rsid w:val="007E09DA"/>
    <w:rsid w:val="007E0EE1"/>
    <w:rsid w:val="007E0F8A"/>
    <w:rsid w:val="007E4B47"/>
    <w:rsid w:val="007F1A6C"/>
    <w:rsid w:val="007F3287"/>
    <w:rsid w:val="007F48A5"/>
    <w:rsid w:val="007F6124"/>
    <w:rsid w:val="007F718D"/>
    <w:rsid w:val="007F731B"/>
    <w:rsid w:val="00801FAD"/>
    <w:rsid w:val="00803503"/>
    <w:rsid w:val="00804BF0"/>
    <w:rsid w:val="008165A9"/>
    <w:rsid w:val="008178B6"/>
    <w:rsid w:val="00820BA2"/>
    <w:rsid w:val="0082179C"/>
    <w:rsid w:val="0082252C"/>
    <w:rsid w:val="00826F0B"/>
    <w:rsid w:val="00846C64"/>
    <w:rsid w:val="00846D47"/>
    <w:rsid w:val="00855367"/>
    <w:rsid w:val="00856ABB"/>
    <w:rsid w:val="008614FE"/>
    <w:rsid w:val="008615B2"/>
    <w:rsid w:val="00865B74"/>
    <w:rsid w:val="00866063"/>
    <w:rsid w:val="00873BB9"/>
    <w:rsid w:val="008742AA"/>
    <w:rsid w:val="008760FE"/>
    <w:rsid w:val="0087796A"/>
    <w:rsid w:val="00880350"/>
    <w:rsid w:val="00883AB0"/>
    <w:rsid w:val="0088508E"/>
    <w:rsid w:val="008852E3"/>
    <w:rsid w:val="00887A2B"/>
    <w:rsid w:val="0089098C"/>
    <w:rsid w:val="008912FD"/>
    <w:rsid w:val="00892AE9"/>
    <w:rsid w:val="00896012"/>
    <w:rsid w:val="00896FFE"/>
    <w:rsid w:val="008974F0"/>
    <w:rsid w:val="008A0FC1"/>
    <w:rsid w:val="008A1499"/>
    <w:rsid w:val="008A2CC7"/>
    <w:rsid w:val="008B012A"/>
    <w:rsid w:val="008B4310"/>
    <w:rsid w:val="008B60A3"/>
    <w:rsid w:val="008C135C"/>
    <w:rsid w:val="008C2CE1"/>
    <w:rsid w:val="008C2CFA"/>
    <w:rsid w:val="008C3A3B"/>
    <w:rsid w:val="008C5BEA"/>
    <w:rsid w:val="008C7B54"/>
    <w:rsid w:val="008D1233"/>
    <w:rsid w:val="008D2697"/>
    <w:rsid w:val="008E6019"/>
    <w:rsid w:val="008F1D11"/>
    <w:rsid w:val="008F1DC6"/>
    <w:rsid w:val="008F3B70"/>
    <w:rsid w:val="008F7E6E"/>
    <w:rsid w:val="009029D3"/>
    <w:rsid w:val="00906E17"/>
    <w:rsid w:val="009100D9"/>
    <w:rsid w:val="00910E1D"/>
    <w:rsid w:val="00916573"/>
    <w:rsid w:val="00925305"/>
    <w:rsid w:val="00930BA1"/>
    <w:rsid w:val="00931633"/>
    <w:rsid w:val="0093169E"/>
    <w:rsid w:val="009326DE"/>
    <w:rsid w:val="0093441D"/>
    <w:rsid w:val="00940CA1"/>
    <w:rsid w:val="00940DB3"/>
    <w:rsid w:val="00941768"/>
    <w:rsid w:val="00943FA4"/>
    <w:rsid w:val="00944F19"/>
    <w:rsid w:val="009505C9"/>
    <w:rsid w:val="00950752"/>
    <w:rsid w:val="00951682"/>
    <w:rsid w:val="0095235E"/>
    <w:rsid w:val="009554EF"/>
    <w:rsid w:val="00957590"/>
    <w:rsid w:val="0096109D"/>
    <w:rsid w:val="00961571"/>
    <w:rsid w:val="00964F8C"/>
    <w:rsid w:val="00966424"/>
    <w:rsid w:val="00966AA6"/>
    <w:rsid w:val="00966E2C"/>
    <w:rsid w:val="0097009F"/>
    <w:rsid w:val="009720EF"/>
    <w:rsid w:val="00973F96"/>
    <w:rsid w:val="00975047"/>
    <w:rsid w:val="00982B0C"/>
    <w:rsid w:val="009843A3"/>
    <w:rsid w:val="00985B4A"/>
    <w:rsid w:val="009861C8"/>
    <w:rsid w:val="009922D5"/>
    <w:rsid w:val="0099383F"/>
    <w:rsid w:val="00997A79"/>
    <w:rsid w:val="009A059E"/>
    <w:rsid w:val="009A2A0E"/>
    <w:rsid w:val="009A4ECD"/>
    <w:rsid w:val="009B09F3"/>
    <w:rsid w:val="009B4646"/>
    <w:rsid w:val="009B6024"/>
    <w:rsid w:val="009B711C"/>
    <w:rsid w:val="009C1EF0"/>
    <w:rsid w:val="009C2DE6"/>
    <w:rsid w:val="009D0394"/>
    <w:rsid w:val="009D1E06"/>
    <w:rsid w:val="009D226F"/>
    <w:rsid w:val="009D306C"/>
    <w:rsid w:val="009D4625"/>
    <w:rsid w:val="009E0591"/>
    <w:rsid w:val="009E2BE2"/>
    <w:rsid w:val="009E459D"/>
    <w:rsid w:val="009E7B70"/>
    <w:rsid w:val="009F2757"/>
    <w:rsid w:val="00A0121A"/>
    <w:rsid w:val="00A039F8"/>
    <w:rsid w:val="00A04B57"/>
    <w:rsid w:val="00A04E93"/>
    <w:rsid w:val="00A06847"/>
    <w:rsid w:val="00A0744E"/>
    <w:rsid w:val="00A111D1"/>
    <w:rsid w:val="00A11CC2"/>
    <w:rsid w:val="00A21B75"/>
    <w:rsid w:val="00A22FD1"/>
    <w:rsid w:val="00A234CD"/>
    <w:rsid w:val="00A251ED"/>
    <w:rsid w:val="00A26E6E"/>
    <w:rsid w:val="00A2716C"/>
    <w:rsid w:val="00A27D3E"/>
    <w:rsid w:val="00A30BCD"/>
    <w:rsid w:val="00A31A32"/>
    <w:rsid w:val="00A35B4B"/>
    <w:rsid w:val="00A42D49"/>
    <w:rsid w:val="00A45799"/>
    <w:rsid w:val="00A539D9"/>
    <w:rsid w:val="00A54A29"/>
    <w:rsid w:val="00A57233"/>
    <w:rsid w:val="00A603F4"/>
    <w:rsid w:val="00A61029"/>
    <w:rsid w:val="00A61C7D"/>
    <w:rsid w:val="00A6603C"/>
    <w:rsid w:val="00A670B8"/>
    <w:rsid w:val="00A813B6"/>
    <w:rsid w:val="00A82197"/>
    <w:rsid w:val="00A82738"/>
    <w:rsid w:val="00A833B9"/>
    <w:rsid w:val="00A845C9"/>
    <w:rsid w:val="00A84852"/>
    <w:rsid w:val="00A87662"/>
    <w:rsid w:val="00AA22A5"/>
    <w:rsid w:val="00AA2741"/>
    <w:rsid w:val="00AA348C"/>
    <w:rsid w:val="00AA409D"/>
    <w:rsid w:val="00AA459D"/>
    <w:rsid w:val="00AA5D20"/>
    <w:rsid w:val="00AA693C"/>
    <w:rsid w:val="00AA6F92"/>
    <w:rsid w:val="00AA7420"/>
    <w:rsid w:val="00AA77B8"/>
    <w:rsid w:val="00AB1DDA"/>
    <w:rsid w:val="00AB6319"/>
    <w:rsid w:val="00AB6703"/>
    <w:rsid w:val="00AB6934"/>
    <w:rsid w:val="00AB7722"/>
    <w:rsid w:val="00AC0B69"/>
    <w:rsid w:val="00AC3EF9"/>
    <w:rsid w:val="00AC4606"/>
    <w:rsid w:val="00AC5A11"/>
    <w:rsid w:val="00AD1D52"/>
    <w:rsid w:val="00AD38EF"/>
    <w:rsid w:val="00AD4906"/>
    <w:rsid w:val="00AE084A"/>
    <w:rsid w:val="00AE3DDE"/>
    <w:rsid w:val="00AE3F3C"/>
    <w:rsid w:val="00AF3E1A"/>
    <w:rsid w:val="00AF42DE"/>
    <w:rsid w:val="00AF53CC"/>
    <w:rsid w:val="00AF5481"/>
    <w:rsid w:val="00AF5EE3"/>
    <w:rsid w:val="00AF6A6D"/>
    <w:rsid w:val="00AF7480"/>
    <w:rsid w:val="00AF7536"/>
    <w:rsid w:val="00AF7F46"/>
    <w:rsid w:val="00B01477"/>
    <w:rsid w:val="00B02592"/>
    <w:rsid w:val="00B03BA3"/>
    <w:rsid w:val="00B10A88"/>
    <w:rsid w:val="00B12B51"/>
    <w:rsid w:val="00B140CB"/>
    <w:rsid w:val="00B15CEA"/>
    <w:rsid w:val="00B1781E"/>
    <w:rsid w:val="00B3039C"/>
    <w:rsid w:val="00B333DA"/>
    <w:rsid w:val="00B3369F"/>
    <w:rsid w:val="00B351AD"/>
    <w:rsid w:val="00B35439"/>
    <w:rsid w:val="00B367D8"/>
    <w:rsid w:val="00B40D6F"/>
    <w:rsid w:val="00B41E3A"/>
    <w:rsid w:val="00B450FF"/>
    <w:rsid w:val="00B50FAE"/>
    <w:rsid w:val="00B51FC6"/>
    <w:rsid w:val="00B52116"/>
    <w:rsid w:val="00B53730"/>
    <w:rsid w:val="00B628D2"/>
    <w:rsid w:val="00B63981"/>
    <w:rsid w:val="00B667C5"/>
    <w:rsid w:val="00B67A96"/>
    <w:rsid w:val="00B831CB"/>
    <w:rsid w:val="00B8502D"/>
    <w:rsid w:val="00B8570E"/>
    <w:rsid w:val="00B87E95"/>
    <w:rsid w:val="00B94E6C"/>
    <w:rsid w:val="00B95E19"/>
    <w:rsid w:val="00BA059F"/>
    <w:rsid w:val="00BA12B2"/>
    <w:rsid w:val="00BA3D53"/>
    <w:rsid w:val="00BB3222"/>
    <w:rsid w:val="00BB4606"/>
    <w:rsid w:val="00BB4CA9"/>
    <w:rsid w:val="00BB6600"/>
    <w:rsid w:val="00BB67AC"/>
    <w:rsid w:val="00BB7830"/>
    <w:rsid w:val="00BB7B51"/>
    <w:rsid w:val="00BC0182"/>
    <w:rsid w:val="00BC402C"/>
    <w:rsid w:val="00BC71E4"/>
    <w:rsid w:val="00BC7B7C"/>
    <w:rsid w:val="00BD1372"/>
    <w:rsid w:val="00BD42C7"/>
    <w:rsid w:val="00BD4DB3"/>
    <w:rsid w:val="00BD69C0"/>
    <w:rsid w:val="00BE183F"/>
    <w:rsid w:val="00BE312D"/>
    <w:rsid w:val="00BE56BF"/>
    <w:rsid w:val="00BF6CE2"/>
    <w:rsid w:val="00C02497"/>
    <w:rsid w:val="00C138F3"/>
    <w:rsid w:val="00C16BF0"/>
    <w:rsid w:val="00C21B27"/>
    <w:rsid w:val="00C23D2F"/>
    <w:rsid w:val="00C2757B"/>
    <w:rsid w:val="00C3120C"/>
    <w:rsid w:val="00C31A8C"/>
    <w:rsid w:val="00C37DB0"/>
    <w:rsid w:val="00C40554"/>
    <w:rsid w:val="00C40C7A"/>
    <w:rsid w:val="00C4151E"/>
    <w:rsid w:val="00C41BEB"/>
    <w:rsid w:val="00C441E3"/>
    <w:rsid w:val="00C443BD"/>
    <w:rsid w:val="00C451C5"/>
    <w:rsid w:val="00C510DB"/>
    <w:rsid w:val="00C5194A"/>
    <w:rsid w:val="00C552CC"/>
    <w:rsid w:val="00C61B31"/>
    <w:rsid w:val="00C63927"/>
    <w:rsid w:val="00C67588"/>
    <w:rsid w:val="00C75225"/>
    <w:rsid w:val="00C75CF3"/>
    <w:rsid w:val="00C7694D"/>
    <w:rsid w:val="00C77ACF"/>
    <w:rsid w:val="00C77D3B"/>
    <w:rsid w:val="00C82674"/>
    <w:rsid w:val="00C84D66"/>
    <w:rsid w:val="00C84F29"/>
    <w:rsid w:val="00C9161D"/>
    <w:rsid w:val="00C9270B"/>
    <w:rsid w:val="00C97038"/>
    <w:rsid w:val="00CA0C1D"/>
    <w:rsid w:val="00CA6414"/>
    <w:rsid w:val="00CB029D"/>
    <w:rsid w:val="00CB1636"/>
    <w:rsid w:val="00CB3D0E"/>
    <w:rsid w:val="00CB4500"/>
    <w:rsid w:val="00CC0956"/>
    <w:rsid w:val="00CC3ACA"/>
    <w:rsid w:val="00CC4BC3"/>
    <w:rsid w:val="00CC5355"/>
    <w:rsid w:val="00CC5557"/>
    <w:rsid w:val="00CC6DF8"/>
    <w:rsid w:val="00CC6FFB"/>
    <w:rsid w:val="00CC7E65"/>
    <w:rsid w:val="00CD17EE"/>
    <w:rsid w:val="00CD2A65"/>
    <w:rsid w:val="00CD54F6"/>
    <w:rsid w:val="00CD7C07"/>
    <w:rsid w:val="00CE006B"/>
    <w:rsid w:val="00CE0B43"/>
    <w:rsid w:val="00CE0D1E"/>
    <w:rsid w:val="00CE38B9"/>
    <w:rsid w:val="00CE3E51"/>
    <w:rsid w:val="00CF1848"/>
    <w:rsid w:val="00CF18EB"/>
    <w:rsid w:val="00CF27AA"/>
    <w:rsid w:val="00D00AB3"/>
    <w:rsid w:val="00D00D17"/>
    <w:rsid w:val="00D01DE2"/>
    <w:rsid w:val="00D03356"/>
    <w:rsid w:val="00D06A0C"/>
    <w:rsid w:val="00D11367"/>
    <w:rsid w:val="00D12044"/>
    <w:rsid w:val="00D139FC"/>
    <w:rsid w:val="00D14F11"/>
    <w:rsid w:val="00D170D9"/>
    <w:rsid w:val="00D17338"/>
    <w:rsid w:val="00D20A7A"/>
    <w:rsid w:val="00D23811"/>
    <w:rsid w:val="00D2758A"/>
    <w:rsid w:val="00D30263"/>
    <w:rsid w:val="00D30AD4"/>
    <w:rsid w:val="00D33EFC"/>
    <w:rsid w:val="00D34449"/>
    <w:rsid w:val="00D35F4F"/>
    <w:rsid w:val="00D40DBC"/>
    <w:rsid w:val="00D42B74"/>
    <w:rsid w:val="00D4369D"/>
    <w:rsid w:val="00D439E4"/>
    <w:rsid w:val="00D44485"/>
    <w:rsid w:val="00D46FAF"/>
    <w:rsid w:val="00D521E3"/>
    <w:rsid w:val="00D54939"/>
    <w:rsid w:val="00D55533"/>
    <w:rsid w:val="00D57EEB"/>
    <w:rsid w:val="00D60000"/>
    <w:rsid w:val="00D601C1"/>
    <w:rsid w:val="00D610A5"/>
    <w:rsid w:val="00D61C85"/>
    <w:rsid w:val="00D62BA2"/>
    <w:rsid w:val="00D62EDC"/>
    <w:rsid w:val="00D65E6D"/>
    <w:rsid w:val="00D72DAC"/>
    <w:rsid w:val="00D747B6"/>
    <w:rsid w:val="00D755D5"/>
    <w:rsid w:val="00D75CA6"/>
    <w:rsid w:val="00D76A18"/>
    <w:rsid w:val="00D80849"/>
    <w:rsid w:val="00D82E8F"/>
    <w:rsid w:val="00D83EA3"/>
    <w:rsid w:val="00D90508"/>
    <w:rsid w:val="00D9374A"/>
    <w:rsid w:val="00D94E20"/>
    <w:rsid w:val="00D97251"/>
    <w:rsid w:val="00DA5CF4"/>
    <w:rsid w:val="00DA76A1"/>
    <w:rsid w:val="00DB0050"/>
    <w:rsid w:val="00DB4C04"/>
    <w:rsid w:val="00DB5E0F"/>
    <w:rsid w:val="00DB71E6"/>
    <w:rsid w:val="00DC05C5"/>
    <w:rsid w:val="00DC2C5A"/>
    <w:rsid w:val="00DC402C"/>
    <w:rsid w:val="00DC475D"/>
    <w:rsid w:val="00DD118C"/>
    <w:rsid w:val="00DD1FE2"/>
    <w:rsid w:val="00DE1FD9"/>
    <w:rsid w:val="00DE5871"/>
    <w:rsid w:val="00DE65A5"/>
    <w:rsid w:val="00DE765C"/>
    <w:rsid w:val="00DF0777"/>
    <w:rsid w:val="00DF4DFB"/>
    <w:rsid w:val="00E005B7"/>
    <w:rsid w:val="00E04464"/>
    <w:rsid w:val="00E044FF"/>
    <w:rsid w:val="00E04775"/>
    <w:rsid w:val="00E052D5"/>
    <w:rsid w:val="00E0691E"/>
    <w:rsid w:val="00E06CF3"/>
    <w:rsid w:val="00E07FFA"/>
    <w:rsid w:val="00E10703"/>
    <w:rsid w:val="00E108CB"/>
    <w:rsid w:val="00E10BA2"/>
    <w:rsid w:val="00E116E0"/>
    <w:rsid w:val="00E13DB7"/>
    <w:rsid w:val="00E164C5"/>
    <w:rsid w:val="00E179E4"/>
    <w:rsid w:val="00E20CDE"/>
    <w:rsid w:val="00E278A9"/>
    <w:rsid w:val="00E308D6"/>
    <w:rsid w:val="00E32622"/>
    <w:rsid w:val="00E32A35"/>
    <w:rsid w:val="00E33FE9"/>
    <w:rsid w:val="00E4301F"/>
    <w:rsid w:val="00E5040D"/>
    <w:rsid w:val="00E54B5A"/>
    <w:rsid w:val="00E560D9"/>
    <w:rsid w:val="00E57F39"/>
    <w:rsid w:val="00E62818"/>
    <w:rsid w:val="00E63795"/>
    <w:rsid w:val="00E66235"/>
    <w:rsid w:val="00E70D8E"/>
    <w:rsid w:val="00E716FA"/>
    <w:rsid w:val="00E7245A"/>
    <w:rsid w:val="00E72FFC"/>
    <w:rsid w:val="00E73713"/>
    <w:rsid w:val="00E74C30"/>
    <w:rsid w:val="00E8261E"/>
    <w:rsid w:val="00E82C97"/>
    <w:rsid w:val="00E83C24"/>
    <w:rsid w:val="00E83D02"/>
    <w:rsid w:val="00E86496"/>
    <w:rsid w:val="00E91D01"/>
    <w:rsid w:val="00E9280F"/>
    <w:rsid w:val="00E9309D"/>
    <w:rsid w:val="00E9318D"/>
    <w:rsid w:val="00E93F3E"/>
    <w:rsid w:val="00E95DC0"/>
    <w:rsid w:val="00E973E3"/>
    <w:rsid w:val="00EA2484"/>
    <w:rsid w:val="00EA4857"/>
    <w:rsid w:val="00EA79B7"/>
    <w:rsid w:val="00EB426D"/>
    <w:rsid w:val="00EB66E5"/>
    <w:rsid w:val="00EB7286"/>
    <w:rsid w:val="00EC0FA0"/>
    <w:rsid w:val="00EC26EE"/>
    <w:rsid w:val="00EC32A6"/>
    <w:rsid w:val="00EC49FF"/>
    <w:rsid w:val="00EC61B8"/>
    <w:rsid w:val="00ED037F"/>
    <w:rsid w:val="00ED42C3"/>
    <w:rsid w:val="00ED49DE"/>
    <w:rsid w:val="00EE3BBB"/>
    <w:rsid w:val="00EE4310"/>
    <w:rsid w:val="00EE488B"/>
    <w:rsid w:val="00EE6C42"/>
    <w:rsid w:val="00EF1E58"/>
    <w:rsid w:val="00EF23B5"/>
    <w:rsid w:val="00EF7402"/>
    <w:rsid w:val="00EF7F57"/>
    <w:rsid w:val="00F0265A"/>
    <w:rsid w:val="00F063C2"/>
    <w:rsid w:val="00F226C4"/>
    <w:rsid w:val="00F249DC"/>
    <w:rsid w:val="00F24C21"/>
    <w:rsid w:val="00F25DBB"/>
    <w:rsid w:val="00F30684"/>
    <w:rsid w:val="00F33C73"/>
    <w:rsid w:val="00F34FBD"/>
    <w:rsid w:val="00F36D97"/>
    <w:rsid w:val="00F36F75"/>
    <w:rsid w:val="00F40EAF"/>
    <w:rsid w:val="00F422E5"/>
    <w:rsid w:val="00F425FC"/>
    <w:rsid w:val="00F426FD"/>
    <w:rsid w:val="00F430D1"/>
    <w:rsid w:val="00F4381F"/>
    <w:rsid w:val="00F438CC"/>
    <w:rsid w:val="00F443C2"/>
    <w:rsid w:val="00F5094C"/>
    <w:rsid w:val="00F52D6E"/>
    <w:rsid w:val="00F53193"/>
    <w:rsid w:val="00F5357E"/>
    <w:rsid w:val="00F56436"/>
    <w:rsid w:val="00F57901"/>
    <w:rsid w:val="00F6586C"/>
    <w:rsid w:val="00F672C0"/>
    <w:rsid w:val="00F713B6"/>
    <w:rsid w:val="00F71AED"/>
    <w:rsid w:val="00F7266D"/>
    <w:rsid w:val="00F8055E"/>
    <w:rsid w:val="00F82AA2"/>
    <w:rsid w:val="00F9038B"/>
    <w:rsid w:val="00F90719"/>
    <w:rsid w:val="00F94774"/>
    <w:rsid w:val="00F96465"/>
    <w:rsid w:val="00FA0FFF"/>
    <w:rsid w:val="00FA663B"/>
    <w:rsid w:val="00FA7100"/>
    <w:rsid w:val="00FB0EC4"/>
    <w:rsid w:val="00FB6890"/>
    <w:rsid w:val="00FB689F"/>
    <w:rsid w:val="00FC0286"/>
    <w:rsid w:val="00FC06C3"/>
    <w:rsid w:val="00FC13F0"/>
    <w:rsid w:val="00FC1864"/>
    <w:rsid w:val="00FC4B32"/>
    <w:rsid w:val="00FC53DB"/>
    <w:rsid w:val="00FC5A71"/>
    <w:rsid w:val="00FD0B6E"/>
    <w:rsid w:val="00FD6CBE"/>
    <w:rsid w:val="00FE378F"/>
    <w:rsid w:val="00FE3824"/>
    <w:rsid w:val="00FE38CE"/>
    <w:rsid w:val="00FE3B4D"/>
    <w:rsid w:val="00FE3B88"/>
    <w:rsid w:val="00FE4B0B"/>
    <w:rsid w:val="00FE573E"/>
    <w:rsid w:val="00FE59CE"/>
    <w:rsid w:val="00FE6604"/>
    <w:rsid w:val="00FE6F52"/>
    <w:rsid w:val="00FF02EF"/>
    <w:rsid w:val="00FF04B7"/>
    <w:rsid w:val="00FF3D35"/>
    <w:rsid w:val="00FF3EF8"/>
    <w:rsid w:val="00FF71F5"/>
    <w:rsid w:val="00FF7DB0"/>
    <w:rsid w:val="00FF7E2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3FFA1671-6333-459B-87B2-81F44568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756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A756D"/>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4"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256FD">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50E51"/>
    <w:rsid w:val="001017B7"/>
    <w:rsid w:val="0010614F"/>
    <w:rsid w:val="001A6243"/>
    <w:rsid w:val="00267AEB"/>
    <w:rsid w:val="002D5EC4"/>
    <w:rsid w:val="003268DD"/>
    <w:rsid w:val="00337072"/>
    <w:rsid w:val="00463284"/>
    <w:rsid w:val="00477770"/>
    <w:rsid w:val="00554A90"/>
    <w:rsid w:val="00581EAC"/>
    <w:rsid w:val="005D49EC"/>
    <w:rsid w:val="00691471"/>
    <w:rsid w:val="0073064B"/>
    <w:rsid w:val="00761A81"/>
    <w:rsid w:val="008256FD"/>
    <w:rsid w:val="00835894"/>
    <w:rsid w:val="00997A79"/>
    <w:rsid w:val="00B26A57"/>
    <w:rsid w:val="00B50FAE"/>
    <w:rsid w:val="00BC3C2D"/>
    <w:rsid w:val="00CB029D"/>
    <w:rsid w:val="00CF0FCF"/>
    <w:rsid w:val="00D44485"/>
    <w:rsid w:val="00DD3DB8"/>
    <w:rsid w:val="00E4438F"/>
    <w:rsid w:val="00EB7993"/>
    <w:rsid w:val="00F14725"/>
    <w:rsid w:val="00FD0B6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1B697BD-49AB-4107-A890-AA91AC305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4</TotalTime>
  <Pages>3</Pages>
  <Words>1487</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SCBD</Company>
  <LinksUpToDate>false</LinksUpToDate>
  <CharactersWithSpaces>9947</CharactersWithSpaces>
  <SharedDoc>false</SharedDoc>
  <HLinks>
    <vt:vector size="30" baseType="variant">
      <vt:variant>
        <vt:i4>5439581</vt:i4>
      </vt:variant>
      <vt:variant>
        <vt:i4>3</vt:i4>
      </vt:variant>
      <vt:variant>
        <vt:i4>0</vt:i4>
      </vt:variant>
      <vt:variant>
        <vt:i4>5</vt:i4>
      </vt:variant>
      <vt:variant>
        <vt:lpwstr>https://www.cbd.int/decisions/np-mop/?m=np-mop-05</vt:lpwstr>
      </vt:variant>
      <vt:variant>
        <vt:lpwstr/>
      </vt:variant>
      <vt:variant>
        <vt:i4>5505089</vt:i4>
      </vt:variant>
      <vt:variant>
        <vt:i4>0</vt:i4>
      </vt:variant>
      <vt:variant>
        <vt:i4>0</vt:i4>
      </vt:variant>
      <vt:variant>
        <vt:i4>5</vt:i4>
      </vt:variant>
      <vt:variant>
        <vt:lpwstr>https://www.cbd.int/decisions/np-mop?m=np-mop-04</vt:lpwstr>
      </vt:variant>
      <vt:variant>
        <vt:lpwstr/>
      </vt:variant>
      <vt:variant>
        <vt:i4>5111815</vt:i4>
      </vt:variant>
      <vt:variant>
        <vt:i4>6</vt:i4>
      </vt:variant>
      <vt:variant>
        <vt:i4>0</vt:i4>
      </vt:variant>
      <vt:variant>
        <vt:i4>5</vt:i4>
      </vt:variant>
      <vt:variant>
        <vt:lpwstr>https://www.cbd.int/documents/CBD/SBI/7/7</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CBD/NP/MOP/6/L.6</dc:subject>
  <dc:creator>Veronique Lefebvre</dc:creator>
  <cp:keywords>Convention on Biological Diversity</cp:keywords>
  <cp:lastModifiedBy>Veronique Lefebvre</cp:lastModifiedBy>
  <cp:revision>5</cp:revision>
  <cp:lastPrinted>2020-01-22T04:56:00Z</cp:lastPrinted>
  <dcterms:created xsi:type="dcterms:W3CDTF">2026-10-23T12:04:00Z</dcterms:created>
  <dcterms:modified xsi:type="dcterms:W3CDTF">2026-10-23T12:08:00Z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