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AF5854" w:rsidTr="00CB08C3">
        <w:trPr>
          <w:trHeight w:val="709"/>
        </w:trPr>
        <w:tc>
          <w:tcPr>
            <w:tcW w:w="976"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rPr>
                <w:snapToGrid w:val="0"/>
                <w:kern w:val="22"/>
              </w:rPr>
            </w:pPr>
            <w:r w:rsidRPr="00C91779">
              <w:rPr>
                <w:noProof/>
                <w:snapToGrid w:val="0"/>
                <w:kern w:val="22"/>
                <w:lang w:eastAsia="zh-CN"/>
              </w:rPr>
              <w:drawing>
                <wp:inline distT="0" distB="0" distL="0" distR="0" wp14:anchorId="6D2EF2EA" wp14:editId="3D29DFB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rPr>
                <w:snapToGrid w:val="0"/>
                <w:kern w:val="22"/>
              </w:rPr>
            </w:pPr>
            <w:r w:rsidRPr="00C91779">
              <w:rPr>
                <w:noProof/>
                <w:snapToGrid w:val="0"/>
                <w:kern w:val="22"/>
                <w:lang w:eastAsia="zh-CN"/>
              </w:rPr>
              <w:drawing>
                <wp:inline distT="0" distB="0" distL="0" distR="0" wp14:anchorId="2F5C593E" wp14:editId="04D85F5E">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779" w:rsidRDefault="00207A6E" w:rsidP="00C91779">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C91779">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F5854" w:rsidTr="009554D5">
        <w:trPr>
          <w:trHeight w:val="1693"/>
        </w:trPr>
        <w:tc>
          <w:tcPr>
            <w:tcW w:w="6227" w:type="dxa"/>
            <w:tcBorders>
              <w:top w:val="nil"/>
              <w:bottom w:val="single" w:sz="36" w:space="0" w:color="000000"/>
            </w:tcBorders>
          </w:tcPr>
          <w:p w:rsidR="00F16F02" w:rsidRPr="00AF5854" w:rsidRDefault="00F16F02" w:rsidP="00C91779">
            <w:pPr>
              <w:suppressLineNumbers/>
              <w:suppressAutoHyphens/>
              <w:kinsoku w:val="0"/>
              <w:overflowPunct w:val="0"/>
              <w:autoSpaceDE w:val="0"/>
              <w:autoSpaceDN w:val="0"/>
              <w:adjustRightInd w:val="0"/>
              <w:snapToGrid w:val="0"/>
              <w:rPr>
                <w:snapToGrid w:val="0"/>
                <w:kern w:val="22"/>
              </w:rPr>
            </w:pPr>
          </w:p>
          <w:p w:rsidR="00F16F02" w:rsidRPr="00AF5854" w:rsidRDefault="00F16F02" w:rsidP="00C91779">
            <w:pPr>
              <w:suppressLineNumbers/>
              <w:suppressAutoHyphens/>
              <w:kinsoku w:val="0"/>
              <w:overflowPunct w:val="0"/>
              <w:autoSpaceDE w:val="0"/>
              <w:autoSpaceDN w:val="0"/>
              <w:adjustRightInd w:val="0"/>
              <w:snapToGrid w:val="0"/>
              <w:rPr>
                <w:snapToGrid w:val="0"/>
                <w:kern w:val="22"/>
              </w:rPr>
            </w:pPr>
            <w:r w:rsidRPr="00C91779">
              <w:rPr>
                <w:noProof/>
                <w:snapToGrid w:val="0"/>
                <w:kern w:val="22"/>
                <w:lang w:eastAsia="zh-CN"/>
              </w:rPr>
              <w:drawing>
                <wp:inline distT="0" distB="0" distL="0" distR="0" wp14:anchorId="626670B7" wp14:editId="0EFF1412">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AF5854" w:rsidRDefault="00F16F02" w:rsidP="00C91779">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AF5854" w:rsidRDefault="00F16F02" w:rsidP="00C91779">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AF5854" w:rsidRDefault="00F16F02" w:rsidP="00C91779">
            <w:pPr>
              <w:suppressLineNumbers/>
              <w:suppressAutoHyphens/>
              <w:kinsoku w:val="0"/>
              <w:overflowPunct w:val="0"/>
              <w:autoSpaceDE w:val="0"/>
              <w:autoSpaceDN w:val="0"/>
              <w:adjustRightInd w:val="0"/>
              <w:snapToGrid w:val="0"/>
              <w:ind w:left="63"/>
              <w:rPr>
                <w:snapToGrid w:val="0"/>
                <w:kern w:val="22"/>
                <w:szCs w:val="22"/>
              </w:rPr>
            </w:pPr>
            <w:r w:rsidRPr="00AF5854">
              <w:rPr>
                <w:snapToGrid w:val="0"/>
                <w:kern w:val="22"/>
                <w:szCs w:val="22"/>
              </w:rPr>
              <w:t>Distr.</w:t>
            </w:r>
          </w:p>
          <w:p w:rsidR="00F16F02" w:rsidRPr="00AF5854" w:rsidRDefault="00F16F02" w:rsidP="00C91779">
            <w:pPr>
              <w:suppressLineNumbers/>
              <w:suppressAutoHyphens/>
              <w:kinsoku w:val="0"/>
              <w:overflowPunct w:val="0"/>
              <w:autoSpaceDE w:val="0"/>
              <w:autoSpaceDN w:val="0"/>
              <w:adjustRightInd w:val="0"/>
              <w:snapToGrid w:val="0"/>
              <w:ind w:left="63"/>
              <w:rPr>
                <w:snapToGrid w:val="0"/>
                <w:kern w:val="22"/>
                <w:szCs w:val="22"/>
              </w:rPr>
            </w:pPr>
            <w:r w:rsidRPr="00AF5854">
              <w:rPr>
                <w:snapToGrid w:val="0"/>
                <w:kern w:val="22"/>
                <w:szCs w:val="22"/>
              </w:rPr>
              <w:t>GENERAL</w:t>
            </w:r>
          </w:p>
          <w:p w:rsidR="00F16F02" w:rsidRPr="00AF5854" w:rsidRDefault="00F16F02" w:rsidP="00C91779">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C91779" w:rsidRDefault="00D51069" w:rsidP="00C91779">
                <w:pPr>
                  <w:suppressLineNumbers/>
                  <w:suppressAutoHyphens/>
                  <w:kinsoku w:val="0"/>
                  <w:overflowPunct w:val="0"/>
                  <w:autoSpaceDE w:val="0"/>
                  <w:autoSpaceDN w:val="0"/>
                  <w:adjustRightInd w:val="0"/>
                  <w:snapToGrid w:val="0"/>
                  <w:ind w:left="63"/>
                  <w:rPr>
                    <w:snapToGrid w:val="0"/>
                    <w:kern w:val="22"/>
                    <w:szCs w:val="22"/>
                  </w:rPr>
                </w:pPr>
                <w:r w:rsidRPr="00AF5854">
                  <w:rPr>
                    <w:snapToGrid w:val="0"/>
                    <w:kern w:val="22"/>
                    <w:szCs w:val="22"/>
                  </w:rPr>
                  <w:t>CBD/SB</w:t>
                </w:r>
                <w:r w:rsidR="00843FF1" w:rsidRPr="00AF5854">
                  <w:rPr>
                    <w:snapToGrid w:val="0"/>
                    <w:kern w:val="22"/>
                    <w:szCs w:val="22"/>
                  </w:rPr>
                  <w:t>I/</w:t>
                </w:r>
                <w:r w:rsidR="002E0627" w:rsidRPr="00AF5854">
                  <w:rPr>
                    <w:snapToGrid w:val="0"/>
                    <w:kern w:val="22"/>
                    <w:szCs w:val="22"/>
                  </w:rPr>
                  <w:t>2/</w:t>
                </w:r>
                <w:r w:rsidR="004B3C27" w:rsidRPr="00AF5854">
                  <w:rPr>
                    <w:snapToGrid w:val="0"/>
                    <w:kern w:val="22"/>
                    <w:szCs w:val="22"/>
                  </w:rPr>
                  <w:t>2/Add.3</w:t>
                </w:r>
              </w:p>
            </w:sdtContent>
          </w:sdt>
          <w:p w:rsidR="00F16F02" w:rsidRPr="00AF5854" w:rsidRDefault="00D15589" w:rsidP="00C91779">
            <w:pPr>
              <w:suppressLineNumbers/>
              <w:suppressAutoHyphens/>
              <w:kinsoku w:val="0"/>
              <w:overflowPunct w:val="0"/>
              <w:autoSpaceDE w:val="0"/>
              <w:autoSpaceDN w:val="0"/>
              <w:adjustRightInd w:val="0"/>
              <w:snapToGrid w:val="0"/>
              <w:ind w:left="63"/>
              <w:rPr>
                <w:snapToGrid w:val="0"/>
                <w:kern w:val="22"/>
                <w:szCs w:val="22"/>
              </w:rPr>
            </w:pPr>
            <w:r w:rsidRPr="00AF5854">
              <w:rPr>
                <w:snapToGrid w:val="0"/>
                <w:kern w:val="22"/>
                <w:szCs w:val="22"/>
              </w:rPr>
              <w:t>1</w:t>
            </w:r>
            <w:r w:rsidR="00102A65" w:rsidRPr="00AF5854">
              <w:rPr>
                <w:snapToGrid w:val="0"/>
                <w:kern w:val="22"/>
                <w:szCs w:val="22"/>
              </w:rPr>
              <w:t>6</w:t>
            </w:r>
            <w:r w:rsidRPr="00AF5854">
              <w:rPr>
                <w:snapToGrid w:val="0"/>
                <w:kern w:val="22"/>
                <w:szCs w:val="22"/>
              </w:rPr>
              <w:t xml:space="preserve"> </w:t>
            </w:r>
            <w:r w:rsidR="00102A65" w:rsidRPr="00AF5854">
              <w:rPr>
                <w:snapToGrid w:val="0"/>
                <w:kern w:val="22"/>
                <w:szCs w:val="22"/>
              </w:rPr>
              <w:t xml:space="preserve">April </w:t>
            </w:r>
            <w:r w:rsidRPr="00AF5854">
              <w:rPr>
                <w:snapToGrid w:val="0"/>
                <w:kern w:val="22"/>
                <w:szCs w:val="22"/>
              </w:rPr>
              <w:t>2018</w:t>
            </w:r>
          </w:p>
          <w:p w:rsidR="00F16F02" w:rsidRPr="00AF5854" w:rsidRDefault="00F16F02" w:rsidP="00C91779">
            <w:pPr>
              <w:suppressLineNumbers/>
              <w:suppressAutoHyphens/>
              <w:kinsoku w:val="0"/>
              <w:overflowPunct w:val="0"/>
              <w:autoSpaceDE w:val="0"/>
              <w:autoSpaceDN w:val="0"/>
              <w:adjustRightInd w:val="0"/>
              <w:snapToGrid w:val="0"/>
              <w:ind w:left="63"/>
              <w:rPr>
                <w:snapToGrid w:val="0"/>
                <w:kern w:val="22"/>
                <w:szCs w:val="22"/>
              </w:rPr>
            </w:pPr>
          </w:p>
          <w:p w:rsidR="00F16F02" w:rsidRPr="00C91779" w:rsidRDefault="00F16F02" w:rsidP="00C91779">
            <w:pPr>
              <w:suppressLineNumbers/>
              <w:suppressAutoHyphens/>
              <w:kinsoku w:val="0"/>
              <w:overflowPunct w:val="0"/>
              <w:autoSpaceDE w:val="0"/>
              <w:autoSpaceDN w:val="0"/>
              <w:adjustRightInd w:val="0"/>
              <w:snapToGrid w:val="0"/>
              <w:ind w:left="63"/>
              <w:rPr>
                <w:snapToGrid w:val="0"/>
                <w:kern w:val="22"/>
                <w:szCs w:val="22"/>
                <w:u w:val="single"/>
              </w:rPr>
            </w:pPr>
            <w:r w:rsidRPr="00AF5854">
              <w:rPr>
                <w:snapToGrid w:val="0"/>
                <w:kern w:val="22"/>
                <w:szCs w:val="22"/>
              </w:rPr>
              <w:t>ORIGINAL:  ENGLISH</w:t>
            </w:r>
          </w:p>
        </w:tc>
      </w:tr>
    </w:tbl>
    <w:bookmarkStart w:id="0" w:name="Meeting"/>
    <w:p w:rsidR="00CA6B87" w:rsidRPr="00AF5854" w:rsidRDefault="002F3E73" w:rsidP="00C91779">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AF5854">
            <w:rPr>
              <w:kern w:val="22"/>
              <w:szCs w:val="22"/>
            </w:rPr>
            <w:t xml:space="preserve">SUBSIDIARY BODY ON </w:t>
          </w:r>
          <w:r w:rsidR="002E0627" w:rsidRPr="00AF5854">
            <w:rPr>
              <w:kern w:val="22"/>
              <w:szCs w:val="22"/>
            </w:rPr>
            <w:t>IMPLEMENTATION</w:t>
          </w:r>
        </w:sdtContent>
      </w:sdt>
      <w:bookmarkEnd w:id="0"/>
    </w:p>
    <w:p w:rsidR="00D51069" w:rsidRPr="00AF5854" w:rsidRDefault="002E0627" w:rsidP="00C91779">
      <w:pPr>
        <w:suppressLineNumbers/>
        <w:suppressAutoHyphens/>
        <w:kinsoku w:val="0"/>
        <w:overflowPunct w:val="0"/>
        <w:autoSpaceDE w:val="0"/>
        <w:autoSpaceDN w:val="0"/>
        <w:adjustRightInd w:val="0"/>
        <w:snapToGrid w:val="0"/>
        <w:rPr>
          <w:snapToGrid w:val="0"/>
          <w:kern w:val="22"/>
          <w:szCs w:val="22"/>
          <w:lang w:eastAsia="nb-NO"/>
        </w:rPr>
      </w:pPr>
      <w:r w:rsidRPr="00AF5854">
        <w:rPr>
          <w:snapToGrid w:val="0"/>
          <w:kern w:val="22"/>
          <w:szCs w:val="22"/>
          <w:lang w:eastAsia="nb-NO"/>
        </w:rPr>
        <w:t>S</w:t>
      </w:r>
      <w:r w:rsidR="00FB3B70" w:rsidRPr="00AF5854">
        <w:rPr>
          <w:snapToGrid w:val="0"/>
          <w:kern w:val="22"/>
          <w:szCs w:val="22"/>
          <w:lang w:eastAsia="nb-NO"/>
        </w:rPr>
        <w:t>econd</w:t>
      </w:r>
      <w:r w:rsidR="00D51069" w:rsidRPr="00AF5854">
        <w:rPr>
          <w:snapToGrid w:val="0"/>
          <w:kern w:val="22"/>
          <w:szCs w:val="22"/>
          <w:lang w:eastAsia="nb-NO"/>
        </w:rPr>
        <w:t xml:space="preserve"> meeting</w:t>
      </w:r>
    </w:p>
    <w:p w:rsidR="00CA6B87" w:rsidRPr="00AF5854" w:rsidRDefault="00D51069" w:rsidP="00C91779">
      <w:pPr>
        <w:suppressLineNumbers/>
        <w:suppressAutoHyphens/>
        <w:kinsoku w:val="0"/>
        <w:overflowPunct w:val="0"/>
        <w:autoSpaceDE w:val="0"/>
        <w:autoSpaceDN w:val="0"/>
        <w:adjustRightInd w:val="0"/>
        <w:snapToGrid w:val="0"/>
        <w:rPr>
          <w:snapToGrid w:val="0"/>
          <w:kern w:val="22"/>
          <w:szCs w:val="22"/>
          <w:lang w:eastAsia="nb-NO"/>
        </w:rPr>
      </w:pPr>
      <w:r w:rsidRPr="00AF5854">
        <w:rPr>
          <w:snapToGrid w:val="0"/>
          <w:kern w:val="22"/>
          <w:szCs w:val="22"/>
          <w:lang w:eastAsia="nb-NO"/>
        </w:rPr>
        <w:t>Montreal</w:t>
      </w:r>
      <w:r w:rsidR="00CA6B87" w:rsidRPr="00AF5854">
        <w:rPr>
          <w:snapToGrid w:val="0"/>
          <w:kern w:val="22"/>
          <w:szCs w:val="22"/>
          <w:lang w:eastAsia="nb-NO"/>
        </w:rPr>
        <w:t xml:space="preserve">, </w:t>
      </w:r>
      <w:r w:rsidRPr="00AF5854">
        <w:rPr>
          <w:snapToGrid w:val="0"/>
          <w:kern w:val="22"/>
          <w:szCs w:val="22"/>
          <w:lang w:eastAsia="nb-NO"/>
        </w:rPr>
        <w:t xml:space="preserve">Canada, </w:t>
      </w:r>
      <w:r w:rsidR="002E0627" w:rsidRPr="00AF5854">
        <w:rPr>
          <w:snapToGrid w:val="0"/>
          <w:kern w:val="22"/>
          <w:szCs w:val="22"/>
          <w:lang w:eastAsia="nb-NO"/>
        </w:rPr>
        <w:t>9-13</w:t>
      </w:r>
      <w:r w:rsidR="00D15589" w:rsidRPr="00AF5854">
        <w:rPr>
          <w:snapToGrid w:val="0"/>
          <w:kern w:val="22"/>
          <w:szCs w:val="22"/>
          <w:lang w:eastAsia="nb-NO"/>
        </w:rPr>
        <w:t xml:space="preserve"> July 2018</w:t>
      </w:r>
    </w:p>
    <w:p w:rsidR="00CA6B87" w:rsidRPr="00AF5854" w:rsidRDefault="00D51069" w:rsidP="00C91779">
      <w:pPr>
        <w:suppressLineNumbers/>
        <w:suppressAutoHyphens/>
        <w:kinsoku w:val="0"/>
        <w:overflowPunct w:val="0"/>
        <w:autoSpaceDE w:val="0"/>
        <w:autoSpaceDN w:val="0"/>
        <w:adjustRightInd w:val="0"/>
        <w:snapToGrid w:val="0"/>
        <w:rPr>
          <w:snapToGrid w:val="0"/>
          <w:kern w:val="22"/>
          <w:szCs w:val="22"/>
          <w:lang w:eastAsia="nb-NO"/>
        </w:rPr>
      </w:pPr>
      <w:r w:rsidRPr="00AF5854">
        <w:rPr>
          <w:snapToGrid w:val="0"/>
          <w:kern w:val="22"/>
          <w:szCs w:val="22"/>
          <w:lang w:eastAsia="nb-NO"/>
        </w:rPr>
        <w:t>I</w:t>
      </w:r>
      <w:r w:rsidR="00CA6B87" w:rsidRPr="00AF5854">
        <w:rPr>
          <w:snapToGrid w:val="0"/>
          <w:kern w:val="22"/>
          <w:szCs w:val="22"/>
          <w:lang w:eastAsia="nb-NO"/>
        </w:rPr>
        <w:t xml:space="preserve">tem </w:t>
      </w:r>
      <w:r w:rsidR="00102A65" w:rsidRPr="00AF5854">
        <w:rPr>
          <w:snapToGrid w:val="0"/>
          <w:kern w:val="22"/>
          <w:szCs w:val="22"/>
          <w:lang w:eastAsia="nb-NO"/>
        </w:rPr>
        <w:t xml:space="preserve">3 </w:t>
      </w:r>
      <w:r w:rsidRPr="00AF5854">
        <w:rPr>
          <w:snapToGrid w:val="0"/>
          <w:kern w:val="22"/>
          <w:szCs w:val="22"/>
          <w:lang w:eastAsia="nb-NO"/>
        </w:rPr>
        <w:t>of the provisional agenda</w:t>
      </w:r>
      <w:r w:rsidRPr="00C91779">
        <w:rPr>
          <w:rStyle w:val="FootnoteReference"/>
          <w:snapToGrid w:val="0"/>
          <w:kern w:val="22"/>
          <w:sz w:val="22"/>
          <w:szCs w:val="22"/>
          <w:u w:val="none"/>
          <w:lang w:eastAsia="nb-NO"/>
        </w:rPr>
        <w:footnoteReference w:customMarkFollows="1" w:id="1"/>
        <w:t>*</w:t>
      </w:r>
    </w:p>
    <w:p w:rsidR="00406BC6" w:rsidRPr="00C91779" w:rsidRDefault="002F3E73" w:rsidP="00C91779">
      <w:pPr>
        <w:pStyle w:val="Heading1"/>
        <w:suppressLineNumbers/>
        <w:suppressAutoHyphens/>
        <w:kinsoku w:val="0"/>
        <w:overflowPunct w:val="0"/>
        <w:autoSpaceDE w:val="0"/>
        <w:autoSpaceDN w:val="0"/>
        <w:adjustRightInd w:val="0"/>
        <w:snapToGrid w:val="0"/>
        <w:rPr>
          <w:snapToGrid w:val="0"/>
          <w:kern w:val="22"/>
          <w:szCs w:val="22"/>
        </w:rPr>
      </w:pPr>
      <w:sdt>
        <w:sdtPr>
          <w:rPr>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8551D5" w:rsidRPr="00AF5854">
            <w:rPr>
              <w:snapToGrid w:val="0"/>
              <w:kern w:val="22"/>
              <w:szCs w:val="22"/>
            </w:rPr>
            <w:t>Progress in the implementation of the 2015-2020 Gender Plan of Action</w:t>
          </w:r>
        </w:sdtContent>
      </w:sdt>
    </w:p>
    <w:p w:rsidR="00C85EA4" w:rsidRPr="00AF5854" w:rsidRDefault="00D9611E" w:rsidP="00C91779">
      <w:pPr>
        <w:pStyle w:val="Heading2"/>
        <w:suppressLineNumbers/>
        <w:suppressAutoHyphens/>
        <w:kinsoku w:val="0"/>
        <w:overflowPunct w:val="0"/>
        <w:autoSpaceDE w:val="0"/>
        <w:autoSpaceDN w:val="0"/>
        <w:adjustRightInd w:val="0"/>
        <w:snapToGrid w:val="0"/>
        <w:rPr>
          <w:b w:val="0"/>
          <w:i/>
          <w:snapToGrid w:val="0"/>
          <w:kern w:val="22"/>
          <w:szCs w:val="22"/>
        </w:rPr>
      </w:pPr>
      <w:r w:rsidRPr="00AF5854">
        <w:rPr>
          <w:b w:val="0"/>
          <w:i/>
          <w:snapToGrid w:val="0"/>
          <w:kern w:val="22"/>
          <w:szCs w:val="22"/>
        </w:rPr>
        <w:t>Note by the Executive Secretary</w:t>
      </w:r>
    </w:p>
    <w:p w:rsidR="005D46C1" w:rsidRPr="00C91779" w:rsidRDefault="005D46C1" w:rsidP="00C91779">
      <w:pPr>
        <w:pStyle w:val="Heading1"/>
        <w:suppressLineNumbers/>
        <w:suppressAutoHyphens/>
        <w:kinsoku w:val="0"/>
        <w:overflowPunct w:val="0"/>
        <w:autoSpaceDE w:val="0"/>
        <w:autoSpaceDN w:val="0"/>
        <w:adjustRightInd w:val="0"/>
        <w:snapToGrid w:val="0"/>
        <w:spacing w:before="120"/>
        <w:rPr>
          <w:b w:val="0"/>
          <w:snapToGrid w:val="0"/>
          <w:kern w:val="22"/>
          <w:szCs w:val="22"/>
        </w:rPr>
      </w:pPr>
      <w:r w:rsidRPr="00C91779">
        <w:rPr>
          <w:caps w:val="0"/>
          <w:snapToGrid w:val="0"/>
          <w:kern w:val="22"/>
          <w:szCs w:val="22"/>
        </w:rPr>
        <w:t>INTRODUCTION</w:t>
      </w:r>
    </w:p>
    <w:p w:rsidR="005D46C1" w:rsidRPr="00C91779" w:rsidRDefault="00BB3AA3"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At its twelfth meeting, the Conference of the Parties adopted decision </w:t>
      </w:r>
      <w:hyperlink r:id="rId12" w:history="1">
        <w:r w:rsidRPr="00C91779">
          <w:rPr>
            <w:rStyle w:val="Hyperlink"/>
            <w:kern w:val="22"/>
            <w:szCs w:val="22"/>
          </w:rPr>
          <w:t>XII/7</w:t>
        </w:r>
      </w:hyperlink>
      <w:r w:rsidRPr="00C91779">
        <w:rPr>
          <w:kern w:val="22"/>
          <w:szCs w:val="22"/>
        </w:rPr>
        <w:t xml:space="preserve">, </w:t>
      </w:r>
      <w:r w:rsidR="006B41E0" w:rsidRPr="00C91779">
        <w:rPr>
          <w:kern w:val="22"/>
          <w:szCs w:val="22"/>
        </w:rPr>
        <w:t xml:space="preserve">in </w:t>
      </w:r>
      <w:r w:rsidRPr="00C91779">
        <w:rPr>
          <w:kern w:val="22"/>
          <w:szCs w:val="22"/>
        </w:rPr>
        <w:t xml:space="preserve">which </w:t>
      </w:r>
      <w:r w:rsidR="006B41E0" w:rsidRPr="00C91779">
        <w:rPr>
          <w:kern w:val="22"/>
          <w:szCs w:val="22"/>
        </w:rPr>
        <w:t xml:space="preserve">it </w:t>
      </w:r>
      <w:r w:rsidRPr="00C91779">
        <w:rPr>
          <w:kern w:val="22"/>
          <w:szCs w:val="22"/>
        </w:rPr>
        <w:t>welcomed the 2015-2020 Gender Plan of Action under the Convention on Biological Diversity. The Plan includes a detailed set of possible actions to be undertaken by Parties and a framework for actions by the Secretariat, towards integrating gender considerations in work to implement the Convention.</w:t>
      </w:r>
    </w:p>
    <w:p w:rsidR="00BB3AA3" w:rsidRPr="00C91779" w:rsidRDefault="006B41E0"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T</w:t>
      </w:r>
      <w:r w:rsidR="005C69CF" w:rsidRPr="00C91779">
        <w:rPr>
          <w:kern w:val="22"/>
          <w:szCs w:val="22"/>
        </w:rPr>
        <w:t xml:space="preserve">hree years following its establishment, the Plan is now at the midway point, which </w:t>
      </w:r>
      <w:r w:rsidR="00B37586" w:rsidRPr="00C91779">
        <w:rPr>
          <w:kern w:val="22"/>
          <w:szCs w:val="22"/>
        </w:rPr>
        <w:t>offers</w:t>
      </w:r>
      <w:r w:rsidR="00BB3AA3" w:rsidRPr="00C91779">
        <w:rPr>
          <w:kern w:val="22"/>
          <w:szCs w:val="22"/>
        </w:rPr>
        <w:t xml:space="preserve"> </w:t>
      </w:r>
      <w:r w:rsidR="005C69CF" w:rsidRPr="00C91779">
        <w:rPr>
          <w:kern w:val="22"/>
          <w:szCs w:val="22"/>
        </w:rPr>
        <w:t>a useful</w:t>
      </w:r>
      <w:r w:rsidR="00D57E6F" w:rsidRPr="00C91779">
        <w:rPr>
          <w:kern w:val="22"/>
          <w:szCs w:val="22"/>
        </w:rPr>
        <w:t xml:space="preserve"> opportunity to </w:t>
      </w:r>
      <w:r w:rsidR="008478EE" w:rsidRPr="00C91779">
        <w:rPr>
          <w:kern w:val="22"/>
          <w:szCs w:val="22"/>
        </w:rPr>
        <w:t>consider</w:t>
      </w:r>
      <w:r w:rsidR="00D57E6F" w:rsidRPr="00C91779">
        <w:rPr>
          <w:kern w:val="22"/>
          <w:szCs w:val="22"/>
        </w:rPr>
        <w:t xml:space="preserve"> information on </w:t>
      </w:r>
      <w:r w:rsidR="00141343" w:rsidRPr="00AF5854">
        <w:rPr>
          <w:kern w:val="22"/>
          <w:szCs w:val="22"/>
        </w:rPr>
        <w:t xml:space="preserve">the </w:t>
      </w:r>
      <w:r w:rsidR="00D57E6F" w:rsidRPr="00C91779">
        <w:rPr>
          <w:kern w:val="22"/>
          <w:szCs w:val="22"/>
        </w:rPr>
        <w:t xml:space="preserve">progress </w:t>
      </w:r>
      <w:r w:rsidR="00141343" w:rsidRPr="00AF5854">
        <w:rPr>
          <w:kern w:val="22"/>
          <w:szCs w:val="22"/>
        </w:rPr>
        <w:t>in</w:t>
      </w:r>
      <w:r w:rsidR="00C642AE" w:rsidRPr="00C91779">
        <w:rPr>
          <w:kern w:val="22"/>
          <w:szCs w:val="22"/>
        </w:rPr>
        <w:t xml:space="preserve"> its</w:t>
      </w:r>
      <w:r w:rsidR="00D57E6F" w:rsidRPr="00C91779">
        <w:rPr>
          <w:kern w:val="22"/>
          <w:szCs w:val="22"/>
        </w:rPr>
        <w:t xml:space="preserve"> implementation </w:t>
      </w:r>
      <w:r w:rsidR="00C642AE" w:rsidRPr="00C91779">
        <w:rPr>
          <w:kern w:val="22"/>
          <w:szCs w:val="22"/>
        </w:rPr>
        <w:t xml:space="preserve">made </w:t>
      </w:r>
      <w:r w:rsidR="00D57E6F" w:rsidRPr="00C91779">
        <w:rPr>
          <w:kern w:val="22"/>
          <w:szCs w:val="22"/>
        </w:rPr>
        <w:t xml:space="preserve">by Parties and </w:t>
      </w:r>
      <w:r w:rsidR="00BB3AA3" w:rsidRPr="00C91779">
        <w:rPr>
          <w:kern w:val="22"/>
          <w:szCs w:val="22"/>
        </w:rPr>
        <w:t xml:space="preserve">the Secretariat. The present </w:t>
      </w:r>
      <w:r w:rsidR="00C642AE" w:rsidRPr="00C91779">
        <w:rPr>
          <w:kern w:val="22"/>
          <w:szCs w:val="22"/>
        </w:rPr>
        <w:t xml:space="preserve">document </w:t>
      </w:r>
      <w:r w:rsidR="00BB3AA3" w:rsidRPr="00C91779">
        <w:rPr>
          <w:kern w:val="22"/>
          <w:szCs w:val="22"/>
        </w:rPr>
        <w:t xml:space="preserve">provides an analysis of actions taken by the Parties and the Secretariat, and includes suggested recommendations, including those relevant to the development of the post-2020 biodiversity framework. </w:t>
      </w:r>
      <w:bookmarkStart w:id="1" w:name="_Hlk514058439"/>
      <w:r w:rsidR="00BB3AA3" w:rsidRPr="00C91779">
        <w:rPr>
          <w:kern w:val="22"/>
          <w:szCs w:val="22"/>
        </w:rPr>
        <w:t xml:space="preserve">More details on the activities carried out by </w:t>
      </w:r>
      <w:r w:rsidR="005C69CF" w:rsidRPr="00C91779">
        <w:rPr>
          <w:kern w:val="22"/>
          <w:szCs w:val="22"/>
        </w:rPr>
        <w:t xml:space="preserve">Parties and </w:t>
      </w:r>
      <w:r w:rsidR="00D9611E" w:rsidRPr="00C91779">
        <w:rPr>
          <w:kern w:val="22"/>
          <w:szCs w:val="22"/>
        </w:rPr>
        <w:t xml:space="preserve">by </w:t>
      </w:r>
      <w:r w:rsidR="00BB3AA3" w:rsidRPr="00C91779">
        <w:rPr>
          <w:kern w:val="22"/>
          <w:szCs w:val="22"/>
        </w:rPr>
        <w:t>the Secretariat</w:t>
      </w:r>
      <w:r w:rsidR="008478EE" w:rsidRPr="00C91779">
        <w:rPr>
          <w:kern w:val="22"/>
          <w:szCs w:val="22"/>
        </w:rPr>
        <w:t xml:space="preserve"> </w:t>
      </w:r>
      <w:r w:rsidR="00BB3AA3" w:rsidRPr="00C91779">
        <w:rPr>
          <w:kern w:val="22"/>
          <w:szCs w:val="22"/>
        </w:rPr>
        <w:t>are provided in an associated information document (</w:t>
      </w:r>
      <w:r w:rsidR="00975D03" w:rsidRPr="00C91779">
        <w:rPr>
          <w:kern w:val="22"/>
          <w:szCs w:val="22"/>
        </w:rPr>
        <w:t>CBD/SBI/2/INF/11</w:t>
      </w:r>
      <w:r w:rsidR="00BB3AA3" w:rsidRPr="00C91779">
        <w:rPr>
          <w:kern w:val="22"/>
          <w:szCs w:val="22"/>
        </w:rPr>
        <w:t>)</w:t>
      </w:r>
      <w:bookmarkEnd w:id="1"/>
      <w:r w:rsidR="00BB3AA3" w:rsidRPr="00C91779">
        <w:rPr>
          <w:kern w:val="22"/>
          <w:szCs w:val="22"/>
        </w:rPr>
        <w:t>.</w:t>
      </w:r>
    </w:p>
    <w:p w:rsidR="002C6E53" w:rsidRPr="00C91779" w:rsidRDefault="00BA1B2A"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The 2015-2020 Gender Plan of Action</w:t>
      </w:r>
      <w:r w:rsidR="006F7E12" w:rsidRPr="00C91779">
        <w:rPr>
          <w:kern w:val="22"/>
          <w:szCs w:val="22"/>
        </w:rPr>
        <w:t xml:space="preserve"> builds on the Convention’s first Gender Plan of Action, which was welcomed </w:t>
      </w:r>
      <w:r w:rsidR="003B0EF1" w:rsidRPr="00C91779">
        <w:rPr>
          <w:kern w:val="22"/>
          <w:szCs w:val="22"/>
        </w:rPr>
        <w:t xml:space="preserve">by the Conference of the Parties in </w:t>
      </w:r>
      <w:r w:rsidR="006F7E12" w:rsidRPr="00C91779">
        <w:rPr>
          <w:kern w:val="22"/>
          <w:szCs w:val="22"/>
        </w:rPr>
        <w:t xml:space="preserve">decision </w:t>
      </w:r>
      <w:hyperlink r:id="rId13" w:history="1">
        <w:r w:rsidR="006F7E12" w:rsidRPr="00C91779">
          <w:rPr>
            <w:rStyle w:val="Hyperlink"/>
            <w:kern w:val="22"/>
            <w:szCs w:val="22"/>
          </w:rPr>
          <w:t>IX/24</w:t>
        </w:r>
      </w:hyperlink>
      <w:r w:rsidR="006F7E12" w:rsidRPr="00C91779">
        <w:rPr>
          <w:kern w:val="22"/>
          <w:szCs w:val="22"/>
        </w:rPr>
        <w:t>, in May 2008. Updated to align with the Strategic Plan for Biodiversity 2011-2020 and its Aichi Biodiversity Targets, the 2015-2020 Plan was also expanded to include possible actions for Parties.</w:t>
      </w:r>
      <w:r w:rsidRPr="00C91779">
        <w:rPr>
          <w:kern w:val="22"/>
          <w:szCs w:val="22"/>
        </w:rPr>
        <w:t xml:space="preserve"> </w:t>
      </w:r>
      <w:r w:rsidR="005D46C1" w:rsidRPr="00C91779">
        <w:rPr>
          <w:kern w:val="22"/>
          <w:szCs w:val="22"/>
        </w:rPr>
        <w:t xml:space="preserve">The </w:t>
      </w:r>
      <w:r w:rsidR="00606302" w:rsidRPr="00C91779">
        <w:rPr>
          <w:kern w:val="22"/>
          <w:szCs w:val="22"/>
        </w:rPr>
        <w:t xml:space="preserve">four strategic objectives </w:t>
      </w:r>
      <w:r w:rsidR="00E53778" w:rsidRPr="00C91779">
        <w:rPr>
          <w:kern w:val="22"/>
          <w:szCs w:val="22"/>
        </w:rPr>
        <w:t xml:space="preserve">of </w:t>
      </w:r>
      <w:r w:rsidR="00606302" w:rsidRPr="00C91779">
        <w:rPr>
          <w:kern w:val="22"/>
          <w:szCs w:val="22"/>
        </w:rPr>
        <w:t>the Plan remain the same</w:t>
      </w:r>
      <w:r w:rsidR="005D46C1" w:rsidRPr="00C91779">
        <w:rPr>
          <w:kern w:val="22"/>
          <w:szCs w:val="22"/>
        </w:rPr>
        <w:t xml:space="preserve">: </w:t>
      </w:r>
      <w:r w:rsidR="00E53778" w:rsidRPr="00C91779">
        <w:rPr>
          <w:kern w:val="22"/>
          <w:szCs w:val="22"/>
        </w:rPr>
        <w:t>(a) </w:t>
      </w:r>
      <w:r w:rsidR="005D46C1" w:rsidRPr="00C91779">
        <w:rPr>
          <w:kern w:val="22"/>
          <w:szCs w:val="22"/>
        </w:rPr>
        <w:t xml:space="preserve">to mainstream a gender perspective in the implementation of the Convention and the associated work of the Parties and the Secretariat; </w:t>
      </w:r>
      <w:r w:rsidR="00E53778" w:rsidRPr="00C91779">
        <w:rPr>
          <w:kern w:val="22"/>
          <w:szCs w:val="22"/>
        </w:rPr>
        <w:t>(b) </w:t>
      </w:r>
      <w:r w:rsidR="005D46C1" w:rsidRPr="00C91779">
        <w:rPr>
          <w:kern w:val="22"/>
          <w:szCs w:val="22"/>
        </w:rPr>
        <w:t xml:space="preserve">to promote gender equality in achieving the objectives of the Convention, the Strategic Plan for Biodiversity 2011-2020 and the Aichi Biodiversity Targets; </w:t>
      </w:r>
      <w:r w:rsidR="00E53778" w:rsidRPr="00C91779">
        <w:rPr>
          <w:kern w:val="22"/>
          <w:szCs w:val="22"/>
        </w:rPr>
        <w:t>(c) </w:t>
      </w:r>
      <w:r w:rsidR="005D46C1" w:rsidRPr="00C91779">
        <w:rPr>
          <w:kern w:val="22"/>
          <w:szCs w:val="22"/>
        </w:rPr>
        <w:t xml:space="preserve">to demonstrate the benefits of gender mainstreaming in the achievement of the Convention’s objectives; and </w:t>
      </w:r>
      <w:r w:rsidR="00E53778" w:rsidRPr="00C91779">
        <w:rPr>
          <w:kern w:val="22"/>
          <w:szCs w:val="22"/>
        </w:rPr>
        <w:t>(d) </w:t>
      </w:r>
      <w:r w:rsidR="005D46C1" w:rsidRPr="00C91779">
        <w:rPr>
          <w:kern w:val="22"/>
          <w:szCs w:val="22"/>
        </w:rPr>
        <w:t>to increase the effectiveness of all work under the Convention.</w:t>
      </w:r>
    </w:p>
    <w:p w:rsidR="00B37586" w:rsidRPr="00C91779" w:rsidRDefault="00606302"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This </w:t>
      </w:r>
      <w:r w:rsidR="00B37586" w:rsidRPr="00C91779">
        <w:rPr>
          <w:kern w:val="22"/>
          <w:szCs w:val="22"/>
        </w:rPr>
        <w:t>review of</w:t>
      </w:r>
      <w:r w:rsidRPr="00C91779">
        <w:rPr>
          <w:kern w:val="22"/>
          <w:szCs w:val="22"/>
        </w:rPr>
        <w:t xml:space="preserve"> progress in implementation of the 2015-2020 Gender Plan of Action is based on consideration of actions</w:t>
      </w:r>
      <w:r w:rsidR="002C6E53" w:rsidRPr="00C91779">
        <w:rPr>
          <w:kern w:val="22"/>
          <w:szCs w:val="22"/>
        </w:rPr>
        <w:t xml:space="preserve"> by Parties, stakeholders and the Secretariat</w:t>
      </w:r>
      <w:r w:rsidRPr="00C91779">
        <w:rPr>
          <w:kern w:val="22"/>
          <w:szCs w:val="22"/>
        </w:rPr>
        <w:t xml:space="preserve"> in </w:t>
      </w:r>
      <w:r w:rsidR="003B0EF1" w:rsidRPr="00C91779">
        <w:rPr>
          <w:kern w:val="22"/>
          <w:szCs w:val="22"/>
        </w:rPr>
        <w:t xml:space="preserve">the </w:t>
      </w:r>
      <w:r w:rsidRPr="00C91779">
        <w:rPr>
          <w:kern w:val="22"/>
          <w:szCs w:val="22"/>
        </w:rPr>
        <w:t xml:space="preserve">light of the Plan’s four strategic objectives. </w:t>
      </w:r>
      <w:r w:rsidR="002C6E53" w:rsidRPr="00C91779">
        <w:rPr>
          <w:kern w:val="22"/>
          <w:szCs w:val="22"/>
        </w:rPr>
        <w:t xml:space="preserve">As the sixth national reports on implementation of the Convention are requested for submission to the Secretariat by 31 December 2018, this information is not available for consideration in the present review of progress. </w:t>
      </w:r>
      <w:r w:rsidR="009418A8" w:rsidRPr="00C91779">
        <w:rPr>
          <w:kern w:val="22"/>
          <w:szCs w:val="22"/>
        </w:rPr>
        <w:t>The present</w:t>
      </w:r>
      <w:r w:rsidR="002C6E53" w:rsidRPr="00C91779">
        <w:rPr>
          <w:kern w:val="22"/>
          <w:szCs w:val="22"/>
        </w:rPr>
        <w:t xml:space="preserve"> report instead draws on a number of different </w:t>
      </w:r>
      <w:r w:rsidR="00BF790B" w:rsidRPr="00C91779">
        <w:rPr>
          <w:kern w:val="22"/>
          <w:szCs w:val="22"/>
        </w:rPr>
        <w:t>reviews</w:t>
      </w:r>
      <w:r w:rsidR="002C6E53" w:rsidRPr="00C91779">
        <w:rPr>
          <w:kern w:val="22"/>
          <w:szCs w:val="22"/>
        </w:rPr>
        <w:t xml:space="preserve"> </w:t>
      </w:r>
      <w:r w:rsidR="00BF790B" w:rsidRPr="00C91779">
        <w:rPr>
          <w:kern w:val="22"/>
          <w:szCs w:val="22"/>
        </w:rPr>
        <w:t xml:space="preserve">undertaken by the Secretariat </w:t>
      </w:r>
      <w:r w:rsidR="002C6E53" w:rsidRPr="00C91779">
        <w:rPr>
          <w:kern w:val="22"/>
          <w:szCs w:val="22"/>
        </w:rPr>
        <w:t>of actions by Parties and stakeholders to implement the Gender Plan of Action.</w:t>
      </w:r>
      <w:bookmarkStart w:id="2" w:name="_GoBack"/>
      <w:bookmarkEnd w:id="2"/>
    </w:p>
    <w:p w:rsidR="00B37586" w:rsidRPr="00C91779" w:rsidRDefault="00B37586" w:rsidP="00C91779">
      <w:pPr>
        <w:pStyle w:val="Heading1"/>
        <w:numPr>
          <w:ilvl w:val="0"/>
          <w:numId w:val="66"/>
        </w:numPr>
        <w:suppressLineNumbers/>
        <w:tabs>
          <w:tab w:val="left" w:pos="360"/>
        </w:tabs>
        <w:suppressAutoHyphens/>
        <w:kinsoku w:val="0"/>
        <w:overflowPunct w:val="0"/>
        <w:autoSpaceDE w:val="0"/>
        <w:autoSpaceDN w:val="0"/>
        <w:adjustRightInd w:val="0"/>
        <w:snapToGrid w:val="0"/>
        <w:spacing w:before="120"/>
        <w:ind w:left="0" w:firstLine="0"/>
        <w:rPr>
          <w:b w:val="0"/>
          <w:snapToGrid w:val="0"/>
          <w:kern w:val="22"/>
          <w:szCs w:val="22"/>
        </w:rPr>
      </w:pPr>
      <w:r w:rsidRPr="00C91779">
        <w:rPr>
          <w:caps w:val="0"/>
          <w:snapToGrid w:val="0"/>
          <w:kern w:val="22"/>
          <w:szCs w:val="22"/>
        </w:rPr>
        <w:t>ACTIONS BY PARTIES AND STAKEHOLDERS</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A</w:t>
      </w:r>
      <w:r w:rsidR="00FF2FAF" w:rsidRPr="00C91779">
        <w:rPr>
          <w:kern w:val="22"/>
          <w:szCs w:val="22"/>
        </w:rPr>
        <w:t>s noted above, the Gender Plan of Action identifies a number of potential actions for Parties</w:t>
      </w:r>
      <w:r w:rsidR="009E650C" w:rsidRPr="00C91779">
        <w:rPr>
          <w:kern w:val="22"/>
          <w:szCs w:val="22"/>
        </w:rPr>
        <w:t xml:space="preserve">, which include integrating gender considerations in national biodiversity strategies and action plans </w:t>
      </w:r>
      <w:r w:rsidR="009E650C" w:rsidRPr="00C91779">
        <w:rPr>
          <w:kern w:val="22"/>
          <w:szCs w:val="22"/>
        </w:rPr>
        <w:lastRenderedPageBreak/>
        <w:t>(NBSAPs) as well as ensuring consistency with related conventions</w:t>
      </w:r>
      <w:r w:rsidR="00C17C1A" w:rsidRPr="00C91779">
        <w:rPr>
          <w:kern w:val="22"/>
          <w:szCs w:val="22"/>
        </w:rPr>
        <w:t>, among others</w:t>
      </w:r>
      <w:r w:rsidR="00FF2FAF" w:rsidRPr="00C91779">
        <w:rPr>
          <w:kern w:val="22"/>
          <w:szCs w:val="22"/>
        </w:rPr>
        <w:t xml:space="preserve">. The Secretariat undertook a number of </w:t>
      </w:r>
      <w:r w:rsidR="00BF790B" w:rsidRPr="00C91779">
        <w:rPr>
          <w:kern w:val="22"/>
          <w:szCs w:val="22"/>
        </w:rPr>
        <w:t>efforts</w:t>
      </w:r>
      <w:r w:rsidR="00FF2FAF" w:rsidRPr="00C91779">
        <w:rPr>
          <w:kern w:val="22"/>
          <w:szCs w:val="22"/>
        </w:rPr>
        <w:t xml:space="preserve"> to take stock and r</w:t>
      </w:r>
      <w:r w:rsidR="00BF790B" w:rsidRPr="00C91779">
        <w:rPr>
          <w:kern w:val="22"/>
          <w:szCs w:val="22"/>
        </w:rPr>
        <w:t xml:space="preserve">eview progress made in </w:t>
      </w:r>
      <w:r w:rsidR="00CE0A06" w:rsidRPr="00C91779">
        <w:rPr>
          <w:kern w:val="22"/>
          <w:szCs w:val="22"/>
        </w:rPr>
        <w:t xml:space="preserve">the </w:t>
      </w:r>
      <w:r w:rsidR="00BF790B" w:rsidRPr="00C91779">
        <w:rPr>
          <w:kern w:val="22"/>
          <w:szCs w:val="22"/>
        </w:rPr>
        <w:t xml:space="preserve">implementation of </w:t>
      </w:r>
      <w:r w:rsidR="000D5BB0" w:rsidRPr="00C91779">
        <w:rPr>
          <w:kern w:val="22"/>
          <w:szCs w:val="22"/>
        </w:rPr>
        <w:t>actions</w:t>
      </w:r>
      <w:r w:rsidR="000B4C92" w:rsidRPr="00C91779">
        <w:rPr>
          <w:kern w:val="22"/>
          <w:szCs w:val="22"/>
        </w:rPr>
        <w:t xml:space="preserve"> by Parties</w:t>
      </w:r>
      <w:r w:rsidR="00BF790B" w:rsidRPr="00C91779">
        <w:rPr>
          <w:kern w:val="22"/>
          <w:szCs w:val="22"/>
        </w:rPr>
        <w:t xml:space="preserve">. These include a review of submissions received from a notification on progress in </w:t>
      </w:r>
      <w:r w:rsidR="00CE0A06" w:rsidRPr="00C91779">
        <w:rPr>
          <w:kern w:val="22"/>
          <w:szCs w:val="22"/>
        </w:rPr>
        <w:t xml:space="preserve">the </w:t>
      </w:r>
      <w:r w:rsidR="00BF790B" w:rsidRPr="00C91779">
        <w:rPr>
          <w:kern w:val="22"/>
          <w:szCs w:val="22"/>
        </w:rPr>
        <w:t xml:space="preserve">implementation of the Gender Plan of Action; a review of </w:t>
      </w:r>
      <w:r w:rsidRPr="00C91779">
        <w:rPr>
          <w:kern w:val="22"/>
          <w:szCs w:val="22"/>
        </w:rPr>
        <w:t xml:space="preserve">NBSAPs received by the Secretariat from the tenth meeting of the Conference of the Parties onwards; </w:t>
      </w:r>
      <w:r w:rsidR="00BF790B" w:rsidRPr="00C91779">
        <w:rPr>
          <w:kern w:val="22"/>
          <w:szCs w:val="22"/>
        </w:rPr>
        <w:t xml:space="preserve">and </w:t>
      </w:r>
      <w:r w:rsidR="00C17C1A" w:rsidRPr="00C91779">
        <w:rPr>
          <w:kern w:val="22"/>
          <w:szCs w:val="22"/>
        </w:rPr>
        <w:t xml:space="preserve">an analysis </w:t>
      </w:r>
      <w:r w:rsidRPr="00C91779">
        <w:rPr>
          <w:kern w:val="22"/>
          <w:szCs w:val="22"/>
        </w:rPr>
        <w:t xml:space="preserve">of results of a survey on </w:t>
      </w:r>
      <w:r w:rsidR="00BF790B" w:rsidRPr="00C91779">
        <w:rPr>
          <w:kern w:val="22"/>
          <w:szCs w:val="22"/>
        </w:rPr>
        <w:t xml:space="preserve">joint </w:t>
      </w:r>
      <w:r w:rsidRPr="00C91779">
        <w:rPr>
          <w:kern w:val="22"/>
          <w:szCs w:val="22"/>
        </w:rPr>
        <w:t>capacity</w:t>
      </w:r>
      <w:r w:rsidR="00CE0A06" w:rsidRPr="00C91779">
        <w:rPr>
          <w:kern w:val="22"/>
          <w:szCs w:val="22"/>
        </w:rPr>
        <w:t>-</w:t>
      </w:r>
      <w:r w:rsidRPr="00C91779">
        <w:rPr>
          <w:kern w:val="22"/>
          <w:szCs w:val="22"/>
        </w:rPr>
        <w:t>building</w:t>
      </w:r>
      <w:r w:rsidR="00BF790B" w:rsidRPr="00C91779">
        <w:rPr>
          <w:kern w:val="22"/>
          <w:szCs w:val="22"/>
        </w:rPr>
        <w:t xml:space="preserve"> needs for gender mainstreaming under the Rio Conventions</w:t>
      </w:r>
      <w:r w:rsidRPr="00C91779">
        <w:rPr>
          <w:kern w:val="22"/>
          <w:szCs w:val="22"/>
        </w:rPr>
        <w:t>.</w:t>
      </w:r>
    </w:p>
    <w:p w:rsidR="00B37586" w:rsidRPr="00C91779"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Cs w:val="22"/>
        </w:rPr>
      </w:pPr>
      <w:r w:rsidRPr="00C91779">
        <w:rPr>
          <w:snapToGrid w:val="0"/>
          <w:kern w:val="22"/>
          <w:szCs w:val="22"/>
        </w:rPr>
        <w:t>A.</w:t>
      </w:r>
      <w:r w:rsidRPr="00C91779">
        <w:rPr>
          <w:snapToGrid w:val="0"/>
          <w:kern w:val="22"/>
          <w:szCs w:val="22"/>
        </w:rPr>
        <w:tab/>
      </w:r>
      <w:r w:rsidR="00B37586" w:rsidRPr="00C91779">
        <w:rPr>
          <w:snapToGrid w:val="0"/>
          <w:kern w:val="22"/>
          <w:szCs w:val="22"/>
        </w:rPr>
        <w:t xml:space="preserve">Submissions received on </w:t>
      </w:r>
      <w:r w:rsidR="00CE0A06" w:rsidRPr="00C91779">
        <w:rPr>
          <w:snapToGrid w:val="0"/>
          <w:kern w:val="22"/>
          <w:szCs w:val="22"/>
        </w:rPr>
        <w:t>p</w:t>
      </w:r>
      <w:r w:rsidR="00B37586" w:rsidRPr="00C91779">
        <w:rPr>
          <w:snapToGrid w:val="0"/>
          <w:kern w:val="22"/>
          <w:szCs w:val="22"/>
        </w:rPr>
        <w:t xml:space="preserve">rogress </w:t>
      </w:r>
      <w:r w:rsidR="00CE0A06" w:rsidRPr="00C91779">
        <w:rPr>
          <w:snapToGrid w:val="0"/>
          <w:kern w:val="22"/>
          <w:szCs w:val="22"/>
        </w:rPr>
        <w:t>in the i</w:t>
      </w:r>
      <w:r w:rsidR="00B37586" w:rsidRPr="00C91779">
        <w:rPr>
          <w:snapToGrid w:val="0"/>
          <w:kern w:val="22"/>
          <w:szCs w:val="22"/>
        </w:rPr>
        <w:t>mplement</w:t>
      </w:r>
      <w:r w:rsidR="00CE0A06" w:rsidRPr="00C91779">
        <w:rPr>
          <w:snapToGrid w:val="0"/>
          <w:kern w:val="22"/>
          <w:szCs w:val="22"/>
        </w:rPr>
        <w:t>ation of</w:t>
      </w:r>
      <w:r w:rsidR="00B37586" w:rsidRPr="00C91779">
        <w:rPr>
          <w:snapToGrid w:val="0"/>
          <w:kern w:val="22"/>
          <w:szCs w:val="22"/>
        </w:rPr>
        <w:t xml:space="preserve"> the Gender Plan of Action</w:t>
      </w:r>
    </w:p>
    <w:p w:rsidR="00AC41F7" w:rsidRPr="00C91779" w:rsidRDefault="00AB70B2"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AF5854">
        <w:rPr>
          <w:kern w:val="22"/>
          <w:szCs w:val="22"/>
        </w:rPr>
        <w:t>Via</w:t>
      </w:r>
      <w:r w:rsidR="00B37586" w:rsidRPr="00C91779">
        <w:rPr>
          <w:kern w:val="22"/>
          <w:szCs w:val="22"/>
        </w:rPr>
        <w:t xml:space="preserve"> a notification </w:t>
      </w:r>
      <w:r w:rsidR="009E535E" w:rsidRPr="00AF5854">
        <w:rPr>
          <w:kern w:val="22"/>
          <w:szCs w:val="22"/>
        </w:rPr>
        <w:t xml:space="preserve">dated 28 November 2017 </w:t>
      </w:r>
      <w:r w:rsidR="00B37586" w:rsidRPr="00C91779">
        <w:rPr>
          <w:kern w:val="22"/>
          <w:szCs w:val="22"/>
        </w:rPr>
        <w:t xml:space="preserve">to Parties, other Governments, indigenous peoples and local communities, and relevant organizations, </w:t>
      </w:r>
      <w:r w:rsidRPr="00AF5854">
        <w:rPr>
          <w:kern w:val="22"/>
          <w:szCs w:val="22"/>
        </w:rPr>
        <w:t>the Secretariat requested</w:t>
      </w:r>
      <w:r w:rsidR="00B37586" w:rsidRPr="00C91779">
        <w:rPr>
          <w:kern w:val="22"/>
          <w:szCs w:val="22"/>
        </w:rPr>
        <w:t xml:space="preserve"> information on progress in implementing the 2015-2020 Gender Plan of Action and any other efforts related to gender mainstreaming</w:t>
      </w:r>
      <w:r w:rsidR="00D76B2B" w:rsidRPr="00AF5854">
        <w:rPr>
          <w:kern w:val="22"/>
          <w:szCs w:val="22"/>
        </w:rPr>
        <w:t>.</w:t>
      </w:r>
      <w:r w:rsidR="00B37586" w:rsidRPr="00C91779">
        <w:rPr>
          <w:rStyle w:val="FootnoteReference"/>
          <w:kern w:val="22"/>
          <w:sz w:val="22"/>
          <w:szCs w:val="22"/>
          <w:u w:val="none"/>
          <w:vertAlign w:val="superscript"/>
        </w:rPr>
        <w:footnoteReference w:id="2"/>
      </w:r>
      <w:r w:rsidR="00B37586" w:rsidRPr="00C91779">
        <w:rPr>
          <w:kern w:val="22"/>
          <w:szCs w:val="22"/>
        </w:rPr>
        <w:t xml:space="preserve"> The time period for submissions was </w:t>
      </w:r>
      <w:r w:rsidR="009975B3" w:rsidRPr="00C91779">
        <w:rPr>
          <w:kern w:val="22"/>
          <w:szCs w:val="22"/>
        </w:rPr>
        <w:t>from</w:t>
      </w:r>
      <w:r w:rsidR="00B37586" w:rsidRPr="00C91779">
        <w:rPr>
          <w:kern w:val="22"/>
          <w:szCs w:val="22"/>
        </w:rPr>
        <w:t xml:space="preserve"> 28 November to 31 January 2018. A total of </w:t>
      </w:r>
      <w:r w:rsidR="00D76B2B" w:rsidRPr="00AF5854">
        <w:rPr>
          <w:kern w:val="22"/>
          <w:szCs w:val="22"/>
        </w:rPr>
        <w:t>11</w:t>
      </w:r>
      <w:r w:rsidR="00D76B2B" w:rsidRPr="00C91779">
        <w:rPr>
          <w:kern w:val="22"/>
          <w:szCs w:val="22"/>
        </w:rPr>
        <w:t xml:space="preserve"> </w:t>
      </w:r>
      <w:r w:rsidR="00B37586" w:rsidRPr="00C91779">
        <w:rPr>
          <w:kern w:val="22"/>
          <w:szCs w:val="22"/>
        </w:rPr>
        <w:t>submissions were received from five Parties</w:t>
      </w:r>
      <w:r w:rsidR="00B37586" w:rsidRPr="00C91779">
        <w:rPr>
          <w:rStyle w:val="FootnoteReference"/>
          <w:kern w:val="22"/>
          <w:sz w:val="22"/>
          <w:szCs w:val="22"/>
          <w:u w:val="none"/>
          <w:vertAlign w:val="superscript"/>
        </w:rPr>
        <w:footnoteReference w:id="3"/>
      </w:r>
      <w:r w:rsidR="00B37586" w:rsidRPr="00C91779">
        <w:rPr>
          <w:kern w:val="22"/>
          <w:szCs w:val="22"/>
          <w:vertAlign w:val="superscript"/>
        </w:rPr>
        <w:t xml:space="preserve"> </w:t>
      </w:r>
      <w:r w:rsidR="00B37586" w:rsidRPr="00C91779">
        <w:rPr>
          <w:kern w:val="22"/>
          <w:szCs w:val="22"/>
        </w:rPr>
        <w:t>and seven organizations</w:t>
      </w:r>
      <w:r w:rsidR="00CE0A06" w:rsidRPr="00C91779">
        <w:rPr>
          <w:kern w:val="22"/>
          <w:szCs w:val="22"/>
        </w:rPr>
        <w:t>.</w:t>
      </w:r>
      <w:r w:rsidR="00B37586" w:rsidRPr="00C91779">
        <w:rPr>
          <w:rStyle w:val="FootnoteReference"/>
          <w:kern w:val="22"/>
          <w:sz w:val="22"/>
          <w:szCs w:val="22"/>
          <w:u w:val="none"/>
          <w:vertAlign w:val="superscript"/>
        </w:rPr>
        <w:footnoteReference w:id="4"/>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Submissions pointed to national policies and plans that provide the framework for ensuring consideration of gender equality in national and international priority setting. One example is </w:t>
      </w:r>
      <w:r w:rsidR="00CE0A06" w:rsidRPr="00C91779">
        <w:rPr>
          <w:kern w:val="22"/>
          <w:szCs w:val="22"/>
        </w:rPr>
        <w:t>the</w:t>
      </w:r>
      <w:r w:rsidRPr="00C91779">
        <w:rPr>
          <w:kern w:val="22"/>
          <w:szCs w:val="22"/>
        </w:rPr>
        <w:t xml:space="preserve"> national target </w:t>
      </w:r>
      <w:r w:rsidR="00CE0A06" w:rsidRPr="00C91779">
        <w:rPr>
          <w:kern w:val="22"/>
          <w:szCs w:val="22"/>
        </w:rPr>
        <w:t xml:space="preserve">of Ethiopia </w:t>
      </w:r>
      <w:r w:rsidRPr="00C91779">
        <w:rPr>
          <w:kern w:val="22"/>
          <w:szCs w:val="22"/>
        </w:rPr>
        <w:t xml:space="preserve">in </w:t>
      </w:r>
      <w:r w:rsidR="00E46540" w:rsidRPr="00AF5854">
        <w:rPr>
          <w:kern w:val="22"/>
          <w:szCs w:val="22"/>
        </w:rPr>
        <w:t>its</w:t>
      </w:r>
      <w:r w:rsidR="00E46540" w:rsidRPr="00C91779">
        <w:rPr>
          <w:kern w:val="22"/>
          <w:szCs w:val="22"/>
        </w:rPr>
        <w:t xml:space="preserve"> </w:t>
      </w:r>
      <w:r w:rsidRPr="00C91779">
        <w:rPr>
          <w:kern w:val="22"/>
          <w:szCs w:val="22"/>
        </w:rPr>
        <w:t xml:space="preserve">NBSAP to improve women’s access to and control over biodiversity resources and ecosystem services. </w:t>
      </w:r>
      <w:r w:rsidR="0014476C" w:rsidRPr="00C91779">
        <w:rPr>
          <w:kern w:val="22"/>
          <w:szCs w:val="22"/>
        </w:rPr>
        <w:t xml:space="preserve">Brazil highlighted </w:t>
      </w:r>
      <w:r w:rsidR="00335872" w:rsidRPr="00AF5854">
        <w:rPr>
          <w:kern w:val="22"/>
          <w:szCs w:val="22"/>
        </w:rPr>
        <w:t>its</w:t>
      </w:r>
      <w:r w:rsidR="00335872" w:rsidRPr="00C91779">
        <w:rPr>
          <w:kern w:val="22"/>
          <w:szCs w:val="22"/>
        </w:rPr>
        <w:t xml:space="preserve"> </w:t>
      </w:r>
      <w:r w:rsidR="0014476C" w:rsidRPr="00C91779">
        <w:rPr>
          <w:kern w:val="22"/>
          <w:szCs w:val="22"/>
        </w:rPr>
        <w:t>National Strategy for Conservation of Threatened Species, which seek</w:t>
      </w:r>
      <w:r w:rsidR="00E46540" w:rsidRPr="00AF5854">
        <w:rPr>
          <w:kern w:val="22"/>
          <w:szCs w:val="22"/>
        </w:rPr>
        <w:t>s</w:t>
      </w:r>
      <w:r w:rsidR="0014476C" w:rsidRPr="00C91779">
        <w:rPr>
          <w:kern w:val="22"/>
          <w:szCs w:val="22"/>
        </w:rPr>
        <w:t xml:space="preserve"> the full participation of women at all levels of planning and execution of activities. </w:t>
      </w:r>
      <w:r w:rsidRPr="00C91779">
        <w:rPr>
          <w:kern w:val="22"/>
          <w:szCs w:val="22"/>
        </w:rPr>
        <w:t>Submissions also identified a variety of relevant initiatives under</w:t>
      </w:r>
      <w:r w:rsidR="004D6FA6" w:rsidRPr="00AF5854">
        <w:rPr>
          <w:kern w:val="22"/>
          <w:szCs w:val="22"/>
        </w:rPr>
        <w:t xml:space="preserve"> </w:t>
      </w:r>
      <w:r w:rsidRPr="00C91779">
        <w:rPr>
          <w:kern w:val="22"/>
          <w:szCs w:val="22"/>
        </w:rPr>
        <w:t xml:space="preserve">way that have the potential to advance collective efforts to address gender and biodiversity linkages. For example, </w:t>
      </w:r>
      <w:r w:rsidR="00CE0A06" w:rsidRPr="00C91779">
        <w:rPr>
          <w:kern w:val="22"/>
          <w:szCs w:val="22"/>
        </w:rPr>
        <w:t xml:space="preserve">the Food and Agriculture Organization of the United Nations </w:t>
      </w:r>
      <w:r w:rsidRPr="00C91779">
        <w:rPr>
          <w:kern w:val="22"/>
          <w:szCs w:val="22"/>
        </w:rPr>
        <w:t xml:space="preserve">is compiling a data set on employment in aquaculture and fisheries with sex-disaggregated statistics, which is planned for release in 2018. </w:t>
      </w:r>
      <w:r w:rsidR="00CE0A06" w:rsidRPr="00C91779">
        <w:rPr>
          <w:kern w:val="22"/>
          <w:szCs w:val="22"/>
        </w:rPr>
        <w:t xml:space="preserve">The </w:t>
      </w:r>
      <w:hyperlink r:id="rId14" w:history="1">
        <w:r w:rsidR="00CE0A06" w:rsidRPr="00C91779">
          <w:rPr>
            <w:rStyle w:val="Hyperlink"/>
            <w:kern w:val="22"/>
            <w:szCs w:val="22"/>
          </w:rPr>
          <w:t>International Union for Conservation of Nature</w:t>
        </w:r>
      </w:hyperlink>
      <w:r w:rsidR="00CE0A06" w:rsidRPr="00C91779">
        <w:rPr>
          <w:kern w:val="22"/>
          <w:szCs w:val="22"/>
        </w:rPr>
        <w:t xml:space="preserve"> (</w:t>
      </w:r>
      <w:r w:rsidRPr="00C91779">
        <w:rPr>
          <w:kern w:val="22"/>
          <w:szCs w:val="22"/>
        </w:rPr>
        <w:t>IUCN</w:t>
      </w:r>
      <w:r w:rsidR="00CE0A06" w:rsidRPr="00C91779">
        <w:rPr>
          <w:kern w:val="22"/>
          <w:szCs w:val="22"/>
        </w:rPr>
        <w:t>)</w:t>
      </w:r>
      <w:r w:rsidRPr="00C91779">
        <w:rPr>
          <w:kern w:val="22"/>
          <w:szCs w:val="22"/>
        </w:rPr>
        <w:t xml:space="preserve"> and </w:t>
      </w:r>
      <w:r w:rsidR="00CE0A06" w:rsidRPr="00C91779">
        <w:rPr>
          <w:kern w:val="22"/>
          <w:szCs w:val="22"/>
        </w:rPr>
        <w:t xml:space="preserve">the </w:t>
      </w:r>
      <w:hyperlink r:id="rId15" w:history="1">
        <w:r w:rsidRPr="00C91779">
          <w:rPr>
            <w:rStyle w:val="Hyperlink"/>
            <w:kern w:val="22"/>
            <w:szCs w:val="22"/>
          </w:rPr>
          <w:t>U</w:t>
        </w:r>
        <w:r w:rsidR="00CE0A06" w:rsidRPr="00C91779">
          <w:rPr>
            <w:rStyle w:val="Hyperlink"/>
            <w:kern w:val="22"/>
            <w:szCs w:val="22"/>
          </w:rPr>
          <w:t xml:space="preserve">nited </w:t>
        </w:r>
        <w:r w:rsidRPr="00C91779">
          <w:rPr>
            <w:rStyle w:val="Hyperlink"/>
            <w:kern w:val="22"/>
            <w:szCs w:val="22"/>
          </w:rPr>
          <w:t>N</w:t>
        </w:r>
        <w:r w:rsidR="00CE0A06" w:rsidRPr="00C91779">
          <w:rPr>
            <w:rStyle w:val="Hyperlink"/>
            <w:kern w:val="22"/>
            <w:szCs w:val="22"/>
          </w:rPr>
          <w:t>ations</w:t>
        </w:r>
        <w:r w:rsidRPr="00C91779">
          <w:rPr>
            <w:rStyle w:val="Hyperlink"/>
            <w:kern w:val="22"/>
            <w:szCs w:val="22"/>
          </w:rPr>
          <w:t xml:space="preserve"> Environment </w:t>
        </w:r>
        <w:r w:rsidR="00CE0A06" w:rsidRPr="00C91779">
          <w:rPr>
            <w:rStyle w:val="Hyperlink"/>
            <w:kern w:val="22"/>
            <w:szCs w:val="22"/>
          </w:rPr>
          <w:t>Programme</w:t>
        </w:r>
      </w:hyperlink>
      <w:r w:rsidR="00CE0A06" w:rsidRPr="00C91779">
        <w:rPr>
          <w:kern w:val="22"/>
          <w:szCs w:val="22"/>
        </w:rPr>
        <w:t xml:space="preserve"> </w:t>
      </w:r>
      <w:r w:rsidRPr="00C91779">
        <w:rPr>
          <w:kern w:val="22"/>
          <w:szCs w:val="22"/>
        </w:rPr>
        <w:t>are collaborating to identify data and information gaps, explore national case studies, and provide specific recommendations to enhance countries’ strategies and capacities for gathering gender-environment statistics, recommendations from which may inform NBSAP-related and other biodiversity efforts.</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Submissions included actions to apply women’s biodiversity knowledge or environmental leadership</w:t>
      </w:r>
      <w:r w:rsidR="00217F74" w:rsidRPr="00AF5854">
        <w:rPr>
          <w:kern w:val="22"/>
          <w:szCs w:val="22"/>
        </w:rPr>
        <w:t>,</w:t>
      </w:r>
      <w:r w:rsidRPr="00C91779">
        <w:rPr>
          <w:kern w:val="22"/>
          <w:szCs w:val="22"/>
        </w:rPr>
        <w:t xml:space="preserve"> such as</w:t>
      </w:r>
      <w:r w:rsidR="00DB5EF9" w:rsidRPr="00AF5854">
        <w:rPr>
          <w:kern w:val="22"/>
          <w:szCs w:val="22"/>
        </w:rPr>
        <w:t>:</w:t>
      </w:r>
      <w:r w:rsidRPr="00C91779">
        <w:rPr>
          <w:kern w:val="22"/>
          <w:szCs w:val="22"/>
        </w:rPr>
        <w:t xml:space="preserve"> </w:t>
      </w:r>
      <w:r w:rsidR="00F72934" w:rsidRPr="00AF5854">
        <w:rPr>
          <w:kern w:val="22"/>
          <w:szCs w:val="22"/>
        </w:rPr>
        <w:t>(a) </w:t>
      </w:r>
      <w:r w:rsidRPr="00C91779">
        <w:rPr>
          <w:kern w:val="22"/>
          <w:szCs w:val="22"/>
        </w:rPr>
        <w:t xml:space="preserve">ensuring women’s participation in </w:t>
      </w:r>
      <w:r w:rsidRPr="00C91779">
        <w:rPr>
          <w:i/>
          <w:iCs/>
          <w:kern w:val="22"/>
          <w:szCs w:val="22"/>
        </w:rPr>
        <w:t>in</w:t>
      </w:r>
      <w:r w:rsidR="00217F74" w:rsidRPr="00C91779">
        <w:rPr>
          <w:i/>
          <w:iCs/>
          <w:kern w:val="22"/>
          <w:szCs w:val="22"/>
        </w:rPr>
        <w:t> </w:t>
      </w:r>
      <w:r w:rsidRPr="00C91779">
        <w:rPr>
          <w:i/>
          <w:iCs/>
          <w:kern w:val="22"/>
          <w:szCs w:val="22"/>
        </w:rPr>
        <w:t>situ</w:t>
      </w:r>
      <w:r w:rsidRPr="00C91779">
        <w:rPr>
          <w:kern w:val="22"/>
          <w:szCs w:val="22"/>
        </w:rPr>
        <w:t xml:space="preserve"> conservation and improvement programmes; </w:t>
      </w:r>
      <w:r w:rsidR="00DD24C2" w:rsidRPr="00AF5854">
        <w:rPr>
          <w:kern w:val="22"/>
          <w:szCs w:val="22"/>
        </w:rPr>
        <w:t>(b) </w:t>
      </w:r>
      <w:r w:rsidRPr="00C91779">
        <w:rPr>
          <w:kern w:val="22"/>
          <w:szCs w:val="22"/>
        </w:rPr>
        <w:t>supporting women’s equitable participation in community biodiversity governance</w:t>
      </w:r>
      <w:r w:rsidR="00F72934" w:rsidRPr="00AF5854">
        <w:rPr>
          <w:kern w:val="22"/>
          <w:szCs w:val="22"/>
        </w:rPr>
        <w:t>,</w:t>
      </w:r>
      <w:r w:rsidRPr="00C91779">
        <w:rPr>
          <w:kern w:val="22"/>
          <w:szCs w:val="22"/>
        </w:rPr>
        <w:t xml:space="preserve"> and </w:t>
      </w:r>
      <w:r w:rsidR="00DD24C2" w:rsidRPr="00AF5854">
        <w:rPr>
          <w:kern w:val="22"/>
          <w:szCs w:val="22"/>
        </w:rPr>
        <w:t>(c</w:t>
      </w:r>
      <w:r w:rsidR="00F72934" w:rsidRPr="00AF5854">
        <w:rPr>
          <w:kern w:val="22"/>
          <w:szCs w:val="22"/>
        </w:rPr>
        <w:t>) </w:t>
      </w:r>
      <w:r w:rsidRPr="00C91779">
        <w:rPr>
          <w:kern w:val="22"/>
          <w:szCs w:val="22"/>
        </w:rPr>
        <w:t>training on the importance of access and benefit</w:t>
      </w:r>
      <w:r w:rsidR="00CE0A06" w:rsidRPr="00C91779">
        <w:rPr>
          <w:kern w:val="22"/>
          <w:szCs w:val="22"/>
        </w:rPr>
        <w:t>-</w:t>
      </w:r>
      <w:r w:rsidRPr="00C91779">
        <w:rPr>
          <w:kern w:val="22"/>
          <w:szCs w:val="22"/>
        </w:rPr>
        <w:t xml:space="preserve">sharing </w:t>
      </w:r>
      <w:r w:rsidR="00BB0FC8" w:rsidRPr="00AF5854">
        <w:rPr>
          <w:kern w:val="22"/>
          <w:szCs w:val="22"/>
        </w:rPr>
        <w:t>regarding</w:t>
      </w:r>
      <w:r w:rsidR="00BB0FC8" w:rsidRPr="00C91779">
        <w:rPr>
          <w:kern w:val="22"/>
          <w:szCs w:val="22"/>
        </w:rPr>
        <w:t xml:space="preserve"> </w:t>
      </w:r>
      <w:r w:rsidRPr="00C91779">
        <w:rPr>
          <w:kern w:val="22"/>
          <w:szCs w:val="22"/>
        </w:rPr>
        <w:t xml:space="preserve">genetic resources and traditional knowledge, addressing women’s knowledge and conservation practices. Needs identified ranged from </w:t>
      </w:r>
      <w:r w:rsidR="008975E0" w:rsidRPr="00AF5854">
        <w:rPr>
          <w:kern w:val="22"/>
          <w:szCs w:val="22"/>
        </w:rPr>
        <w:t>(a) </w:t>
      </w:r>
      <w:r w:rsidRPr="00C91779">
        <w:rPr>
          <w:kern w:val="22"/>
          <w:szCs w:val="22"/>
        </w:rPr>
        <w:t>document</w:t>
      </w:r>
      <w:r w:rsidR="008975E0" w:rsidRPr="00AF5854">
        <w:rPr>
          <w:kern w:val="22"/>
          <w:szCs w:val="22"/>
        </w:rPr>
        <w:t>ing</w:t>
      </w:r>
      <w:r w:rsidRPr="00C91779">
        <w:rPr>
          <w:kern w:val="22"/>
          <w:szCs w:val="22"/>
        </w:rPr>
        <w:t xml:space="preserve"> traditional knowledge related to gender issues</w:t>
      </w:r>
      <w:r w:rsidR="008975E0" w:rsidRPr="00AF5854">
        <w:rPr>
          <w:kern w:val="22"/>
          <w:szCs w:val="22"/>
        </w:rPr>
        <w:t xml:space="preserve"> and</w:t>
      </w:r>
      <w:r w:rsidRPr="00C91779">
        <w:rPr>
          <w:kern w:val="22"/>
          <w:szCs w:val="22"/>
        </w:rPr>
        <w:t xml:space="preserve"> developing and disseminating case studies articulating gender and biodiversity linkages</w:t>
      </w:r>
      <w:r w:rsidR="00CE0A06" w:rsidRPr="00C91779">
        <w:rPr>
          <w:kern w:val="22"/>
          <w:szCs w:val="22"/>
        </w:rPr>
        <w:t>,</w:t>
      </w:r>
      <w:r w:rsidRPr="00C91779">
        <w:rPr>
          <w:kern w:val="22"/>
          <w:szCs w:val="22"/>
        </w:rPr>
        <w:t xml:space="preserve"> to </w:t>
      </w:r>
      <w:r w:rsidR="008975E0" w:rsidRPr="00AF5854">
        <w:rPr>
          <w:kern w:val="22"/>
          <w:szCs w:val="22"/>
        </w:rPr>
        <w:t>(b) </w:t>
      </w:r>
      <w:r w:rsidRPr="00C91779">
        <w:rPr>
          <w:kern w:val="22"/>
          <w:szCs w:val="22"/>
        </w:rPr>
        <w:t xml:space="preserve">undertaking an independent evaluation of the Gender Plan of Action </w:t>
      </w:r>
      <w:r w:rsidR="008975E0" w:rsidRPr="00AF5854">
        <w:rPr>
          <w:kern w:val="22"/>
          <w:szCs w:val="22"/>
        </w:rPr>
        <w:t>and (c) </w:t>
      </w:r>
      <w:r w:rsidRPr="00C91779">
        <w:rPr>
          <w:kern w:val="22"/>
          <w:szCs w:val="22"/>
        </w:rPr>
        <w:t xml:space="preserve">ensuring </w:t>
      </w:r>
      <w:r w:rsidR="00CE0A06" w:rsidRPr="00C91779">
        <w:rPr>
          <w:kern w:val="22"/>
          <w:szCs w:val="22"/>
        </w:rPr>
        <w:t xml:space="preserve">that </w:t>
      </w:r>
      <w:r w:rsidRPr="00C91779">
        <w:rPr>
          <w:kern w:val="22"/>
          <w:szCs w:val="22"/>
        </w:rPr>
        <w:t xml:space="preserve">gender issues are explicitly incorporated in the process </w:t>
      </w:r>
      <w:r w:rsidR="00CD6FFC" w:rsidRPr="00AF5854">
        <w:rPr>
          <w:kern w:val="22"/>
          <w:szCs w:val="22"/>
        </w:rPr>
        <w:t>of</w:t>
      </w:r>
      <w:r w:rsidR="00CD6FFC" w:rsidRPr="00C91779">
        <w:rPr>
          <w:kern w:val="22"/>
          <w:szCs w:val="22"/>
        </w:rPr>
        <w:t xml:space="preserve"> </w:t>
      </w:r>
      <w:r w:rsidRPr="00C91779">
        <w:rPr>
          <w:kern w:val="22"/>
          <w:szCs w:val="22"/>
        </w:rPr>
        <w:t>develop</w:t>
      </w:r>
      <w:r w:rsidR="00CD6FFC" w:rsidRPr="00AF5854">
        <w:rPr>
          <w:kern w:val="22"/>
          <w:szCs w:val="22"/>
        </w:rPr>
        <w:t>ing</w:t>
      </w:r>
      <w:r w:rsidRPr="00C91779">
        <w:rPr>
          <w:kern w:val="22"/>
          <w:szCs w:val="22"/>
        </w:rPr>
        <w:t xml:space="preserve"> the post-2020 biodiversity framework. Making more explicit links between actions under the Gender Plan of Action and the Sustainable Development Goals</w:t>
      </w:r>
      <w:r w:rsidR="000835D1" w:rsidRPr="00C91779">
        <w:rPr>
          <w:rStyle w:val="FootnoteReference"/>
          <w:kern w:val="22"/>
          <w:sz w:val="22"/>
          <w:szCs w:val="22"/>
          <w:u w:val="none"/>
          <w:vertAlign w:val="superscript"/>
        </w:rPr>
        <w:footnoteReference w:id="5"/>
      </w:r>
      <w:r w:rsidRPr="00C91779">
        <w:rPr>
          <w:kern w:val="22"/>
          <w:szCs w:val="22"/>
        </w:rPr>
        <w:t xml:space="preserve"> was proposed as an opportunity to support further implementation of the Gender Plan of Action.</w:t>
      </w:r>
    </w:p>
    <w:p w:rsidR="00B37586" w:rsidRPr="00C91779"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Cs w:val="22"/>
        </w:rPr>
      </w:pPr>
      <w:r w:rsidRPr="00C91779">
        <w:rPr>
          <w:snapToGrid w:val="0"/>
          <w:kern w:val="22"/>
          <w:szCs w:val="22"/>
        </w:rPr>
        <w:t>B.</w:t>
      </w:r>
      <w:r w:rsidRPr="00C91779">
        <w:rPr>
          <w:snapToGrid w:val="0"/>
          <w:kern w:val="22"/>
          <w:szCs w:val="22"/>
        </w:rPr>
        <w:tab/>
      </w:r>
      <w:r w:rsidR="00B37586" w:rsidRPr="00C91779">
        <w:rPr>
          <w:snapToGrid w:val="0"/>
          <w:kern w:val="22"/>
          <w:szCs w:val="22"/>
        </w:rPr>
        <w:t>Review of post-Nagoya NBSAPs</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The Secretariat undertook a review of revised NBSAPs, received </w:t>
      </w:r>
      <w:r w:rsidR="00BA7293" w:rsidRPr="00AF5854">
        <w:rPr>
          <w:kern w:val="22"/>
          <w:szCs w:val="22"/>
        </w:rPr>
        <w:t xml:space="preserve">in the period </w:t>
      </w:r>
      <w:r w:rsidRPr="00C91779">
        <w:rPr>
          <w:kern w:val="22"/>
          <w:szCs w:val="22"/>
        </w:rPr>
        <w:t xml:space="preserve">following </w:t>
      </w:r>
      <w:r w:rsidR="00BA7293" w:rsidRPr="00AF5854">
        <w:rPr>
          <w:kern w:val="22"/>
          <w:szCs w:val="22"/>
        </w:rPr>
        <w:t>the tenth meeting of the Conference of the Parties</w:t>
      </w:r>
      <w:r w:rsidR="0048173C" w:rsidRPr="00AF5854">
        <w:rPr>
          <w:kern w:val="22"/>
          <w:szCs w:val="22"/>
        </w:rPr>
        <w:t xml:space="preserve"> (November 2010)</w:t>
      </w:r>
      <w:r w:rsidR="00BA7293" w:rsidRPr="00C91779">
        <w:rPr>
          <w:kern w:val="22"/>
          <w:szCs w:val="22"/>
        </w:rPr>
        <w:t xml:space="preserve"> </w:t>
      </w:r>
      <w:r w:rsidRPr="00C91779">
        <w:rPr>
          <w:kern w:val="22"/>
          <w:szCs w:val="22"/>
        </w:rPr>
        <w:t xml:space="preserve">through mid-February 2018 (post-Nagoya NBSAPs), to examine the extent of gender integration in the most recent set of NBSAPs. The results of this review were similar to those of the review previously undertaken by </w:t>
      </w:r>
      <w:r w:rsidR="00D7795C" w:rsidRPr="00AF5854">
        <w:rPr>
          <w:kern w:val="22"/>
          <w:szCs w:val="22"/>
        </w:rPr>
        <w:t xml:space="preserve">the </w:t>
      </w:r>
      <w:r w:rsidRPr="00C91779">
        <w:rPr>
          <w:kern w:val="22"/>
          <w:szCs w:val="22"/>
        </w:rPr>
        <w:t xml:space="preserve">IUCN Global Gender Office, </w:t>
      </w:r>
      <w:r w:rsidRPr="00C91779">
        <w:rPr>
          <w:kern w:val="22"/>
          <w:szCs w:val="22"/>
        </w:rPr>
        <w:lastRenderedPageBreak/>
        <w:t>which considered NBSAPs received by the Secretariat from 1993 through mid-2016</w:t>
      </w:r>
      <w:r w:rsidR="00142E7F" w:rsidRPr="00AF5854">
        <w:rPr>
          <w:kern w:val="22"/>
          <w:szCs w:val="22"/>
        </w:rPr>
        <w:t>.</w:t>
      </w:r>
      <w:r w:rsidRPr="00C91779">
        <w:rPr>
          <w:rStyle w:val="FootnoteReference"/>
          <w:kern w:val="22"/>
          <w:sz w:val="22"/>
          <w:szCs w:val="22"/>
          <w:u w:val="none"/>
          <w:vertAlign w:val="superscript"/>
        </w:rPr>
        <w:footnoteReference w:id="6"/>
      </w:r>
      <w:r w:rsidRPr="00C91779">
        <w:rPr>
          <w:kern w:val="22"/>
          <w:szCs w:val="22"/>
        </w:rPr>
        <w:t xml:space="preserve"> The Secretariat’s review found that just under half of the post-Nagoya NBSAPs included some reference to gender or women’s issues, and a third of plans identified gender perspectives as part of national targets or actions related to a national target. The majority of these actions focused </w:t>
      </w:r>
      <w:r w:rsidR="006E48AE" w:rsidRPr="00AF5854">
        <w:rPr>
          <w:kern w:val="22"/>
          <w:szCs w:val="22"/>
        </w:rPr>
        <w:t xml:space="preserve">firstly </w:t>
      </w:r>
      <w:r w:rsidRPr="00C91779">
        <w:rPr>
          <w:kern w:val="22"/>
          <w:szCs w:val="22"/>
        </w:rPr>
        <w:t>on increasing women’s awareness of biodiversity conservation issues and secondly on increasing women’s participation in biodiversity conservation.</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Women were predominantly characterized as a vulnerable group in NBSAPs, often in tandem with youth, with rural women identified as a particularly vulnerable or target group. </w:t>
      </w:r>
      <w:r w:rsidR="00C3137B" w:rsidRPr="00C91779">
        <w:rPr>
          <w:kern w:val="22"/>
          <w:szCs w:val="22"/>
        </w:rPr>
        <w:t xml:space="preserve">Lack of involvement of women as stakeholders was identified as a challenge for biodiversity conservation, or an indirect driver of biodiversity loss, in approximately </w:t>
      </w:r>
      <w:r w:rsidR="00AF28C0" w:rsidRPr="00AF5854">
        <w:rPr>
          <w:kern w:val="22"/>
          <w:szCs w:val="22"/>
        </w:rPr>
        <w:t>21 </w:t>
      </w:r>
      <w:r w:rsidRPr="00C91779">
        <w:rPr>
          <w:kern w:val="22"/>
          <w:szCs w:val="22"/>
        </w:rPr>
        <w:t>per cent of NBSAPs</w:t>
      </w:r>
      <w:r w:rsidR="00C3137B" w:rsidRPr="00C91779">
        <w:rPr>
          <w:kern w:val="22"/>
          <w:szCs w:val="22"/>
        </w:rPr>
        <w:t>.</w:t>
      </w:r>
      <w:r w:rsidRPr="00C91779">
        <w:rPr>
          <w:kern w:val="22"/>
          <w:szCs w:val="22"/>
        </w:rPr>
        <w:t xml:space="preserve"> While not all of these</w:t>
      </w:r>
      <w:r w:rsidR="009B7E28" w:rsidRPr="00C91779">
        <w:rPr>
          <w:kern w:val="22"/>
          <w:szCs w:val="22"/>
        </w:rPr>
        <w:t xml:space="preserve"> NBSAPs identified</w:t>
      </w:r>
      <w:r w:rsidRPr="00C91779">
        <w:rPr>
          <w:kern w:val="22"/>
          <w:szCs w:val="22"/>
        </w:rPr>
        <w:t xml:space="preserve"> actions </w:t>
      </w:r>
      <w:r w:rsidR="009B7E28" w:rsidRPr="00C91779">
        <w:rPr>
          <w:kern w:val="22"/>
          <w:szCs w:val="22"/>
        </w:rPr>
        <w:t>to address</w:t>
      </w:r>
      <w:r w:rsidRPr="00C91779">
        <w:rPr>
          <w:kern w:val="22"/>
          <w:szCs w:val="22"/>
        </w:rPr>
        <w:t xml:space="preserve"> </w:t>
      </w:r>
      <w:r w:rsidR="009B7E28" w:rsidRPr="00C91779">
        <w:rPr>
          <w:kern w:val="22"/>
          <w:szCs w:val="22"/>
        </w:rPr>
        <w:t xml:space="preserve">such </w:t>
      </w:r>
      <w:r w:rsidRPr="00C91779">
        <w:rPr>
          <w:kern w:val="22"/>
          <w:szCs w:val="22"/>
        </w:rPr>
        <w:t>gender</w:t>
      </w:r>
      <w:r w:rsidR="009B7E28" w:rsidRPr="00C91779">
        <w:rPr>
          <w:kern w:val="22"/>
          <w:szCs w:val="22"/>
        </w:rPr>
        <w:t xml:space="preserve"> issues</w:t>
      </w:r>
      <w:r w:rsidRPr="00C91779">
        <w:rPr>
          <w:kern w:val="22"/>
          <w:szCs w:val="22"/>
        </w:rPr>
        <w:t>, recognition of the influence of gender on biodiversity objectives is an important step towards integrating gender considerations, particularly as many plans do not clearly acknowledge this link. Some countries that identified multiple gender-related actions also pointed to a need for more information or understanding of gender issues</w:t>
      </w:r>
      <w:r w:rsidR="00C51BE8" w:rsidRPr="00C91779">
        <w:rPr>
          <w:kern w:val="22"/>
          <w:szCs w:val="22"/>
        </w:rPr>
        <w:t xml:space="preserve">. In its </w:t>
      </w:r>
      <w:r w:rsidRPr="00C91779">
        <w:rPr>
          <w:kern w:val="22"/>
          <w:szCs w:val="22"/>
        </w:rPr>
        <w:t>NBSAP</w:t>
      </w:r>
      <w:r w:rsidR="00B228C6" w:rsidRPr="00AF5854">
        <w:rPr>
          <w:kern w:val="22"/>
          <w:szCs w:val="22"/>
        </w:rPr>
        <w:t>,</w:t>
      </w:r>
      <w:r w:rsidRPr="00C91779">
        <w:rPr>
          <w:kern w:val="22"/>
          <w:szCs w:val="22"/>
        </w:rPr>
        <w:t xml:space="preserve"> </w:t>
      </w:r>
      <w:r w:rsidR="00C51BE8" w:rsidRPr="00C91779">
        <w:rPr>
          <w:kern w:val="22"/>
          <w:szCs w:val="22"/>
        </w:rPr>
        <w:t xml:space="preserve">Jamaica </w:t>
      </w:r>
      <w:r w:rsidRPr="00C91779">
        <w:rPr>
          <w:kern w:val="22"/>
          <w:szCs w:val="22"/>
        </w:rPr>
        <w:t xml:space="preserve">recognizes that disparities that exist along gender lines are not well understood in the country, including the roles and needs of men and women with regard to biodiversity. Brazil is working to strengthen scientific research and databases, acknowledging the potential </w:t>
      </w:r>
      <w:r w:rsidR="00B228C6" w:rsidRPr="00AF5854">
        <w:rPr>
          <w:kern w:val="22"/>
          <w:szCs w:val="22"/>
        </w:rPr>
        <w:t xml:space="preserve">that </w:t>
      </w:r>
      <w:r w:rsidRPr="00C91779">
        <w:rPr>
          <w:kern w:val="22"/>
          <w:szCs w:val="22"/>
        </w:rPr>
        <w:t>this holds to address gender issues.</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Overall, even among countries </w:t>
      </w:r>
      <w:r w:rsidR="000B4C92" w:rsidRPr="00C91779">
        <w:rPr>
          <w:kern w:val="22"/>
          <w:szCs w:val="22"/>
        </w:rPr>
        <w:t>that</w:t>
      </w:r>
      <w:r w:rsidRPr="00C91779">
        <w:rPr>
          <w:kern w:val="22"/>
          <w:szCs w:val="22"/>
        </w:rPr>
        <w:t xml:space="preserve"> have recognized gender equality as a guiding principle, or have highlighted that the failure to involve women as stakeholders has been a challenge to biodiversity conservation, </w:t>
      </w:r>
      <w:r w:rsidR="00C3137B" w:rsidRPr="00C91779">
        <w:rPr>
          <w:kern w:val="22"/>
          <w:szCs w:val="22"/>
        </w:rPr>
        <w:t xml:space="preserve">there is often limited information on strategies and actions to apply gender considerations in the NBSAPs, or on the engagement of women’s groups and/or ministries of women’s affairs in the NBSAP review and implementation process. </w:t>
      </w:r>
      <w:r w:rsidRPr="00C91779">
        <w:rPr>
          <w:kern w:val="22"/>
          <w:szCs w:val="22"/>
        </w:rPr>
        <w:t xml:space="preserve">Revised NBSAPs </w:t>
      </w:r>
      <w:r w:rsidR="000F7A9F" w:rsidRPr="00C91779">
        <w:rPr>
          <w:kern w:val="22"/>
          <w:szCs w:val="22"/>
        </w:rPr>
        <w:t xml:space="preserve">further </w:t>
      </w:r>
      <w:r w:rsidRPr="00C91779">
        <w:rPr>
          <w:kern w:val="22"/>
          <w:szCs w:val="22"/>
        </w:rPr>
        <w:t xml:space="preserve">showed no obvious pattern over time to suggest increased attention to gender issues </w:t>
      </w:r>
      <w:r w:rsidR="00847C71" w:rsidRPr="00AF5854">
        <w:rPr>
          <w:kern w:val="22"/>
          <w:szCs w:val="22"/>
        </w:rPr>
        <w:t>from November 2010</w:t>
      </w:r>
      <w:r w:rsidRPr="00C91779">
        <w:rPr>
          <w:kern w:val="22"/>
          <w:szCs w:val="22"/>
        </w:rPr>
        <w:t xml:space="preserve"> until February 2018.</w:t>
      </w:r>
    </w:p>
    <w:p w:rsidR="00B37586" w:rsidRPr="00C91779" w:rsidRDefault="00B35669" w:rsidP="00C91779">
      <w:pPr>
        <w:pStyle w:val="Heading2"/>
        <w:suppressLineNumbers/>
        <w:tabs>
          <w:tab w:val="left" w:pos="360"/>
        </w:tabs>
        <w:suppressAutoHyphens/>
        <w:kinsoku w:val="0"/>
        <w:overflowPunct w:val="0"/>
        <w:autoSpaceDE w:val="0"/>
        <w:autoSpaceDN w:val="0"/>
        <w:adjustRightInd w:val="0"/>
        <w:snapToGrid w:val="0"/>
        <w:rPr>
          <w:b w:val="0"/>
          <w:snapToGrid w:val="0"/>
          <w:kern w:val="22"/>
          <w:szCs w:val="22"/>
        </w:rPr>
      </w:pPr>
      <w:r w:rsidRPr="00C91779">
        <w:rPr>
          <w:snapToGrid w:val="0"/>
          <w:kern w:val="22"/>
          <w:szCs w:val="22"/>
        </w:rPr>
        <w:t>C.</w:t>
      </w:r>
      <w:r w:rsidR="002F216D" w:rsidRPr="00AF5854">
        <w:rPr>
          <w:snapToGrid w:val="0"/>
          <w:kern w:val="22"/>
          <w:szCs w:val="22"/>
        </w:rPr>
        <w:tab/>
      </w:r>
      <w:r w:rsidR="00B37586" w:rsidRPr="00C91779">
        <w:rPr>
          <w:snapToGrid w:val="0"/>
          <w:kern w:val="22"/>
          <w:szCs w:val="22"/>
        </w:rPr>
        <w:t xml:space="preserve">Rio Conventions </w:t>
      </w:r>
      <w:r w:rsidR="00C51BE8" w:rsidRPr="00C91779">
        <w:rPr>
          <w:snapToGrid w:val="0"/>
          <w:kern w:val="22"/>
          <w:szCs w:val="22"/>
        </w:rPr>
        <w:t>s</w:t>
      </w:r>
      <w:r w:rsidR="00B37586" w:rsidRPr="00C91779">
        <w:rPr>
          <w:snapToGrid w:val="0"/>
          <w:kern w:val="22"/>
          <w:szCs w:val="22"/>
        </w:rPr>
        <w:t xml:space="preserve">urvey on </w:t>
      </w:r>
      <w:r w:rsidR="00C51BE8" w:rsidRPr="00C91779">
        <w:rPr>
          <w:snapToGrid w:val="0"/>
          <w:kern w:val="22"/>
          <w:szCs w:val="22"/>
        </w:rPr>
        <w:t>j</w:t>
      </w:r>
      <w:r w:rsidR="00B37586" w:rsidRPr="00C91779">
        <w:rPr>
          <w:snapToGrid w:val="0"/>
          <w:kern w:val="22"/>
          <w:szCs w:val="22"/>
        </w:rPr>
        <w:t xml:space="preserve">oint </w:t>
      </w:r>
      <w:r w:rsidR="00C51BE8" w:rsidRPr="00C91779">
        <w:rPr>
          <w:snapToGrid w:val="0"/>
          <w:kern w:val="22"/>
          <w:szCs w:val="22"/>
        </w:rPr>
        <w:t>c</w:t>
      </w:r>
      <w:r w:rsidR="00B37586" w:rsidRPr="00C91779">
        <w:rPr>
          <w:snapToGrid w:val="0"/>
          <w:kern w:val="22"/>
          <w:szCs w:val="22"/>
        </w:rPr>
        <w:t>apacity</w:t>
      </w:r>
      <w:r w:rsidR="00C51BE8" w:rsidRPr="00C91779">
        <w:rPr>
          <w:snapToGrid w:val="0"/>
          <w:kern w:val="22"/>
          <w:szCs w:val="22"/>
        </w:rPr>
        <w:t>-b</w:t>
      </w:r>
      <w:r w:rsidR="00B37586" w:rsidRPr="00C91779">
        <w:rPr>
          <w:snapToGrid w:val="0"/>
          <w:kern w:val="22"/>
          <w:szCs w:val="22"/>
        </w:rPr>
        <w:t xml:space="preserve">uilding </w:t>
      </w:r>
      <w:r w:rsidR="00C51BE8" w:rsidRPr="00C91779">
        <w:rPr>
          <w:snapToGrid w:val="0"/>
          <w:kern w:val="22"/>
          <w:szCs w:val="22"/>
        </w:rPr>
        <w:t>n</w:t>
      </w:r>
      <w:r w:rsidR="00B37586" w:rsidRPr="00C91779">
        <w:rPr>
          <w:snapToGrid w:val="0"/>
          <w:kern w:val="22"/>
          <w:szCs w:val="22"/>
        </w:rPr>
        <w:t xml:space="preserve">eeds for </w:t>
      </w:r>
      <w:r w:rsidR="00C51BE8" w:rsidRPr="00C91779">
        <w:rPr>
          <w:snapToGrid w:val="0"/>
          <w:kern w:val="22"/>
          <w:szCs w:val="22"/>
        </w:rPr>
        <w:t>g</w:t>
      </w:r>
      <w:r w:rsidR="00B37586" w:rsidRPr="00C91779">
        <w:rPr>
          <w:snapToGrid w:val="0"/>
          <w:kern w:val="22"/>
          <w:szCs w:val="22"/>
        </w:rPr>
        <w:t xml:space="preserve">ender </w:t>
      </w:r>
      <w:r w:rsidR="00C51BE8" w:rsidRPr="00C91779">
        <w:rPr>
          <w:snapToGrid w:val="0"/>
          <w:kern w:val="22"/>
          <w:szCs w:val="22"/>
        </w:rPr>
        <w:t>m</w:t>
      </w:r>
      <w:r w:rsidR="00B37586" w:rsidRPr="00C91779">
        <w:rPr>
          <w:snapToGrid w:val="0"/>
          <w:kern w:val="22"/>
          <w:szCs w:val="22"/>
        </w:rPr>
        <w:t>ainstreaming</w:t>
      </w:r>
    </w:p>
    <w:p w:rsidR="00FF2FAF"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In partnership with the </w:t>
      </w:r>
      <w:hyperlink r:id="rId16" w:history="1">
        <w:r w:rsidRPr="00C91779">
          <w:rPr>
            <w:rStyle w:val="Hyperlink"/>
            <w:kern w:val="22"/>
            <w:szCs w:val="22"/>
          </w:rPr>
          <w:t>United Nations Framework Convention on Climate Change</w:t>
        </w:r>
      </w:hyperlink>
      <w:r w:rsidRPr="00C91779">
        <w:rPr>
          <w:kern w:val="22"/>
          <w:szCs w:val="22"/>
        </w:rPr>
        <w:t xml:space="preserve"> (UNFCCC) and the </w:t>
      </w:r>
      <w:hyperlink r:id="rId17" w:history="1">
        <w:r w:rsidRPr="00C91779">
          <w:rPr>
            <w:rStyle w:val="Hyperlink"/>
            <w:kern w:val="22"/>
            <w:szCs w:val="22"/>
          </w:rPr>
          <w:t>United Nations Convention to Combat Desertification</w:t>
        </w:r>
      </w:hyperlink>
      <w:r w:rsidRPr="00C91779">
        <w:rPr>
          <w:kern w:val="22"/>
          <w:szCs w:val="22"/>
        </w:rPr>
        <w:t xml:space="preserve"> (UNCCD), the Secretariat carried out a survey on joint capacity</w:t>
      </w:r>
      <w:r w:rsidR="00C51BE8" w:rsidRPr="00C91779">
        <w:rPr>
          <w:kern w:val="22"/>
          <w:szCs w:val="22"/>
        </w:rPr>
        <w:t>-</w:t>
      </w:r>
      <w:r w:rsidRPr="00C91779">
        <w:rPr>
          <w:kern w:val="22"/>
          <w:szCs w:val="22"/>
        </w:rPr>
        <w:t xml:space="preserve">building needs for gender mainstreaming, which was open for responses from Parties and stakeholders </w:t>
      </w:r>
      <w:r w:rsidR="009975B3" w:rsidRPr="00C91779">
        <w:rPr>
          <w:kern w:val="22"/>
          <w:szCs w:val="22"/>
        </w:rPr>
        <w:t>from</w:t>
      </w:r>
      <w:r w:rsidRPr="00C91779">
        <w:rPr>
          <w:kern w:val="22"/>
          <w:szCs w:val="22"/>
        </w:rPr>
        <w:t xml:space="preserve"> 4 October to 15 December 2017</w:t>
      </w:r>
      <w:r w:rsidR="00C51BE8" w:rsidRPr="00C91779">
        <w:rPr>
          <w:kern w:val="22"/>
          <w:szCs w:val="22"/>
        </w:rPr>
        <w:t>.</w:t>
      </w:r>
      <w:r w:rsidRPr="00C91779">
        <w:rPr>
          <w:rStyle w:val="FootnoteReference"/>
          <w:kern w:val="22"/>
          <w:sz w:val="22"/>
          <w:szCs w:val="22"/>
          <w:u w:val="none"/>
          <w:vertAlign w:val="superscript"/>
        </w:rPr>
        <w:footnoteReference w:id="7"/>
      </w:r>
      <w:r w:rsidRPr="00C91779">
        <w:rPr>
          <w:kern w:val="22"/>
          <w:szCs w:val="22"/>
        </w:rPr>
        <w:t xml:space="preserve"> The survey and corresponding notification </w:t>
      </w:r>
      <w:r w:rsidR="00E918E3" w:rsidRPr="00AF5854">
        <w:rPr>
          <w:kern w:val="22"/>
          <w:szCs w:val="22"/>
        </w:rPr>
        <w:t>were</w:t>
      </w:r>
      <w:r w:rsidR="00E918E3" w:rsidRPr="00C91779">
        <w:rPr>
          <w:kern w:val="22"/>
          <w:szCs w:val="22"/>
        </w:rPr>
        <w:t xml:space="preserve"> </w:t>
      </w:r>
      <w:r w:rsidRPr="00C91779">
        <w:rPr>
          <w:kern w:val="22"/>
          <w:szCs w:val="22"/>
        </w:rPr>
        <w:t>made available in English, French and Spanish.</w:t>
      </w:r>
    </w:p>
    <w:p w:rsidR="00B37586" w:rsidRPr="00C91779" w:rsidRDefault="00B3758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The survey had a high number of responses</w:t>
      </w:r>
      <w:r w:rsidR="00C51BE8" w:rsidRPr="00C91779">
        <w:rPr>
          <w:kern w:val="22"/>
          <w:szCs w:val="22"/>
        </w:rPr>
        <w:t>,</w:t>
      </w:r>
      <w:r w:rsidRPr="00C91779">
        <w:rPr>
          <w:rStyle w:val="FootnoteReference"/>
          <w:kern w:val="22"/>
          <w:sz w:val="22"/>
          <w:szCs w:val="22"/>
          <w:u w:val="none"/>
          <w:vertAlign w:val="superscript"/>
        </w:rPr>
        <w:footnoteReference w:id="8"/>
      </w:r>
      <w:r w:rsidRPr="00C91779">
        <w:rPr>
          <w:kern w:val="22"/>
          <w:szCs w:val="22"/>
        </w:rPr>
        <w:t xml:space="preserve"> and indicated that there is considerable importance attached to gender mainstreaming in national government institutions, where the majority of respondents were based. Priority organizational needs identified were to increase staff skills and knowledge, and the availability of tools, guidelines and methodologies. Opportunities flagged for joint capacity</w:t>
      </w:r>
      <w:r w:rsidR="00C51BE8" w:rsidRPr="00C91779">
        <w:rPr>
          <w:kern w:val="22"/>
          <w:szCs w:val="22"/>
        </w:rPr>
        <w:t>-</w:t>
      </w:r>
      <w:r w:rsidRPr="00C91779">
        <w:rPr>
          <w:kern w:val="22"/>
          <w:szCs w:val="22"/>
        </w:rPr>
        <w:t>building among the Rio Conventions included</w:t>
      </w:r>
      <w:r w:rsidR="00012045" w:rsidRPr="00AF5854">
        <w:rPr>
          <w:kern w:val="22"/>
          <w:szCs w:val="22"/>
        </w:rPr>
        <w:t>:</w:t>
      </w:r>
      <w:r w:rsidRPr="00C91779">
        <w:rPr>
          <w:kern w:val="22"/>
          <w:szCs w:val="22"/>
        </w:rPr>
        <w:t xml:space="preserve"> improving </w:t>
      </w:r>
      <w:r w:rsidR="00C92AA8" w:rsidRPr="00C91779">
        <w:rPr>
          <w:kern w:val="22"/>
          <w:szCs w:val="22"/>
        </w:rPr>
        <w:t>“</w:t>
      </w:r>
      <w:r w:rsidRPr="00C91779">
        <w:rPr>
          <w:kern w:val="22"/>
          <w:szCs w:val="22"/>
        </w:rPr>
        <w:t>gender literacy</w:t>
      </w:r>
      <w:r w:rsidR="00C92AA8" w:rsidRPr="00C91779">
        <w:rPr>
          <w:kern w:val="22"/>
          <w:szCs w:val="22"/>
        </w:rPr>
        <w:t>”</w:t>
      </w:r>
      <w:r w:rsidRPr="00C91779">
        <w:rPr>
          <w:kern w:val="22"/>
          <w:szCs w:val="22"/>
        </w:rPr>
        <w:t xml:space="preserve"> or increased understanding of gender and biodiversity/environment linkages; women’s empowerment and participation in the Convention; considering the regional/</w:t>
      </w:r>
      <w:r w:rsidR="00012045" w:rsidRPr="00AF5854">
        <w:rPr>
          <w:kern w:val="22"/>
          <w:szCs w:val="22"/>
        </w:rPr>
        <w:softHyphen/>
      </w:r>
      <w:r w:rsidRPr="00C91779">
        <w:rPr>
          <w:kern w:val="22"/>
          <w:szCs w:val="22"/>
        </w:rPr>
        <w:t>national/</w:t>
      </w:r>
      <w:r w:rsidR="00012045" w:rsidRPr="00AF5854">
        <w:rPr>
          <w:kern w:val="22"/>
          <w:szCs w:val="22"/>
        </w:rPr>
        <w:softHyphen/>
      </w:r>
      <w:r w:rsidRPr="00C91779">
        <w:rPr>
          <w:kern w:val="22"/>
          <w:szCs w:val="22"/>
        </w:rPr>
        <w:t xml:space="preserve">local context for implementation; and establishing/emphasizing synergies between the </w:t>
      </w:r>
      <w:r w:rsidR="00012045" w:rsidRPr="00AF5854">
        <w:rPr>
          <w:kern w:val="22"/>
          <w:szCs w:val="22"/>
        </w:rPr>
        <w:t>c</w:t>
      </w:r>
      <w:r w:rsidRPr="00C91779">
        <w:rPr>
          <w:kern w:val="22"/>
          <w:szCs w:val="22"/>
        </w:rPr>
        <w:t>onventions. Training needs included the integration of gender in the design and management of projects and in the development and evaluation of policies. Developing a database or platform on linkages between gender, biodiversity and climate change was also proposed among practical actions for capacity</w:t>
      </w:r>
      <w:r w:rsidR="00AF655B" w:rsidRPr="00AF5854">
        <w:rPr>
          <w:kern w:val="22"/>
          <w:szCs w:val="22"/>
        </w:rPr>
        <w:t>-</w:t>
      </w:r>
      <w:r w:rsidRPr="00C91779">
        <w:rPr>
          <w:kern w:val="22"/>
          <w:szCs w:val="22"/>
        </w:rPr>
        <w:t>building.</w:t>
      </w:r>
    </w:p>
    <w:p w:rsidR="00CA2E78" w:rsidRPr="00C91779" w:rsidRDefault="00CA2E78" w:rsidP="00C91779">
      <w:pPr>
        <w:pStyle w:val="Heading1"/>
        <w:numPr>
          <w:ilvl w:val="0"/>
          <w:numId w:val="66"/>
        </w:numPr>
        <w:suppressLineNumbers/>
        <w:tabs>
          <w:tab w:val="left" w:pos="360"/>
        </w:tabs>
        <w:suppressAutoHyphens/>
        <w:kinsoku w:val="0"/>
        <w:overflowPunct w:val="0"/>
        <w:autoSpaceDE w:val="0"/>
        <w:autoSpaceDN w:val="0"/>
        <w:adjustRightInd w:val="0"/>
        <w:snapToGrid w:val="0"/>
        <w:spacing w:before="120"/>
        <w:ind w:left="0" w:firstLine="0"/>
        <w:rPr>
          <w:b w:val="0"/>
          <w:snapToGrid w:val="0"/>
          <w:kern w:val="22"/>
          <w:szCs w:val="22"/>
        </w:rPr>
      </w:pPr>
      <w:r w:rsidRPr="00C91779">
        <w:rPr>
          <w:snapToGrid w:val="0"/>
          <w:kern w:val="22"/>
          <w:szCs w:val="22"/>
        </w:rPr>
        <w:t>SECRETARIAT ACTIONS</w:t>
      </w:r>
    </w:p>
    <w:p w:rsidR="000F7A9F" w:rsidRPr="00C91779" w:rsidRDefault="000F7A9F"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A</w:t>
      </w:r>
      <w:r w:rsidR="00CA2E78" w:rsidRPr="00C91779">
        <w:rPr>
          <w:kern w:val="22"/>
          <w:szCs w:val="22"/>
        </w:rPr>
        <w:t xml:space="preserve">ctions </w:t>
      </w:r>
      <w:r w:rsidR="00AF655B" w:rsidRPr="00AF5854">
        <w:rPr>
          <w:kern w:val="22"/>
          <w:szCs w:val="22"/>
        </w:rPr>
        <w:t xml:space="preserve">were </w:t>
      </w:r>
      <w:r w:rsidR="00CA2E78" w:rsidRPr="00C91779">
        <w:rPr>
          <w:kern w:val="22"/>
          <w:szCs w:val="22"/>
        </w:rPr>
        <w:t>undertaken by the Secretariat and partners at the national, regional and international levels.</w:t>
      </w:r>
    </w:p>
    <w:p w:rsidR="005B25A1" w:rsidRPr="002F3E73" w:rsidRDefault="00B35669" w:rsidP="00C91779">
      <w:pPr>
        <w:pStyle w:val="Heading2"/>
        <w:suppressLineNumbers/>
        <w:tabs>
          <w:tab w:val="left" w:pos="360"/>
        </w:tabs>
        <w:suppressAutoHyphens/>
        <w:kinsoku w:val="0"/>
        <w:overflowPunct w:val="0"/>
        <w:autoSpaceDE w:val="0"/>
        <w:autoSpaceDN w:val="0"/>
        <w:adjustRightInd w:val="0"/>
        <w:snapToGrid w:val="0"/>
        <w:rPr>
          <w:snapToGrid w:val="0"/>
          <w:kern w:val="22"/>
          <w:szCs w:val="22"/>
        </w:rPr>
      </w:pPr>
      <w:r w:rsidRPr="002F3E73">
        <w:rPr>
          <w:snapToGrid w:val="0"/>
          <w:kern w:val="22"/>
          <w:szCs w:val="22"/>
        </w:rPr>
        <w:lastRenderedPageBreak/>
        <w:t>A.</w:t>
      </w:r>
      <w:r w:rsidR="00810440" w:rsidRPr="002F3E73">
        <w:rPr>
          <w:snapToGrid w:val="0"/>
          <w:kern w:val="22"/>
          <w:szCs w:val="22"/>
        </w:rPr>
        <w:tab/>
      </w:r>
      <w:r w:rsidR="005B25A1" w:rsidRPr="002F3E73">
        <w:rPr>
          <w:snapToGrid w:val="0"/>
          <w:kern w:val="22"/>
          <w:szCs w:val="22"/>
        </w:rPr>
        <w:t xml:space="preserve">National </w:t>
      </w:r>
      <w:r w:rsidR="00C51BE8" w:rsidRPr="002F3E73">
        <w:rPr>
          <w:snapToGrid w:val="0"/>
          <w:kern w:val="22"/>
          <w:szCs w:val="22"/>
        </w:rPr>
        <w:t>l</w:t>
      </w:r>
      <w:r w:rsidR="005B25A1" w:rsidRPr="002F3E73">
        <w:rPr>
          <w:snapToGrid w:val="0"/>
          <w:kern w:val="22"/>
          <w:szCs w:val="22"/>
        </w:rPr>
        <w:t>evel</w:t>
      </w:r>
    </w:p>
    <w:p w:rsidR="00806D90" w:rsidRPr="00C91779" w:rsidRDefault="005B25A1"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W</w:t>
      </w:r>
      <w:r w:rsidR="00CA2E78" w:rsidRPr="00C91779">
        <w:rPr>
          <w:kern w:val="22"/>
          <w:szCs w:val="22"/>
        </w:rPr>
        <w:t>ith generous financial suppo</w:t>
      </w:r>
      <w:r w:rsidR="00F359C5" w:rsidRPr="00C91779">
        <w:rPr>
          <w:kern w:val="22"/>
          <w:szCs w:val="22"/>
        </w:rPr>
        <w:t>rt from the Government of Japan</w:t>
      </w:r>
      <w:r w:rsidR="00CA2E78" w:rsidRPr="00C91779">
        <w:rPr>
          <w:kern w:val="22"/>
          <w:szCs w:val="22"/>
        </w:rPr>
        <w:t xml:space="preserve"> through the </w:t>
      </w:r>
      <w:hyperlink r:id="rId18" w:history="1">
        <w:r w:rsidR="00CA2E78" w:rsidRPr="00C91779">
          <w:rPr>
            <w:rStyle w:val="Hyperlink"/>
            <w:kern w:val="22"/>
            <w:szCs w:val="22"/>
          </w:rPr>
          <w:t>Japan Biodiversity Fund</w:t>
        </w:r>
      </w:hyperlink>
      <w:r w:rsidR="00CA2E78" w:rsidRPr="00C91779">
        <w:rPr>
          <w:kern w:val="22"/>
          <w:szCs w:val="22"/>
        </w:rPr>
        <w:t xml:space="preserve">, the Secretariat collaborated with </w:t>
      </w:r>
      <w:r w:rsidR="00810440" w:rsidRPr="00AF5854">
        <w:rPr>
          <w:kern w:val="22"/>
          <w:szCs w:val="22"/>
        </w:rPr>
        <w:t xml:space="preserve">the </w:t>
      </w:r>
      <w:r w:rsidR="00CA2E78" w:rsidRPr="00C91779">
        <w:rPr>
          <w:kern w:val="22"/>
          <w:szCs w:val="22"/>
        </w:rPr>
        <w:t xml:space="preserve">IUCN Global Gender Office to undertake a pilot project to build the capacity of developing country Parties to integrate gender into their revised </w:t>
      </w:r>
      <w:r w:rsidR="00806D90" w:rsidRPr="00C91779">
        <w:rPr>
          <w:kern w:val="22"/>
          <w:szCs w:val="22"/>
        </w:rPr>
        <w:t>NBSAPs</w:t>
      </w:r>
      <w:r w:rsidR="00CA2E78" w:rsidRPr="00C91779">
        <w:rPr>
          <w:kern w:val="22"/>
          <w:szCs w:val="22"/>
        </w:rPr>
        <w:t xml:space="preserve">. </w:t>
      </w:r>
      <w:r w:rsidR="00806D90" w:rsidRPr="00C91779">
        <w:rPr>
          <w:kern w:val="22"/>
          <w:szCs w:val="22"/>
        </w:rPr>
        <w:t xml:space="preserve">Mexico, Uganda and Brazil were pilot countries in this exercise. Women’s groups and related stakeholders were engaged in a collaborative exercise to review and provide inputs on the draft revised NBSAPs. </w:t>
      </w:r>
      <w:r w:rsidR="00CA2E78" w:rsidRPr="00C91779">
        <w:rPr>
          <w:kern w:val="22"/>
          <w:szCs w:val="22"/>
        </w:rPr>
        <w:t xml:space="preserve">This process helped to build awareness and learning </w:t>
      </w:r>
      <w:r w:rsidR="00E25D49" w:rsidRPr="00AF5854">
        <w:rPr>
          <w:kern w:val="22"/>
          <w:szCs w:val="22"/>
        </w:rPr>
        <w:t>among</w:t>
      </w:r>
      <w:r w:rsidR="00E25D49" w:rsidRPr="00C91779">
        <w:rPr>
          <w:kern w:val="22"/>
          <w:szCs w:val="22"/>
        </w:rPr>
        <w:t xml:space="preserve"> </w:t>
      </w:r>
      <w:r w:rsidR="00CA2E78" w:rsidRPr="00C91779">
        <w:rPr>
          <w:kern w:val="22"/>
          <w:szCs w:val="22"/>
        </w:rPr>
        <w:t>representatives</w:t>
      </w:r>
      <w:r w:rsidR="00E25D49" w:rsidRPr="00AF5854">
        <w:rPr>
          <w:kern w:val="22"/>
          <w:szCs w:val="22"/>
        </w:rPr>
        <w:t xml:space="preserve"> </w:t>
      </w:r>
      <w:r w:rsidR="003002DF">
        <w:rPr>
          <w:kern w:val="22"/>
          <w:szCs w:val="22"/>
        </w:rPr>
        <w:t xml:space="preserve">of </w:t>
      </w:r>
      <w:r w:rsidR="00E25D49" w:rsidRPr="00AF5854">
        <w:rPr>
          <w:kern w:val="22"/>
          <w:szCs w:val="22"/>
        </w:rPr>
        <w:t>women’s groups</w:t>
      </w:r>
      <w:r w:rsidR="00CA2E78" w:rsidRPr="00C91779">
        <w:rPr>
          <w:kern w:val="22"/>
          <w:szCs w:val="22"/>
        </w:rPr>
        <w:t xml:space="preserve">, stakeholders who have not typically been actively engaged in Convention processes. </w:t>
      </w:r>
      <w:r w:rsidR="00E11FC2" w:rsidRPr="00C91779">
        <w:rPr>
          <w:kern w:val="22"/>
          <w:szCs w:val="22"/>
        </w:rPr>
        <w:t xml:space="preserve">Revised NBSAPs from these pilot countries have </w:t>
      </w:r>
      <w:r w:rsidR="00F660E6" w:rsidRPr="00C91779">
        <w:rPr>
          <w:kern w:val="22"/>
          <w:szCs w:val="22"/>
        </w:rPr>
        <w:t>incorporated</w:t>
      </w:r>
      <w:r w:rsidR="00E11FC2" w:rsidRPr="00C91779">
        <w:rPr>
          <w:kern w:val="22"/>
          <w:szCs w:val="22"/>
        </w:rPr>
        <w:t xml:space="preserve"> </w:t>
      </w:r>
      <w:r w:rsidR="00F660E6" w:rsidRPr="00C91779">
        <w:rPr>
          <w:kern w:val="22"/>
          <w:szCs w:val="22"/>
        </w:rPr>
        <w:t>recommendations o</w:t>
      </w:r>
      <w:r w:rsidR="00C9096D" w:rsidRPr="00C91779">
        <w:rPr>
          <w:kern w:val="22"/>
          <w:szCs w:val="22"/>
        </w:rPr>
        <w:t>n</w:t>
      </w:r>
      <w:r w:rsidR="00F660E6" w:rsidRPr="00C91779">
        <w:rPr>
          <w:kern w:val="22"/>
          <w:szCs w:val="22"/>
        </w:rPr>
        <w:t xml:space="preserve"> gender inputs and demonstrate a considered reflection of gender issues.</w:t>
      </w:r>
    </w:p>
    <w:p w:rsidR="00CA2E78" w:rsidRPr="00C91779" w:rsidRDefault="00CA2E78"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Details of the pilot project process and some initial considerations that emerged from this initiative are </w:t>
      </w:r>
      <w:r w:rsidR="001A7D01" w:rsidRPr="00C91779">
        <w:rPr>
          <w:kern w:val="22"/>
          <w:szCs w:val="22"/>
        </w:rPr>
        <w:t>included</w:t>
      </w:r>
      <w:r w:rsidRPr="00C91779">
        <w:rPr>
          <w:kern w:val="22"/>
          <w:szCs w:val="22"/>
        </w:rPr>
        <w:t xml:space="preserve"> in</w:t>
      </w:r>
      <w:r w:rsidR="00932EE9" w:rsidRPr="00C91779">
        <w:rPr>
          <w:kern w:val="22"/>
          <w:szCs w:val="22"/>
        </w:rPr>
        <w:t xml:space="preserve"> a </w:t>
      </w:r>
      <w:r w:rsidRPr="00C91779">
        <w:rPr>
          <w:kern w:val="22"/>
          <w:szCs w:val="22"/>
        </w:rPr>
        <w:t xml:space="preserve">joint publication which was made available at the thirteenth meeting of the Conference of the Parties to the </w:t>
      </w:r>
      <w:proofErr w:type="gramStart"/>
      <w:r w:rsidRPr="00C91779">
        <w:rPr>
          <w:kern w:val="22"/>
          <w:szCs w:val="22"/>
        </w:rPr>
        <w:t>Convention</w:t>
      </w:r>
      <w:r w:rsidR="00950C41" w:rsidRPr="00C91779">
        <w:rPr>
          <w:kern w:val="22"/>
          <w:szCs w:val="22"/>
        </w:rPr>
        <w:t>.</w:t>
      </w:r>
      <w:r w:rsidRPr="00C91779">
        <w:rPr>
          <w:rStyle w:val="FootnoteReference"/>
          <w:kern w:val="22"/>
          <w:sz w:val="22"/>
          <w:szCs w:val="22"/>
          <w:u w:val="none"/>
          <w:vertAlign w:val="superscript"/>
        </w:rPr>
        <w:footnoteReference w:id="9"/>
      </w:r>
      <w:r w:rsidR="002F6A0C" w:rsidRPr="00C91779">
        <w:rPr>
          <w:kern w:val="22"/>
          <w:szCs w:val="22"/>
          <w:vertAlign w:val="superscript"/>
        </w:rPr>
        <w:t>,</w:t>
      </w:r>
      <w:proofErr w:type="gramEnd"/>
      <w:r w:rsidRPr="00C91779">
        <w:rPr>
          <w:rStyle w:val="FootnoteReference"/>
          <w:kern w:val="22"/>
          <w:sz w:val="22"/>
          <w:szCs w:val="22"/>
          <w:u w:val="none"/>
          <w:vertAlign w:val="superscript"/>
        </w:rPr>
        <w:footnoteReference w:id="10"/>
      </w:r>
    </w:p>
    <w:p w:rsidR="00CA2E78" w:rsidRPr="00C91779" w:rsidRDefault="00CA2E78"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As part of this initiative</w:t>
      </w:r>
      <w:r w:rsidR="00950C41" w:rsidRPr="00C91779">
        <w:rPr>
          <w:kern w:val="22"/>
          <w:szCs w:val="22"/>
        </w:rPr>
        <w:t>,</w:t>
      </w:r>
      <w:r w:rsidRPr="00C91779">
        <w:rPr>
          <w:kern w:val="22"/>
          <w:szCs w:val="22"/>
        </w:rPr>
        <w:t xml:space="preserve"> IUCN also carried out an analysis of the level of integration of gender considerations in NBSAPs received by the Secretariat from 1993 </w:t>
      </w:r>
      <w:r w:rsidR="009B1B5A" w:rsidRPr="00AF5854">
        <w:rPr>
          <w:kern w:val="22"/>
          <w:szCs w:val="22"/>
        </w:rPr>
        <w:t>through</w:t>
      </w:r>
      <w:r w:rsidR="009B1B5A" w:rsidRPr="00C91779">
        <w:rPr>
          <w:kern w:val="22"/>
          <w:szCs w:val="22"/>
        </w:rPr>
        <w:t xml:space="preserve"> </w:t>
      </w:r>
      <w:r w:rsidRPr="00C91779">
        <w:rPr>
          <w:kern w:val="22"/>
          <w:szCs w:val="22"/>
        </w:rPr>
        <w:t xml:space="preserve">May 2016, and in </w:t>
      </w:r>
      <w:r w:rsidR="00950C41" w:rsidRPr="00C91779">
        <w:rPr>
          <w:kern w:val="22"/>
          <w:szCs w:val="22"/>
        </w:rPr>
        <w:t>f</w:t>
      </w:r>
      <w:r w:rsidRPr="00C91779">
        <w:rPr>
          <w:kern w:val="22"/>
          <w:szCs w:val="22"/>
        </w:rPr>
        <w:t xml:space="preserve">ifth </w:t>
      </w:r>
      <w:r w:rsidR="00950C41" w:rsidRPr="00C91779">
        <w:rPr>
          <w:kern w:val="22"/>
          <w:szCs w:val="22"/>
        </w:rPr>
        <w:t>n</w:t>
      </w:r>
      <w:r w:rsidRPr="00C91779">
        <w:rPr>
          <w:kern w:val="22"/>
          <w:szCs w:val="22"/>
        </w:rPr>
        <w:t xml:space="preserve">ational </w:t>
      </w:r>
      <w:r w:rsidR="00950C41" w:rsidRPr="00C91779">
        <w:rPr>
          <w:kern w:val="22"/>
          <w:szCs w:val="22"/>
        </w:rPr>
        <w:t>r</w:t>
      </w:r>
      <w:r w:rsidRPr="00C91779">
        <w:rPr>
          <w:kern w:val="22"/>
          <w:szCs w:val="22"/>
        </w:rPr>
        <w:t xml:space="preserve">eports received by the Secretariat </w:t>
      </w:r>
      <w:r w:rsidR="009B1B5A" w:rsidRPr="00AF5854">
        <w:rPr>
          <w:kern w:val="22"/>
          <w:szCs w:val="22"/>
        </w:rPr>
        <w:t>through</w:t>
      </w:r>
      <w:r w:rsidR="009B1B5A" w:rsidRPr="00C91779">
        <w:rPr>
          <w:kern w:val="22"/>
          <w:szCs w:val="22"/>
        </w:rPr>
        <w:t xml:space="preserve"> </w:t>
      </w:r>
      <w:r w:rsidRPr="00C91779">
        <w:rPr>
          <w:kern w:val="22"/>
          <w:szCs w:val="22"/>
        </w:rPr>
        <w:t>October 2016. Overall</w:t>
      </w:r>
      <w:r w:rsidR="009B1B5A" w:rsidRPr="00AF5854">
        <w:rPr>
          <w:kern w:val="22"/>
          <w:szCs w:val="22"/>
        </w:rPr>
        <w:t>,</w:t>
      </w:r>
      <w:r w:rsidRPr="00C91779">
        <w:rPr>
          <w:kern w:val="22"/>
          <w:szCs w:val="22"/>
        </w:rPr>
        <w:t xml:space="preserve"> the analyses found references to gender or women made in 56 per cent of total NBSAPs, and 67 per cent of the </w:t>
      </w:r>
      <w:r w:rsidR="00950C41" w:rsidRPr="00C91779">
        <w:rPr>
          <w:kern w:val="22"/>
          <w:szCs w:val="22"/>
        </w:rPr>
        <w:t>f</w:t>
      </w:r>
      <w:r w:rsidRPr="00C91779">
        <w:rPr>
          <w:kern w:val="22"/>
          <w:szCs w:val="22"/>
        </w:rPr>
        <w:t xml:space="preserve">ifth </w:t>
      </w:r>
      <w:r w:rsidR="00950C41" w:rsidRPr="00C91779">
        <w:rPr>
          <w:kern w:val="22"/>
          <w:szCs w:val="22"/>
        </w:rPr>
        <w:t>n</w:t>
      </w:r>
      <w:r w:rsidRPr="00C91779">
        <w:rPr>
          <w:kern w:val="22"/>
          <w:szCs w:val="22"/>
        </w:rPr>
        <w:t xml:space="preserve">ational </w:t>
      </w:r>
      <w:r w:rsidR="00950C41" w:rsidRPr="00C91779">
        <w:rPr>
          <w:kern w:val="22"/>
          <w:szCs w:val="22"/>
        </w:rPr>
        <w:t>r</w:t>
      </w:r>
      <w:r w:rsidRPr="00C91779">
        <w:rPr>
          <w:kern w:val="22"/>
          <w:szCs w:val="22"/>
        </w:rPr>
        <w:t>eports. Two summary fact</w:t>
      </w:r>
      <w:r w:rsidR="009B1B5A" w:rsidRPr="00AF5854">
        <w:rPr>
          <w:kern w:val="22"/>
          <w:szCs w:val="22"/>
        </w:rPr>
        <w:t xml:space="preserve"> </w:t>
      </w:r>
      <w:r w:rsidRPr="00C91779">
        <w:rPr>
          <w:kern w:val="22"/>
          <w:szCs w:val="22"/>
        </w:rPr>
        <w:t>sheets were prepared on the analyses undertaken (on NBSAPs</w:t>
      </w:r>
      <w:r w:rsidRPr="00C91779">
        <w:rPr>
          <w:rStyle w:val="FootnoteReference"/>
          <w:kern w:val="22"/>
          <w:sz w:val="22"/>
          <w:szCs w:val="22"/>
          <w:u w:val="none"/>
          <w:vertAlign w:val="superscript"/>
        </w:rPr>
        <w:footnoteReference w:id="11"/>
      </w:r>
      <w:r w:rsidRPr="00C91779">
        <w:rPr>
          <w:kern w:val="22"/>
          <w:szCs w:val="22"/>
        </w:rPr>
        <w:t xml:space="preserve"> and on fifth national reports</w:t>
      </w:r>
      <w:r w:rsidRPr="00C91779">
        <w:rPr>
          <w:rStyle w:val="FootnoteReference"/>
          <w:kern w:val="22"/>
          <w:sz w:val="22"/>
          <w:szCs w:val="22"/>
          <w:u w:val="none"/>
          <w:vertAlign w:val="superscript"/>
        </w:rPr>
        <w:footnoteReference w:id="12"/>
      </w:r>
      <w:r w:rsidRPr="00C91779">
        <w:rPr>
          <w:kern w:val="22"/>
          <w:szCs w:val="22"/>
        </w:rPr>
        <w:t xml:space="preserve">), and more detailed results of these analyses were made available in documents prepared for </w:t>
      </w:r>
      <w:r w:rsidR="00F028C4" w:rsidRPr="00C91779">
        <w:rPr>
          <w:kern w:val="22"/>
          <w:szCs w:val="22"/>
        </w:rPr>
        <w:t>the thirteenth meeting of the Conference of the Parties.</w:t>
      </w:r>
      <w:r w:rsidRPr="00C91779">
        <w:rPr>
          <w:rStyle w:val="FootnoteReference"/>
          <w:kern w:val="22"/>
          <w:sz w:val="22"/>
          <w:szCs w:val="22"/>
          <w:u w:val="none"/>
          <w:vertAlign w:val="superscript"/>
        </w:rPr>
        <w:footnoteReference w:id="13"/>
      </w:r>
      <w:r w:rsidRPr="00C91779">
        <w:rPr>
          <w:kern w:val="22"/>
          <w:szCs w:val="22"/>
        </w:rPr>
        <w:t xml:space="preserve">  IUCN also produced a comprehensive document on their analysis of gender considerations in NBSAPs</w:t>
      </w:r>
      <w:r w:rsidR="00F028C4" w:rsidRPr="00C91779">
        <w:rPr>
          <w:kern w:val="22"/>
          <w:szCs w:val="22"/>
        </w:rPr>
        <w:t>.</w:t>
      </w:r>
      <w:r w:rsidRPr="00C91779">
        <w:rPr>
          <w:rStyle w:val="FootnoteReference"/>
          <w:kern w:val="22"/>
          <w:sz w:val="22"/>
          <w:szCs w:val="22"/>
          <w:u w:val="none"/>
          <w:vertAlign w:val="superscript"/>
        </w:rPr>
        <w:footnoteReference w:id="14"/>
      </w:r>
    </w:p>
    <w:p w:rsidR="005B25A1" w:rsidRPr="002F3E73" w:rsidRDefault="00B35669" w:rsidP="00C91779">
      <w:pPr>
        <w:pStyle w:val="Heading2"/>
        <w:suppressLineNumbers/>
        <w:tabs>
          <w:tab w:val="left" w:pos="360"/>
        </w:tabs>
        <w:suppressAutoHyphens/>
        <w:kinsoku w:val="0"/>
        <w:overflowPunct w:val="0"/>
        <w:autoSpaceDE w:val="0"/>
        <w:autoSpaceDN w:val="0"/>
        <w:adjustRightInd w:val="0"/>
        <w:snapToGrid w:val="0"/>
        <w:rPr>
          <w:bCs w:val="0"/>
          <w:snapToGrid w:val="0"/>
          <w:kern w:val="22"/>
          <w:szCs w:val="22"/>
        </w:rPr>
      </w:pPr>
      <w:r w:rsidRPr="002F3E73">
        <w:rPr>
          <w:bCs w:val="0"/>
          <w:snapToGrid w:val="0"/>
          <w:kern w:val="22"/>
          <w:szCs w:val="22"/>
        </w:rPr>
        <w:t>B.</w:t>
      </w:r>
      <w:r w:rsidRPr="002F3E73">
        <w:rPr>
          <w:bCs w:val="0"/>
          <w:snapToGrid w:val="0"/>
          <w:kern w:val="22"/>
          <w:szCs w:val="22"/>
        </w:rPr>
        <w:tab/>
      </w:r>
      <w:r w:rsidR="005B25A1" w:rsidRPr="002F3E73">
        <w:rPr>
          <w:bCs w:val="0"/>
          <w:snapToGrid w:val="0"/>
          <w:kern w:val="22"/>
          <w:szCs w:val="22"/>
        </w:rPr>
        <w:t xml:space="preserve">Regional </w:t>
      </w:r>
      <w:r w:rsidR="00F028C4" w:rsidRPr="002F3E73">
        <w:rPr>
          <w:bCs w:val="0"/>
          <w:snapToGrid w:val="0"/>
          <w:kern w:val="22"/>
          <w:szCs w:val="22"/>
        </w:rPr>
        <w:t>l</w:t>
      </w:r>
      <w:r w:rsidR="005B25A1" w:rsidRPr="002F3E73">
        <w:rPr>
          <w:bCs w:val="0"/>
          <w:snapToGrid w:val="0"/>
          <w:kern w:val="22"/>
          <w:szCs w:val="22"/>
        </w:rPr>
        <w:t>evel</w:t>
      </w:r>
    </w:p>
    <w:p w:rsidR="002C2D04" w:rsidRPr="00C91779" w:rsidRDefault="00740B4A"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AF5854">
        <w:rPr>
          <w:kern w:val="22"/>
          <w:szCs w:val="22"/>
        </w:rPr>
        <w:t>I</w:t>
      </w:r>
      <w:r w:rsidR="00CA2E78" w:rsidRPr="00C91779">
        <w:rPr>
          <w:kern w:val="22"/>
          <w:szCs w:val="22"/>
        </w:rPr>
        <w:t>n collaboration with</w:t>
      </w:r>
      <w:r w:rsidR="00F028C4" w:rsidRPr="00C91779">
        <w:rPr>
          <w:kern w:val="22"/>
          <w:szCs w:val="22"/>
        </w:rPr>
        <w:t xml:space="preserve"> the</w:t>
      </w:r>
      <w:r w:rsidR="00CA2E78" w:rsidRPr="00C91779">
        <w:rPr>
          <w:kern w:val="22"/>
          <w:szCs w:val="22"/>
        </w:rPr>
        <w:t xml:space="preserve"> </w:t>
      </w:r>
      <w:hyperlink r:id="rId19" w:history="1">
        <w:r w:rsidR="00CA2E78" w:rsidRPr="00C91779">
          <w:rPr>
            <w:rStyle w:val="Hyperlink"/>
            <w:kern w:val="22"/>
            <w:szCs w:val="22"/>
          </w:rPr>
          <w:t>U</w:t>
        </w:r>
        <w:r w:rsidR="00F028C4" w:rsidRPr="00C91779">
          <w:rPr>
            <w:rStyle w:val="Hyperlink"/>
            <w:kern w:val="22"/>
            <w:szCs w:val="22"/>
          </w:rPr>
          <w:t xml:space="preserve">nited </w:t>
        </w:r>
        <w:r w:rsidR="00CA2E78" w:rsidRPr="00C91779">
          <w:rPr>
            <w:rStyle w:val="Hyperlink"/>
            <w:kern w:val="22"/>
            <w:szCs w:val="22"/>
          </w:rPr>
          <w:t>N</w:t>
        </w:r>
        <w:r w:rsidR="00F028C4" w:rsidRPr="00C91779">
          <w:rPr>
            <w:rStyle w:val="Hyperlink"/>
            <w:kern w:val="22"/>
            <w:szCs w:val="22"/>
          </w:rPr>
          <w:t>ations</w:t>
        </w:r>
        <w:r w:rsidR="00CA2E78" w:rsidRPr="00C91779">
          <w:rPr>
            <w:rStyle w:val="Hyperlink"/>
            <w:kern w:val="22"/>
            <w:szCs w:val="22"/>
          </w:rPr>
          <w:t xml:space="preserve"> Environment</w:t>
        </w:r>
        <w:r w:rsidR="00F028C4" w:rsidRPr="00C91779">
          <w:rPr>
            <w:rStyle w:val="Hyperlink"/>
            <w:kern w:val="22"/>
            <w:szCs w:val="22"/>
          </w:rPr>
          <w:t xml:space="preserve"> Programme</w:t>
        </w:r>
        <w:r w:rsidR="00CA2E78" w:rsidRPr="00C91779">
          <w:rPr>
            <w:rStyle w:val="Hyperlink"/>
            <w:kern w:val="22"/>
            <w:szCs w:val="22"/>
          </w:rPr>
          <w:t xml:space="preserve">’s Regional Office for Asia </w:t>
        </w:r>
        <w:r w:rsidR="00531383" w:rsidRPr="00AF5854">
          <w:rPr>
            <w:rStyle w:val="Hyperlink"/>
            <w:kern w:val="22"/>
            <w:szCs w:val="22"/>
          </w:rPr>
          <w:t xml:space="preserve">and the </w:t>
        </w:r>
        <w:r w:rsidR="00CA2E78" w:rsidRPr="00C91779">
          <w:rPr>
            <w:rStyle w:val="Hyperlink"/>
            <w:kern w:val="22"/>
            <w:szCs w:val="22"/>
          </w:rPr>
          <w:t>Pacific</w:t>
        </w:r>
      </w:hyperlink>
      <w:r w:rsidR="00CA2E78" w:rsidRPr="00C91779">
        <w:rPr>
          <w:kern w:val="22"/>
          <w:szCs w:val="22"/>
        </w:rPr>
        <w:t xml:space="preserve">, with the help of other regional partners, and with generous financial assistance from the Government of Sweden, </w:t>
      </w:r>
      <w:r w:rsidRPr="00AF5854">
        <w:rPr>
          <w:kern w:val="22"/>
          <w:szCs w:val="22"/>
        </w:rPr>
        <w:t xml:space="preserve">the Secretariat </w:t>
      </w:r>
      <w:r w:rsidR="00CA2E78" w:rsidRPr="00C91779">
        <w:rPr>
          <w:kern w:val="22"/>
          <w:szCs w:val="22"/>
        </w:rPr>
        <w:t xml:space="preserve">undertook an initiative to develop training materials on </w:t>
      </w:r>
      <w:r w:rsidR="00DA2439" w:rsidRPr="00C91779">
        <w:rPr>
          <w:kern w:val="22"/>
          <w:szCs w:val="22"/>
        </w:rPr>
        <w:t>gender and biodiversity, focusing</w:t>
      </w:r>
      <w:r w:rsidR="00CA2E78" w:rsidRPr="00C91779">
        <w:rPr>
          <w:kern w:val="22"/>
          <w:szCs w:val="22"/>
        </w:rPr>
        <w:t xml:space="preserve"> on the </w:t>
      </w:r>
      <w:r w:rsidR="00F028C4" w:rsidRPr="00C91779">
        <w:rPr>
          <w:kern w:val="22"/>
          <w:szCs w:val="22"/>
        </w:rPr>
        <w:t>South-East</w:t>
      </w:r>
      <w:r w:rsidR="00CA2E78" w:rsidRPr="00C91779">
        <w:rPr>
          <w:kern w:val="22"/>
          <w:szCs w:val="22"/>
        </w:rPr>
        <w:t xml:space="preserve"> Asia and </w:t>
      </w:r>
      <w:r w:rsidR="008B2DF3" w:rsidRPr="00AF5854">
        <w:rPr>
          <w:kern w:val="22"/>
          <w:szCs w:val="22"/>
        </w:rPr>
        <w:t xml:space="preserve">the </w:t>
      </w:r>
      <w:r w:rsidR="00CA2E78" w:rsidRPr="00C91779">
        <w:rPr>
          <w:kern w:val="22"/>
          <w:szCs w:val="22"/>
        </w:rPr>
        <w:t xml:space="preserve">Pacific. A </w:t>
      </w:r>
      <w:hyperlink r:id="rId20" w:history="1">
        <w:r w:rsidR="00CA2E78" w:rsidRPr="00C91779">
          <w:rPr>
            <w:rStyle w:val="Hyperlink"/>
            <w:kern w:val="22"/>
            <w:szCs w:val="22"/>
          </w:rPr>
          <w:t>workshop</w:t>
        </w:r>
      </w:hyperlink>
      <w:r w:rsidR="00CA2E78" w:rsidRPr="00C91779">
        <w:rPr>
          <w:kern w:val="22"/>
          <w:szCs w:val="22"/>
        </w:rPr>
        <w:t xml:space="preserve"> was held in Bangkok from 28</w:t>
      </w:r>
      <w:r w:rsidR="00F028C4" w:rsidRPr="00C91779">
        <w:rPr>
          <w:kern w:val="22"/>
          <w:szCs w:val="22"/>
        </w:rPr>
        <w:t xml:space="preserve"> to </w:t>
      </w:r>
      <w:r w:rsidR="00CA2E78" w:rsidRPr="00C91779">
        <w:rPr>
          <w:kern w:val="22"/>
          <w:szCs w:val="22"/>
        </w:rPr>
        <w:t xml:space="preserve">30 November 2017, bringing together gender and environment specialists with biodiversity experts, including Convention focal points, from across the region. The workshop generated considerable engagement and extensive input on the development of the training materials, and further helped to enhance </w:t>
      </w:r>
      <w:r w:rsidR="00401F4B" w:rsidRPr="00AF5854">
        <w:rPr>
          <w:kern w:val="22"/>
          <w:szCs w:val="22"/>
        </w:rPr>
        <w:t xml:space="preserve">the </w:t>
      </w:r>
      <w:r w:rsidR="00CA2E78" w:rsidRPr="00C91779">
        <w:rPr>
          <w:kern w:val="22"/>
          <w:szCs w:val="22"/>
        </w:rPr>
        <w:t>understanding of participants o</w:t>
      </w:r>
      <w:r w:rsidR="00401F4B" w:rsidRPr="00AF5854">
        <w:rPr>
          <w:kern w:val="22"/>
          <w:szCs w:val="22"/>
        </w:rPr>
        <w:t>f</w:t>
      </w:r>
      <w:r w:rsidR="00CA2E78" w:rsidRPr="00C91779">
        <w:rPr>
          <w:kern w:val="22"/>
          <w:szCs w:val="22"/>
        </w:rPr>
        <w:t xml:space="preserve"> gender-biodiversity linkages, </w:t>
      </w:r>
      <w:r w:rsidR="00AE7E8F" w:rsidRPr="00C91779">
        <w:rPr>
          <w:kern w:val="22"/>
          <w:szCs w:val="22"/>
        </w:rPr>
        <w:t>as well as generating</w:t>
      </w:r>
      <w:r w:rsidR="00CA2E78" w:rsidRPr="00C91779">
        <w:rPr>
          <w:kern w:val="22"/>
          <w:szCs w:val="22"/>
        </w:rPr>
        <w:t xml:space="preserve"> potential collective actions towards strengthened capacity for gender-responsive biodiversity planning and implementation. </w:t>
      </w:r>
      <w:r w:rsidR="00403DAF" w:rsidRPr="00AF5854">
        <w:rPr>
          <w:kern w:val="22"/>
          <w:szCs w:val="22"/>
        </w:rPr>
        <w:t>Due to the collaboration with</w:t>
      </w:r>
      <w:r w:rsidR="00CA2E78" w:rsidRPr="00C91779">
        <w:rPr>
          <w:kern w:val="22"/>
          <w:szCs w:val="22"/>
        </w:rPr>
        <w:t xml:space="preserve"> </w:t>
      </w:r>
      <w:r w:rsidR="00A81081" w:rsidRPr="00AF5854">
        <w:rPr>
          <w:kern w:val="22"/>
          <w:szCs w:val="22"/>
        </w:rPr>
        <w:t xml:space="preserve">the </w:t>
      </w:r>
      <w:r w:rsidR="00531383" w:rsidRPr="00AF5854">
        <w:rPr>
          <w:kern w:val="22"/>
          <w:szCs w:val="22"/>
        </w:rPr>
        <w:t>Regional Office</w:t>
      </w:r>
      <w:r w:rsidR="00531383" w:rsidRPr="00C91779">
        <w:rPr>
          <w:kern w:val="22"/>
          <w:szCs w:val="22"/>
        </w:rPr>
        <w:t xml:space="preserve"> </w:t>
      </w:r>
      <w:r w:rsidR="00CA2E78" w:rsidRPr="00C91779">
        <w:rPr>
          <w:kern w:val="22"/>
          <w:szCs w:val="22"/>
        </w:rPr>
        <w:t>and other regional partners, this initiative also helped strengthen institutional ties and identify opportunities to apply the training materials and outcomes of the workshop in upcoming activities in the region.</w:t>
      </w:r>
    </w:p>
    <w:p w:rsidR="005B25A1" w:rsidRPr="00C91779" w:rsidRDefault="002C2D04"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This initiative </w:t>
      </w:r>
      <w:r w:rsidR="00AE7E8F" w:rsidRPr="00C91779">
        <w:rPr>
          <w:kern w:val="22"/>
          <w:szCs w:val="22"/>
        </w:rPr>
        <w:t>further</w:t>
      </w:r>
      <w:r w:rsidRPr="00C91779">
        <w:rPr>
          <w:kern w:val="22"/>
          <w:szCs w:val="22"/>
        </w:rPr>
        <w:t xml:space="preserve"> </w:t>
      </w:r>
      <w:r w:rsidR="00AE7E8F" w:rsidRPr="00C91779">
        <w:rPr>
          <w:kern w:val="22"/>
          <w:szCs w:val="22"/>
        </w:rPr>
        <w:t>served to</w:t>
      </w:r>
      <w:r w:rsidRPr="00C91779">
        <w:rPr>
          <w:kern w:val="22"/>
          <w:szCs w:val="22"/>
        </w:rPr>
        <w:t xml:space="preserve"> validate the need for a regional approach, in which regional institutions can play a critical role </w:t>
      </w:r>
      <w:r w:rsidR="00666145" w:rsidRPr="00AF5854">
        <w:rPr>
          <w:kern w:val="22"/>
          <w:szCs w:val="22"/>
        </w:rPr>
        <w:t xml:space="preserve">in </w:t>
      </w:r>
      <w:r w:rsidRPr="00C91779">
        <w:rPr>
          <w:kern w:val="22"/>
          <w:szCs w:val="22"/>
        </w:rPr>
        <w:t>lead</w:t>
      </w:r>
      <w:r w:rsidR="00666145" w:rsidRPr="00AF5854">
        <w:rPr>
          <w:kern w:val="22"/>
          <w:szCs w:val="22"/>
        </w:rPr>
        <w:t>ing</w:t>
      </w:r>
      <w:r w:rsidRPr="00C91779">
        <w:rPr>
          <w:kern w:val="22"/>
          <w:szCs w:val="22"/>
        </w:rPr>
        <w:t xml:space="preserve"> and maintain</w:t>
      </w:r>
      <w:r w:rsidR="00666145" w:rsidRPr="00AF5854">
        <w:rPr>
          <w:kern w:val="22"/>
          <w:szCs w:val="22"/>
        </w:rPr>
        <w:t>ing</w:t>
      </w:r>
      <w:r w:rsidRPr="00C91779">
        <w:rPr>
          <w:kern w:val="22"/>
          <w:szCs w:val="22"/>
        </w:rPr>
        <w:t xml:space="preserve"> exchange</w:t>
      </w:r>
      <w:r w:rsidR="00AE7E8F" w:rsidRPr="00C91779">
        <w:rPr>
          <w:kern w:val="22"/>
          <w:szCs w:val="22"/>
        </w:rPr>
        <w:t>s</w:t>
      </w:r>
      <w:r w:rsidRPr="00C91779">
        <w:rPr>
          <w:kern w:val="22"/>
          <w:szCs w:val="22"/>
        </w:rPr>
        <w:t xml:space="preserve"> and foster</w:t>
      </w:r>
      <w:r w:rsidR="00666145" w:rsidRPr="00AF5854">
        <w:rPr>
          <w:kern w:val="22"/>
          <w:szCs w:val="22"/>
        </w:rPr>
        <w:t>ing</w:t>
      </w:r>
      <w:r w:rsidRPr="00C91779">
        <w:rPr>
          <w:kern w:val="22"/>
          <w:szCs w:val="22"/>
        </w:rPr>
        <w:t xml:space="preserve"> opportunities for learning between different actors and different country contexts, </w:t>
      </w:r>
      <w:r w:rsidR="00AE7E8F" w:rsidRPr="00C91779">
        <w:rPr>
          <w:kern w:val="22"/>
          <w:szCs w:val="22"/>
        </w:rPr>
        <w:t>helping</w:t>
      </w:r>
      <w:r w:rsidRPr="00C91779">
        <w:rPr>
          <w:kern w:val="22"/>
          <w:szCs w:val="22"/>
        </w:rPr>
        <w:t xml:space="preserve"> to leverage the typically limited resources available to address gender and biodiversity issues. </w:t>
      </w:r>
      <w:r w:rsidR="000703C8" w:rsidRPr="00C91779">
        <w:rPr>
          <w:kern w:val="22"/>
          <w:szCs w:val="22"/>
        </w:rPr>
        <w:t xml:space="preserve">The </w:t>
      </w:r>
      <w:hyperlink r:id="rId21" w:history="1">
        <w:r w:rsidR="000703C8" w:rsidRPr="00C91779">
          <w:rPr>
            <w:rStyle w:val="Hyperlink"/>
            <w:kern w:val="22"/>
            <w:szCs w:val="22"/>
          </w:rPr>
          <w:t>ASEAN Centre for Biodiversity</w:t>
        </w:r>
      </w:hyperlink>
      <w:r w:rsidR="000703C8" w:rsidRPr="00C91779">
        <w:rPr>
          <w:kern w:val="22"/>
          <w:szCs w:val="22"/>
        </w:rPr>
        <w:t xml:space="preserve">, a key regional partner, engaged in this process both in a supportive role and to build </w:t>
      </w:r>
      <w:r w:rsidR="00653B4B" w:rsidRPr="00AF5854">
        <w:rPr>
          <w:kern w:val="22"/>
          <w:szCs w:val="22"/>
        </w:rPr>
        <w:t>its</w:t>
      </w:r>
      <w:r w:rsidR="00653B4B" w:rsidRPr="00C91779">
        <w:rPr>
          <w:kern w:val="22"/>
          <w:szCs w:val="22"/>
        </w:rPr>
        <w:t xml:space="preserve"> </w:t>
      </w:r>
      <w:r w:rsidR="000703C8" w:rsidRPr="00C91779">
        <w:rPr>
          <w:kern w:val="22"/>
          <w:szCs w:val="22"/>
        </w:rPr>
        <w:t xml:space="preserve">organizational capacity to mainstream gender issues </w:t>
      </w:r>
      <w:r w:rsidR="00AE7E8F" w:rsidRPr="00C91779">
        <w:rPr>
          <w:kern w:val="22"/>
          <w:szCs w:val="22"/>
        </w:rPr>
        <w:t xml:space="preserve">in </w:t>
      </w:r>
      <w:r w:rsidR="00653B4B" w:rsidRPr="00AF5854">
        <w:rPr>
          <w:kern w:val="22"/>
          <w:szCs w:val="22"/>
        </w:rPr>
        <w:t>its</w:t>
      </w:r>
      <w:r w:rsidR="00653B4B" w:rsidRPr="00C91779">
        <w:rPr>
          <w:kern w:val="22"/>
          <w:szCs w:val="22"/>
        </w:rPr>
        <w:t xml:space="preserve"> </w:t>
      </w:r>
      <w:r w:rsidR="00AE7E8F" w:rsidRPr="00C91779">
        <w:rPr>
          <w:kern w:val="22"/>
          <w:szCs w:val="22"/>
        </w:rPr>
        <w:t>work</w:t>
      </w:r>
      <w:r w:rsidR="000703C8" w:rsidRPr="00C91779">
        <w:rPr>
          <w:kern w:val="22"/>
          <w:szCs w:val="22"/>
        </w:rPr>
        <w:t>.</w:t>
      </w:r>
    </w:p>
    <w:p w:rsidR="00630E63" w:rsidRPr="002F3E73" w:rsidRDefault="00B35669" w:rsidP="00C91779">
      <w:pPr>
        <w:pStyle w:val="Heading2"/>
        <w:suppressLineNumbers/>
        <w:tabs>
          <w:tab w:val="left" w:pos="360"/>
        </w:tabs>
        <w:suppressAutoHyphens/>
        <w:kinsoku w:val="0"/>
        <w:overflowPunct w:val="0"/>
        <w:autoSpaceDE w:val="0"/>
        <w:autoSpaceDN w:val="0"/>
        <w:adjustRightInd w:val="0"/>
        <w:snapToGrid w:val="0"/>
        <w:rPr>
          <w:bCs w:val="0"/>
          <w:snapToGrid w:val="0"/>
          <w:kern w:val="22"/>
          <w:szCs w:val="22"/>
        </w:rPr>
      </w:pPr>
      <w:r w:rsidRPr="002F3E73">
        <w:rPr>
          <w:bCs w:val="0"/>
          <w:snapToGrid w:val="0"/>
          <w:kern w:val="22"/>
          <w:szCs w:val="22"/>
        </w:rPr>
        <w:lastRenderedPageBreak/>
        <w:t>C.</w:t>
      </w:r>
      <w:r w:rsidRPr="002F3E73">
        <w:rPr>
          <w:bCs w:val="0"/>
          <w:snapToGrid w:val="0"/>
          <w:kern w:val="22"/>
          <w:szCs w:val="22"/>
        </w:rPr>
        <w:tab/>
      </w:r>
      <w:r w:rsidR="005B25A1" w:rsidRPr="002F3E73">
        <w:rPr>
          <w:bCs w:val="0"/>
          <w:snapToGrid w:val="0"/>
          <w:kern w:val="22"/>
          <w:szCs w:val="22"/>
        </w:rPr>
        <w:t xml:space="preserve">Global </w:t>
      </w:r>
      <w:r w:rsidR="00E9205F" w:rsidRPr="002F3E73">
        <w:rPr>
          <w:bCs w:val="0"/>
          <w:snapToGrid w:val="0"/>
          <w:kern w:val="22"/>
          <w:szCs w:val="22"/>
        </w:rPr>
        <w:t>l</w:t>
      </w:r>
      <w:r w:rsidR="005B25A1" w:rsidRPr="002F3E73">
        <w:rPr>
          <w:bCs w:val="0"/>
          <w:snapToGrid w:val="0"/>
          <w:kern w:val="22"/>
          <w:szCs w:val="22"/>
        </w:rPr>
        <w:t>evel</w:t>
      </w:r>
    </w:p>
    <w:p w:rsidR="001F1D52" w:rsidRPr="00C91779" w:rsidRDefault="00630E63"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The Secretariat </w:t>
      </w:r>
      <w:r w:rsidR="0018302C" w:rsidRPr="00C91779">
        <w:rPr>
          <w:kern w:val="22"/>
          <w:szCs w:val="22"/>
        </w:rPr>
        <w:t xml:space="preserve">has </w:t>
      </w:r>
      <w:r w:rsidRPr="00C91779">
        <w:rPr>
          <w:kern w:val="22"/>
          <w:szCs w:val="22"/>
        </w:rPr>
        <w:t xml:space="preserve">developed </w:t>
      </w:r>
      <w:r w:rsidR="00CA2E78" w:rsidRPr="00C91779">
        <w:rPr>
          <w:kern w:val="22"/>
          <w:szCs w:val="22"/>
        </w:rPr>
        <w:t>a range of capacity</w:t>
      </w:r>
      <w:r w:rsidR="00E9205F" w:rsidRPr="00C91779">
        <w:rPr>
          <w:kern w:val="22"/>
          <w:szCs w:val="22"/>
        </w:rPr>
        <w:t>-</w:t>
      </w:r>
      <w:r w:rsidR="00CA2E78" w:rsidRPr="00C91779">
        <w:rPr>
          <w:kern w:val="22"/>
          <w:szCs w:val="22"/>
        </w:rPr>
        <w:t>building materials and initiatives</w:t>
      </w:r>
      <w:r w:rsidR="005B25A1" w:rsidRPr="00C91779">
        <w:rPr>
          <w:kern w:val="22"/>
          <w:szCs w:val="22"/>
        </w:rPr>
        <w:t xml:space="preserve"> </w:t>
      </w:r>
      <w:r w:rsidR="00C9096D" w:rsidRPr="00C91779">
        <w:rPr>
          <w:kern w:val="22"/>
          <w:szCs w:val="22"/>
        </w:rPr>
        <w:t>with global relevance</w:t>
      </w:r>
      <w:r w:rsidR="00CA2E78" w:rsidRPr="00C91779">
        <w:rPr>
          <w:kern w:val="22"/>
          <w:szCs w:val="22"/>
        </w:rPr>
        <w:t xml:space="preserve">, </w:t>
      </w:r>
      <w:r w:rsidR="00C9096D" w:rsidRPr="00C91779">
        <w:rPr>
          <w:kern w:val="22"/>
          <w:szCs w:val="22"/>
        </w:rPr>
        <w:t xml:space="preserve">in part in </w:t>
      </w:r>
      <w:r w:rsidR="00CA2E78" w:rsidRPr="00C91779">
        <w:rPr>
          <w:kern w:val="22"/>
          <w:szCs w:val="22"/>
        </w:rPr>
        <w:t xml:space="preserve">collaboration with key international partners. </w:t>
      </w:r>
      <w:r w:rsidRPr="00C91779">
        <w:rPr>
          <w:kern w:val="22"/>
          <w:szCs w:val="22"/>
        </w:rPr>
        <w:t xml:space="preserve">Generous financial support from the Governments of Canada and Japan </w:t>
      </w:r>
      <w:r w:rsidR="00CA2E78" w:rsidRPr="00C91779">
        <w:rPr>
          <w:kern w:val="22"/>
          <w:szCs w:val="22"/>
        </w:rPr>
        <w:t xml:space="preserve">has enabled the production of materials including the 2015-2020 Gender Plan of Action Pocket Guide, which provides a summary of the plan and examples of actions undertaken by Parties. This document is now available on the Convention website in all six </w:t>
      </w:r>
      <w:r w:rsidR="00F06953" w:rsidRPr="00AF5854">
        <w:rPr>
          <w:kern w:val="22"/>
          <w:szCs w:val="22"/>
        </w:rPr>
        <w:t xml:space="preserve">official </w:t>
      </w:r>
      <w:r w:rsidR="00CA2E78" w:rsidRPr="00C91779">
        <w:rPr>
          <w:kern w:val="22"/>
          <w:szCs w:val="22"/>
        </w:rPr>
        <w:t>languages</w:t>
      </w:r>
      <w:r w:rsidR="00E9205F" w:rsidRPr="00C91779">
        <w:rPr>
          <w:kern w:val="22"/>
          <w:szCs w:val="22"/>
        </w:rPr>
        <w:t xml:space="preserve"> of the United Nation</w:t>
      </w:r>
      <w:r w:rsidR="00AE58DA" w:rsidRPr="00AF5854">
        <w:rPr>
          <w:kern w:val="22"/>
          <w:szCs w:val="22"/>
        </w:rPr>
        <w:t>s</w:t>
      </w:r>
      <w:r w:rsidR="00E9205F" w:rsidRPr="00C91779">
        <w:rPr>
          <w:kern w:val="22"/>
          <w:szCs w:val="22"/>
        </w:rPr>
        <w:t>.</w:t>
      </w:r>
      <w:r w:rsidR="00CA2E78" w:rsidRPr="00C91779">
        <w:rPr>
          <w:rStyle w:val="FootnoteReference"/>
          <w:kern w:val="22"/>
          <w:sz w:val="22"/>
          <w:szCs w:val="22"/>
          <w:u w:val="none"/>
          <w:vertAlign w:val="superscript"/>
        </w:rPr>
        <w:footnoteReference w:id="15"/>
      </w:r>
      <w:r w:rsidR="00CA2E78" w:rsidRPr="00C91779">
        <w:rPr>
          <w:kern w:val="22"/>
          <w:szCs w:val="22"/>
        </w:rPr>
        <w:t xml:space="preserve"> This support has also enabled the Secretariat to </w:t>
      </w:r>
      <w:r w:rsidR="00200B64" w:rsidRPr="00AF5854">
        <w:rPr>
          <w:kern w:val="22"/>
          <w:szCs w:val="22"/>
        </w:rPr>
        <w:t>prepare</w:t>
      </w:r>
      <w:r w:rsidR="00200B64" w:rsidRPr="00C91779">
        <w:rPr>
          <w:kern w:val="22"/>
          <w:szCs w:val="22"/>
        </w:rPr>
        <w:t xml:space="preserve"> </w:t>
      </w:r>
      <w:r w:rsidR="00CA2E78" w:rsidRPr="00C91779">
        <w:rPr>
          <w:kern w:val="22"/>
          <w:szCs w:val="22"/>
        </w:rPr>
        <w:t>a package of materials on gender mainstreaming, and a guide on gender linkages with the Aichi Biodiversity Targets, which will be available later in 2018.</w:t>
      </w:r>
    </w:p>
    <w:p w:rsidR="00630E63" w:rsidRPr="00C91779" w:rsidRDefault="00CA2E78"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Working with the </w:t>
      </w:r>
      <w:hyperlink r:id="rId22" w:history="1">
        <w:r w:rsidRPr="00C91779">
          <w:rPr>
            <w:rStyle w:val="Hyperlink"/>
            <w:kern w:val="22"/>
            <w:szCs w:val="22"/>
          </w:rPr>
          <w:t>Global Environment Facility</w:t>
        </w:r>
      </w:hyperlink>
      <w:r w:rsidR="001F1D52" w:rsidRPr="00C91779">
        <w:rPr>
          <w:kern w:val="22"/>
          <w:szCs w:val="22"/>
        </w:rPr>
        <w:t xml:space="preserve"> (GEF)</w:t>
      </w:r>
      <w:r w:rsidR="008E1430" w:rsidRPr="00AF5854">
        <w:rPr>
          <w:kern w:val="22"/>
          <w:szCs w:val="22"/>
        </w:rPr>
        <w:t xml:space="preserve"> and its Small Grants Programme</w:t>
      </w:r>
      <w:r w:rsidRPr="00C91779">
        <w:rPr>
          <w:kern w:val="22"/>
          <w:szCs w:val="22"/>
        </w:rPr>
        <w:t xml:space="preserve">, and the </w:t>
      </w:r>
      <w:hyperlink r:id="rId23" w:history="1">
        <w:r w:rsidRPr="00C91779">
          <w:rPr>
            <w:rStyle w:val="Hyperlink"/>
            <w:kern w:val="22"/>
            <w:szCs w:val="22"/>
          </w:rPr>
          <w:t>United Nations Institute for Training and Research</w:t>
        </w:r>
      </w:hyperlink>
      <w:r w:rsidRPr="00C91779">
        <w:rPr>
          <w:kern w:val="22"/>
          <w:szCs w:val="22"/>
        </w:rPr>
        <w:t xml:space="preserve"> (UNITAR), the Secretariat has provided extensive input into the development of an online module on gender and biodiversity, which will be part of an open-access course on gender and environmental issues. The gender and biodiversity module is expected to be available online in 2018. </w:t>
      </w:r>
      <w:r w:rsidR="001F1D52" w:rsidRPr="00C91779">
        <w:rPr>
          <w:kern w:val="22"/>
          <w:szCs w:val="22"/>
        </w:rPr>
        <w:t xml:space="preserve">The Secretariat is also an active partner in the GEF Gender Partnership, a network of gender focal points from GEF-financed conventions and implementing agencies, which has worked to strengthen the integration of gender considerations in programming undertaken by GEF. Actions </w:t>
      </w:r>
      <w:r w:rsidR="00C9096D" w:rsidRPr="00C91779">
        <w:rPr>
          <w:kern w:val="22"/>
          <w:szCs w:val="22"/>
        </w:rPr>
        <w:t>under</w:t>
      </w:r>
      <w:r w:rsidR="001F1D52" w:rsidRPr="00C91779">
        <w:rPr>
          <w:kern w:val="22"/>
          <w:szCs w:val="22"/>
        </w:rPr>
        <w:t xml:space="preserve"> this partnership include supporting the development of the new GEF gender policy adopted by the GEF Council in November 2017</w:t>
      </w:r>
      <w:r w:rsidR="00E9205F" w:rsidRPr="00C91779">
        <w:rPr>
          <w:kern w:val="22"/>
          <w:szCs w:val="22"/>
        </w:rPr>
        <w:t>,</w:t>
      </w:r>
      <w:r w:rsidR="001F1D52" w:rsidRPr="00C91779">
        <w:rPr>
          <w:rStyle w:val="FootnoteReference"/>
          <w:kern w:val="22"/>
          <w:sz w:val="22"/>
          <w:szCs w:val="22"/>
          <w:u w:val="none"/>
          <w:vertAlign w:val="superscript"/>
        </w:rPr>
        <w:footnoteReference w:id="16"/>
      </w:r>
      <w:r w:rsidR="001F1D52" w:rsidRPr="00C91779">
        <w:rPr>
          <w:kern w:val="22"/>
          <w:szCs w:val="22"/>
        </w:rPr>
        <w:t xml:space="preserve"> and </w:t>
      </w:r>
      <w:r w:rsidR="00362C71" w:rsidRPr="00AF5854">
        <w:rPr>
          <w:kern w:val="22"/>
          <w:szCs w:val="22"/>
        </w:rPr>
        <w:t xml:space="preserve">the </w:t>
      </w:r>
      <w:r w:rsidR="001F1D52" w:rsidRPr="00C91779">
        <w:rPr>
          <w:kern w:val="22"/>
          <w:szCs w:val="22"/>
        </w:rPr>
        <w:t>development of associated gender guidelines, among related efforts.</w:t>
      </w:r>
    </w:p>
    <w:p w:rsidR="000454C9" w:rsidRPr="002F3E73" w:rsidRDefault="00B35669" w:rsidP="00C91779">
      <w:pPr>
        <w:pStyle w:val="Heading1"/>
        <w:numPr>
          <w:ilvl w:val="0"/>
          <w:numId w:val="66"/>
        </w:numPr>
        <w:suppressLineNumbers/>
        <w:tabs>
          <w:tab w:val="left" w:pos="450"/>
        </w:tabs>
        <w:suppressAutoHyphens/>
        <w:kinsoku w:val="0"/>
        <w:overflowPunct w:val="0"/>
        <w:autoSpaceDE w:val="0"/>
        <w:autoSpaceDN w:val="0"/>
        <w:adjustRightInd w:val="0"/>
        <w:snapToGrid w:val="0"/>
        <w:spacing w:before="120"/>
        <w:ind w:left="0" w:firstLine="0"/>
        <w:rPr>
          <w:bCs/>
          <w:snapToGrid w:val="0"/>
          <w:kern w:val="22"/>
          <w:szCs w:val="22"/>
        </w:rPr>
      </w:pPr>
      <w:r w:rsidRPr="002F3E73">
        <w:rPr>
          <w:bCs/>
          <w:caps w:val="0"/>
          <w:snapToGrid w:val="0"/>
          <w:kern w:val="22"/>
          <w:szCs w:val="22"/>
        </w:rPr>
        <w:t>INITIAL FINDINGS AND CONSIDERATIONS</w:t>
      </w:r>
    </w:p>
    <w:p w:rsidR="000454C9" w:rsidRPr="00C91779" w:rsidRDefault="000454C9"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Some of the consistent themes that emerged from the analysis of actions by the Secretariat, Parties and stakeholders include the importance of ongoing capacity</w:t>
      </w:r>
      <w:r w:rsidR="00E9205F" w:rsidRPr="00C91779">
        <w:rPr>
          <w:kern w:val="22"/>
          <w:szCs w:val="22"/>
        </w:rPr>
        <w:noBreakHyphen/>
      </w:r>
      <w:r w:rsidRPr="00C91779">
        <w:rPr>
          <w:kern w:val="22"/>
          <w:szCs w:val="22"/>
        </w:rPr>
        <w:t xml:space="preserve">building, shared learning, and fostering a critical mass of actors who are aware of and committed to addressing gender and biodiversity issues and </w:t>
      </w:r>
      <w:r w:rsidR="001C44F2" w:rsidRPr="00AF5854">
        <w:rPr>
          <w:kern w:val="22"/>
          <w:szCs w:val="22"/>
        </w:rPr>
        <w:t xml:space="preserve">who </w:t>
      </w:r>
      <w:r w:rsidRPr="00C91779">
        <w:rPr>
          <w:kern w:val="22"/>
          <w:szCs w:val="22"/>
        </w:rPr>
        <w:t xml:space="preserve">have the tools and resources </w:t>
      </w:r>
      <w:r w:rsidR="001C44F2" w:rsidRPr="00AF5854">
        <w:rPr>
          <w:kern w:val="22"/>
          <w:szCs w:val="22"/>
        </w:rPr>
        <w:t>as well as the</w:t>
      </w:r>
      <w:r w:rsidRPr="00C91779">
        <w:rPr>
          <w:kern w:val="22"/>
          <w:szCs w:val="22"/>
        </w:rPr>
        <w:t xml:space="preserve"> collaborative structures within which to do so.</w:t>
      </w:r>
    </w:p>
    <w:p w:rsidR="000454C9" w:rsidRPr="00C91779" w:rsidRDefault="000454C9"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Actions by the Secretariat</w:t>
      </w:r>
      <w:r w:rsidR="001768A2" w:rsidRPr="00AF5854">
        <w:rPr>
          <w:kern w:val="22"/>
          <w:szCs w:val="22"/>
        </w:rPr>
        <w:t xml:space="preserve"> —</w:t>
      </w:r>
      <w:r w:rsidRPr="00C91779">
        <w:rPr>
          <w:kern w:val="22"/>
          <w:szCs w:val="22"/>
        </w:rPr>
        <w:t xml:space="preserve"> such as undertaking participatory processes to develop gender-responsive NBSAPs that can serve as examples, and developing a range of capacity</w:t>
      </w:r>
      <w:r w:rsidR="00E9205F" w:rsidRPr="00C91779">
        <w:rPr>
          <w:kern w:val="22"/>
          <w:szCs w:val="22"/>
        </w:rPr>
        <w:noBreakHyphen/>
      </w:r>
      <w:r w:rsidRPr="00C91779">
        <w:rPr>
          <w:kern w:val="22"/>
          <w:szCs w:val="22"/>
        </w:rPr>
        <w:t>building and informational resources and training tools, including at the regional level</w:t>
      </w:r>
      <w:r w:rsidR="001768A2" w:rsidRPr="00AF5854">
        <w:rPr>
          <w:kern w:val="22"/>
          <w:szCs w:val="22"/>
        </w:rPr>
        <w:t xml:space="preserve"> —</w:t>
      </w:r>
      <w:r w:rsidRPr="00C91779">
        <w:rPr>
          <w:kern w:val="22"/>
          <w:szCs w:val="22"/>
        </w:rPr>
        <w:t xml:space="preserve"> have served both </w:t>
      </w:r>
      <w:r w:rsidR="00252E93" w:rsidRPr="00AF5854">
        <w:rPr>
          <w:kern w:val="22"/>
          <w:szCs w:val="22"/>
        </w:rPr>
        <w:t xml:space="preserve">to </w:t>
      </w:r>
      <w:r w:rsidRPr="00C91779">
        <w:rPr>
          <w:kern w:val="22"/>
          <w:szCs w:val="22"/>
        </w:rPr>
        <w:t xml:space="preserve">engage a diverse range of stakeholders, many </w:t>
      </w:r>
      <w:r w:rsidR="00252E93" w:rsidRPr="00AF5854">
        <w:rPr>
          <w:kern w:val="22"/>
          <w:szCs w:val="22"/>
        </w:rPr>
        <w:t xml:space="preserve">of </w:t>
      </w:r>
      <w:r w:rsidRPr="00C91779">
        <w:rPr>
          <w:kern w:val="22"/>
          <w:szCs w:val="22"/>
        </w:rPr>
        <w:t>who</w:t>
      </w:r>
      <w:r w:rsidR="00252E93" w:rsidRPr="00AF5854">
        <w:rPr>
          <w:kern w:val="22"/>
          <w:szCs w:val="22"/>
        </w:rPr>
        <w:t>m</w:t>
      </w:r>
      <w:r w:rsidRPr="00C91779">
        <w:rPr>
          <w:kern w:val="22"/>
          <w:szCs w:val="22"/>
        </w:rPr>
        <w:t xml:space="preserve"> have not previously participated in Convention processes, and </w:t>
      </w:r>
      <w:r w:rsidR="00252E93" w:rsidRPr="00AF5854">
        <w:rPr>
          <w:kern w:val="22"/>
          <w:szCs w:val="22"/>
        </w:rPr>
        <w:t xml:space="preserve">to </w:t>
      </w:r>
      <w:r w:rsidRPr="00C91779">
        <w:rPr>
          <w:kern w:val="22"/>
          <w:szCs w:val="22"/>
        </w:rPr>
        <w:t>provide means and opportunities to strengthen this engagement. The awareness and involvement of women’s groups and gender-environment specialists in particular has the potential to expand the reach of efforts towards biodiversity conservation and sustainable use. Effective engagement of these stakeholders presents opportunities to take advantage of synergies to support NBSAP implementation in a gender</w:t>
      </w:r>
      <w:r w:rsidR="00E9205F" w:rsidRPr="00C91779">
        <w:rPr>
          <w:kern w:val="22"/>
          <w:szCs w:val="22"/>
        </w:rPr>
        <w:noBreakHyphen/>
      </w:r>
      <w:r w:rsidRPr="00C91779">
        <w:rPr>
          <w:kern w:val="22"/>
          <w:szCs w:val="22"/>
        </w:rPr>
        <w:t xml:space="preserve">responsive manner, and to maximize alternative funding streams. Supporting engagement and leadership of key regional partners on gender issues also </w:t>
      </w:r>
      <w:r w:rsidR="006816A2" w:rsidRPr="00C91779">
        <w:rPr>
          <w:kern w:val="22"/>
          <w:szCs w:val="22"/>
        </w:rPr>
        <w:t xml:space="preserve">serves as an important </w:t>
      </w:r>
      <w:r w:rsidRPr="00C91779">
        <w:rPr>
          <w:kern w:val="22"/>
          <w:szCs w:val="22"/>
        </w:rPr>
        <w:t>means to enhance coordination, exchange of information and learning, and build on successful outcomes.</w:t>
      </w:r>
    </w:p>
    <w:p w:rsidR="000454C9" w:rsidRPr="00C91779" w:rsidRDefault="000454C9"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Submissions received from Parties and stakeholders on progress </w:t>
      </w:r>
      <w:r w:rsidR="00451E09" w:rsidRPr="00AF5854">
        <w:rPr>
          <w:kern w:val="22"/>
          <w:szCs w:val="22"/>
        </w:rPr>
        <w:t>in</w:t>
      </w:r>
      <w:r w:rsidR="00451E09" w:rsidRPr="00C91779">
        <w:rPr>
          <w:kern w:val="22"/>
          <w:szCs w:val="22"/>
        </w:rPr>
        <w:t xml:space="preserve"> </w:t>
      </w:r>
      <w:r w:rsidRPr="00C91779">
        <w:rPr>
          <w:kern w:val="22"/>
          <w:szCs w:val="22"/>
        </w:rPr>
        <w:t>implement</w:t>
      </w:r>
      <w:r w:rsidR="00451E09" w:rsidRPr="00AF5854">
        <w:rPr>
          <w:kern w:val="22"/>
          <w:szCs w:val="22"/>
        </w:rPr>
        <w:t>ing</w:t>
      </w:r>
      <w:r w:rsidRPr="00C91779">
        <w:rPr>
          <w:kern w:val="22"/>
          <w:szCs w:val="22"/>
        </w:rPr>
        <w:t xml:space="preserve"> the Plan of Action </w:t>
      </w:r>
      <w:r w:rsidR="00832E0B" w:rsidRPr="00AF5854">
        <w:rPr>
          <w:kern w:val="22"/>
          <w:szCs w:val="22"/>
        </w:rPr>
        <w:t>were</w:t>
      </w:r>
      <w:r w:rsidR="00832E0B" w:rsidRPr="00C91779">
        <w:rPr>
          <w:kern w:val="22"/>
          <w:szCs w:val="22"/>
        </w:rPr>
        <w:t xml:space="preserve"> </w:t>
      </w:r>
      <w:r w:rsidRPr="00C91779">
        <w:rPr>
          <w:kern w:val="22"/>
          <w:szCs w:val="22"/>
        </w:rPr>
        <w:t>a positive reflection of effort</w:t>
      </w:r>
      <w:r w:rsidR="00164F5A" w:rsidRPr="00AF5854">
        <w:rPr>
          <w:kern w:val="22"/>
          <w:szCs w:val="22"/>
        </w:rPr>
        <w:t>s</w:t>
      </w:r>
      <w:r w:rsidRPr="00C91779">
        <w:rPr>
          <w:kern w:val="22"/>
          <w:szCs w:val="22"/>
        </w:rPr>
        <w:t xml:space="preserve"> to address gender issues, highlighting </w:t>
      </w:r>
      <w:r w:rsidR="00C906AA" w:rsidRPr="00C91779">
        <w:rPr>
          <w:kern w:val="22"/>
          <w:szCs w:val="22"/>
        </w:rPr>
        <w:t xml:space="preserve">national plans and frameworks that provide a foundation for increased attention to gender, as well as </w:t>
      </w:r>
      <w:r w:rsidRPr="00C91779">
        <w:rPr>
          <w:kern w:val="22"/>
          <w:szCs w:val="22"/>
        </w:rPr>
        <w:t>initiatives that have the potential to further advance understanding and capacity on gender-biodiversity linkages.</w:t>
      </w:r>
    </w:p>
    <w:p w:rsidR="000454C9" w:rsidRPr="00C91779" w:rsidRDefault="000454C9"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The review of post-Nagoya NBSAPs suggests that many Parties recognize gender issues as relevant in some way to the achievement of biodiversity objectives</w:t>
      </w:r>
      <w:r w:rsidR="00F37119" w:rsidRPr="00AF5854">
        <w:rPr>
          <w:kern w:val="22"/>
          <w:szCs w:val="22"/>
        </w:rPr>
        <w:t>;</w:t>
      </w:r>
      <w:r w:rsidRPr="00C91779">
        <w:rPr>
          <w:kern w:val="22"/>
          <w:szCs w:val="22"/>
        </w:rPr>
        <w:t xml:space="preserve"> yet</w:t>
      </w:r>
      <w:r w:rsidR="00F37119" w:rsidRPr="00AF5854">
        <w:rPr>
          <w:kern w:val="22"/>
          <w:szCs w:val="22"/>
        </w:rPr>
        <w:t>,</w:t>
      </w:r>
      <w:r w:rsidRPr="00C91779">
        <w:rPr>
          <w:kern w:val="22"/>
          <w:szCs w:val="22"/>
        </w:rPr>
        <w:t xml:space="preserve"> gaps remain in addressing gender </w:t>
      </w:r>
      <w:r w:rsidR="00F642E3" w:rsidRPr="00C91779">
        <w:rPr>
          <w:kern w:val="22"/>
          <w:szCs w:val="22"/>
        </w:rPr>
        <w:t xml:space="preserve">consistently </w:t>
      </w:r>
      <w:r w:rsidRPr="00C91779">
        <w:rPr>
          <w:kern w:val="22"/>
          <w:szCs w:val="22"/>
        </w:rPr>
        <w:t xml:space="preserve">in strategies and </w:t>
      </w:r>
      <w:r w:rsidR="00F642E3" w:rsidRPr="00C91779">
        <w:rPr>
          <w:kern w:val="22"/>
          <w:szCs w:val="22"/>
        </w:rPr>
        <w:t>actions, and</w:t>
      </w:r>
      <w:r w:rsidRPr="00C91779">
        <w:rPr>
          <w:kern w:val="22"/>
          <w:szCs w:val="22"/>
        </w:rPr>
        <w:t xml:space="preserve"> </w:t>
      </w:r>
      <w:r w:rsidR="00F642E3" w:rsidRPr="00C91779">
        <w:rPr>
          <w:kern w:val="22"/>
          <w:szCs w:val="22"/>
        </w:rPr>
        <w:t xml:space="preserve">in </w:t>
      </w:r>
      <w:r w:rsidRPr="00C91779">
        <w:rPr>
          <w:kern w:val="22"/>
          <w:szCs w:val="22"/>
        </w:rPr>
        <w:t xml:space="preserve">engaging women’s representatives </w:t>
      </w:r>
      <w:r w:rsidR="00F642E3" w:rsidRPr="00C91779">
        <w:rPr>
          <w:kern w:val="22"/>
          <w:szCs w:val="22"/>
        </w:rPr>
        <w:t xml:space="preserve">meaningfully </w:t>
      </w:r>
      <w:r w:rsidRPr="00C91779">
        <w:rPr>
          <w:kern w:val="22"/>
          <w:szCs w:val="22"/>
        </w:rPr>
        <w:t xml:space="preserve">in planning </w:t>
      </w:r>
      <w:r w:rsidR="00F642E3" w:rsidRPr="00C91779">
        <w:rPr>
          <w:kern w:val="22"/>
          <w:szCs w:val="22"/>
        </w:rPr>
        <w:t>and</w:t>
      </w:r>
      <w:r w:rsidRPr="00C91779">
        <w:rPr>
          <w:kern w:val="22"/>
          <w:szCs w:val="22"/>
        </w:rPr>
        <w:t xml:space="preserve"> implementation processes. Continued calls for capacity</w:t>
      </w:r>
      <w:r w:rsidR="00E9205F" w:rsidRPr="00C91779">
        <w:rPr>
          <w:kern w:val="22"/>
          <w:szCs w:val="22"/>
        </w:rPr>
        <w:t>-</w:t>
      </w:r>
      <w:r w:rsidRPr="00C91779">
        <w:rPr>
          <w:kern w:val="22"/>
          <w:szCs w:val="22"/>
        </w:rPr>
        <w:t xml:space="preserve">building suggest that lack of understanding of </w:t>
      </w:r>
      <w:r w:rsidR="00B37069" w:rsidRPr="00AF5854">
        <w:rPr>
          <w:kern w:val="22"/>
          <w:szCs w:val="22"/>
        </w:rPr>
        <w:t>ways</w:t>
      </w:r>
      <w:r w:rsidR="00B37069" w:rsidRPr="00C91779">
        <w:rPr>
          <w:kern w:val="22"/>
          <w:szCs w:val="22"/>
        </w:rPr>
        <w:t xml:space="preserve"> </w:t>
      </w:r>
      <w:r w:rsidRPr="00C91779">
        <w:rPr>
          <w:kern w:val="22"/>
          <w:szCs w:val="22"/>
        </w:rPr>
        <w:t>to integrate gender issues may be a factor in addressing gender effectively in planning and implementation processes. The survey undertaken with the Rio Conventions on joint capacity</w:t>
      </w:r>
      <w:r w:rsidR="00E9205F" w:rsidRPr="00C91779">
        <w:rPr>
          <w:kern w:val="22"/>
          <w:szCs w:val="22"/>
        </w:rPr>
        <w:noBreakHyphen/>
      </w:r>
      <w:r w:rsidRPr="00C91779">
        <w:rPr>
          <w:kern w:val="22"/>
          <w:szCs w:val="22"/>
        </w:rPr>
        <w:t xml:space="preserve">building needs further underscored issues around </w:t>
      </w:r>
      <w:r w:rsidR="00C92AA8" w:rsidRPr="00C91779">
        <w:rPr>
          <w:kern w:val="22"/>
          <w:szCs w:val="22"/>
        </w:rPr>
        <w:t>“</w:t>
      </w:r>
      <w:r w:rsidRPr="00C91779">
        <w:rPr>
          <w:kern w:val="22"/>
          <w:szCs w:val="22"/>
        </w:rPr>
        <w:t>gender literacy</w:t>
      </w:r>
      <w:r w:rsidR="00C92AA8" w:rsidRPr="00C91779">
        <w:rPr>
          <w:kern w:val="22"/>
          <w:szCs w:val="22"/>
        </w:rPr>
        <w:t>”</w:t>
      </w:r>
      <w:r w:rsidRPr="00C91779">
        <w:rPr>
          <w:kern w:val="22"/>
          <w:szCs w:val="22"/>
        </w:rPr>
        <w:t xml:space="preserve"> or understanding of gender and </w:t>
      </w:r>
      <w:r w:rsidRPr="00C91779">
        <w:rPr>
          <w:kern w:val="22"/>
          <w:szCs w:val="22"/>
        </w:rPr>
        <w:lastRenderedPageBreak/>
        <w:t xml:space="preserve">biodiversity/environment linkages, identifying the need to increase staff skills and knowledge, and the availability of tools and guidance information. A lack of understanding of the </w:t>
      </w:r>
      <w:r w:rsidR="00C92AA8" w:rsidRPr="00C91779">
        <w:rPr>
          <w:kern w:val="22"/>
          <w:szCs w:val="22"/>
        </w:rPr>
        <w:t>“</w:t>
      </w:r>
      <w:r w:rsidRPr="00C91779">
        <w:rPr>
          <w:kern w:val="22"/>
          <w:szCs w:val="22"/>
        </w:rPr>
        <w:t>how</w:t>
      </w:r>
      <w:r w:rsidR="00C92AA8" w:rsidRPr="00C91779">
        <w:rPr>
          <w:kern w:val="22"/>
          <w:szCs w:val="22"/>
        </w:rPr>
        <w:t>”</w:t>
      </w:r>
      <w:r w:rsidRPr="00C91779">
        <w:rPr>
          <w:kern w:val="22"/>
          <w:szCs w:val="22"/>
        </w:rPr>
        <w:t xml:space="preserve"> of addressing gender or of the full impact of gender inequalities on the achievement of biodiversity outcomes is also likely to influence political commitment to apply resources needed to fully address gender in </w:t>
      </w:r>
      <w:r w:rsidR="00943096" w:rsidRPr="00AF5854">
        <w:rPr>
          <w:kern w:val="22"/>
          <w:szCs w:val="22"/>
        </w:rPr>
        <w:t xml:space="preserve">the </w:t>
      </w:r>
      <w:r w:rsidRPr="00C91779">
        <w:rPr>
          <w:kern w:val="22"/>
          <w:szCs w:val="22"/>
        </w:rPr>
        <w:t>NBSAP and other processes under the Convention.</w:t>
      </w:r>
    </w:p>
    <w:p w:rsidR="00905D7F" w:rsidRPr="00D050CC" w:rsidRDefault="00781121" w:rsidP="00C91779">
      <w:pPr>
        <w:pStyle w:val="Heading1"/>
        <w:suppressLineNumbers/>
        <w:tabs>
          <w:tab w:val="left" w:pos="450"/>
        </w:tabs>
        <w:suppressAutoHyphens/>
        <w:kinsoku w:val="0"/>
        <w:overflowPunct w:val="0"/>
        <w:autoSpaceDE w:val="0"/>
        <w:autoSpaceDN w:val="0"/>
        <w:adjustRightInd w:val="0"/>
        <w:snapToGrid w:val="0"/>
        <w:spacing w:before="120"/>
        <w:rPr>
          <w:snapToGrid w:val="0"/>
          <w:kern w:val="22"/>
          <w:szCs w:val="22"/>
        </w:rPr>
      </w:pPr>
      <w:r w:rsidRPr="00D050CC">
        <w:rPr>
          <w:caps w:val="0"/>
          <w:snapToGrid w:val="0"/>
          <w:kern w:val="22"/>
          <w:szCs w:val="22"/>
        </w:rPr>
        <w:t>IV.</w:t>
      </w:r>
      <w:r w:rsidRPr="00D050CC">
        <w:rPr>
          <w:caps w:val="0"/>
          <w:snapToGrid w:val="0"/>
          <w:kern w:val="22"/>
          <w:szCs w:val="22"/>
        </w:rPr>
        <w:tab/>
        <w:t>CONSIDERATIONS FOR THE POST-2020 BIODIVERSITY FRAMEWORK</w:t>
      </w:r>
    </w:p>
    <w:p w:rsidR="005172AD" w:rsidRPr="00C91779" w:rsidRDefault="00845B36"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The development of the post-2020 bi</w:t>
      </w:r>
      <w:r w:rsidR="00B223AB" w:rsidRPr="00C91779">
        <w:rPr>
          <w:kern w:val="22"/>
          <w:szCs w:val="22"/>
        </w:rPr>
        <w:t>odivers</w:t>
      </w:r>
      <w:r w:rsidR="00B37586" w:rsidRPr="00C91779">
        <w:rPr>
          <w:kern w:val="22"/>
          <w:szCs w:val="22"/>
        </w:rPr>
        <w:t xml:space="preserve">ity framework provides an </w:t>
      </w:r>
      <w:r w:rsidR="00B223AB" w:rsidRPr="00C91779">
        <w:rPr>
          <w:kern w:val="22"/>
          <w:szCs w:val="22"/>
        </w:rPr>
        <w:t xml:space="preserve">opportunity for </w:t>
      </w:r>
      <w:r w:rsidR="00B37586" w:rsidRPr="00C91779">
        <w:rPr>
          <w:kern w:val="22"/>
          <w:szCs w:val="22"/>
        </w:rPr>
        <w:t>further integration of gender considerations</w:t>
      </w:r>
      <w:r w:rsidR="00B223AB" w:rsidRPr="00C91779">
        <w:rPr>
          <w:kern w:val="22"/>
          <w:szCs w:val="22"/>
        </w:rPr>
        <w:t xml:space="preserve"> in the context of the Convention. </w:t>
      </w:r>
      <w:r w:rsidR="005172AD" w:rsidRPr="00C91779">
        <w:rPr>
          <w:kern w:val="22"/>
          <w:szCs w:val="22"/>
        </w:rPr>
        <w:t>As t</w:t>
      </w:r>
      <w:r w:rsidR="00D47AC7" w:rsidRPr="00C91779">
        <w:rPr>
          <w:kern w:val="22"/>
          <w:szCs w:val="22"/>
        </w:rPr>
        <w:t>he Strategic P</w:t>
      </w:r>
      <w:r w:rsidR="005172AD" w:rsidRPr="00C91779">
        <w:rPr>
          <w:kern w:val="22"/>
          <w:szCs w:val="22"/>
        </w:rPr>
        <w:t xml:space="preserve">lan for Biodiversity 2011-2020 and Aichi Biodiversity Targets have few references to gender issues, opportunities to promote gender actions in implementation are </w:t>
      </w:r>
      <w:r w:rsidR="0077573D" w:rsidRPr="00AF5854">
        <w:rPr>
          <w:kern w:val="22"/>
          <w:szCs w:val="22"/>
        </w:rPr>
        <w:t>accordingly</w:t>
      </w:r>
      <w:r w:rsidR="0077573D" w:rsidRPr="00C91779">
        <w:rPr>
          <w:kern w:val="22"/>
          <w:szCs w:val="22"/>
        </w:rPr>
        <w:t xml:space="preserve"> </w:t>
      </w:r>
      <w:r w:rsidR="005172AD" w:rsidRPr="00C91779">
        <w:rPr>
          <w:kern w:val="22"/>
          <w:szCs w:val="22"/>
        </w:rPr>
        <w:t xml:space="preserve">limited. Increased attention to gender dimensions in the post-2020 framework is </w:t>
      </w:r>
      <w:r w:rsidR="00542D7B" w:rsidRPr="00AF5854">
        <w:rPr>
          <w:kern w:val="22"/>
          <w:szCs w:val="22"/>
        </w:rPr>
        <w:t xml:space="preserve">therefore </w:t>
      </w:r>
      <w:r w:rsidR="005172AD" w:rsidRPr="00C91779">
        <w:rPr>
          <w:kern w:val="22"/>
          <w:szCs w:val="22"/>
        </w:rPr>
        <w:t xml:space="preserve">an important means to strengthen </w:t>
      </w:r>
      <w:r w:rsidR="00542D7B" w:rsidRPr="00AF5854">
        <w:rPr>
          <w:kern w:val="22"/>
          <w:szCs w:val="22"/>
        </w:rPr>
        <w:t xml:space="preserve">the </w:t>
      </w:r>
      <w:r w:rsidR="005172AD" w:rsidRPr="00C91779">
        <w:rPr>
          <w:kern w:val="22"/>
          <w:szCs w:val="22"/>
        </w:rPr>
        <w:t>achievement of gender</w:t>
      </w:r>
      <w:r w:rsidR="00B97F10" w:rsidRPr="00C91779">
        <w:rPr>
          <w:kern w:val="22"/>
          <w:szCs w:val="22"/>
        </w:rPr>
        <w:t>-biodiversity</w:t>
      </w:r>
      <w:r w:rsidR="005172AD" w:rsidRPr="00C91779">
        <w:rPr>
          <w:kern w:val="22"/>
          <w:szCs w:val="22"/>
        </w:rPr>
        <w:t xml:space="preserve"> objectives.</w:t>
      </w:r>
    </w:p>
    <w:p w:rsidR="00F95F8D" w:rsidRPr="00C91779" w:rsidRDefault="00F95F8D"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On the margins of the twenty-first meeting of the Subsidiary Body on Scientific</w:t>
      </w:r>
      <w:r w:rsidR="002A53D7" w:rsidRPr="00AF5854">
        <w:rPr>
          <w:kern w:val="22"/>
          <w:szCs w:val="22"/>
        </w:rPr>
        <w:t>,</w:t>
      </w:r>
      <w:r w:rsidRPr="00C91779">
        <w:rPr>
          <w:kern w:val="22"/>
          <w:szCs w:val="22"/>
        </w:rPr>
        <w:t xml:space="preserve"> Technical and Technological Advice</w:t>
      </w:r>
      <w:r w:rsidR="00542D7B" w:rsidRPr="00AF5854">
        <w:rPr>
          <w:kern w:val="22"/>
          <w:szCs w:val="22"/>
        </w:rPr>
        <w:t>,</w:t>
      </w:r>
      <w:r w:rsidRPr="00C91779">
        <w:rPr>
          <w:kern w:val="22"/>
          <w:szCs w:val="22"/>
        </w:rPr>
        <w:t xml:space="preserve"> the Secretariat held a side event on 13 December 2017 in the form of a workshop/informal consultation on the Convention’s Gender Plan of Action in the context of the post-2020 biodiversity framework. The event was well attended by participants</w:t>
      </w:r>
      <w:r w:rsidR="00C94394" w:rsidRPr="00C91779">
        <w:rPr>
          <w:kern w:val="22"/>
          <w:szCs w:val="22"/>
        </w:rPr>
        <w:t xml:space="preserve"> from among Parties and observer organizations</w:t>
      </w:r>
      <w:r w:rsidRPr="00C91779">
        <w:rPr>
          <w:kern w:val="22"/>
          <w:szCs w:val="22"/>
        </w:rPr>
        <w:t>, and generated useful feedback for consideration of future steps for strengthened attention on gender under the Convention. Proposals that emerged from the discussion included</w:t>
      </w:r>
      <w:r w:rsidR="00BF0A53" w:rsidRPr="00AF5854">
        <w:rPr>
          <w:kern w:val="22"/>
          <w:szCs w:val="22"/>
        </w:rPr>
        <w:t>:</w:t>
      </w:r>
      <w:r w:rsidRPr="00C91779">
        <w:rPr>
          <w:kern w:val="22"/>
          <w:szCs w:val="22"/>
        </w:rPr>
        <w:t xml:space="preserve"> </w:t>
      </w:r>
      <w:r w:rsidR="003106D1" w:rsidRPr="00AF5854">
        <w:rPr>
          <w:kern w:val="22"/>
          <w:szCs w:val="22"/>
        </w:rPr>
        <w:t>(a) </w:t>
      </w:r>
      <w:r w:rsidRPr="00C91779">
        <w:rPr>
          <w:kern w:val="22"/>
          <w:szCs w:val="22"/>
        </w:rPr>
        <w:t>align</w:t>
      </w:r>
      <w:r w:rsidR="003106D1" w:rsidRPr="00AF5854">
        <w:rPr>
          <w:kern w:val="22"/>
          <w:szCs w:val="22"/>
        </w:rPr>
        <w:t>ing</w:t>
      </w:r>
      <w:r w:rsidRPr="00C91779">
        <w:rPr>
          <w:kern w:val="22"/>
          <w:szCs w:val="22"/>
        </w:rPr>
        <w:t xml:space="preserve"> the development of a new/next gender plan of action </w:t>
      </w:r>
      <w:r w:rsidR="00C94394" w:rsidRPr="00C91779">
        <w:rPr>
          <w:kern w:val="22"/>
          <w:szCs w:val="22"/>
        </w:rPr>
        <w:t>for the period beyond 2020</w:t>
      </w:r>
      <w:r w:rsidR="003E47AE" w:rsidRPr="00C91779">
        <w:rPr>
          <w:kern w:val="22"/>
          <w:szCs w:val="22"/>
        </w:rPr>
        <w:t xml:space="preserve"> </w:t>
      </w:r>
      <w:r w:rsidRPr="00C91779">
        <w:rPr>
          <w:kern w:val="22"/>
          <w:szCs w:val="22"/>
        </w:rPr>
        <w:t xml:space="preserve">with the development of the post-2020 </w:t>
      </w:r>
      <w:r w:rsidR="00C94394" w:rsidRPr="00C91779">
        <w:rPr>
          <w:kern w:val="22"/>
          <w:szCs w:val="22"/>
        </w:rPr>
        <w:t xml:space="preserve">biodiversity </w:t>
      </w:r>
      <w:r w:rsidRPr="00C91779">
        <w:rPr>
          <w:kern w:val="22"/>
          <w:szCs w:val="22"/>
        </w:rPr>
        <w:t xml:space="preserve">framework; </w:t>
      </w:r>
      <w:r w:rsidR="003106D1" w:rsidRPr="00AF5854">
        <w:rPr>
          <w:kern w:val="22"/>
          <w:szCs w:val="22"/>
        </w:rPr>
        <w:t>(b) </w:t>
      </w:r>
      <w:r w:rsidRPr="00C91779">
        <w:rPr>
          <w:kern w:val="22"/>
          <w:szCs w:val="22"/>
        </w:rPr>
        <w:t>identify</w:t>
      </w:r>
      <w:r w:rsidR="003106D1" w:rsidRPr="00AF5854">
        <w:rPr>
          <w:kern w:val="22"/>
          <w:szCs w:val="22"/>
        </w:rPr>
        <w:t>ing</w:t>
      </w:r>
      <w:r w:rsidRPr="00C91779">
        <w:rPr>
          <w:kern w:val="22"/>
          <w:szCs w:val="22"/>
        </w:rPr>
        <w:t xml:space="preserve"> more precise and enforceable targets rather than broader goals, with the same targets for all countries; </w:t>
      </w:r>
      <w:r w:rsidR="00BF0A53" w:rsidRPr="00AF5854">
        <w:rPr>
          <w:kern w:val="22"/>
          <w:szCs w:val="22"/>
        </w:rPr>
        <w:t>(c) </w:t>
      </w:r>
      <w:r w:rsidRPr="00C91779">
        <w:rPr>
          <w:kern w:val="22"/>
          <w:szCs w:val="22"/>
        </w:rPr>
        <w:t>consider</w:t>
      </w:r>
      <w:r w:rsidR="00BF0A53" w:rsidRPr="00AF5854">
        <w:rPr>
          <w:kern w:val="22"/>
          <w:szCs w:val="22"/>
        </w:rPr>
        <w:t>ing</w:t>
      </w:r>
      <w:r w:rsidRPr="00C91779">
        <w:rPr>
          <w:kern w:val="22"/>
          <w:szCs w:val="22"/>
        </w:rPr>
        <w:t xml:space="preserve"> </w:t>
      </w:r>
      <w:r w:rsidR="00BF0A53" w:rsidRPr="00AF5854">
        <w:rPr>
          <w:kern w:val="22"/>
          <w:szCs w:val="22"/>
        </w:rPr>
        <w:t>the nomination of</w:t>
      </w:r>
      <w:r w:rsidRPr="00C91779">
        <w:rPr>
          <w:kern w:val="22"/>
          <w:szCs w:val="22"/>
        </w:rPr>
        <w:t xml:space="preserve"> national gender focal point</w:t>
      </w:r>
      <w:r w:rsidR="00BF0A53" w:rsidRPr="00AF5854">
        <w:rPr>
          <w:kern w:val="22"/>
          <w:szCs w:val="22"/>
        </w:rPr>
        <w:t>s</w:t>
      </w:r>
      <w:r w:rsidRPr="00C91779">
        <w:rPr>
          <w:kern w:val="22"/>
          <w:szCs w:val="22"/>
        </w:rPr>
        <w:t xml:space="preserve">; and </w:t>
      </w:r>
      <w:r w:rsidR="00BF0A53" w:rsidRPr="00AF5854">
        <w:rPr>
          <w:kern w:val="22"/>
          <w:szCs w:val="22"/>
        </w:rPr>
        <w:t>(d) </w:t>
      </w:r>
      <w:r w:rsidRPr="00C91779">
        <w:rPr>
          <w:kern w:val="22"/>
          <w:szCs w:val="22"/>
        </w:rPr>
        <w:t>determin</w:t>
      </w:r>
      <w:r w:rsidR="00BF0A53" w:rsidRPr="00AF5854">
        <w:rPr>
          <w:kern w:val="22"/>
          <w:szCs w:val="22"/>
        </w:rPr>
        <w:t>ing</w:t>
      </w:r>
      <w:r w:rsidRPr="00C91779">
        <w:rPr>
          <w:kern w:val="22"/>
          <w:szCs w:val="22"/>
        </w:rPr>
        <w:t xml:space="preserve"> gaps and lessons learned from the Gender Plan of Action </w:t>
      </w:r>
      <w:r w:rsidR="00A12234" w:rsidRPr="00AF5854">
        <w:rPr>
          <w:kern w:val="22"/>
          <w:szCs w:val="22"/>
        </w:rPr>
        <w:t>for the purpose of</w:t>
      </w:r>
      <w:r w:rsidRPr="00C91779">
        <w:rPr>
          <w:kern w:val="22"/>
          <w:szCs w:val="22"/>
        </w:rPr>
        <w:t xml:space="preserve"> inform</w:t>
      </w:r>
      <w:r w:rsidR="00A12234" w:rsidRPr="00AF5854">
        <w:rPr>
          <w:kern w:val="22"/>
          <w:szCs w:val="22"/>
        </w:rPr>
        <w:t>ing</w:t>
      </w:r>
      <w:r w:rsidRPr="00C91779">
        <w:rPr>
          <w:kern w:val="22"/>
          <w:szCs w:val="22"/>
        </w:rPr>
        <w:t xml:space="preserve"> the </w:t>
      </w:r>
      <w:r w:rsidR="0070399F" w:rsidRPr="00C91779">
        <w:rPr>
          <w:kern w:val="22"/>
          <w:szCs w:val="22"/>
        </w:rPr>
        <w:t>process for develop</w:t>
      </w:r>
      <w:r w:rsidR="00A12234" w:rsidRPr="00AF5854">
        <w:rPr>
          <w:kern w:val="22"/>
          <w:szCs w:val="22"/>
        </w:rPr>
        <w:t>ing</w:t>
      </w:r>
      <w:r w:rsidR="0070399F" w:rsidRPr="00C91779">
        <w:rPr>
          <w:kern w:val="22"/>
          <w:szCs w:val="22"/>
        </w:rPr>
        <w:t xml:space="preserve"> the </w:t>
      </w:r>
      <w:r w:rsidRPr="00C91779">
        <w:rPr>
          <w:kern w:val="22"/>
          <w:szCs w:val="22"/>
        </w:rPr>
        <w:t xml:space="preserve">post-2020 </w:t>
      </w:r>
      <w:r w:rsidR="0070399F" w:rsidRPr="00C91779">
        <w:rPr>
          <w:kern w:val="22"/>
          <w:szCs w:val="22"/>
        </w:rPr>
        <w:t>framework</w:t>
      </w:r>
      <w:r w:rsidRPr="00C91779">
        <w:rPr>
          <w:kern w:val="22"/>
          <w:szCs w:val="22"/>
        </w:rPr>
        <w:t>. Additional needs related to clarifying language and messages around gender, and gender and biodiversity, to avoid</w:t>
      </w:r>
      <w:r w:rsidR="0051396E" w:rsidRPr="00AF5854">
        <w:rPr>
          <w:kern w:val="22"/>
          <w:szCs w:val="22"/>
        </w:rPr>
        <w:t>ing</w:t>
      </w:r>
      <w:r w:rsidRPr="00C91779">
        <w:rPr>
          <w:kern w:val="22"/>
          <w:szCs w:val="22"/>
        </w:rPr>
        <w:t xml:space="preserve"> resistance to the term </w:t>
      </w:r>
      <w:r w:rsidR="00C92AA8" w:rsidRPr="00C91779">
        <w:rPr>
          <w:kern w:val="22"/>
          <w:szCs w:val="22"/>
        </w:rPr>
        <w:t>“</w:t>
      </w:r>
      <w:r w:rsidRPr="00C91779">
        <w:rPr>
          <w:kern w:val="22"/>
          <w:szCs w:val="22"/>
        </w:rPr>
        <w:t>gender</w:t>
      </w:r>
      <w:r w:rsidR="00C92AA8" w:rsidRPr="00C91779">
        <w:rPr>
          <w:kern w:val="22"/>
          <w:szCs w:val="22"/>
        </w:rPr>
        <w:t>”</w:t>
      </w:r>
      <w:r w:rsidRPr="00C91779">
        <w:rPr>
          <w:kern w:val="22"/>
          <w:szCs w:val="22"/>
        </w:rPr>
        <w:t xml:space="preserve">, and </w:t>
      </w:r>
      <w:r w:rsidR="0051396E" w:rsidRPr="00AF5854">
        <w:rPr>
          <w:kern w:val="22"/>
          <w:szCs w:val="22"/>
        </w:rPr>
        <w:t xml:space="preserve">to </w:t>
      </w:r>
      <w:r w:rsidRPr="00C91779">
        <w:rPr>
          <w:kern w:val="22"/>
          <w:szCs w:val="22"/>
        </w:rPr>
        <w:t>ensur</w:t>
      </w:r>
      <w:r w:rsidR="0051396E" w:rsidRPr="00AF5854">
        <w:rPr>
          <w:kern w:val="22"/>
          <w:szCs w:val="22"/>
        </w:rPr>
        <w:t>ing that</w:t>
      </w:r>
      <w:r w:rsidRPr="00C91779">
        <w:rPr>
          <w:kern w:val="22"/>
          <w:szCs w:val="22"/>
        </w:rPr>
        <w:t xml:space="preserve"> language is inclusive, as well as ensuring </w:t>
      </w:r>
      <w:r w:rsidR="0051396E" w:rsidRPr="00AF5854">
        <w:rPr>
          <w:kern w:val="22"/>
          <w:szCs w:val="22"/>
        </w:rPr>
        <w:t xml:space="preserve">that </w:t>
      </w:r>
      <w:r w:rsidRPr="00C91779">
        <w:rPr>
          <w:kern w:val="22"/>
          <w:szCs w:val="22"/>
        </w:rPr>
        <w:t>those implementing biodiversity-related activities receive training and support for capacity</w:t>
      </w:r>
      <w:r w:rsidR="0051396E" w:rsidRPr="00AF5854">
        <w:rPr>
          <w:kern w:val="22"/>
          <w:szCs w:val="22"/>
        </w:rPr>
        <w:t>-</w:t>
      </w:r>
      <w:r w:rsidRPr="00C91779">
        <w:rPr>
          <w:kern w:val="22"/>
          <w:szCs w:val="22"/>
        </w:rPr>
        <w:t>building on gender issues.</w:t>
      </w:r>
    </w:p>
    <w:p w:rsidR="005D46C1" w:rsidRPr="00C91779" w:rsidRDefault="00F95F8D"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Requests for increased attention on gender issues were also repeated in submissions received </w:t>
      </w:r>
      <w:r w:rsidR="002051C7" w:rsidRPr="00AF5854">
        <w:rPr>
          <w:kern w:val="22"/>
          <w:szCs w:val="22"/>
        </w:rPr>
        <w:t>from</w:t>
      </w:r>
      <w:r w:rsidR="002051C7" w:rsidRPr="00C91779">
        <w:rPr>
          <w:kern w:val="22"/>
          <w:szCs w:val="22"/>
        </w:rPr>
        <w:t xml:space="preserve"> </w:t>
      </w:r>
      <w:r w:rsidRPr="00C91779">
        <w:rPr>
          <w:kern w:val="22"/>
          <w:szCs w:val="22"/>
        </w:rPr>
        <w:t>Parties and other stakeholders in response to notifications</w:t>
      </w:r>
      <w:r w:rsidRPr="00C91779">
        <w:rPr>
          <w:rStyle w:val="FootnoteReference"/>
          <w:kern w:val="22"/>
          <w:sz w:val="22"/>
          <w:szCs w:val="22"/>
          <w:u w:val="none"/>
          <w:vertAlign w:val="superscript"/>
        </w:rPr>
        <w:footnoteReference w:id="17"/>
      </w:r>
      <w:r w:rsidRPr="00C91779">
        <w:rPr>
          <w:kern w:val="22"/>
          <w:szCs w:val="22"/>
        </w:rPr>
        <w:t xml:space="preserve"> inviting contributions to the development of the process for </w:t>
      </w:r>
      <w:r w:rsidR="00A02A40" w:rsidRPr="00AF5854">
        <w:rPr>
          <w:kern w:val="22"/>
          <w:szCs w:val="22"/>
        </w:rPr>
        <w:t>developing</w:t>
      </w:r>
      <w:r w:rsidRPr="00C91779">
        <w:rPr>
          <w:kern w:val="22"/>
          <w:szCs w:val="22"/>
        </w:rPr>
        <w:t xml:space="preserve"> the post-2020 biodiversity framework. Calls were made to address gender as a cross-cutting issue and to integrate gender in the framework, including as a stand</w:t>
      </w:r>
      <w:r w:rsidR="00C06D6B" w:rsidRPr="00AF5854">
        <w:rPr>
          <w:kern w:val="22"/>
          <w:szCs w:val="22"/>
        </w:rPr>
        <w:t>-</w:t>
      </w:r>
      <w:r w:rsidRPr="00C91779">
        <w:rPr>
          <w:kern w:val="22"/>
          <w:szCs w:val="22"/>
        </w:rPr>
        <w:t xml:space="preserve">alone target. Further articulation was requested </w:t>
      </w:r>
      <w:r w:rsidR="00A02A40" w:rsidRPr="00AF5854">
        <w:rPr>
          <w:kern w:val="22"/>
          <w:szCs w:val="22"/>
        </w:rPr>
        <w:t>on</w:t>
      </w:r>
      <w:r w:rsidR="00A02A40" w:rsidRPr="00C91779">
        <w:rPr>
          <w:kern w:val="22"/>
          <w:szCs w:val="22"/>
        </w:rPr>
        <w:t xml:space="preserve"> </w:t>
      </w:r>
      <w:r w:rsidRPr="00C91779">
        <w:rPr>
          <w:kern w:val="22"/>
          <w:szCs w:val="22"/>
        </w:rPr>
        <w:t xml:space="preserve">how the process for </w:t>
      </w:r>
      <w:r w:rsidR="00A02A40" w:rsidRPr="00AF5854">
        <w:rPr>
          <w:kern w:val="22"/>
          <w:szCs w:val="22"/>
        </w:rPr>
        <w:t xml:space="preserve">the </w:t>
      </w:r>
      <w:r w:rsidRPr="00C91779">
        <w:rPr>
          <w:kern w:val="22"/>
          <w:szCs w:val="22"/>
        </w:rPr>
        <w:t>framework will be gender</w:t>
      </w:r>
      <w:r w:rsidR="00A02A40" w:rsidRPr="00AF5854">
        <w:rPr>
          <w:kern w:val="22"/>
          <w:szCs w:val="22"/>
        </w:rPr>
        <w:t>-</w:t>
      </w:r>
      <w:r w:rsidRPr="00C91779">
        <w:rPr>
          <w:kern w:val="22"/>
          <w:szCs w:val="22"/>
        </w:rPr>
        <w:t xml:space="preserve">sensitive. A request was also made for consideration of culturally appropriate and gender-sensitive tools and methods, and indigenous languages as part of the channels of participation, </w:t>
      </w:r>
      <w:r w:rsidR="004375B4" w:rsidRPr="00AF5854">
        <w:rPr>
          <w:kern w:val="22"/>
          <w:szCs w:val="22"/>
        </w:rPr>
        <w:t xml:space="preserve">in order </w:t>
      </w:r>
      <w:r w:rsidRPr="00C91779">
        <w:rPr>
          <w:kern w:val="22"/>
          <w:szCs w:val="22"/>
        </w:rPr>
        <w:t>to promote gender mainstreaming at all levels throughout the preparatory process.</w:t>
      </w:r>
    </w:p>
    <w:p w:rsidR="000454C9" w:rsidRPr="00C91779" w:rsidRDefault="00781121" w:rsidP="00C91779">
      <w:pPr>
        <w:pStyle w:val="Heading1"/>
        <w:suppressLineNumbers/>
        <w:tabs>
          <w:tab w:val="left" w:pos="360"/>
        </w:tabs>
        <w:suppressAutoHyphens/>
        <w:kinsoku w:val="0"/>
        <w:overflowPunct w:val="0"/>
        <w:autoSpaceDE w:val="0"/>
        <w:autoSpaceDN w:val="0"/>
        <w:adjustRightInd w:val="0"/>
        <w:snapToGrid w:val="0"/>
        <w:spacing w:before="120"/>
        <w:rPr>
          <w:kern w:val="22"/>
          <w:szCs w:val="22"/>
        </w:rPr>
      </w:pPr>
      <w:r w:rsidRPr="00C91779">
        <w:rPr>
          <w:caps w:val="0"/>
          <w:snapToGrid w:val="0"/>
          <w:kern w:val="22"/>
          <w:szCs w:val="22"/>
        </w:rPr>
        <w:t>V.</w:t>
      </w:r>
      <w:r w:rsidRPr="00C91779">
        <w:rPr>
          <w:caps w:val="0"/>
          <w:snapToGrid w:val="0"/>
          <w:kern w:val="22"/>
          <w:szCs w:val="22"/>
        </w:rPr>
        <w:tab/>
      </w:r>
      <w:r w:rsidR="00BA1B2A" w:rsidRPr="00C91779">
        <w:rPr>
          <w:caps w:val="0"/>
          <w:snapToGrid w:val="0"/>
          <w:kern w:val="22"/>
          <w:szCs w:val="22"/>
        </w:rPr>
        <w:t>CONCLUSIONS</w:t>
      </w:r>
    </w:p>
    <w:p w:rsidR="006816A2" w:rsidRPr="00C91779" w:rsidRDefault="006816A2"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The positive momentum towards increased gender mainstreaming as indicated in the actions and analyses described above corresponds with the increasing international attention to gender issues in all aspects of sustainable development, notably as articulated in the </w:t>
      </w:r>
      <w:r w:rsidR="00C749C7" w:rsidRPr="00C91779">
        <w:rPr>
          <w:kern w:val="22"/>
          <w:szCs w:val="22"/>
        </w:rPr>
        <w:t>Sustainable Development Goal</w:t>
      </w:r>
      <w:r w:rsidRPr="00C91779">
        <w:rPr>
          <w:kern w:val="22"/>
          <w:szCs w:val="22"/>
        </w:rPr>
        <w:t>s, where gender equality is represented both as a stand</w:t>
      </w:r>
      <w:r w:rsidR="00C06D6B" w:rsidRPr="00AF5854">
        <w:rPr>
          <w:kern w:val="22"/>
          <w:szCs w:val="22"/>
        </w:rPr>
        <w:t>-</w:t>
      </w:r>
      <w:r w:rsidRPr="00C91779">
        <w:rPr>
          <w:kern w:val="22"/>
          <w:szCs w:val="22"/>
        </w:rPr>
        <w:t>alone goal and as a critical cross-cutting component.</w:t>
      </w:r>
    </w:p>
    <w:p w:rsidR="006816A2" w:rsidRPr="00C91779" w:rsidRDefault="006816A2"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Returning to the objectives of the Gender Plan of Action, it is clear that actions to mainstream a gender perspective are being undertaken on a variety of fronts, which also contribute to promoting gender equality in achieving </w:t>
      </w:r>
      <w:r w:rsidR="001E422D" w:rsidRPr="00C91779">
        <w:rPr>
          <w:kern w:val="22"/>
          <w:szCs w:val="22"/>
        </w:rPr>
        <w:t xml:space="preserve">the </w:t>
      </w:r>
      <w:r w:rsidRPr="00C91779">
        <w:rPr>
          <w:kern w:val="22"/>
          <w:szCs w:val="22"/>
        </w:rPr>
        <w:t>objectives of the Plan. Yet</w:t>
      </w:r>
      <w:r w:rsidR="00501E7D" w:rsidRPr="00AF5854">
        <w:rPr>
          <w:kern w:val="22"/>
          <w:szCs w:val="22"/>
        </w:rPr>
        <w:t>,</w:t>
      </w:r>
      <w:r w:rsidRPr="00C91779">
        <w:rPr>
          <w:kern w:val="22"/>
          <w:szCs w:val="22"/>
        </w:rPr>
        <w:t xml:space="preserve"> </w:t>
      </w:r>
      <w:r w:rsidR="00717E7B" w:rsidRPr="00AF5854">
        <w:rPr>
          <w:kern w:val="22"/>
          <w:szCs w:val="22"/>
        </w:rPr>
        <w:t>much work remains</w:t>
      </w:r>
      <w:r w:rsidRPr="00C91779">
        <w:rPr>
          <w:kern w:val="22"/>
          <w:szCs w:val="22"/>
        </w:rPr>
        <w:t xml:space="preserve"> in integrating gender considerations, and in strengthening the case for how gender-responsive strategies and actions can support the attainment of biodiversity objectives, in order to generate greater commitm</w:t>
      </w:r>
      <w:r w:rsidR="00096050" w:rsidRPr="00C91779">
        <w:rPr>
          <w:kern w:val="22"/>
          <w:szCs w:val="22"/>
        </w:rPr>
        <w:t>ent and investment to address</w:t>
      </w:r>
      <w:r w:rsidRPr="00C91779">
        <w:rPr>
          <w:kern w:val="22"/>
          <w:szCs w:val="22"/>
        </w:rPr>
        <w:t xml:space="preserve"> gender issues. Ongoing capacity</w:t>
      </w:r>
      <w:r w:rsidR="001E422D" w:rsidRPr="00C91779">
        <w:rPr>
          <w:kern w:val="22"/>
          <w:szCs w:val="22"/>
        </w:rPr>
        <w:t>-</w:t>
      </w:r>
      <w:r w:rsidRPr="00C91779">
        <w:rPr>
          <w:kern w:val="22"/>
          <w:szCs w:val="22"/>
        </w:rPr>
        <w:t xml:space="preserve">building and exchange of shared learning are critical measures to </w:t>
      </w:r>
      <w:r w:rsidRPr="00C91779">
        <w:rPr>
          <w:kern w:val="22"/>
          <w:szCs w:val="22"/>
        </w:rPr>
        <w:lastRenderedPageBreak/>
        <w:t>realize demonstrable gender-biodiversity outcomes, and there remains a need for dedicated resources to support such work.</w:t>
      </w:r>
    </w:p>
    <w:p w:rsidR="006816A2" w:rsidRPr="00C91779" w:rsidRDefault="006816A2"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 xml:space="preserve">These analyses also point to valuable opportunities </w:t>
      </w:r>
      <w:r w:rsidR="00B61C88" w:rsidRPr="00AF5854">
        <w:rPr>
          <w:kern w:val="22"/>
          <w:szCs w:val="22"/>
        </w:rPr>
        <w:t>for</w:t>
      </w:r>
      <w:r w:rsidR="00B61C88" w:rsidRPr="00C91779">
        <w:rPr>
          <w:kern w:val="22"/>
          <w:szCs w:val="22"/>
        </w:rPr>
        <w:t xml:space="preserve"> </w:t>
      </w:r>
      <w:r w:rsidRPr="00C91779">
        <w:rPr>
          <w:kern w:val="22"/>
          <w:szCs w:val="22"/>
        </w:rPr>
        <w:t>mov</w:t>
      </w:r>
      <w:r w:rsidR="00B61C88" w:rsidRPr="00AF5854">
        <w:rPr>
          <w:kern w:val="22"/>
          <w:szCs w:val="22"/>
        </w:rPr>
        <w:t>ing</w:t>
      </w:r>
      <w:r w:rsidRPr="00C91779">
        <w:rPr>
          <w:kern w:val="22"/>
          <w:szCs w:val="22"/>
        </w:rPr>
        <w:t xml:space="preserve"> forward on a gender-responsive biodiversity agenda. National and regional plans and strategies </w:t>
      </w:r>
      <w:r w:rsidR="00B61C88" w:rsidRPr="00AF5854">
        <w:rPr>
          <w:kern w:val="22"/>
          <w:szCs w:val="22"/>
        </w:rPr>
        <w:t>for</w:t>
      </w:r>
      <w:r w:rsidR="00B61C88" w:rsidRPr="00C91779">
        <w:rPr>
          <w:kern w:val="22"/>
          <w:szCs w:val="22"/>
        </w:rPr>
        <w:t xml:space="preserve"> </w:t>
      </w:r>
      <w:r w:rsidRPr="00C91779">
        <w:rPr>
          <w:kern w:val="22"/>
          <w:szCs w:val="22"/>
        </w:rPr>
        <w:t>implement</w:t>
      </w:r>
      <w:r w:rsidR="00B61C88" w:rsidRPr="00AF5854">
        <w:rPr>
          <w:kern w:val="22"/>
          <w:szCs w:val="22"/>
        </w:rPr>
        <w:t>ing</w:t>
      </w:r>
      <w:r w:rsidRPr="00C91779">
        <w:rPr>
          <w:kern w:val="22"/>
          <w:szCs w:val="22"/>
        </w:rPr>
        <w:t xml:space="preserve"> the </w:t>
      </w:r>
      <w:r w:rsidR="00C749C7" w:rsidRPr="00C91779">
        <w:rPr>
          <w:kern w:val="22"/>
          <w:szCs w:val="22"/>
        </w:rPr>
        <w:t>Sustainable Development Goal</w:t>
      </w:r>
      <w:r w:rsidRPr="00C91779">
        <w:rPr>
          <w:kern w:val="22"/>
          <w:szCs w:val="22"/>
        </w:rPr>
        <w:t>s offer a means to take action on gender and biodiversity issues, such as in addressing targets to ensure equitable access to land and natural resources</w:t>
      </w:r>
      <w:r w:rsidR="001E422D" w:rsidRPr="00C91779">
        <w:rPr>
          <w:kern w:val="22"/>
          <w:szCs w:val="22"/>
        </w:rPr>
        <w:t>.</w:t>
      </w:r>
      <w:r w:rsidRPr="00C91779">
        <w:rPr>
          <w:rStyle w:val="FootnoteReference"/>
          <w:kern w:val="22"/>
          <w:sz w:val="22"/>
          <w:szCs w:val="22"/>
          <w:u w:val="none"/>
          <w:vertAlign w:val="superscript"/>
        </w:rPr>
        <w:footnoteReference w:id="18"/>
      </w:r>
      <w:r w:rsidRPr="00C91779">
        <w:rPr>
          <w:kern w:val="22"/>
          <w:szCs w:val="22"/>
        </w:rPr>
        <w:t xml:space="preserve"> The adoption of the first gender plans of action under UNFCCC and UNCCD</w:t>
      </w:r>
      <w:r w:rsidRPr="00C91779">
        <w:rPr>
          <w:rStyle w:val="FootnoteReference"/>
          <w:kern w:val="22"/>
          <w:sz w:val="22"/>
          <w:szCs w:val="22"/>
          <w:u w:val="none"/>
          <w:vertAlign w:val="superscript"/>
        </w:rPr>
        <w:footnoteReference w:id="19"/>
      </w:r>
      <w:r w:rsidRPr="00C91779">
        <w:rPr>
          <w:kern w:val="22"/>
          <w:szCs w:val="22"/>
        </w:rPr>
        <w:t xml:space="preserve"> offers the potential to consider </w:t>
      </w:r>
      <w:r w:rsidR="00096050" w:rsidRPr="00C91779">
        <w:rPr>
          <w:kern w:val="22"/>
          <w:szCs w:val="22"/>
        </w:rPr>
        <w:t>focusing</w:t>
      </w:r>
      <w:r w:rsidRPr="00C91779">
        <w:rPr>
          <w:kern w:val="22"/>
          <w:szCs w:val="22"/>
        </w:rPr>
        <w:t xml:space="preserve"> and harmonizing actions to achieve shared objectives among the Rio Conventions. Given the strong and growing recognition of gender issues </w:t>
      </w:r>
      <w:r w:rsidR="00883427" w:rsidRPr="00AF5854">
        <w:rPr>
          <w:kern w:val="22"/>
          <w:szCs w:val="22"/>
        </w:rPr>
        <w:t>with</w:t>
      </w:r>
      <w:r w:rsidR="00883427" w:rsidRPr="00C91779">
        <w:rPr>
          <w:kern w:val="22"/>
          <w:szCs w:val="22"/>
        </w:rPr>
        <w:t xml:space="preserve"> </w:t>
      </w:r>
      <w:r w:rsidRPr="00C91779">
        <w:rPr>
          <w:kern w:val="22"/>
          <w:szCs w:val="22"/>
        </w:rPr>
        <w:t xml:space="preserve">respect to climate change in particular, it is important to ensure </w:t>
      </w:r>
      <w:r w:rsidR="00883427" w:rsidRPr="00AF5854">
        <w:rPr>
          <w:kern w:val="22"/>
          <w:szCs w:val="22"/>
        </w:rPr>
        <w:t xml:space="preserve">that </w:t>
      </w:r>
      <w:r w:rsidRPr="00C91779">
        <w:rPr>
          <w:kern w:val="22"/>
          <w:szCs w:val="22"/>
        </w:rPr>
        <w:t>gender-biodiversity linkages are taken into account as part of the solution in mitigation and adaptation actions.</w:t>
      </w:r>
    </w:p>
    <w:p w:rsidR="00E850EC" w:rsidRPr="00C91779" w:rsidRDefault="00DA58D0" w:rsidP="00C91779">
      <w:pPr>
        <w:pStyle w:val="Para1"/>
        <w:suppressLineNumbers/>
        <w:tabs>
          <w:tab w:val="clear" w:pos="360"/>
        </w:tabs>
        <w:suppressAutoHyphens/>
        <w:kinsoku w:val="0"/>
        <w:overflowPunct w:val="0"/>
        <w:autoSpaceDE w:val="0"/>
        <w:autoSpaceDN w:val="0"/>
        <w:adjustRightInd w:val="0"/>
        <w:snapToGrid w:val="0"/>
        <w:rPr>
          <w:kern w:val="22"/>
          <w:szCs w:val="22"/>
        </w:rPr>
      </w:pPr>
      <w:r w:rsidRPr="00C91779">
        <w:rPr>
          <w:kern w:val="22"/>
          <w:szCs w:val="22"/>
        </w:rPr>
        <w:t>Inputs from Parties and stakeholders</w:t>
      </w:r>
      <w:r w:rsidR="00181343" w:rsidRPr="00C91779">
        <w:rPr>
          <w:kern w:val="22"/>
          <w:szCs w:val="22"/>
        </w:rPr>
        <w:t xml:space="preserve"> </w:t>
      </w:r>
      <w:r w:rsidRPr="00C91779">
        <w:rPr>
          <w:kern w:val="22"/>
          <w:szCs w:val="22"/>
        </w:rPr>
        <w:t>related to</w:t>
      </w:r>
      <w:r w:rsidR="00181343" w:rsidRPr="00C91779">
        <w:rPr>
          <w:kern w:val="22"/>
          <w:szCs w:val="22"/>
        </w:rPr>
        <w:t xml:space="preserve"> the development of the post-2020 biodiversity framework emphasized the need to address gender issues more fully and explicitly in this process</w:t>
      </w:r>
      <w:r w:rsidR="00D835CC" w:rsidRPr="00C91779">
        <w:rPr>
          <w:kern w:val="22"/>
          <w:szCs w:val="22"/>
        </w:rPr>
        <w:t xml:space="preserve"> </w:t>
      </w:r>
      <w:r w:rsidR="00181343" w:rsidRPr="00C91779">
        <w:rPr>
          <w:kern w:val="22"/>
          <w:szCs w:val="22"/>
        </w:rPr>
        <w:t xml:space="preserve">and in the framework itself. </w:t>
      </w:r>
      <w:r w:rsidRPr="00C91779">
        <w:rPr>
          <w:kern w:val="22"/>
          <w:szCs w:val="22"/>
        </w:rPr>
        <w:t xml:space="preserve">A review of the 2015-2020 Gender Plan of Action was identified as an important step </w:t>
      </w:r>
      <w:r w:rsidR="0099165B" w:rsidRPr="00AF5854">
        <w:rPr>
          <w:kern w:val="22"/>
          <w:szCs w:val="22"/>
        </w:rPr>
        <w:t>for</w:t>
      </w:r>
      <w:r w:rsidR="0099165B" w:rsidRPr="00C91779">
        <w:rPr>
          <w:kern w:val="22"/>
          <w:szCs w:val="22"/>
        </w:rPr>
        <w:t xml:space="preserve"> </w:t>
      </w:r>
      <w:r w:rsidRPr="00C91779">
        <w:rPr>
          <w:kern w:val="22"/>
          <w:szCs w:val="22"/>
        </w:rPr>
        <w:t>determin</w:t>
      </w:r>
      <w:r w:rsidR="0099165B" w:rsidRPr="00AF5854">
        <w:rPr>
          <w:kern w:val="22"/>
          <w:szCs w:val="22"/>
        </w:rPr>
        <w:t>ing which</w:t>
      </w:r>
      <w:r w:rsidRPr="00C91779">
        <w:rPr>
          <w:kern w:val="22"/>
          <w:szCs w:val="22"/>
        </w:rPr>
        <w:t xml:space="preserve"> areas </w:t>
      </w:r>
      <w:r w:rsidR="0099165B" w:rsidRPr="00AF5854">
        <w:rPr>
          <w:kern w:val="22"/>
          <w:szCs w:val="22"/>
        </w:rPr>
        <w:t>need to</w:t>
      </w:r>
      <w:r w:rsidRPr="00C91779">
        <w:rPr>
          <w:kern w:val="22"/>
          <w:szCs w:val="22"/>
        </w:rPr>
        <w:t xml:space="preserve"> be strengthened in a revised or updated Plan and in the post-2020 framework. </w:t>
      </w:r>
      <w:r w:rsidR="0099165B" w:rsidRPr="00AF5854">
        <w:rPr>
          <w:kern w:val="22"/>
          <w:szCs w:val="22"/>
        </w:rPr>
        <w:t>The d</w:t>
      </w:r>
      <w:r w:rsidR="00D75733" w:rsidRPr="00C91779">
        <w:rPr>
          <w:kern w:val="22"/>
          <w:szCs w:val="22"/>
        </w:rPr>
        <w:t>evelopment of a follow</w:t>
      </w:r>
      <w:r w:rsidR="001E422D" w:rsidRPr="00C91779">
        <w:rPr>
          <w:kern w:val="22"/>
          <w:szCs w:val="22"/>
        </w:rPr>
        <w:t>-up</w:t>
      </w:r>
      <w:r w:rsidR="00D75733" w:rsidRPr="00C91779">
        <w:rPr>
          <w:kern w:val="22"/>
          <w:szCs w:val="22"/>
        </w:rPr>
        <w:t xml:space="preserve"> gender plan of action or strategy for t</w:t>
      </w:r>
      <w:r w:rsidR="005A4099" w:rsidRPr="00C91779">
        <w:rPr>
          <w:kern w:val="22"/>
          <w:szCs w:val="22"/>
        </w:rPr>
        <w:t xml:space="preserve">he </w:t>
      </w:r>
      <w:r w:rsidR="00392950" w:rsidRPr="00AF5854">
        <w:rPr>
          <w:kern w:val="22"/>
          <w:szCs w:val="22"/>
        </w:rPr>
        <w:t xml:space="preserve">period beyond </w:t>
      </w:r>
      <w:r w:rsidR="005A4099" w:rsidRPr="00C91779">
        <w:rPr>
          <w:kern w:val="22"/>
          <w:szCs w:val="22"/>
        </w:rPr>
        <w:t xml:space="preserve">2020 would also be a necessary step </w:t>
      </w:r>
      <w:r w:rsidR="00D75733" w:rsidRPr="00C91779">
        <w:rPr>
          <w:kern w:val="22"/>
          <w:szCs w:val="22"/>
        </w:rPr>
        <w:t xml:space="preserve">to </w:t>
      </w:r>
      <w:r w:rsidR="005A4099" w:rsidRPr="00C91779">
        <w:rPr>
          <w:kern w:val="22"/>
          <w:szCs w:val="22"/>
        </w:rPr>
        <w:t xml:space="preserve">ensure </w:t>
      </w:r>
      <w:r w:rsidR="00197FAF" w:rsidRPr="00AF5854">
        <w:rPr>
          <w:kern w:val="22"/>
          <w:szCs w:val="22"/>
        </w:rPr>
        <w:t xml:space="preserve">that </w:t>
      </w:r>
      <w:r w:rsidR="005A4099" w:rsidRPr="00C91779">
        <w:rPr>
          <w:kern w:val="22"/>
          <w:szCs w:val="22"/>
        </w:rPr>
        <w:t xml:space="preserve">efforts to mainstream gender are taken forward, given </w:t>
      </w:r>
      <w:r w:rsidR="00956106" w:rsidRPr="00AF5854">
        <w:rPr>
          <w:kern w:val="22"/>
          <w:szCs w:val="22"/>
        </w:rPr>
        <w:t xml:space="preserve">that </w:t>
      </w:r>
      <w:r w:rsidR="005A4099" w:rsidRPr="00C91779">
        <w:rPr>
          <w:kern w:val="22"/>
          <w:szCs w:val="22"/>
        </w:rPr>
        <w:t>the time</w:t>
      </w:r>
      <w:r w:rsidR="00197FAF" w:rsidRPr="00AF5854">
        <w:rPr>
          <w:kern w:val="22"/>
          <w:szCs w:val="22"/>
        </w:rPr>
        <w:t xml:space="preserve"> </w:t>
      </w:r>
      <w:r w:rsidR="005A4099" w:rsidRPr="00C91779">
        <w:rPr>
          <w:kern w:val="22"/>
          <w:szCs w:val="22"/>
        </w:rPr>
        <w:t>frame of the current plan does not extend beyond 2020.</w:t>
      </w:r>
      <w:r w:rsidR="00D75733" w:rsidRPr="00C91779">
        <w:rPr>
          <w:kern w:val="22"/>
          <w:szCs w:val="22"/>
        </w:rPr>
        <w:t xml:space="preserve"> </w:t>
      </w:r>
      <w:r w:rsidRPr="00C91779">
        <w:rPr>
          <w:kern w:val="22"/>
          <w:szCs w:val="22"/>
        </w:rPr>
        <w:t xml:space="preserve">In order to align the process of developing a new/revised </w:t>
      </w:r>
      <w:r w:rsidR="001E422D" w:rsidRPr="00C91779">
        <w:rPr>
          <w:kern w:val="22"/>
          <w:szCs w:val="22"/>
        </w:rPr>
        <w:t>g</w:t>
      </w:r>
      <w:r w:rsidRPr="00C91779">
        <w:rPr>
          <w:kern w:val="22"/>
          <w:szCs w:val="22"/>
        </w:rPr>
        <w:t xml:space="preserve">ender </w:t>
      </w:r>
      <w:r w:rsidR="001E422D" w:rsidRPr="00C91779">
        <w:rPr>
          <w:kern w:val="22"/>
          <w:szCs w:val="22"/>
        </w:rPr>
        <w:t>p</w:t>
      </w:r>
      <w:r w:rsidRPr="00C91779">
        <w:rPr>
          <w:kern w:val="22"/>
          <w:szCs w:val="22"/>
        </w:rPr>
        <w:t xml:space="preserve">lan of </w:t>
      </w:r>
      <w:r w:rsidR="001E422D" w:rsidRPr="00C91779">
        <w:rPr>
          <w:kern w:val="22"/>
          <w:szCs w:val="22"/>
        </w:rPr>
        <w:t>a</w:t>
      </w:r>
      <w:r w:rsidRPr="00C91779">
        <w:rPr>
          <w:kern w:val="22"/>
          <w:szCs w:val="22"/>
        </w:rPr>
        <w:t xml:space="preserve">ction with the development of the post-2020 framework, it will be critical </w:t>
      </w:r>
      <w:r w:rsidR="00956106" w:rsidRPr="00AF5854">
        <w:rPr>
          <w:kern w:val="22"/>
          <w:szCs w:val="22"/>
        </w:rPr>
        <w:t>for</w:t>
      </w:r>
      <w:r w:rsidR="00956106" w:rsidRPr="00C91779">
        <w:rPr>
          <w:kern w:val="22"/>
          <w:szCs w:val="22"/>
        </w:rPr>
        <w:t xml:space="preserve"> </w:t>
      </w:r>
      <w:r w:rsidRPr="00C91779">
        <w:rPr>
          <w:kern w:val="22"/>
          <w:szCs w:val="22"/>
        </w:rPr>
        <w:t xml:space="preserve">gender </w:t>
      </w:r>
      <w:r w:rsidR="00956106" w:rsidRPr="00AF5854">
        <w:rPr>
          <w:kern w:val="22"/>
          <w:szCs w:val="22"/>
        </w:rPr>
        <w:t>to be</w:t>
      </w:r>
      <w:r w:rsidRPr="00C91779">
        <w:rPr>
          <w:kern w:val="22"/>
          <w:szCs w:val="22"/>
        </w:rPr>
        <w:t xml:space="preserve"> well</w:t>
      </w:r>
      <w:r w:rsidR="00956106" w:rsidRPr="00AF5854">
        <w:rPr>
          <w:kern w:val="22"/>
          <w:szCs w:val="22"/>
        </w:rPr>
        <w:t xml:space="preserve"> </w:t>
      </w:r>
      <w:r w:rsidRPr="00C91779">
        <w:rPr>
          <w:kern w:val="22"/>
          <w:szCs w:val="22"/>
        </w:rPr>
        <w:t xml:space="preserve">integrated into all the aspects of the framework development process, as has been recommended. </w:t>
      </w:r>
      <w:r w:rsidR="00096050" w:rsidRPr="00C91779">
        <w:rPr>
          <w:kern w:val="22"/>
          <w:szCs w:val="22"/>
        </w:rPr>
        <w:t xml:space="preserve">Thus, the </w:t>
      </w:r>
      <w:r w:rsidRPr="00C91779">
        <w:rPr>
          <w:kern w:val="22"/>
          <w:szCs w:val="22"/>
        </w:rPr>
        <w:t>development of the post-2020 biodiversity framework offers a significant opportunity to increase attention and focus on gender in work to implement the Convention.</w:t>
      </w:r>
    </w:p>
    <w:p w:rsidR="00D15589" w:rsidRPr="00DD24C2" w:rsidRDefault="00CA6B87"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r w:rsidRPr="00AF5854">
        <w:rPr>
          <w:snapToGrid w:val="0"/>
          <w:kern w:val="22"/>
          <w:szCs w:val="22"/>
        </w:rPr>
        <w:t>__________</w:t>
      </w:r>
    </w:p>
    <w:p w:rsidR="00736BC2" w:rsidRPr="00DD24C2" w:rsidRDefault="00736BC2"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p w:rsidR="00B97F10" w:rsidRPr="00DD24C2" w:rsidRDefault="00B97F10" w:rsidP="00C91779">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B97F10" w:rsidRPr="00DD24C2" w:rsidSect="00CA1572">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E67" w:rsidRDefault="00DA5E67">
      <w:r>
        <w:separator/>
      </w:r>
    </w:p>
  </w:endnote>
  <w:endnote w:type="continuationSeparator" w:id="0">
    <w:p w:rsidR="00DA5E67" w:rsidRDefault="00DA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82" w:rsidRDefault="003E5A82" w:rsidP="00C91779">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A82" w:rsidRDefault="003E5A82" w:rsidP="00C91779">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E67" w:rsidRDefault="00DA5E67">
      <w:r>
        <w:separator/>
      </w:r>
    </w:p>
  </w:footnote>
  <w:footnote w:type="continuationSeparator" w:id="0">
    <w:p w:rsidR="00DA5E67" w:rsidRDefault="00DA5E67">
      <w:r>
        <w:continuationSeparator/>
      </w:r>
    </w:p>
  </w:footnote>
  <w:footnote w:id="1">
    <w:p w:rsidR="00D51069" w:rsidRPr="00C91779" w:rsidRDefault="00D51069"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rPr>
        <w:t>*</w:t>
      </w:r>
      <w:r w:rsidRPr="00C91779">
        <w:rPr>
          <w:kern w:val="18"/>
          <w:szCs w:val="18"/>
        </w:rPr>
        <w:t xml:space="preserve"> </w:t>
      </w:r>
      <w:hyperlink r:id="rId1" w:history="1">
        <w:proofErr w:type="gramStart"/>
        <w:r w:rsidRPr="00C91779">
          <w:rPr>
            <w:rStyle w:val="Hyperlink"/>
            <w:kern w:val="18"/>
            <w:szCs w:val="18"/>
          </w:rPr>
          <w:t>CBD/</w:t>
        </w:r>
        <w:r w:rsidR="002E0627" w:rsidRPr="00C91779">
          <w:rPr>
            <w:rStyle w:val="Hyperlink"/>
            <w:kern w:val="18"/>
            <w:szCs w:val="18"/>
          </w:rPr>
          <w:t>SBI/2/1</w:t>
        </w:r>
      </w:hyperlink>
      <w:r w:rsidR="002E0627" w:rsidRPr="00C91779">
        <w:rPr>
          <w:kern w:val="18"/>
          <w:szCs w:val="18"/>
        </w:rPr>
        <w:t>.</w:t>
      </w:r>
      <w:proofErr w:type="gramEnd"/>
    </w:p>
  </w:footnote>
  <w:footnote w:id="2">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2" w:history="1">
        <w:r w:rsidR="007D43B3" w:rsidRPr="00AF5854">
          <w:rPr>
            <w:rStyle w:val="Hyperlink"/>
            <w:kern w:val="18"/>
            <w:szCs w:val="18"/>
          </w:rPr>
          <w:t>Ref: SCBD/MCO/AF/NP/TM/87003 (2017-130)</w:t>
        </w:r>
      </w:hyperlink>
      <w:r w:rsidR="009E535E" w:rsidRPr="00AF5854">
        <w:rPr>
          <w:rStyle w:val="Hyperlink"/>
          <w:kern w:val="18"/>
          <w:szCs w:val="18"/>
        </w:rPr>
        <w:t>.</w:t>
      </w:r>
    </w:p>
  </w:footnote>
  <w:footnote w:id="3">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proofErr w:type="gramStart"/>
      <w:r w:rsidRPr="00C91779">
        <w:rPr>
          <w:kern w:val="18"/>
          <w:szCs w:val="18"/>
        </w:rPr>
        <w:t>Brazil, Ethiopia, Iraq, Sweden</w:t>
      </w:r>
      <w:r w:rsidR="00E41032" w:rsidRPr="00AF5854">
        <w:rPr>
          <w:kern w:val="18"/>
          <w:szCs w:val="18"/>
        </w:rPr>
        <w:t xml:space="preserve"> and</w:t>
      </w:r>
      <w:r w:rsidRPr="00C91779">
        <w:rPr>
          <w:kern w:val="18"/>
          <w:szCs w:val="18"/>
        </w:rPr>
        <w:t xml:space="preserve"> Venezuela</w:t>
      </w:r>
      <w:r w:rsidR="00C51BE8" w:rsidRPr="00C91779">
        <w:rPr>
          <w:kern w:val="18"/>
          <w:szCs w:val="18"/>
        </w:rPr>
        <w:t>.</w:t>
      </w:r>
      <w:proofErr w:type="gramEnd"/>
    </w:p>
  </w:footnote>
  <w:footnote w:id="4">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Andes </w:t>
      </w:r>
      <w:r w:rsidRPr="00C91779">
        <w:rPr>
          <w:noProof/>
          <w:kern w:val="18"/>
          <w:szCs w:val="18"/>
        </w:rPr>
        <w:t>Chinchasuyu</w:t>
      </w:r>
      <w:r w:rsidRPr="00C91779">
        <w:rPr>
          <w:kern w:val="18"/>
          <w:szCs w:val="18"/>
        </w:rPr>
        <w:t xml:space="preserve"> Organization and </w:t>
      </w:r>
      <w:r w:rsidRPr="00C91779">
        <w:rPr>
          <w:kern w:val="18"/>
          <w:szCs w:val="18"/>
          <w:lang w:val="es-ES"/>
        </w:rPr>
        <w:t xml:space="preserve">Red de Mujeres </w:t>
      </w:r>
      <w:r w:rsidR="00B4527A" w:rsidRPr="00D73DBE">
        <w:rPr>
          <w:kern w:val="18"/>
          <w:szCs w:val="18"/>
          <w:lang w:val="es-ES"/>
        </w:rPr>
        <w:t>Indígenas</w:t>
      </w:r>
      <w:r w:rsidRPr="00C91779">
        <w:rPr>
          <w:kern w:val="18"/>
          <w:szCs w:val="18"/>
          <w:lang w:val="es-ES"/>
        </w:rPr>
        <w:t xml:space="preserve"> Sobre Biodiversidad para </w:t>
      </w:r>
      <w:r w:rsidR="00B4527A" w:rsidRPr="00D73DBE">
        <w:rPr>
          <w:kern w:val="18"/>
          <w:szCs w:val="18"/>
          <w:lang w:val="es-ES"/>
        </w:rPr>
        <w:t>América</w:t>
      </w:r>
      <w:r w:rsidRPr="00C91779">
        <w:rPr>
          <w:kern w:val="18"/>
          <w:szCs w:val="18"/>
          <w:lang w:val="es-ES"/>
        </w:rPr>
        <w:t xml:space="preserve"> Latina y el Caribe</w:t>
      </w:r>
      <w:r w:rsidRPr="00C91779">
        <w:rPr>
          <w:kern w:val="18"/>
          <w:szCs w:val="18"/>
        </w:rPr>
        <w:t xml:space="preserve"> (RMIB-LAC) </w:t>
      </w:r>
      <w:r w:rsidR="00E41032" w:rsidRPr="00AF5854">
        <w:rPr>
          <w:kern w:val="18"/>
          <w:szCs w:val="18"/>
        </w:rPr>
        <w:t xml:space="preserve">(which </w:t>
      </w:r>
      <w:r w:rsidRPr="00C91779">
        <w:rPr>
          <w:kern w:val="18"/>
          <w:szCs w:val="18"/>
        </w:rPr>
        <w:t>provided a joint submission</w:t>
      </w:r>
      <w:r w:rsidR="00E41032" w:rsidRPr="00AF5854">
        <w:rPr>
          <w:kern w:val="18"/>
          <w:szCs w:val="18"/>
        </w:rPr>
        <w:t>)</w:t>
      </w:r>
      <w:r w:rsidRPr="00C91779">
        <w:rPr>
          <w:kern w:val="18"/>
          <w:szCs w:val="18"/>
        </w:rPr>
        <w:t>, Global Forest Coalition (GFC), ICCA Consortium, International Labour Organization (ILO), International Union for Conservation of Nature (IUCN)), and Food and Agriculture Organization</w:t>
      </w:r>
      <w:r w:rsidR="00C51BE8" w:rsidRPr="00C91779">
        <w:rPr>
          <w:kern w:val="18"/>
          <w:szCs w:val="18"/>
        </w:rPr>
        <w:t xml:space="preserve"> of the United Nations.</w:t>
      </w:r>
    </w:p>
  </w:footnote>
  <w:footnote w:id="5">
    <w:p w:rsidR="000835D1" w:rsidRPr="00C91779" w:rsidRDefault="000835D1" w:rsidP="00C91779">
      <w:pPr>
        <w:pStyle w:val="FootnoteText"/>
        <w:suppressLineNumbers/>
        <w:suppressAutoHyphens/>
        <w:kinsoku w:val="0"/>
        <w:overflowPunct w:val="0"/>
        <w:autoSpaceDE w:val="0"/>
        <w:autoSpaceDN w:val="0"/>
        <w:adjustRightInd w:val="0"/>
        <w:snapToGrid w:val="0"/>
        <w:ind w:firstLine="0"/>
        <w:jc w:val="left"/>
        <w:rPr>
          <w:kern w:val="18"/>
        </w:rPr>
      </w:pPr>
      <w:r w:rsidRPr="00C91779">
        <w:rPr>
          <w:rStyle w:val="FootnoteReference"/>
          <w:kern w:val="18"/>
          <w:u w:val="none"/>
          <w:vertAlign w:val="superscript"/>
        </w:rPr>
        <w:footnoteRef/>
      </w:r>
      <w:r w:rsidRPr="00C91779">
        <w:rPr>
          <w:kern w:val="18"/>
        </w:rPr>
        <w:t xml:space="preserve"> See General Assembly resolution </w:t>
      </w:r>
      <w:hyperlink r:id="rId3" w:history="1">
        <w:r w:rsidRPr="00C91779">
          <w:rPr>
            <w:rStyle w:val="Hyperlink"/>
            <w:kern w:val="18"/>
          </w:rPr>
          <w:t>70/1</w:t>
        </w:r>
      </w:hyperlink>
      <w:r w:rsidRPr="00C91779">
        <w:rPr>
          <w:kern w:val="18"/>
        </w:rPr>
        <w:t>, entitled “Transforming our world: the 2030 Agenda for Sustainable Development”.</w:t>
      </w:r>
    </w:p>
  </w:footnote>
  <w:footnote w:id="6">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r w:rsidR="00142E7F" w:rsidRPr="00AF5854">
        <w:rPr>
          <w:rStyle w:val="Hyperlink"/>
          <w:kern w:val="18"/>
          <w:szCs w:val="18"/>
        </w:rPr>
        <w:t xml:space="preserve">See IUCN, </w:t>
      </w:r>
      <w:hyperlink r:id="rId4" w:history="1">
        <w:r w:rsidR="00142E7F" w:rsidRPr="00AF5854">
          <w:rPr>
            <w:rStyle w:val="Hyperlink"/>
            <w:kern w:val="18"/>
            <w:szCs w:val="18"/>
          </w:rPr>
          <w:t>“Inclusion and characterization of women and gender equality considerations in National Biodiversity Strategies and Action Plans (NBSAPs)”</w:t>
        </w:r>
      </w:hyperlink>
      <w:r w:rsidR="00142E7F" w:rsidRPr="00AF5854">
        <w:rPr>
          <w:rStyle w:val="Hyperlink"/>
          <w:kern w:val="18"/>
          <w:szCs w:val="18"/>
        </w:rPr>
        <w:t xml:space="preserve">, </w:t>
      </w:r>
      <w:r w:rsidR="00D84741" w:rsidRPr="00AF5854">
        <w:rPr>
          <w:rStyle w:val="Hyperlink"/>
          <w:kern w:val="18"/>
          <w:szCs w:val="18"/>
        </w:rPr>
        <w:t xml:space="preserve">EGI Factsheet, </w:t>
      </w:r>
      <w:proofErr w:type="gramStart"/>
      <w:r w:rsidR="00142E7F" w:rsidRPr="00AF5854">
        <w:rPr>
          <w:rStyle w:val="Hyperlink"/>
          <w:kern w:val="18"/>
          <w:szCs w:val="18"/>
        </w:rPr>
        <w:t>December</w:t>
      </w:r>
      <w:proofErr w:type="gramEnd"/>
      <w:r w:rsidR="00142E7F" w:rsidRPr="00AF5854">
        <w:rPr>
          <w:rStyle w:val="Hyperlink"/>
          <w:kern w:val="18"/>
          <w:szCs w:val="18"/>
        </w:rPr>
        <w:t xml:space="preserve"> 2016.</w:t>
      </w:r>
    </w:p>
  </w:footnote>
  <w:footnote w:id="7">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5" w:history="1">
        <w:r w:rsidRPr="00C91779">
          <w:rPr>
            <w:rStyle w:val="Hyperlink"/>
            <w:kern w:val="18"/>
            <w:szCs w:val="18"/>
          </w:rPr>
          <w:t>https://www.cbd.int/doc/notifications/2017/ntf-2017-100-gender-en.pdf</w:t>
        </w:r>
      </w:hyperlink>
    </w:p>
  </w:footnote>
  <w:footnote w:id="8">
    <w:p w:rsidR="00B37586" w:rsidRPr="00C91779" w:rsidRDefault="00B37586"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A total of 368 respondents completed the survey (277 English, 36 French, 55 Spanish), with a total of 220 respondents (157 English, 25 French, 38 Spanish) identifying the Convention on Biological Diversity as relevant to their work, which was the highest number of respondents identified of all the Conventions.</w:t>
      </w:r>
    </w:p>
  </w:footnote>
  <w:footnote w:id="9">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r w:rsidR="005D420C" w:rsidRPr="00AF5854">
        <w:rPr>
          <w:kern w:val="18"/>
          <w:szCs w:val="18"/>
        </w:rPr>
        <w:t xml:space="preserve">International Union for Conservation of Nature and Convention on Biological Diversity, </w:t>
      </w:r>
      <w:hyperlink r:id="rId6" w:history="1">
        <w:r w:rsidRPr="00C91779">
          <w:rPr>
            <w:rStyle w:val="Hyperlink"/>
            <w:i/>
            <w:iCs/>
            <w:kern w:val="18"/>
            <w:szCs w:val="18"/>
          </w:rPr>
          <w:t>Integrating Gender Considerations in National Biodiversity Strategies and Action Plans: Pilot Project Process and Initial Considerations</w:t>
        </w:r>
      </w:hyperlink>
      <w:r w:rsidR="005D420C" w:rsidRPr="00AF5854">
        <w:rPr>
          <w:kern w:val="18"/>
          <w:szCs w:val="18"/>
        </w:rPr>
        <w:t>, November 2016.</w:t>
      </w:r>
    </w:p>
  </w:footnote>
  <w:footnote w:id="10">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A report of the pilot country process in Mexico is contained in the </w:t>
      </w:r>
      <w:r w:rsidR="00351958" w:rsidRPr="00AF5854">
        <w:rPr>
          <w:kern w:val="18"/>
          <w:szCs w:val="18"/>
        </w:rPr>
        <w:t>progress report on implementation of the</w:t>
      </w:r>
      <w:r w:rsidR="0004657D" w:rsidRPr="00AF5854">
        <w:rPr>
          <w:kern w:val="18"/>
          <w:szCs w:val="18"/>
        </w:rPr>
        <w:t xml:space="preserve"> </w:t>
      </w:r>
      <w:r w:rsidR="00351958" w:rsidRPr="00AF5854">
        <w:rPr>
          <w:kern w:val="18"/>
          <w:szCs w:val="18"/>
        </w:rPr>
        <w:t>2015-2020 Gender Plan of Action issued for the first session of the Subsidiary Body on Implementation (</w:t>
      </w:r>
      <w:hyperlink r:id="rId7" w:history="1">
        <w:r w:rsidR="00351958" w:rsidRPr="00AF5854">
          <w:rPr>
            <w:rStyle w:val="Hyperlink"/>
            <w:kern w:val="18"/>
            <w:szCs w:val="18"/>
          </w:rPr>
          <w:t>UNEP/CBD/SBI/1/INF/14</w:t>
        </w:r>
      </w:hyperlink>
      <w:r w:rsidR="00351958" w:rsidRPr="00AF5854">
        <w:rPr>
          <w:kern w:val="18"/>
          <w:szCs w:val="18"/>
        </w:rPr>
        <w:t>).</w:t>
      </w:r>
    </w:p>
  </w:footnote>
  <w:footnote w:id="11">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8" w:history="1">
        <w:r w:rsidRPr="00C91779">
          <w:rPr>
            <w:rStyle w:val="Hyperlink"/>
            <w:kern w:val="18"/>
            <w:szCs w:val="18"/>
          </w:rPr>
          <w:t>https://www.cbd.int/gender/doc/gender-nbsaps-factsheet.pdf</w:t>
        </w:r>
      </w:hyperlink>
    </w:p>
  </w:footnote>
  <w:footnote w:id="12">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9" w:history="1">
        <w:r w:rsidRPr="00C91779">
          <w:rPr>
            <w:rStyle w:val="Hyperlink"/>
            <w:kern w:val="18"/>
            <w:szCs w:val="18"/>
          </w:rPr>
          <w:t>https://www.cbd.int/gender/doc/gender-5th-national-report-factsheet.pdf</w:t>
        </w:r>
      </w:hyperlink>
    </w:p>
  </w:footnote>
  <w:footnote w:id="13">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10" w:history="1">
        <w:proofErr w:type="gramStart"/>
        <w:r w:rsidR="00B853C6" w:rsidRPr="00AF5854">
          <w:rPr>
            <w:rStyle w:val="Hyperlink"/>
            <w:kern w:val="18"/>
            <w:szCs w:val="18"/>
          </w:rPr>
          <w:t>See</w:t>
        </w:r>
      </w:hyperlink>
      <w:r w:rsidR="00B853C6" w:rsidRPr="00AF5854">
        <w:rPr>
          <w:rStyle w:val="Hyperlink"/>
          <w:kern w:val="18"/>
          <w:szCs w:val="18"/>
        </w:rPr>
        <w:t xml:space="preserve"> UNEP/CBD/COP/13/8/Add.3</w:t>
      </w:r>
      <w:r w:rsidR="00B853C6" w:rsidRPr="00AF5854">
        <w:rPr>
          <w:kern w:val="18"/>
          <w:szCs w:val="18"/>
        </w:rPr>
        <w:t xml:space="preserve"> and </w:t>
      </w:r>
      <w:hyperlink r:id="rId11" w:history="1">
        <w:r w:rsidR="005A0C33" w:rsidRPr="00AF5854">
          <w:rPr>
            <w:rStyle w:val="Hyperlink"/>
            <w:kern w:val="18"/>
            <w:szCs w:val="18"/>
          </w:rPr>
          <w:t>UNEP/CBD/COP/13/INF/46</w:t>
        </w:r>
      </w:hyperlink>
      <w:r w:rsidR="00B853C6" w:rsidRPr="00AF5854">
        <w:rPr>
          <w:kern w:val="18"/>
          <w:szCs w:val="18"/>
        </w:rPr>
        <w:t>.</w:t>
      </w:r>
      <w:proofErr w:type="gramEnd"/>
    </w:p>
  </w:footnote>
  <w:footnote w:id="14">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r w:rsidR="00A91F80" w:rsidRPr="00AF5854">
        <w:rPr>
          <w:kern w:val="18"/>
          <w:szCs w:val="18"/>
        </w:rPr>
        <w:t>International Union for Conservation of Nature,</w:t>
      </w:r>
      <w:r w:rsidR="00A91F80" w:rsidRPr="00AF5854" w:rsidDel="00A91F80">
        <w:rPr>
          <w:kern w:val="18"/>
          <w:szCs w:val="18"/>
        </w:rPr>
        <w:t xml:space="preserve"> </w:t>
      </w:r>
      <w:r w:rsidR="00A91F80" w:rsidRPr="00C91779">
        <w:rPr>
          <w:rStyle w:val="Hyperlink"/>
          <w:i/>
          <w:iCs/>
          <w:kern w:val="18"/>
          <w:szCs w:val="18"/>
        </w:rPr>
        <w:t>Gender and Biodiversity: Analysis of Women and Gender Equality Considerations in National Biodiversity Strategies and Action Plans (NBSAPs)</w:t>
      </w:r>
      <w:r w:rsidR="00A91F80" w:rsidRPr="00AF5854">
        <w:rPr>
          <w:rStyle w:val="Hyperlink"/>
          <w:kern w:val="18"/>
          <w:szCs w:val="18"/>
        </w:rPr>
        <w:t>, January 2017.</w:t>
      </w:r>
    </w:p>
  </w:footnote>
  <w:footnote w:id="15">
    <w:p w:rsidR="00CA2E78" w:rsidRPr="00C91779" w:rsidRDefault="00CA2E78"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12" w:history="1">
        <w:r w:rsidRPr="00C91779">
          <w:rPr>
            <w:rStyle w:val="Hyperlink"/>
            <w:rFonts w:cstheme="minorBidi"/>
            <w:kern w:val="18"/>
            <w:szCs w:val="18"/>
          </w:rPr>
          <w:t>https://www.cbd.int/gender/doc/CBD-GenderPlanofAction-EN-WEB.pdf</w:t>
        </w:r>
      </w:hyperlink>
      <w:r w:rsidRPr="00C91779">
        <w:rPr>
          <w:kern w:val="18"/>
          <w:szCs w:val="18"/>
        </w:rPr>
        <w:t xml:space="preserve">; </w:t>
      </w:r>
      <w:hyperlink r:id="rId13" w:history="1">
        <w:r w:rsidRPr="00C91779">
          <w:rPr>
            <w:rStyle w:val="Hyperlink"/>
            <w:rFonts w:cstheme="minorBidi"/>
            <w:kern w:val="18"/>
            <w:szCs w:val="18"/>
          </w:rPr>
          <w:t>https://www.cbd.int/gender/</w:t>
        </w:r>
      </w:hyperlink>
    </w:p>
  </w:footnote>
  <w:footnote w:id="16">
    <w:p w:rsidR="001F1D52" w:rsidRPr="00C91779" w:rsidRDefault="001F1D52"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hyperlink r:id="rId14" w:history="1">
        <w:r w:rsidRPr="00C91779">
          <w:rPr>
            <w:rStyle w:val="Hyperlink"/>
            <w:kern w:val="18"/>
            <w:szCs w:val="18"/>
          </w:rPr>
          <w:t>https://www.thegef.org/council-meeting-documents/policy-gender-equality</w:t>
        </w:r>
      </w:hyperlink>
    </w:p>
  </w:footnote>
  <w:footnote w:id="17">
    <w:p w:rsidR="00F95F8D" w:rsidRPr="00C91779" w:rsidRDefault="00F95F8D"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00D2453A" w:rsidRPr="00C91779">
        <w:rPr>
          <w:kern w:val="18"/>
          <w:szCs w:val="18"/>
        </w:rPr>
        <w:t xml:space="preserve"> </w:t>
      </w:r>
      <w:hyperlink r:id="rId15" w:history="1">
        <w:r w:rsidRPr="00C91779">
          <w:rPr>
            <w:rStyle w:val="Hyperlink"/>
            <w:kern w:val="18"/>
            <w:szCs w:val="18"/>
          </w:rPr>
          <w:t>https://www.cbd.int/doc/notifications/2017/ntf-2017-052-post2020-en.pdf</w:t>
        </w:r>
      </w:hyperlink>
      <w:r w:rsidR="00D2453A" w:rsidRPr="00C91779">
        <w:rPr>
          <w:rStyle w:val="Hyperlink"/>
          <w:kern w:val="18"/>
          <w:szCs w:val="18"/>
        </w:rPr>
        <w:t xml:space="preserve">; </w:t>
      </w:r>
      <w:hyperlink r:id="rId16" w:history="1">
        <w:r w:rsidRPr="00C91779">
          <w:rPr>
            <w:rStyle w:val="Hyperlink"/>
            <w:kern w:val="18"/>
            <w:szCs w:val="18"/>
          </w:rPr>
          <w:t>https://www.cbd.int/doc/notifications/2017/ntf-2017-124-post2020-en.pdf</w:t>
        </w:r>
      </w:hyperlink>
    </w:p>
  </w:footnote>
  <w:footnote w:id="18">
    <w:p w:rsidR="006816A2" w:rsidRPr="00C91779" w:rsidRDefault="006816A2"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w:t>
      </w:r>
      <w:proofErr w:type="gramStart"/>
      <w:r w:rsidR="00931693" w:rsidRPr="00AF5854">
        <w:rPr>
          <w:kern w:val="18"/>
          <w:szCs w:val="18"/>
        </w:rPr>
        <w:t>T</w:t>
      </w:r>
      <w:r w:rsidRPr="00C91779">
        <w:rPr>
          <w:kern w:val="18"/>
          <w:szCs w:val="18"/>
        </w:rPr>
        <w:t>argets 1.4; 2.3; 5.</w:t>
      </w:r>
      <w:proofErr w:type="spellStart"/>
      <w:r w:rsidRPr="00C91779">
        <w:rPr>
          <w:kern w:val="18"/>
          <w:szCs w:val="18"/>
        </w:rPr>
        <w:t>a</w:t>
      </w:r>
      <w:proofErr w:type="spellEnd"/>
      <w:r w:rsidRPr="00C91779">
        <w:rPr>
          <w:kern w:val="18"/>
          <w:szCs w:val="18"/>
        </w:rPr>
        <w:t xml:space="preserve"> </w:t>
      </w:r>
      <w:r w:rsidR="00931693" w:rsidRPr="00AF5854">
        <w:rPr>
          <w:kern w:val="18"/>
          <w:szCs w:val="18"/>
        </w:rPr>
        <w:t>under the Sustainable Development Goals</w:t>
      </w:r>
      <w:r w:rsidR="003E25F6" w:rsidRPr="00AF5854">
        <w:rPr>
          <w:kern w:val="18"/>
          <w:szCs w:val="18"/>
        </w:rPr>
        <w:t>.</w:t>
      </w:r>
      <w:proofErr w:type="gramEnd"/>
    </w:p>
  </w:footnote>
  <w:footnote w:id="19">
    <w:p w:rsidR="006816A2" w:rsidRPr="00C91779" w:rsidRDefault="006816A2" w:rsidP="00C91779">
      <w:pPr>
        <w:pStyle w:val="FootnoteText"/>
        <w:suppressLineNumbers/>
        <w:suppressAutoHyphens/>
        <w:kinsoku w:val="0"/>
        <w:overflowPunct w:val="0"/>
        <w:autoSpaceDE w:val="0"/>
        <w:autoSpaceDN w:val="0"/>
        <w:adjustRightInd w:val="0"/>
        <w:snapToGrid w:val="0"/>
        <w:ind w:firstLine="0"/>
        <w:jc w:val="left"/>
        <w:rPr>
          <w:kern w:val="18"/>
          <w:szCs w:val="18"/>
        </w:rPr>
      </w:pPr>
      <w:r w:rsidRPr="00C91779">
        <w:rPr>
          <w:rStyle w:val="FootnoteReference"/>
          <w:kern w:val="18"/>
          <w:szCs w:val="18"/>
          <w:u w:val="none"/>
          <w:vertAlign w:val="superscript"/>
        </w:rPr>
        <w:footnoteRef/>
      </w:r>
      <w:r w:rsidRPr="00C91779">
        <w:rPr>
          <w:kern w:val="18"/>
          <w:szCs w:val="18"/>
        </w:rPr>
        <w:t xml:space="preserve"> UNFCCC gender plan of action was adopted at the </w:t>
      </w:r>
      <w:r w:rsidR="009B0011">
        <w:rPr>
          <w:kern w:val="18"/>
          <w:szCs w:val="18"/>
        </w:rPr>
        <w:t>twenty-third</w:t>
      </w:r>
      <w:r w:rsidR="009B0011" w:rsidRPr="00C91779">
        <w:rPr>
          <w:kern w:val="18"/>
          <w:szCs w:val="18"/>
        </w:rPr>
        <w:t xml:space="preserve"> </w:t>
      </w:r>
      <w:r w:rsidR="009B0011">
        <w:rPr>
          <w:kern w:val="18"/>
          <w:szCs w:val="18"/>
        </w:rPr>
        <w:t>session</w:t>
      </w:r>
      <w:r w:rsidR="009B0011" w:rsidRPr="00C91779">
        <w:rPr>
          <w:kern w:val="18"/>
          <w:szCs w:val="18"/>
        </w:rPr>
        <w:t xml:space="preserve"> </w:t>
      </w:r>
      <w:r w:rsidRPr="00C91779">
        <w:rPr>
          <w:kern w:val="18"/>
          <w:szCs w:val="18"/>
        </w:rPr>
        <w:t>of the Conference of the Parties</w:t>
      </w:r>
      <w:r w:rsidR="00931693" w:rsidRPr="00AF5854">
        <w:rPr>
          <w:kern w:val="18"/>
          <w:szCs w:val="18"/>
        </w:rPr>
        <w:t>,</w:t>
      </w:r>
      <w:r w:rsidRPr="00C91779">
        <w:rPr>
          <w:kern w:val="18"/>
          <w:szCs w:val="18"/>
        </w:rPr>
        <w:t xml:space="preserve"> held </w:t>
      </w:r>
      <w:r w:rsidR="00931693" w:rsidRPr="00AF5854">
        <w:rPr>
          <w:kern w:val="18"/>
          <w:szCs w:val="18"/>
        </w:rPr>
        <w:t xml:space="preserve">in Bonn </w:t>
      </w:r>
      <w:r w:rsidRPr="00C91779">
        <w:rPr>
          <w:kern w:val="18"/>
          <w:szCs w:val="18"/>
        </w:rPr>
        <w:t>from 6</w:t>
      </w:r>
      <w:r w:rsidR="00931693" w:rsidRPr="00AF5854">
        <w:rPr>
          <w:kern w:val="18"/>
          <w:szCs w:val="18"/>
        </w:rPr>
        <w:t xml:space="preserve"> to </w:t>
      </w:r>
      <w:r w:rsidRPr="00C91779">
        <w:rPr>
          <w:kern w:val="18"/>
          <w:szCs w:val="18"/>
        </w:rPr>
        <w:t>17</w:t>
      </w:r>
      <w:r w:rsidR="00931693" w:rsidRPr="00AF5854">
        <w:rPr>
          <w:kern w:val="18"/>
          <w:szCs w:val="18"/>
        </w:rPr>
        <w:t> </w:t>
      </w:r>
      <w:r w:rsidRPr="00C91779">
        <w:rPr>
          <w:kern w:val="18"/>
          <w:szCs w:val="18"/>
        </w:rPr>
        <w:t xml:space="preserve">November 2017; the UNCCD gender plan of action was adopted at the </w:t>
      </w:r>
      <w:r w:rsidR="009B0011">
        <w:rPr>
          <w:kern w:val="18"/>
          <w:szCs w:val="18"/>
        </w:rPr>
        <w:t>thirteenth</w:t>
      </w:r>
      <w:r w:rsidR="009B0011" w:rsidRPr="00C91779">
        <w:rPr>
          <w:kern w:val="18"/>
          <w:szCs w:val="18"/>
        </w:rPr>
        <w:t xml:space="preserve"> </w:t>
      </w:r>
      <w:r w:rsidR="009B0011">
        <w:rPr>
          <w:kern w:val="18"/>
          <w:szCs w:val="18"/>
        </w:rPr>
        <w:t>session</w:t>
      </w:r>
      <w:r w:rsidR="009B0011" w:rsidRPr="00C91779">
        <w:rPr>
          <w:kern w:val="18"/>
          <w:szCs w:val="18"/>
        </w:rPr>
        <w:t xml:space="preserve"> </w:t>
      </w:r>
      <w:r w:rsidRPr="00C91779">
        <w:rPr>
          <w:kern w:val="18"/>
          <w:szCs w:val="18"/>
        </w:rPr>
        <w:t>of the Conference of the Parties</w:t>
      </w:r>
      <w:r w:rsidR="00931693" w:rsidRPr="00AF5854">
        <w:rPr>
          <w:kern w:val="18"/>
          <w:szCs w:val="18"/>
        </w:rPr>
        <w:t>,</w:t>
      </w:r>
      <w:r w:rsidRPr="00C91779">
        <w:rPr>
          <w:kern w:val="18"/>
          <w:szCs w:val="18"/>
        </w:rPr>
        <w:t xml:space="preserve"> held </w:t>
      </w:r>
      <w:r w:rsidR="00931693" w:rsidRPr="00AF5854">
        <w:rPr>
          <w:kern w:val="18"/>
          <w:szCs w:val="18"/>
        </w:rPr>
        <w:t xml:space="preserve">in Ordos, China, </w:t>
      </w:r>
      <w:r w:rsidRPr="00C91779">
        <w:rPr>
          <w:kern w:val="18"/>
          <w:szCs w:val="18"/>
        </w:rPr>
        <w:t>from 6</w:t>
      </w:r>
      <w:r w:rsidR="00931693" w:rsidRPr="00AF5854">
        <w:rPr>
          <w:kern w:val="18"/>
          <w:szCs w:val="18"/>
        </w:rPr>
        <w:t xml:space="preserve"> to </w:t>
      </w:r>
      <w:r w:rsidRPr="00C91779">
        <w:rPr>
          <w:kern w:val="18"/>
          <w:szCs w:val="18"/>
        </w:rPr>
        <w:t>16</w:t>
      </w:r>
      <w:r w:rsidR="00931693" w:rsidRPr="00AF5854">
        <w:rPr>
          <w:kern w:val="18"/>
          <w:szCs w:val="18"/>
        </w:rPr>
        <w:t> </w:t>
      </w:r>
      <w:r w:rsidRPr="00C91779">
        <w:rPr>
          <w:kern w:val="18"/>
          <w:szCs w:val="18"/>
        </w:rPr>
        <w:t>September</w:t>
      </w:r>
      <w:r w:rsidR="00931693" w:rsidRPr="00AF5854">
        <w:rPr>
          <w:kern w:val="18"/>
          <w:szCs w:val="18"/>
        </w:rPr>
        <w:t> </w:t>
      </w:r>
      <w:r w:rsidRPr="00C91779">
        <w:rPr>
          <w:kern w:val="18"/>
          <w:szCs w:val="18"/>
        </w:rPr>
        <w:t>2017</w:t>
      </w:r>
      <w:r w:rsidR="00931693" w:rsidRPr="00AF5854">
        <w:rPr>
          <w:kern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Default="004B3C27" w:rsidP="00C91779">
        <w:pPr>
          <w:pStyle w:val="Header"/>
          <w:suppressLineNumbers/>
          <w:tabs>
            <w:tab w:val="clear" w:pos="4320"/>
            <w:tab w:val="clear" w:pos="8640"/>
          </w:tabs>
          <w:suppressAutoHyphens/>
          <w:kinsoku w:val="0"/>
          <w:overflowPunct w:val="0"/>
          <w:autoSpaceDE w:val="0"/>
          <w:autoSpaceDN w:val="0"/>
          <w:jc w:val="left"/>
          <w:rPr>
            <w:noProof/>
            <w:kern w:val="22"/>
          </w:rPr>
        </w:pPr>
        <w:r>
          <w:rPr>
            <w:noProof/>
            <w:kern w:val="22"/>
          </w:rPr>
          <w:t>CBD/SBI/2/2/Add.3</w:t>
        </w:r>
      </w:p>
    </w:sdtContent>
  </w:sdt>
  <w:p w:rsidR="00BA3233" w:rsidRPr="005440A6" w:rsidRDefault="00BA3233" w:rsidP="00C91779">
    <w:pPr>
      <w:pStyle w:val="Header"/>
      <w:suppressLineNumbers/>
      <w:tabs>
        <w:tab w:val="clear" w:pos="4320"/>
        <w:tab w:val="clear" w:pos="8640"/>
      </w:tabs>
      <w:suppressAutoHyphens/>
      <w:kinsoku w:val="0"/>
      <w:overflowPunct w:val="0"/>
      <w:autoSpaceDE w:val="0"/>
      <w:autoSpaceDN w:val="0"/>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F3E73">
      <w:rPr>
        <w:noProof/>
        <w:kern w:val="22"/>
      </w:rPr>
      <w:t>2</w:t>
    </w:r>
    <w:r w:rsidRPr="005440A6">
      <w:rPr>
        <w:noProof/>
        <w:kern w:val="22"/>
      </w:rPr>
      <w:fldChar w:fldCharType="end"/>
    </w:r>
  </w:p>
  <w:p w:rsidR="00BA3233" w:rsidRPr="005440A6" w:rsidRDefault="00BA3233" w:rsidP="00C91779">
    <w:pPr>
      <w:pStyle w:val="Header"/>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BA3233" w:rsidRPr="005440A6" w:rsidRDefault="004B3C27"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Pr>
            <w:noProof/>
            <w:kern w:val="22"/>
          </w:rPr>
          <w:t>CBD/SBI/2/2/Add.3</w:t>
        </w:r>
      </w:p>
    </w:sdtContent>
  </w:sdt>
  <w:p w:rsidR="00BA3233" w:rsidRPr="005440A6" w:rsidRDefault="00BA3233"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F3E73">
      <w:rPr>
        <w:noProof/>
        <w:kern w:val="22"/>
      </w:rPr>
      <w:t>3</w:t>
    </w:r>
    <w:r w:rsidRPr="005440A6">
      <w:rPr>
        <w:noProof/>
        <w:kern w:val="22"/>
      </w:rPr>
      <w:fldChar w:fldCharType="end"/>
    </w:r>
  </w:p>
  <w:p w:rsidR="00BA3233" w:rsidRPr="005440A6" w:rsidRDefault="00BA3233" w:rsidP="00C91779">
    <w:pPr>
      <w:pStyle w:val="Header"/>
      <w:suppressLineNumbers/>
      <w:tabs>
        <w:tab w:val="clear" w:pos="4320"/>
        <w:tab w:val="clear" w:pos="8640"/>
      </w:tabs>
      <w:suppressAutoHyphen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15pt;height:409.15pt;visibility:visible;mso-wrap-style:squar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5662E"/>
    <w:multiLevelType w:val="hybridMultilevel"/>
    <w:tmpl w:val="5C82584A"/>
    <w:lvl w:ilvl="0" w:tplc="AA40024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B2E2413"/>
    <w:multiLevelType w:val="hybridMultilevel"/>
    <w:tmpl w:val="87C40B40"/>
    <w:lvl w:ilvl="0" w:tplc="04090015">
      <w:start w:val="1"/>
      <w:numFmt w:val="upperLetter"/>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0E29F2"/>
    <w:multiLevelType w:val="hybridMultilevel"/>
    <w:tmpl w:val="C8C251B2"/>
    <w:lvl w:ilvl="0" w:tplc="CAB40D4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45F5489"/>
    <w:multiLevelType w:val="hybridMultilevel"/>
    <w:tmpl w:val="8682A014"/>
    <w:lvl w:ilvl="0" w:tplc="C44639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5A2300"/>
    <w:multiLevelType w:val="hybridMultilevel"/>
    <w:tmpl w:val="62A26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E43C91"/>
    <w:multiLevelType w:val="singleLevel"/>
    <w:tmpl w:val="7174E9C0"/>
    <w:lvl w:ilvl="0">
      <w:start w:val="1"/>
      <w:numFmt w:val="decimal"/>
      <w:lvlText w:val="%1."/>
      <w:lvlJc w:val="left"/>
      <w:pPr>
        <w:tabs>
          <w:tab w:val="num" w:pos="360"/>
        </w:tabs>
        <w:ind w:left="0" w:firstLine="0"/>
      </w:pPr>
    </w:lvl>
  </w:abstractNum>
  <w:abstractNum w:abstractNumId="2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E0442B4"/>
    <w:multiLevelType w:val="multilevel"/>
    <w:tmpl w:val="4A6EF01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3CA3E99"/>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322478"/>
    <w:multiLevelType w:val="hybridMultilevel"/>
    <w:tmpl w:val="E8C22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1">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901BFD"/>
    <w:multiLevelType w:val="hybridMultilevel"/>
    <w:tmpl w:val="418AD438"/>
    <w:lvl w:ilvl="0" w:tplc="4B9AA6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ED0ABC"/>
    <w:multiLevelType w:val="hybridMultilevel"/>
    <w:tmpl w:val="2054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693789"/>
    <w:multiLevelType w:val="hybridMultilevel"/>
    <w:tmpl w:val="E9EA6D66"/>
    <w:lvl w:ilvl="0" w:tplc="8410FE5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33"/>
  </w:num>
  <w:num w:numId="5">
    <w:abstractNumId w:val="15"/>
  </w:num>
  <w:num w:numId="6">
    <w:abstractNumId w:val="24"/>
  </w:num>
  <w:num w:numId="7">
    <w:abstractNumId w:val="20"/>
  </w:num>
  <w:num w:numId="8">
    <w:abstractNumId w:val="18"/>
  </w:num>
  <w:num w:numId="9">
    <w:abstractNumId w:val="24"/>
  </w:num>
  <w:num w:numId="10">
    <w:abstractNumId w:val="23"/>
  </w:num>
  <w:num w:numId="11">
    <w:abstractNumId w:val="19"/>
  </w:num>
  <w:num w:numId="12">
    <w:abstractNumId w:val="10"/>
  </w:num>
  <w:num w:numId="13">
    <w:abstractNumId w:val="22"/>
  </w:num>
  <w:num w:numId="14">
    <w:abstractNumId w:val="2"/>
  </w:num>
  <w:num w:numId="15">
    <w:abstractNumId w:val="36"/>
  </w:num>
  <w:num w:numId="16">
    <w:abstractNumId w:val="27"/>
  </w:num>
  <w:num w:numId="17">
    <w:abstractNumId w:val="9"/>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7"/>
  </w:num>
  <w:num w:numId="21">
    <w:abstractNumId w:val="29"/>
  </w:num>
  <w:num w:numId="22">
    <w:abstractNumId w:val="25"/>
  </w:num>
  <w:num w:numId="23">
    <w:abstractNumId w:val="11"/>
  </w:num>
  <w:num w:numId="24">
    <w:abstractNumId w:val="31"/>
  </w:num>
  <w:num w:numId="25">
    <w:abstractNumId w:val="32"/>
  </w:num>
  <w:num w:numId="26">
    <w:abstractNumId w:val="21"/>
  </w:num>
  <w:num w:numId="27">
    <w:abstractNumId w:val="24"/>
  </w:num>
  <w:num w:numId="28">
    <w:abstractNumId w:val="24"/>
  </w:num>
  <w:num w:numId="29">
    <w:abstractNumId w:val="24"/>
  </w:num>
  <w:num w:numId="30">
    <w:abstractNumId w:val="24"/>
  </w:num>
  <w:num w:numId="31">
    <w:abstractNumId w:val="3"/>
  </w:num>
  <w:num w:numId="32">
    <w:abstractNumId w:val="5"/>
  </w:num>
  <w:num w:numId="33">
    <w:abstractNumId w:val="6"/>
  </w:num>
  <w:num w:numId="34">
    <w:abstractNumId w:val="0"/>
  </w:num>
  <w:num w:numId="35">
    <w:abstractNumId w:val="30"/>
  </w:num>
  <w:num w:numId="36">
    <w:abstractNumId w:val="34"/>
  </w:num>
  <w:num w:numId="37">
    <w:abstractNumId w:val="1"/>
  </w:num>
  <w:num w:numId="38">
    <w:abstractNumId w:val="28"/>
  </w:num>
  <w:num w:numId="39">
    <w:abstractNumId w:val="16"/>
  </w:num>
  <w:num w:numId="40">
    <w:abstractNumId w:val="26"/>
  </w:num>
  <w:num w:numId="41">
    <w:abstractNumId w:val="17"/>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37"/>
  </w:num>
  <w:num w:numId="67">
    <w:abstractNumId w:val="4"/>
  </w:num>
  <w:num w:numId="68">
    <w:abstractNumId w:val="35"/>
  </w:num>
  <w:num w:numId="69">
    <w:abstractNumId w:val="8"/>
  </w:num>
  <w:num w:numId="70">
    <w:abstractNumId w:val="24"/>
  </w:num>
  <w:num w:numId="71">
    <w:abstractNumId w:val="24"/>
  </w:num>
  <w:num w:numId="72">
    <w:abstractNumId w:val="24"/>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rson w15:author="Tanya McGregor">
    <w15:presenceInfo w15:providerId="AD" w15:userId="S-1-5-21-2142909598-1823411812-1512734326-5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12045"/>
    <w:rsid w:val="00020235"/>
    <w:rsid w:val="000219AC"/>
    <w:rsid w:val="0002408A"/>
    <w:rsid w:val="000270A2"/>
    <w:rsid w:val="00031D24"/>
    <w:rsid w:val="00037873"/>
    <w:rsid w:val="000454C9"/>
    <w:rsid w:val="0004657D"/>
    <w:rsid w:val="000514AE"/>
    <w:rsid w:val="00054381"/>
    <w:rsid w:val="000703C8"/>
    <w:rsid w:val="00070749"/>
    <w:rsid w:val="000711E1"/>
    <w:rsid w:val="00073708"/>
    <w:rsid w:val="000835D1"/>
    <w:rsid w:val="00084201"/>
    <w:rsid w:val="00096050"/>
    <w:rsid w:val="000A6A37"/>
    <w:rsid w:val="000B4C92"/>
    <w:rsid w:val="000D5BB0"/>
    <w:rsid w:val="000E21D4"/>
    <w:rsid w:val="000E637D"/>
    <w:rsid w:val="000E7E6A"/>
    <w:rsid w:val="000F63AB"/>
    <w:rsid w:val="000F7A9F"/>
    <w:rsid w:val="00102A65"/>
    <w:rsid w:val="0012214B"/>
    <w:rsid w:val="001267AD"/>
    <w:rsid w:val="00141343"/>
    <w:rsid w:val="00142E7F"/>
    <w:rsid w:val="0014476C"/>
    <w:rsid w:val="00154FAF"/>
    <w:rsid w:val="00164F5A"/>
    <w:rsid w:val="00166367"/>
    <w:rsid w:val="00173C20"/>
    <w:rsid w:val="001768A2"/>
    <w:rsid w:val="00177203"/>
    <w:rsid w:val="00181343"/>
    <w:rsid w:val="0018302C"/>
    <w:rsid w:val="00192E06"/>
    <w:rsid w:val="00197FAF"/>
    <w:rsid w:val="001A5072"/>
    <w:rsid w:val="001A7D01"/>
    <w:rsid w:val="001C44F2"/>
    <w:rsid w:val="001D6956"/>
    <w:rsid w:val="001E422D"/>
    <w:rsid w:val="001E770D"/>
    <w:rsid w:val="001F1D52"/>
    <w:rsid w:val="001F6379"/>
    <w:rsid w:val="00200B64"/>
    <w:rsid w:val="00204415"/>
    <w:rsid w:val="002051C7"/>
    <w:rsid w:val="00207A6E"/>
    <w:rsid w:val="00217F74"/>
    <w:rsid w:val="00224B92"/>
    <w:rsid w:val="002357E1"/>
    <w:rsid w:val="002367E2"/>
    <w:rsid w:val="002445E9"/>
    <w:rsid w:val="0025090E"/>
    <w:rsid w:val="00252897"/>
    <w:rsid w:val="00252E93"/>
    <w:rsid w:val="002A1950"/>
    <w:rsid w:val="002A277A"/>
    <w:rsid w:val="002A53D7"/>
    <w:rsid w:val="002A599C"/>
    <w:rsid w:val="002B0942"/>
    <w:rsid w:val="002C2D04"/>
    <w:rsid w:val="002C4BDB"/>
    <w:rsid w:val="002C6E53"/>
    <w:rsid w:val="002D5A61"/>
    <w:rsid w:val="002E0627"/>
    <w:rsid w:val="002F216D"/>
    <w:rsid w:val="002F3E73"/>
    <w:rsid w:val="002F6275"/>
    <w:rsid w:val="002F66E7"/>
    <w:rsid w:val="002F6A0C"/>
    <w:rsid w:val="003002DF"/>
    <w:rsid w:val="003106D1"/>
    <w:rsid w:val="003210FF"/>
    <w:rsid w:val="00322DFC"/>
    <w:rsid w:val="00325DE3"/>
    <w:rsid w:val="00335872"/>
    <w:rsid w:val="00336766"/>
    <w:rsid w:val="00351958"/>
    <w:rsid w:val="00362C71"/>
    <w:rsid w:val="00380404"/>
    <w:rsid w:val="00384943"/>
    <w:rsid w:val="00392950"/>
    <w:rsid w:val="003A5B09"/>
    <w:rsid w:val="003B0EF1"/>
    <w:rsid w:val="003B10B9"/>
    <w:rsid w:val="003B3F50"/>
    <w:rsid w:val="003C113F"/>
    <w:rsid w:val="003C169F"/>
    <w:rsid w:val="003E25F6"/>
    <w:rsid w:val="003E2DAE"/>
    <w:rsid w:val="003E47AE"/>
    <w:rsid w:val="003E5A82"/>
    <w:rsid w:val="003F6E44"/>
    <w:rsid w:val="00400BC6"/>
    <w:rsid w:val="0040168C"/>
    <w:rsid w:val="00401F4B"/>
    <w:rsid w:val="00402BC3"/>
    <w:rsid w:val="00403DAF"/>
    <w:rsid w:val="00406BC6"/>
    <w:rsid w:val="00430F10"/>
    <w:rsid w:val="00432428"/>
    <w:rsid w:val="004375B4"/>
    <w:rsid w:val="0044424E"/>
    <w:rsid w:val="00451E09"/>
    <w:rsid w:val="004763C6"/>
    <w:rsid w:val="0048173C"/>
    <w:rsid w:val="0049659D"/>
    <w:rsid w:val="004A2735"/>
    <w:rsid w:val="004A3488"/>
    <w:rsid w:val="004B3C27"/>
    <w:rsid w:val="004B597A"/>
    <w:rsid w:val="004D0165"/>
    <w:rsid w:val="004D6FA6"/>
    <w:rsid w:val="00500530"/>
    <w:rsid w:val="00501E7D"/>
    <w:rsid w:val="005032C9"/>
    <w:rsid w:val="0051396E"/>
    <w:rsid w:val="00516C26"/>
    <w:rsid w:val="005172AD"/>
    <w:rsid w:val="00531383"/>
    <w:rsid w:val="00542D7B"/>
    <w:rsid w:val="00542FFF"/>
    <w:rsid w:val="005440A6"/>
    <w:rsid w:val="00550E94"/>
    <w:rsid w:val="005955D2"/>
    <w:rsid w:val="005A0C33"/>
    <w:rsid w:val="005A4099"/>
    <w:rsid w:val="005A4284"/>
    <w:rsid w:val="005B25A1"/>
    <w:rsid w:val="005C69CF"/>
    <w:rsid w:val="005D139C"/>
    <w:rsid w:val="005D420C"/>
    <w:rsid w:val="005D46C1"/>
    <w:rsid w:val="005D506F"/>
    <w:rsid w:val="005D5CEA"/>
    <w:rsid w:val="005E4E31"/>
    <w:rsid w:val="005E6848"/>
    <w:rsid w:val="005F4C74"/>
    <w:rsid w:val="005F6AEE"/>
    <w:rsid w:val="00606302"/>
    <w:rsid w:val="006260D5"/>
    <w:rsid w:val="00630E63"/>
    <w:rsid w:val="00642488"/>
    <w:rsid w:val="00646A7B"/>
    <w:rsid w:val="006507F2"/>
    <w:rsid w:val="00653B4B"/>
    <w:rsid w:val="0066107D"/>
    <w:rsid w:val="00666145"/>
    <w:rsid w:val="00667B74"/>
    <w:rsid w:val="006816A2"/>
    <w:rsid w:val="006840E1"/>
    <w:rsid w:val="00684B52"/>
    <w:rsid w:val="00685DBB"/>
    <w:rsid w:val="00690847"/>
    <w:rsid w:val="006A1C6B"/>
    <w:rsid w:val="006B074E"/>
    <w:rsid w:val="006B2BD5"/>
    <w:rsid w:val="006B41E0"/>
    <w:rsid w:val="006D0E3D"/>
    <w:rsid w:val="006D6C0A"/>
    <w:rsid w:val="006E48AE"/>
    <w:rsid w:val="006F284C"/>
    <w:rsid w:val="006F7227"/>
    <w:rsid w:val="006F7E12"/>
    <w:rsid w:val="00702366"/>
    <w:rsid w:val="0070399F"/>
    <w:rsid w:val="00715034"/>
    <w:rsid w:val="007163BC"/>
    <w:rsid w:val="00717E7B"/>
    <w:rsid w:val="00730AE3"/>
    <w:rsid w:val="00736BC2"/>
    <w:rsid w:val="00740B4A"/>
    <w:rsid w:val="007412A0"/>
    <w:rsid w:val="00772DF8"/>
    <w:rsid w:val="0077573D"/>
    <w:rsid w:val="00777AAD"/>
    <w:rsid w:val="00781121"/>
    <w:rsid w:val="0079325E"/>
    <w:rsid w:val="007A2EC7"/>
    <w:rsid w:val="007B1587"/>
    <w:rsid w:val="007B75ED"/>
    <w:rsid w:val="007B7652"/>
    <w:rsid w:val="007C5285"/>
    <w:rsid w:val="007C633B"/>
    <w:rsid w:val="007D3182"/>
    <w:rsid w:val="007D43B3"/>
    <w:rsid w:val="007E3051"/>
    <w:rsid w:val="008010B4"/>
    <w:rsid w:val="00806D90"/>
    <w:rsid w:val="00810440"/>
    <w:rsid w:val="00810E87"/>
    <w:rsid w:val="00824F73"/>
    <w:rsid w:val="00825524"/>
    <w:rsid w:val="0083211E"/>
    <w:rsid w:val="00832E0B"/>
    <w:rsid w:val="008421E2"/>
    <w:rsid w:val="008424CE"/>
    <w:rsid w:val="00843FF1"/>
    <w:rsid w:val="00845B36"/>
    <w:rsid w:val="008478EE"/>
    <w:rsid w:val="00847C71"/>
    <w:rsid w:val="008551D5"/>
    <w:rsid w:val="00856DE8"/>
    <w:rsid w:val="00870D40"/>
    <w:rsid w:val="00872DD8"/>
    <w:rsid w:val="00875339"/>
    <w:rsid w:val="00883427"/>
    <w:rsid w:val="00892BA7"/>
    <w:rsid w:val="008958E0"/>
    <w:rsid w:val="008975E0"/>
    <w:rsid w:val="008A0740"/>
    <w:rsid w:val="008A1559"/>
    <w:rsid w:val="008A4A75"/>
    <w:rsid w:val="008B2DF3"/>
    <w:rsid w:val="008B34E5"/>
    <w:rsid w:val="008B513F"/>
    <w:rsid w:val="008C013C"/>
    <w:rsid w:val="008C1E35"/>
    <w:rsid w:val="008C452A"/>
    <w:rsid w:val="008D5AA2"/>
    <w:rsid w:val="008E1430"/>
    <w:rsid w:val="008E5F84"/>
    <w:rsid w:val="008E7500"/>
    <w:rsid w:val="00900CC3"/>
    <w:rsid w:val="00905D7F"/>
    <w:rsid w:val="009067F8"/>
    <w:rsid w:val="00922EAD"/>
    <w:rsid w:val="0092794B"/>
    <w:rsid w:val="00931693"/>
    <w:rsid w:val="00932874"/>
    <w:rsid w:val="00932EE9"/>
    <w:rsid w:val="009418A8"/>
    <w:rsid w:val="00943096"/>
    <w:rsid w:val="00946D7B"/>
    <w:rsid w:val="00950C41"/>
    <w:rsid w:val="00953856"/>
    <w:rsid w:val="009554D5"/>
    <w:rsid w:val="00956106"/>
    <w:rsid w:val="00975D03"/>
    <w:rsid w:val="009845EA"/>
    <w:rsid w:val="00987A8F"/>
    <w:rsid w:val="0099165B"/>
    <w:rsid w:val="009975B3"/>
    <w:rsid w:val="009A1A65"/>
    <w:rsid w:val="009B0011"/>
    <w:rsid w:val="009B1B5A"/>
    <w:rsid w:val="009B5E1D"/>
    <w:rsid w:val="009B7E28"/>
    <w:rsid w:val="009C6B05"/>
    <w:rsid w:val="009D024F"/>
    <w:rsid w:val="009D2F92"/>
    <w:rsid w:val="009E2B79"/>
    <w:rsid w:val="009E51C9"/>
    <w:rsid w:val="009E535E"/>
    <w:rsid w:val="009E650C"/>
    <w:rsid w:val="00A02A40"/>
    <w:rsid w:val="00A0631F"/>
    <w:rsid w:val="00A10051"/>
    <w:rsid w:val="00A12234"/>
    <w:rsid w:val="00A16EE9"/>
    <w:rsid w:val="00A20F36"/>
    <w:rsid w:val="00A30DAD"/>
    <w:rsid w:val="00A36A69"/>
    <w:rsid w:val="00A36B52"/>
    <w:rsid w:val="00A54BC9"/>
    <w:rsid w:val="00A5658B"/>
    <w:rsid w:val="00A81081"/>
    <w:rsid w:val="00A91F80"/>
    <w:rsid w:val="00A97FB0"/>
    <w:rsid w:val="00AA014E"/>
    <w:rsid w:val="00AB70B2"/>
    <w:rsid w:val="00AC1E69"/>
    <w:rsid w:val="00AC41F7"/>
    <w:rsid w:val="00AE137F"/>
    <w:rsid w:val="00AE58DA"/>
    <w:rsid w:val="00AE7E8F"/>
    <w:rsid w:val="00AF28C0"/>
    <w:rsid w:val="00AF5854"/>
    <w:rsid w:val="00AF655B"/>
    <w:rsid w:val="00B1354A"/>
    <w:rsid w:val="00B223AB"/>
    <w:rsid w:val="00B228C6"/>
    <w:rsid w:val="00B259D9"/>
    <w:rsid w:val="00B271A0"/>
    <w:rsid w:val="00B3299A"/>
    <w:rsid w:val="00B35669"/>
    <w:rsid w:val="00B37069"/>
    <w:rsid w:val="00B37586"/>
    <w:rsid w:val="00B4527A"/>
    <w:rsid w:val="00B56B11"/>
    <w:rsid w:val="00B61C88"/>
    <w:rsid w:val="00B65D9E"/>
    <w:rsid w:val="00B75BF8"/>
    <w:rsid w:val="00B8035B"/>
    <w:rsid w:val="00B853C6"/>
    <w:rsid w:val="00B85F9B"/>
    <w:rsid w:val="00B97F10"/>
    <w:rsid w:val="00BA1498"/>
    <w:rsid w:val="00BA1B2A"/>
    <w:rsid w:val="00BA3233"/>
    <w:rsid w:val="00BA7293"/>
    <w:rsid w:val="00BB0FC8"/>
    <w:rsid w:val="00BB3AA3"/>
    <w:rsid w:val="00BC4300"/>
    <w:rsid w:val="00BD36C1"/>
    <w:rsid w:val="00BE092D"/>
    <w:rsid w:val="00BE37A4"/>
    <w:rsid w:val="00BE45DE"/>
    <w:rsid w:val="00BF0A53"/>
    <w:rsid w:val="00BF790B"/>
    <w:rsid w:val="00C00A5E"/>
    <w:rsid w:val="00C05456"/>
    <w:rsid w:val="00C06D6B"/>
    <w:rsid w:val="00C076A9"/>
    <w:rsid w:val="00C10C32"/>
    <w:rsid w:val="00C12C22"/>
    <w:rsid w:val="00C14820"/>
    <w:rsid w:val="00C15BBB"/>
    <w:rsid w:val="00C17C1A"/>
    <w:rsid w:val="00C3137B"/>
    <w:rsid w:val="00C31FC0"/>
    <w:rsid w:val="00C37FF1"/>
    <w:rsid w:val="00C507CD"/>
    <w:rsid w:val="00C51BE8"/>
    <w:rsid w:val="00C576F4"/>
    <w:rsid w:val="00C600D7"/>
    <w:rsid w:val="00C642AE"/>
    <w:rsid w:val="00C749C7"/>
    <w:rsid w:val="00C85EA4"/>
    <w:rsid w:val="00C906AA"/>
    <w:rsid w:val="00C9096D"/>
    <w:rsid w:val="00C912FE"/>
    <w:rsid w:val="00C91779"/>
    <w:rsid w:val="00C92AA8"/>
    <w:rsid w:val="00C94394"/>
    <w:rsid w:val="00CA0B85"/>
    <w:rsid w:val="00CA1572"/>
    <w:rsid w:val="00CA2E78"/>
    <w:rsid w:val="00CA6B87"/>
    <w:rsid w:val="00CB5EE6"/>
    <w:rsid w:val="00CC2031"/>
    <w:rsid w:val="00CD6FFC"/>
    <w:rsid w:val="00CE0A06"/>
    <w:rsid w:val="00CE167C"/>
    <w:rsid w:val="00CE51C3"/>
    <w:rsid w:val="00CF4F69"/>
    <w:rsid w:val="00CF5FD1"/>
    <w:rsid w:val="00D050CC"/>
    <w:rsid w:val="00D15589"/>
    <w:rsid w:val="00D22AE8"/>
    <w:rsid w:val="00D2453A"/>
    <w:rsid w:val="00D34281"/>
    <w:rsid w:val="00D356BB"/>
    <w:rsid w:val="00D432AD"/>
    <w:rsid w:val="00D46621"/>
    <w:rsid w:val="00D47AC7"/>
    <w:rsid w:val="00D51069"/>
    <w:rsid w:val="00D51FC1"/>
    <w:rsid w:val="00D5648D"/>
    <w:rsid w:val="00D57E6F"/>
    <w:rsid w:val="00D73DBE"/>
    <w:rsid w:val="00D75733"/>
    <w:rsid w:val="00D76B2B"/>
    <w:rsid w:val="00D7795C"/>
    <w:rsid w:val="00D835CC"/>
    <w:rsid w:val="00D84741"/>
    <w:rsid w:val="00D9537D"/>
    <w:rsid w:val="00D9611E"/>
    <w:rsid w:val="00DA09C9"/>
    <w:rsid w:val="00DA2439"/>
    <w:rsid w:val="00DA58D0"/>
    <w:rsid w:val="00DA5E67"/>
    <w:rsid w:val="00DB5EF9"/>
    <w:rsid w:val="00DC12A6"/>
    <w:rsid w:val="00DC15A3"/>
    <w:rsid w:val="00DC3620"/>
    <w:rsid w:val="00DD24C2"/>
    <w:rsid w:val="00DD52CC"/>
    <w:rsid w:val="00DE25A9"/>
    <w:rsid w:val="00DE308B"/>
    <w:rsid w:val="00E061E4"/>
    <w:rsid w:val="00E11FC2"/>
    <w:rsid w:val="00E130A6"/>
    <w:rsid w:val="00E22E4A"/>
    <w:rsid w:val="00E25D49"/>
    <w:rsid w:val="00E37A7A"/>
    <w:rsid w:val="00E41032"/>
    <w:rsid w:val="00E4217A"/>
    <w:rsid w:val="00E43093"/>
    <w:rsid w:val="00E46540"/>
    <w:rsid w:val="00E47630"/>
    <w:rsid w:val="00E518DD"/>
    <w:rsid w:val="00E53778"/>
    <w:rsid w:val="00E55B3B"/>
    <w:rsid w:val="00E55E91"/>
    <w:rsid w:val="00E642EA"/>
    <w:rsid w:val="00E70ED2"/>
    <w:rsid w:val="00E850EC"/>
    <w:rsid w:val="00E8697F"/>
    <w:rsid w:val="00E918E3"/>
    <w:rsid w:val="00E9205F"/>
    <w:rsid w:val="00E94300"/>
    <w:rsid w:val="00EA7525"/>
    <w:rsid w:val="00EC0891"/>
    <w:rsid w:val="00EC4579"/>
    <w:rsid w:val="00EE51DB"/>
    <w:rsid w:val="00EF3230"/>
    <w:rsid w:val="00F028C4"/>
    <w:rsid w:val="00F06953"/>
    <w:rsid w:val="00F13DC0"/>
    <w:rsid w:val="00F13F8B"/>
    <w:rsid w:val="00F14485"/>
    <w:rsid w:val="00F16F02"/>
    <w:rsid w:val="00F26A60"/>
    <w:rsid w:val="00F27634"/>
    <w:rsid w:val="00F27B8C"/>
    <w:rsid w:val="00F33389"/>
    <w:rsid w:val="00F34D34"/>
    <w:rsid w:val="00F359C5"/>
    <w:rsid w:val="00F37119"/>
    <w:rsid w:val="00F410EC"/>
    <w:rsid w:val="00F465B6"/>
    <w:rsid w:val="00F54B6C"/>
    <w:rsid w:val="00F642E3"/>
    <w:rsid w:val="00F64CB9"/>
    <w:rsid w:val="00F64D67"/>
    <w:rsid w:val="00F65015"/>
    <w:rsid w:val="00F660E6"/>
    <w:rsid w:val="00F67181"/>
    <w:rsid w:val="00F72934"/>
    <w:rsid w:val="00F77628"/>
    <w:rsid w:val="00F838DD"/>
    <w:rsid w:val="00F95F8D"/>
    <w:rsid w:val="00FB3B70"/>
    <w:rsid w:val="00FB5D48"/>
    <w:rsid w:val="00FB78B6"/>
    <w:rsid w:val="00FC031E"/>
    <w:rsid w:val="00FC3CA0"/>
    <w:rsid w:val="00FC6159"/>
    <w:rsid w:val="00FD061C"/>
    <w:rsid w:val="00FD4E03"/>
    <w:rsid w:val="00FE742F"/>
    <w:rsid w:val="00FF2FA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9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D9611E"/>
    <w:pPr>
      <w:keepNext/>
      <w:spacing w:before="240" w:after="120"/>
      <w:jc w:val="center"/>
      <w:outlineLvl w:val="0"/>
    </w:pPr>
    <w:rPr>
      <w:b/>
      <w:caps/>
    </w:rPr>
  </w:style>
  <w:style w:type="paragraph" w:styleId="Heading2">
    <w:name w:val="heading 2"/>
    <w:basedOn w:val="Normal"/>
    <w:next w:val="Normal"/>
    <w:qFormat/>
    <w:rsid w:val="00D9611E"/>
    <w:pPr>
      <w:keepNext/>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D9611E"/>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
    <w:name w:val="Unresolved Mention"/>
    <w:basedOn w:val="DefaultParagraphFont"/>
    <w:uiPriority w:val="99"/>
    <w:semiHidden/>
    <w:unhideWhenUsed/>
    <w:rsid w:val="00D9611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rsid w:val="00D9611E"/>
    <w:pPr>
      <w:keepNext/>
      <w:spacing w:before="240" w:after="120"/>
      <w:jc w:val="center"/>
      <w:outlineLvl w:val="0"/>
    </w:pPr>
    <w:rPr>
      <w:b/>
      <w:caps/>
    </w:rPr>
  </w:style>
  <w:style w:type="paragraph" w:styleId="Heading2">
    <w:name w:val="heading 2"/>
    <w:basedOn w:val="Normal"/>
    <w:next w:val="Normal"/>
    <w:qFormat/>
    <w:rsid w:val="00D9611E"/>
    <w:pPr>
      <w:keepNext/>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D9611E"/>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50EC"/>
    <w:pPr>
      <w:spacing w:before="100" w:beforeAutospacing="1" w:after="100" w:afterAutospacing="1"/>
      <w:jc w:val="left"/>
    </w:pPr>
    <w:rPr>
      <w:sz w:val="24"/>
      <w:lang w:val="en-US"/>
    </w:rPr>
  </w:style>
  <w:style w:type="character" w:customStyle="1" w:styleId="UnresolvedMention">
    <w:name w:val="Unresolved Mention"/>
    <w:basedOn w:val="DefaultParagraphFont"/>
    <w:uiPriority w:val="99"/>
    <w:semiHidden/>
    <w:unhideWhenUsed/>
    <w:rsid w:val="00D961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2122">
      <w:bodyDiv w:val="1"/>
      <w:marLeft w:val="0"/>
      <w:marRight w:val="0"/>
      <w:marTop w:val="0"/>
      <w:marBottom w:val="0"/>
      <w:divBdr>
        <w:top w:val="none" w:sz="0" w:space="0" w:color="auto"/>
        <w:left w:val="none" w:sz="0" w:space="0" w:color="auto"/>
        <w:bottom w:val="none" w:sz="0" w:space="0" w:color="auto"/>
        <w:right w:val="none" w:sz="0" w:space="0" w:color="auto"/>
      </w:divBdr>
      <w:divsChild>
        <w:div w:id="1403794493">
          <w:marLeft w:val="0"/>
          <w:marRight w:val="0"/>
          <w:marTop w:val="0"/>
          <w:marBottom w:val="0"/>
          <w:divBdr>
            <w:top w:val="none" w:sz="0" w:space="0" w:color="auto"/>
            <w:left w:val="none" w:sz="0" w:space="0" w:color="auto"/>
            <w:bottom w:val="none" w:sz="0" w:space="0" w:color="auto"/>
            <w:right w:val="none" w:sz="0" w:space="0" w:color="auto"/>
          </w:divBdr>
        </w:div>
        <w:div w:id="286664434">
          <w:marLeft w:val="0"/>
          <w:marRight w:val="0"/>
          <w:marTop w:val="0"/>
          <w:marBottom w:val="0"/>
          <w:divBdr>
            <w:top w:val="none" w:sz="0" w:space="0" w:color="auto"/>
            <w:left w:val="none" w:sz="0" w:space="0" w:color="auto"/>
            <w:bottom w:val="none" w:sz="0" w:space="0" w:color="auto"/>
            <w:right w:val="none" w:sz="0" w:space="0" w:color="auto"/>
          </w:divBdr>
        </w:div>
        <w:div w:id="436292447">
          <w:marLeft w:val="0"/>
          <w:marRight w:val="0"/>
          <w:marTop w:val="0"/>
          <w:marBottom w:val="0"/>
          <w:divBdr>
            <w:top w:val="none" w:sz="0" w:space="0" w:color="auto"/>
            <w:left w:val="none" w:sz="0" w:space="0" w:color="auto"/>
            <w:bottom w:val="none" w:sz="0" w:space="0" w:color="auto"/>
            <w:right w:val="none" w:sz="0" w:space="0" w:color="auto"/>
          </w:divBdr>
        </w:div>
        <w:div w:id="630357185">
          <w:marLeft w:val="0"/>
          <w:marRight w:val="0"/>
          <w:marTop w:val="0"/>
          <w:marBottom w:val="0"/>
          <w:divBdr>
            <w:top w:val="none" w:sz="0" w:space="0" w:color="auto"/>
            <w:left w:val="none" w:sz="0" w:space="0" w:color="auto"/>
            <w:bottom w:val="none" w:sz="0" w:space="0" w:color="auto"/>
            <w:right w:val="none" w:sz="0" w:space="0" w:color="auto"/>
          </w:divBdr>
        </w:div>
        <w:div w:id="488252255">
          <w:marLeft w:val="0"/>
          <w:marRight w:val="0"/>
          <w:marTop w:val="0"/>
          <w:marBottom w:val="0"/>
          <w:divBdr>
            <w:top w:val="none" w:sz="0" w:space="0" w:color="auto"/>
            <w:left w:val="none" w:sz="0" w:space="0" w:color="auto"/>
            <w:bottom w:val="none" w:sz="0" w:space="0" w:color="auto"/>
            <w:right w:val="none" w:sz="0" w:space="0" w:color="auto"/>
          </w:divBdr>
        </w:div>
      </w:divsChild>
    </w:div>
    <w:div w:id="315838723">
      <w:bodyDiv w:val="1"/>
      <w:marLeft w:val="0"/>
      <w:marRight w:val="0"/>
      <w:marTop w:val="0"/>
      <w:marBottom w:val="0"/>
      <w:divBdr>
        <w:top w:val="none" w:sz="0" w:space="0" w:color="auto"/>
        <w:left w:val="none" w:sz="0" w:space="0" w:color="auto"/>
        <w:bottom w:val="none" w:sz="0" w:space="0" w:color="auto"/>
        <w:right w:val="none" w:sz="0" w:space="0" w:color="auto"/>
      </w:divBdr>
      <w:divsChild>
        <w:div w:id="1641182782">
          <w:marLeft w:val="0"/>
          <w:marRight w:val="0"/>
          <w:marTop w:val="0"/>
          <w:marBottom w:val="0"/>
          <w:divBdr>
            <w:top w:val="none" w:sz="0" w:space="0" w:color="auto"/>
            <w:left w:val="none" w:sz="0" w:space="0" w:color="auto"/>
            <w:bottom w:val="none" w:sz="0" w:space="0" w:color="auto"/>
            <w:right w:val="none" w:sz="0" w:space="0" w:color="auto"/>
          </w:divBdr>
        </w:div>
        <w:div w:id="1486553225">
          <w:marLeft w:val="0"/>
          <w:marRight w:val="0"/>
          <w:marTop w:val="0"/>
          <w:marBottom w:val="0"/>
          <w:divBdr>
            <w:top w:val="none" w:sz="0" w:space="0" w:color="auto"/>
            <w:left w:val="none" w:sz="0" w:space="0" w:color="auto"/>
            <w:bottom w:val="none" w:sz="0" w:space="0" w:color="auto"/>
            <w:right w:val="none" w:sz="0" w:space="0" w:color="auto"/>
          </w:divBdr>
        </w:div>
        <w:div w:id="54356511">
          <w:marLeft w:val="0"/>
          <w:marRight w:val="0"/>
          <w:marTop w:val="0"/>
          <w:marBottom w:val="0"/>
          <w:divBdr>
            <w:top w:val="none" w:sz="0" w:space="0" w:color="auto"/>
            <w:left w:val="none" w:sz="0" w:space="0" w:color="auto"/>
            <w:bottom w:val="none" w:sz="0" w:space="0" w:color="auto"/>
            <w:right w:val="none" w:sz="0" w:space="0" w:color="auto"/>
          </w:divBdr>
        </w:div>
        <w:div w:id="1604266263">
          <w:marLeft w:val="0"/>
          <w:marRight w:val="0"/>
          <w:marTop w:val="0"/>
          <w:marBottom w:val="0"/>
          <w:divBdr>
            <w:top w:val="none" w:sz="0" w:space="0" w:color="auto"/>
            <w:left w:val="none" w:sz="0" w:space="0" w:color="auto"/>
            <w:bottom w:val="none" w:sz="0" w:space="0" w:color="auto"/>
            <w:right w:val="none" w:sz="0" w:space="0" w:color="auto"/>
          </w:divBdr>
        </w:div>
        <w:div w:id="1488745083">
          <w:marLeft w:val="0"/>
          <w:marRight w:val="0"/>
          <w:marTop w:val="0"/>
          <w:marBottom w:val="0"/>
          <w:divBdr>
            <w:top w:val="none" w:sz="0" w:space="0" w:color="auto"/>
            <w:left w:val="none" w:sz="0" w:space="0" w:color="auto"/>
            <w:bottom w:val="none" w:sz="0" w:space="0" w:color="auto"/>
            <w:right w:val="none" w:sz="0" w:space="0" w:color="auto"/>
          </w:divBdr>
        </w:div>
        <w:div w:id="311299120">
          <w:marLeft w:val="0"/>
          <w:marRight w:val="0"/>
          <w:marTop w:val="0"/>
          <w:marBottom w:val="0"/>
          <w:divBdr>
            <w:top w:val="none" w:sz="0" w:space="0" w:color="auto"/>
            <w:left w:val="none" w:sz="0" w:space="0" w:color="auto"/>
            <w:bottom w:val="none" w:sz="0" w:space="0" w:color="auto"/>
            <w:right w:val="none" w:sz="0" w:space="0" w:color="auto"/>
          </w:divBdr>
        </w:div>
        <w:div w:id="737558866">
          <w:marLeft w:val="0"/>
          <w:marRight w:val="0"/>
          <w:marTop w:val="0"/>
          <w:marBottom w:val="0"/>
          <w:divBdr>
            <w:top w:val="none" w:sz="0" w:space="0" w:color="auto"/>
            <w:left w:val="none" w:sz="0" w:space="0" w:color="auto"/>
            <w:bottom w:val="none" w:sz="0" w:space="0" w:color="auto"/>
            <w:right w:val="none" w:sz="0" w:space="0" w:color="auto"/>
          </w:divBdr>
        </w:div>
      </w:divsChild>
    </w:div>
    <w:div w:id="994260596">
      <w:bodyDiv w:val="1"/>
      <w:marLeft w:val="0"/>
      <w:marRight w:val="0"/>
      <w:marTop w:val="0"/>
      <w:marBottom w:val="0"/>
      <w:divBdr>
        <w:top w:val="none" w:sz="0" w:space="0" w:color="auto"/>
        <w:left w:val="none" w:sz="0" w:space="0" w:color="auto"/>
        <w:bottom w:val="none" w:sz="0" w:space="0" w:color="auto"/>
        <w:right w:val="none" w:sz="0" w:space="0" w:color="auto"/>
      </w:divBdr>
      <w:divsChild>
        <w:div w:id="257057497">
          <w:marLeft w:val="0"/>
          <w:marRight w:val="0"/>
          <w:marTop w:val="0"/>
          <w:marBottom w:val="0"/>
          <w:divBdr>
            <w:top w:val="none" w:sz="0" w:space="0" w:color="auto"/>
            <w:left w:val="none" w:sz="0" w:space="0" w:color="auto"/>
            <w:bottom w:val="none" w:sz="0" w:space="0" w:color="auto"/>
            <w:right w:val="none" w:sz="0" w:space="0" w:color="auto"/>
          </w:divBdr>
        </w:div>
        <w:div w:id="843865195">
          <w:marLeft w:val="0"/>
          <w:marRight w:val="0"/>
          <w:marTop w:val="0"/>
          <w:marBottom w:val="0"/>
          <w:divBdr>
            <w:top w:val="none" w:sz="0" w:space="0" w:color="auto"/>
            <w:left w:val="none" w:sz="0" w:space="0" w:color="auto"/>
            <w:bottom w:val="none" w:sz="0" w:space="0" w:color="auto"/>
            <w:right w:val="none" w:sz="0" w:space="0" w:color="auto"/>
          </w:divBdr>
        </w:div>
        <w:div w:id="294222362">
          <w:marLeft w:val="0"/>
          <w:marRight w:val="0"/>
          <w:marTop w:val="0"/>
          <w:marBottom w:val="0"/>
          <w:divBdr>
            <w:top w:val="none" w:sz="0" w:space="0" w:color="auto"/>
            <w:left w:val="none" w:sz="0" w:space="0" w:color="auto"/>
            <w:bottom w:val="none" w:sz="0" w:space="0" w:color="auto"/>
            <w:right w:val="none" w:sz="0" w:space="0" w:color="auto"/>
          </w:divBdr>
        </w:div>
        <w:div w:id="1705444774">
          <w:marLeft w:val="0"/>
          <w:marRight w:val="0"/>
          <w:marTop w:val="0"/>
          <w:marBottom w:val="0"/>
          <w:divBdr>
            <w:top w:val="none" w:sz="0" w:space="0" w:color="auto"/>
            <w:left w:val="none" w:sz="0" w:space="0" w:color="auto"/>
            <w:bottom w:val="none" w:sz="0" w:space="0" w:color="auto"/>
            <w:right w:val="none" w:sz="0" w:space="0" w:color="auto"/>
          </w:divBdr>
        </w:div>
        <w:div w:id="904872880">
          <w:marLeft w:val="0"/>
          <w:marRight w:val="0"/>
          <w:marTop w:val="0"/>
          <w:marBottom w:val="0"/>
          <w:divBdr>
            <w:top w:val="none" w:sz="0" w:space="0" w:color="auto"/>
            <w:left w:val="none" w:sz="0" w:space="0" w:color="auto"/>
            <w:bottom w:val="none" w:sz="0" w:space="0" w:color="auto"/>
            <w:right w:val="none" w:sz="0" w:space="0" w:color="auto"/>
          </w:divBdr>
        </w:div>
        <w:div w:id="1326978061">
          <w:marLeft w:val="0"/>
          <w:marRight w:val="0"/>
          <w:marTop w:val="0"/>
          <w:marBottom w:val="0"/>
          <w:divBdr>
            <w:top w:val="none" w:sz="0" w:space="0" w:color="auto"/>
            <w:left w:val="none" w:sz="0" w:space="0" w:color="auto"/>
            <w:bottom w:val="none" w:sz="0" w:space="0" w:color="auto"/>
            <w:right w:val="none" w:sz="0" w:space="0" w:color="auto"/>
          </w:divBdr>
        </w:div>
      </w:divsChild>
    </w:div>
    <w:div w:id="1669478348">
      <w:bodyDiv w:val="1"/>
      <w:marLeft w:val="0"/>
      <w:marRight w:val="0"/>
      <w:marTop w:val="0"/>
      <w:marBottom w:val="0"/>
      <w:divBdr>
        <w:top w:val="none" w:sz="0" w:space="0" w:color="auto"/>
        <w:left w:val="none" w:sz="0" w:space="0" w:color="auto"/>
        <w:bottom w:val="none" w:sz="0" w:space="0" w:color="auto"/>
        <w:right w:val="none" w:sz="0" w:space="0" w:color="auto"/>
      </w:divBdr>
      <w:divsChild>
        <w:div w:id="1962878276">
          <w:marLeft w:val="0"/>
          <w:marRight w:val="0"/>
          <w:marTop w:val="0"/>
          <w:marBottom w:val="0"/>
          <w:divBdr>
            <w:top w:val="none" w:sz="0" w:space="0" w:color="auto"/>
            <w:left w:val="none" w:sz="0" w:space="0" w:color="auto"/>
            <w:bottom w:val="none" w:sz="0" w:space="0" w:color="auto"/>
            <w:right w:val="none" w:sz="0" w:space="0" w:color="auto"/>
          </w:divBdr>
        </w:div>
        <w:div w:id="873343887">
          <w:marLeft w:val="0"/>
          <w:marRight w:val="0"/>
          <w:marTop w:val="0"/>
          <w:marBottom w:val="0"/>
          <w:divBdr>
            <w:top w:val="none" w:sz="0" w:space="0" w:color="auto"/>
            <w:left w:val="none" w:sz="0" w:space="0" w:color="auto"/>
            <w:bottom w:val="none" w:sz="0" w:space="0" w:color="auto"/>
            <w:right w:val="none" w:sz="0" w:space="0" w:color="auto"/>
          </w:divBdr>
        </w:div>
        <w:div w:id="529883365">
          <w:marLeft w:val="0"/>
          <w:marRight w:val="0"/>
          <w:marTop w:val="0"/>
          <w:marBottom w:val="0"/>
          <w:divBdr>
            <w:top w:val="none" w:sz="0" w:space="0" w:color="auto"/>
            <w:left w:val="none" w:sz="0" w:space="0" w:color="auto"/>
            <w:bottom w:val="none" w:sz="0" w:space="0" w:color="auto"/>
            <w:right w:val="none" w:sz="0" w:space="0" w:color="auto"/>
          </w:divBdr>
        </w:div>
        <w:div w:id="1299068574">
          <w:marLeft w:val="0"/>
          <w:marRight w:val="0"/>
          <w:marTop w:val="0"/>
          <w:marBottom w:val="0"/>
          <w:divBdr>
            <w:top w:val="none" w:sz="0" w:space="0" w:color="auto"/>
            <w:left w:val="none" w:sz="0" w:space="0" w:color="auto"/>
            <w:bottom w:val="none" w:sz="0" w:space="0" w:color="auto"/>
            <w:right w:val="none" w:sz="0" w:space="0" w:color="auto"/>
          </w:divBdr>
        </w:div>
      </w:divsChild>
    </w:div>
    <w:div w:id="1820338074">
      <w:bodyDiv w:val="1"/>
      <w:marLeft w:val="0"/>
      <w:marRight w:val="0"/>
      <w:marTop w:val="0"/>
      <w:marBottom w:val="0"/>
      <w:divBdr>
        <w:top w:val="none" w:sz="0" w:space="0" w:color="auto"/>
        <w:left w:val="none" w:sz="0" w:space="0" w:color="auto"/>
        <w:bottom w:val="none" w:sz="0" w:space="0" w:color="auto"/>
        <w:right w:val="none" w:sz="0" w:space="0" w:color="auto"/>
      </w:divBdr>
      <w:divsChild>
        <w:div w:id="760031341">
          <w:marLeft w:val="0"/>
          <w:marRight w:val="0"/>
          <w:marTop w:val="0"/>
          <w:marBottom w:val="0"/>
          <w:divBdr>
            <w:top w:val="none" w:sz="0" w:space="0" w:color="auto"/>
            <w:left w:val="none" w:sz="0" w:space="0" w:color="auto"/>
            <w:bottom w:val="none" w:sz="0" w:space="0" w:color="auto"/>
            <w:right w:val="none" w:sz="0" w:space="0" w:color="auto"/>
          </w:divBdr>
        </w:div>
        <w:div w:id="1988435262">
          <w:marLeft w:val="0"/>
          <w:marRight w:val="0"/>
          <w:marTop w:val="0"/>
          <w:marBottom w:val="0"/>
          <w:divBdr>
            <w:top w:val="none" w:sz="0" w:space="0" w:color="auto"/>
            <w:left w:val="none" w:sz="0" w:space="0" w:color="auto"/>
            <w:bottom w:val="none" w:sz="0" w:space="0" w:color="auto"/>
            <w:right w:val="none" w:sz="0" w:space="0" w:color="auto"/>
          </w:divBdr>
        </w:div>
        <w:div w:id="1440949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9/cop-09-dec-24-en.pdf" TargetMode="External"/><Relationship Id="rId18" Type="http://schemas.openxmlformats.org/officeDocument/2006/relationships/hyperlink" Target="https://www.cbd.int/j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seanbiodiversity.org/" TargetMode="External"/><Relationship Id="rId7" Type="http://schemas.openxmlformats.org/officeDocument/2006/relationships/footnotes" Target="footnotes.xml"/><Relationship Id="rId12" Type="http://schemas.openxmlformats.org/officeDocument/2006/relationships/hyperlink" Target="https://www.cbd.int/doc/decisions/cop-12/cop-12-dec-07-en.pdf" TargetMode="External"/><Relationship Id="rId17" Type="http://schemas.openxmlformats.org/officeDocument/2006/relationships/hyperlink" Target="https://www.unccd.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nfccc.int/" TargetMode="External"/><Relationship Id="rId20" Type="http://schemas.openxmlformats.org/officeDocument/2006/relationships/hyperlink" Target="https://www.unenvironment.org/news-and-stories/story/why-gender-important-biodiversity-conservatio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nenvironment.org/" TargetMode="External"/><Relationship Id="rId23" Type="http://schemas.openxmlformats.org/officeDocument/2006/relationships/hyperlink" Target="http://www.unitar.org/"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s://www.unenvironment.org/regions/asia-and-pacific"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iucn.org/" TargetMode="External"/><Relationship Id="rId22" Type="http://schemas.openxmlformats.org/officeDocument/2006/relationships/hyperlink" Target="https://www.thegef.org/"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ender/doc/gender-nbsaps-factsheet.pdf" TargetMode="External"/><Relationship Id="rId13" Type="http://schemas.openxmlformats.org/officeDocument/2006/relationships/hyperlink" Target="https://www.cbd.int/gender/" TargetMode="External"/><Relationship Id="rId3" Type="http://schemas.openxmlformats.org/officeDocument/2006/relationships/hyperlink" Target="http://www.un.org/ga/search/view_doc.asp?symbol=A/RES/70/1&amp;Lang=E" TargetMode="External"/><Relationship Id="rId7" Type="http://schemas.openxmlformats.org/officeDocument/2006/relationships/hyperlink" Target="https://www.cbd.int/doc/meetings/sbi/sbi-01/information/sbi-01-inf-14-en.pdf" TargetMode="External"/><Relationship Id="rId12" Type="http://schemas.openxmlformats.org/officeDocument/2006/relationships/hyperlink" Target="https://www.cbd.int/gender/doc/CBD-GenderPlanofAction-EN-WEB.pdf" TargetMode="External"/><Relationship Id="rId2" Type="http://schemas.openxmlformats.org/officeDocument/2006/relationships/hyperlink" Target="https://www.cbd.int/doc/notifications/2017/ntf-2017-130-gender-en.pdf" TargetMode="External"/><Relationship Id="rId16" Type="http://schemas.openxmlformats.org/officeDocument/2006/relationships/hyperlink" Target="https://www.cbd.int/doc/notifications/2017/ntf-2017-124-post2020-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gender/doc/pilot-project-integ-gender-nbsaps.pdf" TargetMode="External"/><Relationship Id="rId11" Type="http://schemas.openxmlformats.org/officeDocument/2006/relationships/hyperlink" Target="https://www.cbd.int/doc/c/2264/25e0/a31ae6a436ce636242a5fa36/cop-13-inf-46-en.pdf" TargetMode="External"/><Relationship Id="rId5" Type="http://schemas.openxmlformats.org/officeDocument/2006/relationships/hyperlink" Target="https://www.cbd.int/doc/notifications/2017/ntf-2017-100-gender-en.pdf" TargetMode="External"/><Relationship Id="rId15" Type="http://schemas.openxmlformats.org/officeDocument/2006/relationships/hyperlink" Target="https://www.cbd.int/doc/notifications/2017/ntf-2017-052-post2020-en.pdf" TargetMode="External"/><Relationship Id="rId10" Type="http://schemas.openxmlformats.org/officeDocument/2006/relationships/hyperlink" Target="https://www.cbd.int/doc/meetings/cop/cop-13/official/cop-13-08-add3-en.pdf" TargetMode="External"/><Relationship Id="rId4" Type="http://schemas.openxmlformats.org/officeDocument/2006/relationships/hyperlink" Target="https://www.cbd.int/gender/doc/gender-nbsaps-factsheet.pdf" TargetMode="External"/><Relationship Id="rId9" Type="http://schemas.openxmlformats.org/officeDocument/2006/relationships/hyperlink" Target="https://www.cbd.int/gender/doc/gender-5th-national-report-factsheet.pdf" TargetMode="External"/><Relationship Id="rId14" Type="http://schemas.openxmlformats.org/officeDocument/2006/relationships/hyperlink" Target="https://www.thegef.org/council-meeting-documents/policy-gender-equal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2F4F1F"/>
    <w:rsid w:val="0037757D"/>
    <w:rsid w:val="004A69EC"/>
    <w:rsid w:val="007E501A"/>
    <w:rsid w:val="0083264A"/>
    <w:rsid w:val="00A27574"/>
    <w:rsid w:val="00B36C7B"/>
    <w:rsid w:val="00BB2CFE"/>
    <w:rsid w:val="00D5481D"/>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BA0E-9943-4689-9756-220C95FA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7</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Progress in the implementation of the 2015-2020 Gender Plan of Action</vt:lpstr>
    </vt:vector>
  </TitlesOfParts>
  <Company>Biodiversity</Company>
  <LinksUpToDate>false</LinksUpToDate>
  <CharactersWithSpaces>25677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2015-2020 Gender Plan of Action</dc:title>
  <dc:subject>CBD/SBI/2/2/Add.3</dc:subject>
  <dc:creator>SCBD</dc:creator>
  <cp:lastModifiedBy>Orestes Plasencia</cp:lastModifiedBy>
  <cp:revision>4</cp:revision>
  <cp:lastPrinted>2018-03-23T18:14:00Z</cp:lastPrinted>
  <dcterms:created xsi:type="dcterms:W3CDTF">2018-05-23T15:25:00Z</dcterms:created>
  <dcterms:modified xsi:type="dcterms:W3CDTF">2018-05-23T15:26:00Z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