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64CB" w14:textId="77777777" w:rsidR="00CE0020" w:rsidRPr="00BC22BB" w:rsidRDefault="00CE0020" w:rsidP="00BC22BB">
      <w:pPr>
        <w:suppressLineNumbers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</w:pPr>
      <w:r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CONCEPT NOTE</w:t>
      </w:r>
    </w:p>
    <w:p w14:paraId="1E8C005B" w14:textId="2E2160D9" w:rsidR="00FD323D" w:rsidRPr="00BC22BB" w:rsidRDefault="00916AE3" w:rsidP="00BC22BB">
      <w:pPr>
        <w:suppressLineNumbers/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“</w:t>
      </w:r>
      <w:r w:rsidR="00FD323D"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 xml:space="preserve">Building </w:t>
      </w:r>
      <w:r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b</w:t>
      </w:r>
      <w:r w:rsidR="00FD323D"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 xml:space="preserve">ack </w:t>
      </w:r>
      <w:r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b</w:t>
      </w:r>
      <w:r w:rsidR="00FD323D" w:rsidRPr="00BC22BB">
        <w:rPr>
          <w:rFonts w:ascii="Times New Roman" w:eastAsia="Times New Roman" w:hAnsi="Times New Roman" w:cs="Times New Roman"/>
          <w:b/>
          <w:bCs/>
          <w:color w:val="000000"/>
          <w:kern w:val="22"/>
          <w:sz w:val="22"/>
          <w:szCs w:val="22"/>
          <w:lang w:val="en-GB"/>
        </w:rPr>
        <w:t>etter: protecting biodiversity, combating land degradation and mitigating climate change to reduce the risks of future pandemics”</w:t>
      </w:r>
    </w:p>
    <w:p w14:paraId="7BF6636B" w14:textId="518D24AC" w:rsidR="00FD323D" w:rsidRPr="00BC22BB" w:rsidRDefault="00FD323D" w:rsidP="00BC22BB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Webinar </w:t>
      </w:r>
      <w:r w:rsidR="00CC2718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c</w:t>
      </w:r>
      <w:r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onference jointly organized by </w:t>
      </w:r>
      <w:r w:rsidR="006144FB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the Government of </w:t>
      </w:r>
      <w:r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Egypt and </w:t>
      </w:r>
      <w:r w:rsidR="003605D0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the Secretariat of the Convention on Biological Diversity</w:t>
      </w:r>
    </w:p>
    <w:p w14:paraId="36510133" w14:textId="2FFC3956" w:rsidR="00FD323D" w:rsidRPr="00BC22BB" w:rsidRDefault="00D11687" w:rsidP="00BC22BB">
      <w:pPr>
        <w:suppressLineNumbers/>
        <w:suppressAutoHyphens/>
        <w:spacing w:before="120" w:after="120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10 September</w:t>
      </w:r>
      <w:r w:rsidR="00EB6786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2020, </w:t>
      </w:r>
      <w:r w:rsidR="00A20E03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3-5 p.m.</w:t>
      </w:r>
      <w:r w:rsidR="00EB6786"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 xml:space="preserve"> (Cairo time, GMT+2)</w:t>
      </w:r>
      <w:bookmarkStart w:id="0" w:name="_GoBack"/>
      <w:bookmarkEnd w:id="0"/>
    </w:p>
    <w:p w14:paraId="5CA7C8C8" w14:textId="2EC4AB09" w:rsidR="00FD323D" w:rsidRPr="00BC22BB" w:rsidRDefault="00CD60F4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COVID-19 pandemic is a wake-up call for humanity. The degradation of ecosystems, the loss of biodiversity and its unsustainable use has increased the risk of disease </w:t>
      </w:r>
      <w:proofErr w:type="spellStart"/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spillover</w:t>
      </w:r>
      <w:proofErr w:type="spellEnd"/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from wildlife to livestock and from animals to people. Climate change exacerbates this danger and increases the risks from vector</w:t>
      </w:r>
      <w:r w:rsidR="00EB6786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noBreakHyphen/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borne diseases.</w:t>
      </w:r>
    </w:p>
    <w:p w14:paraId="2BCE96E5" w14:textId="49E235DC" w:rsidR="00CD60F4" w:rsidRPr="00BC22BB" w:rsidRDefault="00CD60F4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Our response to the pandemic, and the way we plan and implement the recovery from its economic and social impacts, can determine whether the world </w:t>
      </w:r>
      <w:proofErr w:type="gramStart"/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continues on</w:t>
      </w:r>
      <w:proofErr w:type="gramEnd"/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its unsustainable trajectory, or whether we collectively seek a new future, one of living in harmony with nature.</w:t>
      </w:r>
    </w:p>
    <w:p w14:paraId="2F7F9ACC" w14:textId="06391E9A" w:rsidR="00CD60F4" w:rsidRPr="00BC22BB" w:rsidRDefault="00CD60F4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This webinar will highlight the links between the health of the plan</w:t>
      </w:r>
      <w:r w:rsidR="009378AA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e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 and the health of people and explore how the conservation and sustainable use of biodiversity, combating land degradation, and fighting climate change can 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help to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reduce the risks of future pandemics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as part of an inclusive and comprehensive “One Health” approach.</w:t>
      </w:r>
    </w:p>
    <w:p w14:paraId="4D624226" w14:textId="2BE7CCFD" w:rsidR="003605D0" w:rsidRPr="00BC22BB" w:rsidRDefault="00AA5441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</w:t>
      </w:r>
      <w:r w:rsidR="005D3C53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w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ebinar will feature contributions by the </w:t>
      </w:r>
      <w:r w:rsidR="00C363BB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e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xecutive </w:t>
      </w:r>
      <w:r w:rsidR="00C363BB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s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ecretaries of the 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c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onventions on biodiversity, climate change and land degradation, as well as experts from relevant United Nations 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a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gencies. It will be 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led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by the Minister of Environment </w:t>
      </w:r>
      <w:r w:rsidR="00302A8F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of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Egypt </w:t>
      </w:r>
      <w:r w:rsidR="00FB002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in her capacity as the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current </w:t>
      </w:r>
      <w:r w:rsidR="00B05DD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P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resident of the Conference of the Parties</w:t>
      </w:r>
      <w:r w:rsidR="00680BD5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to the Convention on Biological Diversity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.</w:t>
      </w:r>
    </w:p>
    <w:p w14:paraId="4D9094EE" w14:textId="76AFE2E5" w:rsidR="007837F2" w:rsidRPr="00BC22BB" w:rsidRDefault="007837F2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</w:t>
      </w:r>
      <w:r w:rsidR="005D3C53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w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ebinar will </w:t>
      </w:r>
      <w:r w:rsidR="00AA5441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examine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the </w:t>
      </w:r>
      <w:r w:rsidR="00AA5441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need for action in three phases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:</w:t>
      </w:r>
    </w:p>
    <w:p w14:paraId="3EAE423B" w14:textId="77777777" w:rsidR="003605D0" w:rsidRPr="00BC22BB" w:rsidRDefault="00AA5441" w:rsidP="00BC22BB">
      <w:pPr>
        <w:pStyle w:val="ListParagraph"/>
        <w:numPr>
          <w:ilvl w:val="0"/>
          <w:numId w:val="3"/>
        </w:numPr>
        <w:suppressLineNumbers/>
        <w:suppressAutoHyphens/>
        <w:spacing w:before="120" w:after="120"/>
        <w:jc w:val="both"/>
        <w:rPr>
          <w:rFonts w:ascii="Times New Roman" w:hAnsi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T</w:t>
      </w:r>
      <w:r w:rsidR="00FB002D" w:rsidRPr="00BC22BB">
        <w:rPr>
          <w:rFonts w:ascii="Times New Roman" w:hAnsi="Times New Roman"/>
          <w:kern w:val="22"/>
          <w:sz w:val="22"/>
          <w:szCs w:val="22"/>
          <w:lang w:val="en-GB"/>
        </w:rPr>
        <w:t>aking</w:t>
      </w:r>
      <w:r w:rsidR="003605D0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immediate steps needed to protect the environment during the pandemic and in its immediate wake</w:t>
      </w: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;</w:t>
      </w:r>
    </w:p>
    <w:p w14:paraId="3E2FAE1F" w14:textId="54A054FD" w:rsidR="003605D0" w:rsidRPr="00BC22BB" w:rsidRDefault="00AA5441" w:rsidP="00BC22BB">
      <w:pPr>
        <w:pStyle w:val="ListParagraph"/>
        <w:numPr>
          <w:ilvl w:val="0"/>
          <w:numId w:val="3"/>
        </w:numPr>
        <w:suppressLineNumbers/>
        <w:suppressAutoHyphens/>
        <w:spacing w:before="120" w:after="120"/>
        <w:jc w:val="both"/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Building</w:t>
      </w:r>
      <w:r w:rsidR="009378AA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actions </w:t>
      </w:r>
      <w:r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to address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 biodiversity</w:t>
      </w:r>
      <w:r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 loss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, land degradation and climate change</w:t>
      </w:r>
      <w:r w:rsidR="009378AA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 </w:t>
      </w:r>
      <w:r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into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 st</w:t>
      </w:r>
      <w:r w:rsidR="007837F2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i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mulus packages </w:t>
      </w:r>
      <w:r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to contribute to a just and sustainable</w:t>
      </w:r>
      <w:r w:rsidR="003605D0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 xml:space="preserve"> socioeconomic recovery</w:t>
      </w:r>
      <w:r w:rsidR="00D371BD" w:rsidRPr="00BC22BB">
        <w:rPr>
          <w:rFonts w:ascii="Times New Roman" w:eastAsia="Times New Roman" w:hAnsi="Times New Roman"/>
          <w:color w:val="000000"/>
          <w:kern w:val="22"/>
          <w:sz w:val="22"/>
          <w:szCs w:val="22"/>
          <w:lang w:val="en-GB"/>
        </w:rPr>
        <w:t>;</w:t>
      </w:r>
    </w:p>
    <w:p w14:paraId="4637A930" w14:textId="25E95A09" w:rsidR="003605D0" w:rsidRPr="00BC22BB" w:rsidRDefault="00AA5441" w:rsidP="00BC22BB">
      <w:pPr>
        <w:pStyle w:val="ListParagraph"/>
        <w:numPr>
          <w:ilvl w:val="0"/>
          <w:numId w:val="3"/>
        </w:numPr>
        <w:suppressLineNumbers/>
        <w:suppressAutoHyphens/>
        <w:spacing w:before="120" w:after="120"/>
        <w:jc w:val="both"/>
        <w:rPr>
          <w:rFonts w:ascii="Times New Roman" w:hAnsi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Cataly</w:t>
      </w:r>
      <w:r w:rsidR="00EA1521" w:rsidRPr="00BC22BB">
        <w:rPr>
          <w:rFonts w:ascii="Times New Roman" w:hAnsi="Times New Roman"/>
          <w:kern w:val="22"/>
          <w:sz w:val="22"/>
          <w:szCs w:val="22"/>
          <w:lang w:val="en-GB"/>
        </w:rPr>
        <w:t>s</w:t>
      </w: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ing</w:t>
      </w:r>
      <w:r w:rsidR="007837F2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the transformational changes needed in economies and societies to </w:t>
      </w:r>
      <w:r w:rsidR="00E6010F" w:rsidRPr="00BC22BB">
        <w:rPr>
          <w:rFonts w:ascii="Times New Roman" w:hAnsi="Times New Roman"/>
          <w:kern w:val="22"/>
          <w:sz w:val="22"/>
          <w:szCs w:val="22"/>
          <w:lang w:val="en-GB"/>
        </w:rPr>
        <w:t>“</w:t>
      </w:r>
      <w:r w:rsidR="007837F2" w:rsidRPr="00BC22BB">
        <w:rPr>
          <w:rFonts w:ascii="Times New Roman" w:hAnsi="Times New Roman"/>
          <w:kern w:val="22"/>
          <w:sz w:val="22"/>
          <w:szCs w:val="22"/>
          <w:lang w:val="en-GB"/>
        </w:rPr>
        <w:t>build back better</w:t>
      </w:r>
      <w:r w:rsidR="00E6010F" w:rsidRPr="00BC22BB">
        <w:rPr>
          <w:rFonts w:ascii="Times New Roman" w:hAnsi="Times New Roman"/>
          <w:kern w:val="22"/>
          <w:sz w:val="22"/>
          <w:szCs w:val="22"/>
          <w:lang w:val="en-GB"/>
        </w:rPr>
        <w:t>”</w:t>
      </w:r>
      <w:r w:rsidR="007837F2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after the pandemic</w:t>
      </w: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.</w:t>
      </w:r>
    </w:p>
    <w:p w14:paraId="60626CAE" w14:textId="042FC2DF" w:rsidR="007837F2" w:rsidRPr="00BC22BB" w:rsidRDefault="00AA5441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Specifically, the </w:t>
      </w:r>
      <w:r w:rsidR="005D3C53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w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ebinar will address the following questions:</w:t>
      </w:r>
    </w:p>
    <w:p w14:paraId="3AF02BAC" w14:textId="77777777" w:rsidR="007837F2" w:rsidRPr="00BC22BB" w:rsidRDefault="007837F2" w:rsidP="00BC22BB">
      <w:pPr>
        <w:pStyle w:val="ListParagraph"/>
        <w:numPr>
          <w:ilvl w:val="0"/>
          <w:numId w:val="4"/>
        </w:numPr>
        <w:suppressLineNumbers/>
        <w:suppressAutoHyphens/>
        <w:spacing w:before="120" w:after="120"/>
        <w:jc w:val="both"/>
        <w:rPr>
          <w:rFonts w:ascii="Times New Roman" w:hAnsi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What is the role of ecosystem conservation and restoration</w:t>
      </w:r>
      <w:r w:rsidR="00FB002D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and other “nature-based solutions”</w:t>
      </w: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 in providing jobs during the recovery and </w:t>
      </w:r>
      <w:r w:rsidR="00FB002D" w:rsidRPr="00BC22BB">
        <w:rPr>
          <w:rFonts w:ascii="Times New Roman" w:hAnsi="Times New Roman"/>
          <w:kern w:val="22"/>
          <w:sz w:val="22"/>
          <w:szCs w:val="22"/>
          <w:lang w:val="en-GB"/>
        </w:rPr>
        <w:t xml:space="preserve">in </w:t>
      </w: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reducing the risk of future pandemics while also contributing to climate mitigation and adaptation, biodiversity conservation and land degradation neutrality?</w:t>
      </w:r>
    </w:p>
    <w:p w14:paraId="2AC844DF" w14:textId="77777777" w:rsidR="007837F2" w:rsidRPr="00BC22BB" w:rsidRDefault="007837F2" w:rsidP="00BC22BB">
      <w:pPr>
        <w:pStyle w:val="ListParagraph"/>
        <w:numPr>
          <w:ilvl w:val="0"/>
          <w:numId w:val="4"/>
        </w:numPr>
        <w:suppressLineNumbers/>
        <w:suppressAutoHyphens/>
        <w:spacing w:before="120" w:after="120"/>
        <w:jc w:val="both"/>
        <w:rPr>
          <w:rFonts w:ascii="Times New Roman" w:hAnsi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How can we ensure the harvesting, trade and use of wildlife is just, legal, sustainable and safe?</w:t>
      </w:r>
    </w:p>
    <w:p w14:paraId="6006DB41" w14:textId="77777777" w:rsidR="007837F2" w:rsidRPr="00BC22BB" w:rsidRDefault="007837F2" w:rsidP="00BC22BB">
      <w:pPr>
        <w:pStyle w:val="ListParagraph"/>
        <w:numPr>
          <w:ilvl w:val="0"/>
          <w:numId w:val="4"/>
        </w:numPr>
        <w:suppressLineNumbers/>
        <w:suppressAutoHyphens/>
        <w:spacing w:before="120" w:after="120"/>
        <w:jc w:val="both"/>
        <w:rPr>
          <w:rFonts w:ascii="Times New Roman" w:hAnsi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/>
          <w:kern w:val="22"/>
          <w:sz w:val="22"/>
          <w:szCs w:val="22"/>
          <w:lang w:val="en-GB"/>
        </w:rPr>
        <w:t>What changes in food systems are needed to ensure food security while reducing the risk of future pandemics, and avoiding biodiversity loss, land degradation and climate change?</w:t>
      </w:r>
    </w:p>
    <w:p w14:paraId="021627F4" w14:textId="6D09C16D" w:rsidR="003605D0" w:rsidRPr="00BC22BB" w:rsidRDefault="00AA5441" w:rsidP="00BC22BB">
      <w:pPr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outcome of the webinar will be transmitted to the upcoming United Nations Summit on Biodiversity 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and the 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Open-ended Working Group 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on 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the P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ost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-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2020 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G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lobal 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B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iodiversity </w:t>
      </w:r>
      <w:r w:rsidR="00392264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F</w:t>
      </w:r>
      <w:r w:rsidR="00D371BD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ramework </w:t>
      </w:r>
      <w:r w:rsidR="00B903EE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at its third meeting. It will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also inform the Conference of the Parties </w:t>
      </w:r>
      <w:r w:rsidR="00837333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to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Convention on Biological Diversity, </w:t>
      </w:r>
      <w:r w:rsidR="008D3943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to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United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lastRenderedPageBreak/>
        <w:t xml:space="preserve">Nations Framework Convention on Climate Change, </w:t>
      </w:r>
      <w:r w:rsidR="00442DAE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to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the United Nations Convention to Combat Desertification and </w:t>
      </w:r>
      <w:r w:rsidR="00442DAE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to 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the Ramsar Convention on Wetlands</w:t>
      </w:r>
      <w:r w:rsidR="00CA480A"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at their meetings in 2021</w:t>
      </w:r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>.</w:t>
      </w:r>
    </w:p>
    <w:p w14:paraId="27077F3A" w14:textId="77777777" w:rsidR="00FB002D" w:rsidRPr="00BC22BB" w:rsidRDefault="00FB002D" w:rsidP="00BC22BB">
      <w:pPr>
        <w:suppressLineNumbers/>
        <w:suppressAutoHyphens/>
        <w:spacing w:before="120" w:after="120"/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</w:pPr>
      <w:r w:rsidRPr="00BC22BB">
        <w:rPr>
          <w:rFonts w:ascii="Times New Roman" w:hAnsi="Times New Roman" w:cs="Times New Roman"/>
          <w:b/>
          <w:bCs/>
          <w:kern w:val="22"/>
          <w:sz w:val="22"/>
          <w:szCs w:val="22"/>
          <w:lang w:val="en-GB"/>
        </w:rPr>
        <w:t>Links and information resources:</w:t>
      </w:r>
    </w:p>
    <w:p w14:paraId="65A8A7C4" w14:textId="259C7450" w:rsidR="00D0514C" w:rsidRPr="00BC22BB" w:rsidRDefault="007A28EB" w:rsidP="00BC22BB">
      <w:pPr>
        <w:suppressLineNumbers/>
        <w:suppressAutoHyphens/>
        <w:spacing w:before="120" w:after="120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hyperlink r:id="rId10" w:history="1">
        <w:r w:rsidR="00D0514C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World Health Organization Manifesto for a healthy recovery from COVID-19</w:t>
        </w:r>
      </w:hyperlink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</w:t>
      </w:r>
    </w:p>
    <w:p w14:paraId="1238F6ED" w14:textId="2A4E5654" w:rsidR="00917D1F" w:rsidRPr="00BC22BB" w:rsidRDefault="007A28EB" w:rsidP="00BC22BB">
      <w:pPr>
        <w:suppressLineNumbers/>
        <w:suppressAutoHyphens/>
        <w:spacing w:before="120" w:after="120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hyperlink r:id="rId11" w:history="1">
        <w:r w:rsidR="00917D1F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 xml:space="preserve">WHO/CBD </w:t>
        </w:r>
        <w:r w:rsidR="00412CD2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Questions and Answers on Biodiversity and Infectious Diseases</w:t>
        </w:r>
      </w:hyperlink>
      <w:r w:rsidRPr="00BC22BB" w:rsidDel="007A28E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</w:t>
      </w:r>
    </w:p>
    <w:p w14:paraId="2E65AB14" w14:textId="375BFE72" w:rsidR="00917D1F" w:rsidRPr="00BC22BB" w:rsidRDefault="007A28EB" w:rsidP="00BC22BB">
      <w:pPr>
        <w:suppressLineNumbers/>
        <w:suppressAutoHyphens/>
        <w:spacing w:before="120" w:after="120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hyperlink r:id="rId12" w:history="1">
        <w:r w:rsidR="00917D1F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Convention on Biological Diversity Guidance on integrating biodiversity into One Health Approaches</w:t>
        </w:r>
      </w:hyperlink>
      <w:r w:rsidRPr="00BC22BB" w:rsidDel="007A28E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</w:t>
      </w:r>
    </w:p>
    <w:p w14:paraId="49C47785" w14:textId="77777777" w:rsidR="007A28EB" w:rsidRPr="00BC22BB" w:rsidRDefault="007A28EB" w:rsidP="00BC22BB">
      <w:pPr>
        <w:suppressLineNumbers/>
        <w:suppressAutoHyphens/>
        <w:spacing w:before="120" w:after="120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hyperlink r:id="rId13" w:history="1">
        <w:r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https://www.cbd.int/doc/c/274b/80e7/34d341167178fe08effd0900/cop-14-afr-hls-04-final-en.pdf</w:t>
        </w:r>
      </w:hyperlink>
    </w:p>
    <w:p w14:paraId="5BA23AE9" w14:textId="794C2258" w:rsidR="00FB002D" w:rsidRPr="00BC22BB" w:rsidRDefault="007A28EB" w:rsidP="00BC22BB">
      <w:pPr>
        <w:suppressLineNumbers/>
        <w:suppressAutoHyphens/>
        <w:spacing w:before="120" w:after="120"/>
        <w:rPr>
          <w:rStyle w:val="Hyperlink"/>
          <w:rFonts w:ascii="Times New Roman" w:hAnsi="Times New Roman" w:cs="Times New Roman"/>
          <w:kern w:val="22"/>
          <w:sz w:val="22"/>
          <w:szCs w:val="22"/>
          <w:lang w:val="en-GB"/>
        </w:rPr>
      </w:pPr>
      <w:hyperlink r:id="rId14" w:history="1">
        <w:r w:rsidR="00AC7ECA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Egyptian initiative for a</w:t>
        </w:r>
        <w:r w:rsidR="00E43FE3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 xml:space="preserve"> </w:t>
        </w:r>
        <w:r w:rsidR="00AC7ECA" w:rsidRPr="00BC22BB">
          <w:rPr>
            <w:rStyle w:val="Hyperlink"/>
            <w:rFonts w:ascii="Times New Roman" w:hAnsi="Times New Roman" w:cs="Times New Roman"/>
            <w:kern w:val="22"/>
            <w:sz w:val="22"/>
            <w:szCs w:val="22"/>
            <w:lang w:val="en-GB"/>
          </w:rPr>
          <w:t>coherent approach for addressing biodiversity loss, climate change, and land and ecosystem degradation</w:t>
        </w:r>
      </w:hyperlink>
      <w:r w:rsidRPr="00BC22BB">
        <w:rPr>
          <w:rFonts w:ascii="Times New Roman" w:hAnsi="Times New Roman" w:cs="Times New Roman"/>
          <w:kern w:val="22"/>
          <w:sz w:val="22"/>
          <w:szCs w:val="22"/>
          <w:lang w:val="en-GB"/>
        </w:rPr>
        <w:t xml:space="preserve"> </w:t>
      </w:r>
    </w:p>
    <w:p w14:paraId="3291C089" w14:textId="78E99ED6" w:rsidR="00916AE3" w:rsidRPr="00BC22BB" w:rsidRDefault="00916AE3" w:rsidP="00BC22BB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kern w:val="22"/>
          <w:sz w:val="22"/>
          <w:szCs w:val="22"/>
          <w:lang w:val="en-GB"/>
        </w:rPr>
      </w:pPr>
      <w:r w:rsidRPr="00BC22BB">
        <w:rPr>
          <w:rStyle w:val="Hyperlink"/>
          <w:rFonts w:ascii="Times New Roman" w:hAnsi="Times New Roman" w:cs="Times New Roman"/>
          <w:color w:val="auto"/>
          <w:kern w:val="22"/>
          <w:sz w:val="22"/>
          <w:szCs w:val="22"/>
          <w:u w:val="none"/>
          <w:lang w:val="en-GB"/>
        </w:rPr>
        <w:t>__________</w:t>
      </w:r>
    </w:p>
    <w:sectPr w:rsidR="00916AE3" w:rsidRPr="00BC22BB" w:rsidSect="00D61953">
      <w:headerReference w:type="even" r:id="rId15"/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658F" w14:textId="77777777" w:rsidR="00DA0DA2" w:rsidRDefault="00DA0DA2" w:rsidP="00EB6786">
      <w:r>
        <w:separator/>
      </w:r>
    </w:p>
  </w:endnote>
  <w:endnote w:type="continuationSeparator" w:id="0">
    <w:p w14:paraId="4B3DDE21" w14:textId="77777777" w:rsidR="00DA0DA2" w:rsidRDefault="00DA0DA2" w:rsidP="00EB6786">
      <w:r>
        <w:continuationSeparator/>
      </w:r>
    </w:p>
  </w:endnote>
  <w:endnote w:type="continuationNotice" w:id="1">
    <w:p w14:paraId="77C89D7A" w14:textId="77777777" w:rsidR="00DA0DA2" w:rsidRDefault="00DA0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e_AlBattar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1A24" w14:textId="77777777" w:rsidR="00DA0DA2" w:rsidRDefault="00DA0DA2" w:rsidP="00EB6786">
      <w:r>
        <w:separator/>
      </w:r>
    </w:p>
  </w:footnote>
  <w:footnote w:type="continuationSeparator" w:id="0">
    <w:p w14:paraId="11E8533A" w14:textId="77777777" w:rsidR="00DA0DA2" w:rsidRDefault="00DA0DA2" w:rsidP="00EB6786">
      <w:r>
        <w:continuationSeparator/>
      </w:r>
    </w:p>
  </w:footnote>
  <w:footnote w:type="continuationNotice" w:id="1">
    <w:p w14:paraId="21554130" w14:textId="77777777" w:rsidR="00DA0DA2" w:rsidRDefault="00DA0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noProof/>
        <w:sz w:val="22"/>
        <w:szCs w:val="22"/>
        <w:lang w:val="en-GB"/>
      </w:rPr>
      <w:id w:val="1867478421"/>
      <w:docPartObj>
        <w:docPartGallery w:val="Page Numbers (Top of Page)"/>
        <w:docPartUnique/>
      </w:docPartObj>
    </w:sdtPr>
    <w:sdtEndPr/>
    <w:sdtContent>
      <w:p w14:paraId="7509D1F9" w14:textId="12C2A074" w:rsidR="003A7530" w:rsidRPr="00BC22BB" w:rsidRDefault="003A7530" w:rsidP="00BC22BB">
        <w:pPr>
          <w:pStyle w:val="Header"/>
          <w:jc w:val="center"/>
          <w:rPr>
            <w:rFonts w:ascii="Times New Roman" w:hAnsi="Times New Roman" w:cs="Times New Roman"/>
            <w:noProof/>
            <w:sz w:val="22"/>
            <w:szCs w:val="22"/>
            <w:lang w:val="en-GB"/>
          </w:rPr>
        </w:pPr>
        <w:r w:rsidRPr="00BC22BB">
          <w:rPr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begin"/>
        </w:r>
        <w:r w:rsidRPr="00BC22BB">
          <w:rPr>
            <w:rFonts w:ascii="Times New Roman" w:hAnsi="Times New Roman" w:cs="Times New Roman"/>
            <w:noProof/>
            <w:sz w:val="22"/>
            <w:szCs w:val="22"/>
            <w:lang w:val="en-GB"/>
          </w:rPr>
          <w:instrText xml:space="preserve"> PAGE   \* MERGEFORMAT </w:instrText>
        </w:r>
        <w:r w:rsidRPr="00BC22BB">
          <w:rPr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separate"/>
        </w:r>
        <w:r w:rsidRPr="00BC22BB">
          <w:rPr>
            <w:rFonts w:ascii="Times New Roman" w:hAnsi="Times New Roman" w:cs="Times New Roman"/>
            <w:noProof/>
            <w:sz w:val="22"/>
            <w:szCs w:val="22"/>
            <w:lang w:val="en-GB"/>
          </w:rPr>
          <w:t>2</w:t>
        </w:r>
        <w:r w:rsidRPr="00BC22BB">
          <w:rPr>
            <w:rFonts w:ascii="Times New Roman" w:hAnsi="Times New Roman" w:cs="Times New Roman"/>
            <w:noProof/>
            <w:sz w:val="22"/>
            <w:szCs w:val="22"/>
            <w:lang w:val="en-GB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2" w:type="dxa"/>
      <w:tblInd w:w="403" w:type="dxa"/>
      <w:tblLook w:val="04A0" w:firstRow="1" w:lastRow="0" w:firstColumn="1" w:lastColumn="0" w:noHBand="0" w:noVBand="1"/>
    </w:tblPr>
    <w:tblGrid>
      <w:gridCol w:w="3350"/>
      <w:gridCol w:w="2701"/>
      <w:gridCol w:w="2961"/>
    </w:tblGrid>
    <w:tr w:rsidR="00EB6786" w:rsidRPr="0089530E" w14:paraId="01AF6520" w14:textId="77777777" w:rsidTr="00231787">
      <w:tc>
        <w:tcPr>
          <w:tcW w:w="3350" w:type="dxa"/>
          <w:shd w:val="clear" w:color="auto" w:fill="auto"/>
        </w:tcPr>
        <w:p w14:paraId="193BF2DE" w14:textId="0A896030" w:rsidR="00EB6786" w:rsidRPr="0089530E" w:rsidRDefault="00EB6786" w:rsidP="00BC22BB">
          <w:pPr>
            <w:tabs>
              <w:tab w:val="center" w:pos="4680"/>
              <w:tab w:val="right" w:pos="9360"/>
            </w:tabs>
            <w:jc w:val="center"/>
            <w:rPr>
              <w:rFonts w:ascii="Algerian" w:eastAsia="Calibri" w:hAnsi="Algerian"/>
              <w:sz w:val="22"/>
              <w:szCs w:val="22"/>
              <w:rtl/>
              <w:lang w:val="x-none" w:eastAsia="x-none" w:bidi="ar-EG"/>
            </w:rPr>
          </w:pPr>
          <w:r w:rsidRPr="0089530E">
            <w:rPr>
              <w:rFonts w:ascii="Algerian" w:eastAsia="Calibri" w:hAnsi="Algerian"/>
              <w:sz w:val="22"/>
              <w:szCs w:val="22"/>
              <w:lang w:val="x-none" w:eastAsia="x-none"/>
            </w:rPr>
            <w:t>Arab Republic of Egypt</w:t>
          </w:r>
        </w:p>
        <w:p w14:paraId="2BE0DFF4" w14:textId="77777777" w:rsidR="00EB6786" w:rsidRPr="0089530E" w:rsidRDefault="00EB6786" w:rsidP="00BC22BB">
          <w:pPr>
            <w:tabs>
              <w:tab w:val="center" w:pos="4680"/>
              <w:tab w:val="right" w:pos="9360"/>
            </w:tabs>
            <w:bidi/>
            <w:jc w:val="center"/>
            <w:rPr>
              <w:rFonts w:ascii="Algerian" w:eastAsia="Calibri" w:hAnsi="Algerian"/>
              <w:sz w:val="22"/>
              <w:szCs w:val="22"/>
              <w:lang w:val="x-none" w:eastAsia="x-none"/>
            </w:rPr>
          </w:pPr>
          <w:r w:rsidRPr="0089530E">
            <w:rPr>
              <w:rFonts w:ascii="Algerian" w:eastAsia="Calibri" w:hAnsi="Algerian"/>
              <w:sz w:val="22"/>
              <w:szCs w:val="22"/>
              <w:lang w:val="x-none" w:eastAsia="x-none"/>
            </w:rPr>
            <w:t>Ministry of Environment</w:t>
          </w:r>
        </w:p>
        <w:p w14:paraId="6CFC5B0B" w14:textId="374E930F" w:rsidR="00EB6786" w:rsidRPr="0089530E" w:rsidRDefault="00EB6786" w:rsidP="00BC22B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sz w:val="22"/>
              <w:szCs w:val="22"/>
              <w:lang w:eastAsia="x-none"/>
            </w:rPr>
          </w:pPr>
          <w:r w:rsidRPr="0089530E">
            <w:rPr>
              <w:rFonts w:ascii="Algerian" w:eastAsia="Calibri" w:hAnsi="Algerian"/>
              <w:sz w:val="22"/>
              <w:szCs w:val="22"/>
              <w:lang w:eastAsia="x-none"/>
            </w:rPr>
            <w:t>The Minister</w:t>
          </w:r>
        </w:p>
      </w:tc>
      <w:tc>
        <w:tcPr>
          <w:tcW w:w="2701" w:type="dxa"/>
        </w:tcPr>
        <w:p w14:paraId="283DB92C" w14:textId="77777777" w:rsidR="00EB6786" w:rsidRPr="0089530E" w:rsidRDefault="00EB6786" w:rsidP="00EB6786">
          <w:pPr>
            <w:tabs>
              <w:tab w:val="center" w:pos="4680"/>
              <w:tab w:val="right" w:pos="9360"/>
            </w:tabs>
            <w:bidi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  <w:lang w:val="x-none" w:eastAsia="x-none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3F1A90F3" wp14:editId="79378308">
                <wp:simplePos x="0" y="0"/>
                <wp:positionH relativeFrom="margin">
                  <wp:posOffset>-33020</wp:posOffset>
                </wp:positionH>
                <wp:positionV relativeFrom="paragraph">
                  <wp:posOffset>-69850</wp:posOffset>
                </wp:positionV>
                <wp:extent cx="1827422" cy="694514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b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422" cy="69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61" w:type="dxa"/>
          <w:shd w:val="clear" w:color="auto" w:fill="auto"/>
        </w:tcPr>
        <w:p w14:paraId="62F59058" w14:textId="77777777" w:rsidR="00EB6786" w:rsidRPr="0089530E" w:rsidRDefault="00EB6786" w:rsidP="00EB6786">
          <w:pPr>
            <w:tabs>
              <w:tab w:val="center" w:pos="4680"/>
              <w:tab w:val="right" w:pos="9360"/>
            </w:tabs>
            <w:bidi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  <w:lang w:val="x-none" w:eastAsia="x-none"/>
            </w:rPr>
          </w:pPr>
          <w:r w:rsidRPr="004F7AE1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61AAC90F" wp14:editId="6FF027BA">
                <wp:simplePos x="0" y="0"/>
                <wp:positionH relativeFrom="column">
                  <wp:posOffset>595630</wp:posOffset>
                </wp:positionH>
                <wp:positionV relativeFrom="paragraph">
                  <wp:posOffset>-73660</wp:posOffset>
                </wp:positionV>
                <wp:extent cx="800605" cy="824865"/>
                <wp:effectExtent l="0" t="0" r="0" b="0"/>
                <wp:wrapNone/>
                <wp:docPr id="2" name="Picture 1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60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C73858" w14:textId="77777777" w:rsidR="00EB6786" w:rsidRDefault="00EB6786">
    <w:pPr>
      <w:pStyle w:val="Header"/>
    </w:pPr>
  </w:p>
  <w:p w14:paraId="35C958E5" w14:textId="77777777" w:rsidR="00EB6786" w:rsidRDefault="00EB6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2EF"/>
    <w:multiLevelType w:val="hybridMultilevel"/>
    <w:tmpl w:val="24F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0A4F"/>
    <w:multiLevelType w:val="hybridMultilevel"/>
    <w:tmpl w:val="3D5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D"/>
    <w:rsid w:val="00061BEA"/>
    <w:rsid w:val="0006480A"/>
    <w:rsid w:val="000A4622"/>
    <w:rsid w:val="000B0BE1"/>
    <w:rsid w:val="000B1DE0"/>
    <w:rsid w:val="000D53DE"/>
    <w:rsid w:val="00147635"/>
    <w:rsid w:val="001C18E9"/>
    <w:rsid w:val="001C48DB"/>
    <w:rsid w:val="00212F5F"/>
    <w:rsid w:val="00231787"/>
    <w:rsid w:val="00256EDE"/>
    <w:rsid w:val="00264097"/>
    <w:rsid w:val="002F65C2"/>
    <w:rsid w:val="00302A8F"/>
    <w:rsid w:val="0033678A"/>
    <w:rsid w:val="003605D0"/>
    <w:rsid w:val="0037768F"/>
    <w:rsid w:val="00392264"/>
    <w:rsid w:val="003A7530"/>
    <w:rsid w:val="00412CD2"/>
    <w:rsid w:val="00435194"/>
    <w:rsid w:val="00442DAE"/>
    <w:rsid w:val="004448FA"/>
    <w:rsid w:val="00445FAE"/>
    <w:rsid w:val="00465170"/>
    <w:rsid w:val="00563516"/>
    <w:rsid w:val="0056629C"/>
    <w:rsid w:val="005D3C53"/>
    <w:rsid w:val="006144FB"/>
    <w:rsid w:val="00680BD5"/>
    <w:rsid w:val="00693460"/>
    <w:rsid w:val="00696103"/>
    <w:rsid w:val="00736945"/>
    <w:rsid w:val="007654AD"/>
    <w:rsid w:val="007837F2"/>
    <w:rsid w:val="007A28EB"/>
    <w:rsid w:val="00805333"/>
    <w:rsid w:val="00837333"/>
    <w:rsid w:val="008D3943"/>
    <w:rsid w:val="0090556A"/>
    <w:rsid w:val="00916AE3"/>
    <w:rsid w:val="00917D1F"/>
    <w:rsid w:val="00922A92"/>
    <w:rsid w:val="009378AA"/>
    <w:rsid w:val="00A20E03"/>
    <w:rsid w:val="00A9507F"/>
    <w:rsid w:val="00AA5441"/>
    <w:rsid w:val="00AC7ECA"/>
    <w:rsid w:val="00B05DD4"/>
    <w:rsid w:val="00B62960"/>
    <w:rsid w:val="00B6703E"/>
    <w:rsid w:val="00B903EE"/>
    <w:rsid w:val="00BB5017"/>
    <w:rsid w:val="00BC22BB"/>
    <w:rsid w:val="00BF0BDE"/>
    <w:rsid w:val="00BF3C6A"/>
    <w:rsid w:val="00C363BB"/>
    <w:rsid w:val="00C91E36"/>
    <w:rsid w:val="00CA480A"/>
    <w:rsid w:val="00CA6495"/>
    <w:rsid w:val="00CB09A5"/>
    <w:rsid w:val="00CC2718"/>
    <w:rsid w:val="00CD60F4"/>
    <w:rsid w:val="00CE0020"/>
    <w:rsid w:val="00D0514C"/>
    <w:rsid w:val="00D11687"/>
    <w:rsid w:val="00D371BD"/>
    <w:rsid w:val="00D51DD2"/>
    <w:rsid w:val="00D61953"/>
    <w:rsid w:val="00DA0DA2"/>
    <w:rsid w:val="00E43FE3"/>
    <w:rsid w:val="00E6010F"/>
    <w:rsid w:val="00E62701"/>
    <w:rsid w:val="00E96567"/>
    <w:rsid w:val="00EA1521"/>
    <w:rsid w:val="00EA2785"/>
    <w:rsid w:val="00EA2E77"/>
    <w:rsid w:val="00EB6786"/>
    <w:rsid w:val="00EF7320"/>
    <w:rsid w:val="00F26760"/>
    <w:rsid w:val="00FA76FE"/>
    <w:rsid w:val="00FB002D"/>
    <w:rsid w:val="00FD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1533"/>
  <w15:docId w15:val="{D936F67C-4F8B-4DB9-90BA-C5909B9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323D"/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56629C"/>
    <w:rPr>
      <w:rFonts w:ascii="Calibri" w:eastAsia="MS Mincho" w:hAnsi="Calibri" w:cs="Times New Roman"/>
      <w:lang w:val="en-C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56629C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1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51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86"/>
  </w:style>
  <w:style w:type="paragraph" w:styleId="Footer">
    <w:name w:val="footer"/>
    <w:basedOn w:val="Normal"/>
    <w:link w:val="FooterChar"/>
    <w:uiPriority w:val="99"/>
    <w:unhideWhenUsed/>
    <w:rsid w:val="00EB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86"/>
  </w:style>
  <w:style w:type="character" w:styleId="UnresolvedMention">
    <w:name w:val="Unresolved Mention"/>
    <w:basedOn w:val="DefaultParagraphFont"/>
    <w:uiPriority w:val="99"/>
    <w:semiHidden/>
    <w:unhideWhenUsed/>
    <w:rsid w:val="007A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c/274b/80e7/34d341167178fe08effd0900/cop-14-afr-hls-04-final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d.int/doc/c/501c/4df1/369d06630c901cd02d4f99c7/sbstta-21-09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health/infectiousdiseas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ho.int/news-room/feature-stories/detail/who-manifesto-for-a-healthy-recovery-from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bd.int/doc/c/f0c4/e7c4/d3f574418b051b944b0578dc/cop-14-inf-47-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FBFF4-032E-4539-84DF-C72182A6F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29FE5-DF88-4C9B-9E51-3BFF5992A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B41A3-51EE-415D-BA4F-407F4E0B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30" baseType="variant">
      <vt:variant>
        <vt:i4>6094864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https://www.cbd.int/doc/c/f0c4/e7c4/d3f574418b051b944b0578dc/cop-14-inf-47-en.pdf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https://www.cbd.int/doc/c/274b/80e7/34d341167178fe08effd0900/cop-14-afr-hls-04-final-en.pdf</vt:lpwstr>
      </vt:variant>
      <vt:variant>
        <vt:lpwstr/>
      </vt:variant>
      <vt:variant>
        <vt:i4>5373981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https://www.cbd.int/doc/c/501c/4df1/369d06630c901cd02d4f99c7/sbstta-21-09-en.pdf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https://www.cbd.int/health/infectiousdiseases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https://www.who.int/news-room/feature-stories/detail/who-manifesto-for-a-healthy-recovery-from-covid-19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note: “Building back better: protecting biodiversity, combating land degradation and mitigating climate change to reduce the risks of future pandemics"</dc:title>
  <dc:subject/>
  <dc:creator>Secretariat of the Convention on Biological Diversity</dc:creator>
  <cp:keywords>Webinar conference jointly organized by the Government of Egypt and the Secretariat of the Convention on Biological Diversity, 10 September 2020, 3-5 p.m. (Cairo time, GMT+2)</cp:keywords>
  <dc:description/>
  <cp:lastModifiedBy>Orestes Plasencia</cp:lastModifiedBy>
  <cp:revision>46</cp:revision>
  <cp:lastPrinted>2020-06-08T10:58:00Z</cp:lastPrinted>
  <dcterms:created xsi:type="dcterms:W3CDTF">2020-07-24T17:18:00Z</dcterms:created>
  <dcterms:modified xsi:type="dcterms:W3CDTF">2020-07-24T19:35:00Z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