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5D09F1" w:rsidRPr="00711439" w:rsidTr="00DD0D50">
        <w:tc>
          <w:tcPr>
            <w:tcW w:w="1371" w:type="dxa"/>
            <w:tcBorders>
              <w:bottom w:val="single" w:sz="12" w:space="0" w:color="000000"/>
            </w:tcBorders>
          </w:tcPr>
          <w:p w:rsidR="005D09F1" w:rsidRPr="00711439" w:rsidRDefault="005D09F1" w:rsidP="00DD0D50">
            <w:pPr>
              <w:topLinePunct/>
              <w:rPr>
                <w:noProof/>
              </w:rPr>
            </w:pPr>
            <w:r w:rsidRPr="00711439">
              <w:rPr>
                <w:rFonts w:ascii="Cambria" w:hAnsi="Cambria"/>
                <w:noProof/>
                <w:snapToGrid w:val="0"/>
                <w:kern w:val="22"/>
              </w:rPr>
              <w:drawing>
                <wp:inline distT="0" distB="0" distL="0" distR="0" wp14:anchorId="40776799" wp14:editId="3FCE320C">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5D09F1" w:rsidRPr="00711439" w:rsidRDefault="005D09F1" w:rsidP="00DD0D50">
            <w:pPr>
              <w:topLinePunct/>
            </w:pPr>
            <w:r w:rsidRPr="00711439">
              <w:rPr>
                <w:noProof/>
              </w:rPr>
              <w:drawing>
                <wp:inline distT="0" distB="0" distL="0" distR="0" wp14:anchorId="6462CB8D" wp14:editId="3D27CE3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5D09F1" w:rsidRPr="00711439" w:rsidRDefault="005D09F1" w:rsidP="00DD0D50">
            <w:pPr>
              <w:keepNext/>
              <w:topLinePunct/>
              <w:spacing w:beforeLines="30" w:before="72"/>
              <w:jc w:val="right"/>
              <w:outlineLvl w:val="7"/>
              <w:rPr>
                <w:rFonts w:ascii="Arial" w:hAnsi="Arial"/>
                <w:b/>
                <w:sz w:val="32"/>
                <w:szCs w:val="32"/>
              </w:rPr>
            </w:pPr>
            <w:r w:rsidRPr="00711439">
              <w:rPr>
                <w:rFonts w:ascii="Arial" w:hAnsi="Arial"/>
                <w:b/>
                <w:sz w:val="32"/>
                <w:szCs w:val="32"/>
              </w:rPr>
              <w:t>CBD</w:t>
            </w:r>
          </w:p>
          <w:p w:rsidR="005D09F1" w:rsidRPr="00711439" w:rsidRDefault="005D09F1" w:rsidP="00DD0D50">
            <w:pPr>
              <w:topLinePunct/>
              <w:rPr>
                <w:rFonts w:ascii="Univers" w:hAnsi="Univers"/>
                <w:b/>
                <w:sz w:val="36"/>
                <w:szCs w:val="36"/>
              </w:rPr>
            </w:pPr>
          </w:p>
        </w:tc>
      </w:tr>
      <w:tr w:rsidR="005D09F1" w:rsidRPr="00711439" w:rsidTr="00DD0D50">
        <w:trPr>
          <w:trHeight w:val="1693"/>
        </w:trPr>
        <w:tc>
          <w:tcPr>
            <w:tcW w:w="5242" w:type="dxa"/>
            <w:gridSpan w:val="3"/>
          </w:tcPr>
          <w:p w:rsidR="005D09F1" w:rsidRPr="00711439" w:rsidRDefault="005D09F1" w:rsidP="00DD0D50">
            <w:pPr>
              <w:topLinePunct/>
              <w:rPr>
                <w:sz w:val="16"/>
                <w:szCs w:val="16"/>
              </w:rPr>
            </w:pPr>
          </w:p>
          <w:p w:rsidR="005D09F1" w:rsidRPr="00711439" w:rsidRDefault="005D09F1" w:rsidP="00DD0D50">
            <w:pPr>
              <w:topLinePunct/>
              <w:rPr>
                <w:b/>
                <w:sz w:val="40"/>
                <w:szCs w:val="40"/>
              </w:rPr>
            </w:pPr>
            <w:r w:rsidRPr="00711439">
              <w:rPr>
                <w:b/>
                <w:noProof/>
                <w:sz w:val="40"/>
                <w:szCs w:val="40"/>
              </w:rPr>
              <w:drawing>
                <wp:inline distT="0" distB="0" distL="0" distR="0" wp14:anchorId="3B1F06B2" wp14:editId="3050B807">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rsidR="005D09F1" w:rsidRPr="00711439" w:rsidRDefault="005D09F1" w:rsidP="00DD0D50">
            <w:pPr>
              <w:topLinePunct/>
              <w:rPr>
                <w:b/>
                <w:sz w:val="16"/>
                <w:szCs w:val="16"/>
              </w:rPr>
            </w:pPr>
          </w:p>
        </w:tc>
        <w:tc>
          <w:tcPr>
            <w:tcW w:w="1980" w:type="dxa"/>
          </w:tcPr>
          <w:p w:rsidR="005D09F1" w:rsidRPr="00711439" w:rsidRDefault="005D09F1" w:rsidP="00DD0D50">
            <w:pPr>
              <w:topLinePunct/>
            </w:pPr>
          </w:p>
        </w:tc>
        <w:tc>
          <w:tcPr>
            <w:tcW w:w="2610" w:type="dxa"/>
          </w:tcPr>
          <w:p w:rsidR="005D09F1" w:rsidRPr="00711439" w:rsidRDefault="005D09F1" w:rsidP="00DD0D50">
            <w:pPr>
              <w:topLinePunct/>
              <w:spacing w:before="120"/>
            </w:pPr>
            <w:r w:rsidRPr="00711439">
              <w:t xml:space="preserve">Distr. </w:t>
            </w:r>
          </w:p>
          <w:p w:rsidR="005D09F1" w:rsidRDefault="005D09F1" w:rsidP="00DD0D50">
            <w:pPr>
              <w:topLinePunct/>
            </w:pPr>
            <w:r>
              <w:t>LIMITED</w:t>
            </w:r>
          </w:p>
          <w:p w:rsidR="005D09F1" w:rsidRPr="00711439" w:rsidRDefault="005D09F1" w:rsidP="00DD0D50">
            <w:pPr>
              <w:topLinePunct/>
            </w:pPr>
          </w:p>
          <w:p w:rsidR="005D09F1" w:rsidRPr="00711439" w:rsidRDefault="005D09F1" w:rsidP="00DD0D50">
            <w:pPr>
              <w:topLinePunct/>
            </w:pPr>
            <w:r w:rsidRPr="00711439">
              <w:t>CBD/</w:t>
            </w:r>
            <w:r>
              <w:t>COP</w:t>
            </w:r>
            <w:r w:rsidRPr="00711439">
              <w:t>/</w:t>
            </w:r>
            <w:r>
              <w:t>14</w:t>
            </w:r>
            <w:r w:rsidRPr="00711439">
              <w:t>/</w:t>
            </w:r>
            <w:r>
              <w:t>L.</w:t>
            </w:r>
            <w:r>
              <w:rPr>
                <w:rFonts w:hint="eastAsia"/>
              </w:rPr>
              <w:t>35</w:t>
            </w:r>
          </w:p>
          <w:p w:rsidR="005D09F1" w:rsidRDefault="005D09F1" w:rsidP="00DD0D50">
            <w:pPr>
              <w:topLinePunct/>
            </w:pPr>
            <w:r>
              <w:rPr>
                <w:rFonts w:hint="eastAsia"/>
              </w:rPr>
              <w:t>29</w:t>
            </w:r>
            <w:r>
              <w:t xml:space="preserve"> November</w:t>
            </w:r>
            <w:r w:rsidRPr="00711439">
              <w:t xml:space="preserve"> 2018</w:t>
            </w:r>
          </w:p>
          <w:p w:rsidR="005D09F1" w:rsidRPr="00711439" w:rsidRDefault="005D09F1" w:rsidP="00DD0D50">
            <w:pPr>
              <w:topLinePunct/>
            </w:pPr>
          </w:p>
          <w:p w:rsidR="005D09F1" w:rsidRPr="00711439" w:rsidRDefault="005D09F1" w:rsidP="00DD0D50">
            <w:pPr>
              <w:topLinePunct/>
            </w:pPr>
            <w:r w:rsidRPr="00711439">
              <w:rPr>
                <w:rFonts w:hint="eastAsia"/>
              </w:rPr>
              <w:t>CHINESE</w:t>
            </w:r>
          </w:p>
          <w:p w:rsidR="005D09F1" w:rsidRPr="00711439" w:rsidRDefault="005D09F1" w:rsidP="00DD0D50">
            <w:pPr>
              <w:spacing w:after="120"/>
              <w:rPr>
                <w:rFonts w:ascii="Courier New" w:hAnsi="Courier New"/>
                <w:szCs w:val="22"/>
              </w:rPr>
            </w:pPr>
            <w:r w:rsidRPr="00711439">
              <w:t>ORIGINAL: ENGLISH</w:t>
            </w:r>
          </w:p>
        </w:tc>
      </w:tr>
    </w:tbl>
    <w:p w:rsidR="00666863" w:rsidRDefault="00666863">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rsidP="00AC707D">
      <w:pPr>
        <w:pStyle w:val="Cornernotation"/>
        <w:ind w:left="0" w:right="3548" w:firstLine="0"/>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BC3E58">
        <w:rPr>
          <w:rFonts w:cs="Times New Roman" w:hint="eastAsia"/>
          <w:noProof/>
          <w:kern w:val="22"/>
          <w:sz w:val="24"/>
        </w:rPr>
        <w:t>9</w:t>
      </w:r>
      <w:r w:rsidR="00C11C86">
        <w:rPr>
          <w:rFonts w:cs="Times New Roman" w:hint="eastAsia"/>
          <w:noProof/>
          <w:kern w:val="22"/>
          <w:sz w:val="24"/>
        </w:rPr>
        <w:t xml:space="preserve"> </w:t>
      </w:r>
    </w:p>
    <w:p w:rsidR="00666863" w:rsidRPr="00526DA7" w:rsidRDefault="00BC3E58">
      <w:pPr>
        <w:pStyle w:val="Heading1"/>
        <w:rPr>
          <w:rFonts w:ascii="SimHei" w:eastAsia="SimHei" w:hAnsi="SimHei" w:cs="Times New Roman"/>
          <w:b w:val="0"/>
          <w:kern w:val="22"/>
          <w:sz w:val="28"/>
        </w:rPr>
      </w:pPr>
      <w:bookmarkStart w:id="0" w:name="_Toc524194582"/>
      <w:r w:rsidRPr="00BC3E58">
        <w:rPr>
          <w:rFonts w:ascii="SimHei" w:eastAsia="SimHei" w:hAnsi="SimHei" w:cs="Times New Roman" w:hint="eastAsia"/>
          <w:b w:val="0"/>
          <w:noProof/>
          <w:kern w:val="22"/>
          <w:sz w:val="28"/>
        </w:rPr>
        <w:t>财务机制</w:t>
      </w:r>
      <w:bookmarkEnd w:id="0"/>
    </w:p>
    <w:p w:rsidR="00666863" w:rsidRDefault="00AC707D" w:rsidP="00362B19">
      <w:pPr>
        <w:pStyle w:val="Heading1"/>
        <w:spacing w:before="120" w:after="240"/>
        <w:rPr>
          <w:rFonts w:cs="Times New Roman"/>
          <w:kern w:val="22"/>
          <w:sz w:val="24"/>
        </w:rPr>
      </w:pPr>
      <w:r>
        <w:rPr>
          <w:rFonts w:ascii="SimSun" w:cs="Times New Roman" w:hint="eastAsia"/>
          <w:caps w:val="0"/>
          <w:noProof/>
          <w:kern w:val="22"/>
          <w:sz w:val="24"/>
        </w:rPr>
        <w:t>第一</w:t>
      </w:r>
      <w:r>
        <w:rPr>
          <w:rFonts w:ascii="SimSun" w:cs="Times New Roman"/>
          <w:caps w:val="0"/>
          <w:noProof/>
          <w:kern w:val="22"/>
          <w:sz w:val="24"/>
        </w:rPr>
        <w:t>工作组主席</w:t>
      </w:r>
      <w:r w:rsidR="00666863">
        <w:rPr>
          <w:rFonts w:ascii="SimSun" w:cs="Times New Roman" w:hint="eastAsia"/>
          <w:caps w:val="0"/>
          <w:noProof/>
          <w:kern w:val="22"/>
          <w:sz w:val="24"/>
        </w:rPr>
        <w:t>提交的决定草案</w:t>
      </w:r>
      <w:r w:rsidR="00B20C1D">
        <w:rPr>
          <w:rFonts w:ascii="SimSun" w:cs="Times New Roman" w:hint="eastAsia"/>
          <w:caps w:val="0"/>
          <w:noProof/>
          <w:kern w:val="22"/>
          <w:sz w:val="24"/>
        </w:rPr>
        <w:t xml:space="preserve"> </w:t>
      </w:r>
      <w:bookmarkStart w:id="1" w:name="_GoBack"/>
      <w:bookmarkEnd w:id="1"/>
    </w:p>
    <w:p w:rsidR="00BC3E58" w:rsidRPr="00BC3E58" w:rsidRDefault="00666863" w:rsidP="007E2963">
      <w:pPr>
        <w:pStyle w:val="Para1"/>
        <w:numPr>
          <w:ilvl w:val="0"/>
          <w:numId w:val="0"/>
        </w:numPr>
        <w:spacing w:beforeLines="50" w:before="120" w:line="240" w:lineRule="atLeast"/>
        <w:ind w:firstLine="720"/>
        <w:rPr>
          <w:rFonts w:hAnsi="SimSun" w:cs="Times New Roman"/>
          <w:noProof/>
          <w:kern w:val="22"/>
          <w:sz w:val="24"/>
          <w:szCs w:val="24"/>
        </w:rPr>
      </w:pPr>
      <w:bookmarkStart w:id="2" w:name="_Ref314474052"/>
      <w:r w:rsidRPr="00E40630">
        <w:rPr>
          <w:rFonts w:ascii="KaiTi" w:eastAsia="KaiTi" w:hAnsi="KaiTi" w:cs="Times New Roman"/>
          <w:kern w:val="22"/>
          <w:sz w:val="24"/>
          <w:szCs w:val="24"/>
          <w:lang w:val="zh-CN"/>
        </w:rPr>
        <w:t>缔约方大会</w:t>
      </w:r>
      <w:r w:rsidRPr="00E40630">
        <w:rPr>
          <w:rFonts w:hAnsi="SimSun" w:cs="Times New Roman"/>
          <w:noProof/>
          <w:kern w:val="22"/>
          <w:sz w:val="24"/>
          <w:szCs w:val="24"/>
        </w:rPr>
        <w:t>，</w:t>
      </w:r>
    </w:p>
    <w:p w:rsidR="00BC3E58" w:rsidRPr="00BC3E58" w:rsidRDefault="00BC3E58" w:rsidP="00BC3E58">
      <w:pPr>
        <w:pStyle w:val="Para1"/>
        <w:numPr>
          <w:ilvl w:val="0"/>
          <w:numId w:val="0"/>
        </w:numPr>
        <w:spacing w:before="120" w:line="240" w:lineRule="atLeast"/>
        <w:ind w:leftChars="300" w:left="660"/>
        <w:rPr>
          <w:rFonts w:ascii="SimSun" w:hAnsi="SimSun" w:cs="SimSun"/>
          <w:iCs/>
          <w:sz w:val="24"/>
        </w:rPr>
      </w:pPr>
      <w:r w:rsidRPr="00BC3E58">
        <w:rPr>
          <w:rFonts w:ascii="KaiTi" w:eastAsia="KaiTi" w:hAnsi="KaiTi" w:cs="Times New Roman" w:hint="eastAsia"/>
          <w:kern w:val="22"/>
          <w:sz w:val="24"/>
          <w:szCs w:val="24"/>
          <w:lang w:val="zh-CN"/>
        </w:rPr>
        <w:t>回顾</w:t>
      </w:r>
      <w:r>
        <w:rPr>
          <w:rFonts w:ascii="SimSun" w:hAnsi="SimSun" w:cs="SimSun" w:hint="eastAsia"/>
          <w:iCs/>
          <w:sz w:val="24"/>
        </w:rPr>
        <w:t>《</w:t>
      </w:r>
      <w:r w:rsidRPr="00BC3E58">
        <w:rPr>
          <w:rFonts w:ascii="SimSun" w:hAnsi="SimSun" w:cs="SimSun" w:hint="eastAsia"/>
          <w:iCs/>
          <w:sz w:val="24"/>
        </w:rPr>
        <w:t>公约</w:t>
      </w:r>
      <w:r>
        <w:rPr>
          <w:rFonts w:ascii="SimSun" w:hAnsi="SimSun" w:cs="SimSun" w:hint="eastAsia"/>
          <w:iCs/>
          <w:sz w:val="24"/>
        </w:rPr>
        <w:t>》</w:t>
      </w:r>
      <w:r w:rsidRPr="00BC3E58">
        <w:rPr>
          <w:rFonts w:ascii="SimSun" w:hAnsi="SimSun" w:cs="SimSun" w:hint="eastAsia"/>
          <w:iCs/>
          <w:sz w:val="24"/>
        </w:rPr>
        <w:t>第</w:t>
      </w:r>
      <w:r w:rsidRPr="00BC3E58">
        <w:rPr>
          <w:rFonts w:hAnsi="SimSun" w:hint="eastAsia"/>
          <w:sz w:val="24"/>
        </w:rPr>
        <w:t>21</w:t>
      </w:r>
      <w:r w:rsidRPr="00BC3E58">
        <w:rPr>
          <w:rFonts w:ascii="SimSun" w:hAnsi="SimSun" w:cs="SimSun" w:hint="eastAsia"/>
          <w:iCs/>
          <w:sz w:val="24"/>
        </w:rPr>
        <w:t>条和相关条款</w:t>
      </w:r>
      <w:r>
        <w:rPr>
          <w:rFonts w:ascii="SimSun" w:hAnsi="SimSun" w:cs="SimSun" w:hint="eastAsia"/>
          <w:iCs/>
          <w:sz w:val="24"/>
        </w:rPr>
        <w:t>、《</w:t>
      </w:r>
      <w:r w:rsidRPr="00BC3E58">
        <w:rPr>
          <w:rFonts w:ascii="SimSun" w:hAnsi="SimSun" w:cs="SimSun" w:hint="eastAsia"/>
          <w:iCs/>
          <w:sz w:val="24"/>
        </w:rPr>
        <w:t>卡塔赫纳生物安全议定书</w:t>
      </w:r>
      <w:r>
        <w:rPr>
          <w:rFonts w:ascii="SimSun" w:hAnsi="SimSun" w:cs="SimSun" w:hint="eastAsia"/>
          <w:iCs/>
          <w:sz w:val="24"/>
        </w:rPr>
        <w:t>》</w:t>
      </w:r>
      <w:r w:rsidRPr="00BC3E58">
        <w:rPr>
          <w:rFonts w:ascii="SimSun" w:hAnsi="SimSun" w:cs="SimSun" w:hint="eastAsia"/>
          <w:iCs/>
          <w:sz w:val="24"/>
        </w:rPr>
        <w:t>第</w:t>
      </w:r>
      <w:r w:rsidRPr="00BC3E58">
        <w:rPr>
          <w:rFonts w:hAnsi="SimSun" w:hint="eastAsia"/>
          <w:sz w:val="24"/>
        </w:rPr>
        <w:t>28</w:t>
      </w:r>
      <w:r w:rsidRPr="00BC3E58">
        <w:rPr>
          <w:rFonts w:ascii="SimSun" w:hAnsi="SimSun" w:cs="SimSun" w:hint="eastAsia"/>
          <w:iCs/>
          <w:sz w:val="24"/>
        </w:rPr>
        <w:t>条和</w:t>
      </w:r>
      <w:r>
        <w:rPr>
          <w:rFonts w:ascii="SimSun" w:hAnsi="SimSun" w:cs="SimSun" w:hint="eastAsia"/>
          <w:iCs/>
          <w:sz w:val="24"/>
        </w:rPr>
        <w:t>《获取和惠益分享</w:t>
      </w:r>
      <w:r w:rsidRPr="00BC3E58">
        <w:rPr>
          <w:rFonts w:ascii="SimSun" w:hAnsi="SimSun" w:cs="SimSun" w:hint="eastAsia"/>
          <w:iCs/>
          <w:sz w:val="24"/>
        </w:rPr>
        <w:t>名古屋议定书</w:t>
      </w:r>
      <w:r>
        <w:rPr>
          <w:rFonts w:ascii="SimSun" w:hAnsi="SimSun" w:cs="SimSun" w:hint="eastAsia"/>
          <w:iCs/>
          <w:sz w:val="24"/>
        </w:rPr>
        <w:t>》</w:t>
      </w:r>
      <w:r w:rsidRPr="00BC3E58">
        <w:rPr>
          <w:rFonts w:ascii="SimSun" w:hAnsi="SimSun" w:cs="SimSun" w:hint="eastAsia"/>
          <w:iCs/>
          <w:sz w:val="24"/>
        </w:rPr>
        <w:t>第</w:t>
      </w:r>
      <w:r w:rsidRPr="00BC3E58">
        <w:rPr>
          <w:rFonts w:hAnsi="SimSun" w:hint="eastAsia"/>
          <w:sz w:val="24"/>
        </w:rPr>
        <w:t>25</w:t>
      </w:r>
      <w:r w:rsidRPr="00BC3E58">
        <w:rPr>
          <w:rFonts w:ascii="SimSun" w:hAnsi="SimSun" w:cs="SimSun" w:hint="eastAsia"/>
          <w:iCs/>
          <w:sz w:val="24"/>
        </w:rPr>
        <w:t>条，</w:t>
      </w:r>
    </w:p>
    <w:p w:rsidR="00BC3E58" w:rsidRPr="00BC3E58" w:rsidRDefault="00BC3E58" w:rsidP="00BC3E58">
      <w:pPr>
        <w:pStyle w:val="Para1"/>
        <w:numPr>
          <w:ilvl w:val="0"/>
          <w:numId w:val="0"/>
        </w:numPr>
        <w:spacing w:before="120" w:line="240" w:lineRule="atLeast"/>
        <w:ind w:leftChars="300" w:left="660"/>
        <w:rPr>
          <w:rFonts w:ascii="SimSun" w:hAnsi="SimSun" w:cs="SimSun"/>
          <w:iCs/>
          <w:sz w:val="24"/>
        </w:rPr>
      </w:pPr>
      <w:r w:rsidRPr="00BC3E58">
        <w:rPr>
          <w:rFonts w:ascii="KaiTi" w:eastAsia="KaiTi" w:hAnsi="KaiTi" w:cs="Times New Roman" w:hint="eastAsia"/>
          <w:kern w:val="22"/>
          <w:sz w:val="24"/>
          <w:szCs w:val="24"/>
          <w:lang w:val="zh-CN"/>
        </w:rPr>
        <w:t>又回顾</w:t>
      </w:r>
      <w:r w:rsidRPr="00BC3E58">
        <w:rPr>
          <w:rFonts w:ascii="SimSun" w:hAnsi="SimSun" w:cs="SimSun" w:hint="eastAsia"/>
          <w:iCs/>
          <w:sz w:val="24"/>
        </w:rPr>
        <w:t>第</w:t>
      </w:r>
      <w:r w:rsidRPr="00BC3E58">
        <w:rPr>
          <w:rFonts w:hAnsi="SimSun" w:hint="eastAsia"/>
          <w:sz w:val="24"/>
        </w:rPr>
        <w:t>XIII / 21</w:t>
      </w:r>
      <w:r w:rsidRPr="00BC3E58">
        <w:rPr>
          <w:rFonts w:ascii="SimSun" w:hAnsi="SimSun" w:cs="SimSun" w:hint="eastAsia"/>
          <w:iCs/>
          <w:sz w:val="24"/>
        </w:rPr>
        <w:t>和</w:t>
      </w:r>
      <w:r w:rsidRPr="00BC3E58">
        <w:rPr>
          <w:rFonts w:hAnsi="SimSun" w:hint="eastAsia"/>
          <w:sz w:val="24"/>
        </w:rPr>
        <w:t>III / 8</w:t>
      </w:r>
      <w:r w:rsidRPr="00BC3E58">
        <w:rPr>
          <w:rFonts w:ascii="SimSun" w:hAnsi="SimSun" w:cs="SimSun" w:hint="eastAsia"/>
          <w:iCs/>
          <w:sz w:val="24"/>
        </w:rPr>
        <w:t>号决定，</w:t>
      </w:r>
    </w:p>
    <w:p w:rsidR="00BC3E58" w:rsidRPr="00DF321F" w:rsidRDefault="00BC3E58" w:rsidP="00BC3E58">
      <w:pPr>
        <w:pStyle w:val="Para1"/>
        <w:numPr>
          <w:ilvl w:val="0"/>
          <w:numId w:val="0"/>
        </w:numPr>
        <w:spacing w:before="120" w:line="240" w:lineRule="atLeast"/>
        <w:ind w:leftChars="300" w:left="660"/>
        <w:rPr>
          <w:rFonts w:ascii="SimSun" w:hAnsi="SimSun" w:cs="SimSun"/>
          <w:iCs/>
          <w:sz w:val="24"/>
        </w:rPr>
      </w:pPr>
      <w:r w:rsidRPr="00DF321F">
        <w:rPr>
          <w:rFonts w:ascii="KaiTi" w:eastAsia="KaiTi" w:hAnsi="KaiTi" w:cs="Times New Roman" w:hint="eastAsia"/>
          <w:kern w:val="22"/>
          <w:sz w:val="24"/>
          <w:szCs w:val="24"/>
          <w:lang w:val="zh-CN"/>
        </w:rPr>
        <w:t>赞赏地注意到</w:t>
      </w:r>
      <w:r w:rsidRPr="00BC3E58">
        <w:rPr>
          <w:rFonts w:ascii="SimSun" w:hAnsi="SimSun" w:cs="SimSun" w:hint="eastAsia"/>
          <w:iCs/>
          <w:sz w:val="24"/>
        </w:rPr>
        <w:t>全球环境基金的报告，</w:t>
      </w:r>
      <w:r w:rsidR="00DF321F" w:rsidRPr="00DF321F">
        <w:rPr>
          <w:rFonts w:eastAsia="Times New Roman" w:cs="Times New Roman"/>
          <w:snapToGrid/>
          <w:kern w:val="22"/>
          <w:vertAlign w:val="superscript"/>
          <w:lang w:eastAsia="en-US"/>
        </w:rPr>
        <w:footnoteReference w:id="1"/>
      </w:r>
    </w:p>
    <w:p w:rsidR="00BC3E58" w:rsidRPr="00DF321F" w:rsidRDefault="00BC3E58" w:rsidP="00BC3E58">
      <w:pPr>
        <w:pStyle w:val="Para1"/>
        <w:numPr>
          <w:ilvl w:val="0"/>
          <w:numId w:val="0"/>
        </w:numPr>
        <w:spacing w:before="120" w:line="240" w:lineRule="atLeast"/>
        <w:ind w:leftChars="300" w:left="660"/>
        <w:rPr>
          <w:rFonts w:ascii="SimSun" w:hAnsi="SimSun" w:cs="SimSun"/>
          <w:iCs/>
          <w:sz w:val="24"/>
        </w:rPr>
      </w:pPr>
      <w:r w:rsidRPr="00DF321F">
        <w:rPr>
          <w:rFonts w:ascii="KaiTi" w:eastAsia="KaiTi" w:hAnsi="KaiTi" w:cs="Times New Roman" w:hint="eastAsia"/>
          <w:kern w:val="22"/>
          <w:sz w:val="24"/>
          <w:szCs w:val="24"/>
          <w:lang w:val="zh-CN"/>
        </w:rPr>
        <w:t>注意到</w:t>
      </w:r>
      <w:r w:rsidRPr="00BC3E58">
        <w:rPr>
          <w:rFonts w:ascii="SimSun" w:hAnsi="SimSun" w:cs="SimSun" w:hint="eastAsia"/>
          <w:iCs/>
          <w:sz w:val="24"/>
        </w:rPr>
        <w:t>执行秘书关于财务机制的说明中关于</w:t>
      </w:r>
      <w:r w:rsidR="00DF321F">
        <w:rPr>
          <w:rFonts w:ascii="SimSun" w:hAnsi="SimSun" w:cs="SimSun" w:hint="eastAsia"/>
          <w:iCs/>
          <w:sz w:val="24"/>
        </w:rPr>
        <w:t>《</w:t>
      </w:r>
      <w:r w:rsidRPr="00BC3E58">
        <w:rPr>
          <w:rFonts w:ascii="SimSun" w:hAnsi="SimSun" w:cs="SimSun" w:hint="eastAsia"/>
          <w:iCs/>
          <w:sz w:val="24"/>
        </w:rPr>
        <w:t>公约</w:t>
      </w:r>
      <w:r w:rsidR="00DF321F">
        <w:rPr>
          <w:rFonts w:ascii="SimSun" w:hAnsi="SimSun" w:cs="SimSun" w:hint="eastAsia"/>
          <w:iCs/>
          <w:sz w:val="24"/>
        </w:rPr>
        <w:t>》</w:t>
      </w:r>
      <w:r w:rsidRPr="00BC3E58">
        <w:rPr>
          <w:rFonts w:ascii="SimSun" w:hAnsi="SimSun" w:cs="SimSun" w:hint="eastAsia"/>
          <w:iCs/>
          <w:sz w:val="24"/>
        </w:rPr>
        <w:t>第</w:t>
      </w:r>
      <w:r w:rsidRPr="00BC3E58">
        <w:rPr>
          <w:rFonts w:hAnsi="SimSun" w:hint="eastAsia"/>
          <w:sz w:val="24"/>
        </w:rPr>
        <w:t>21</w:t>
      </w:r>
      <w:r w:rsidRPr="00BC3E58">
        <w:rPr>
          <w:rFonts w:ascii="SimSun" w:hAnsi="SimSun" w:cs="SimSun" w:hint="eastAsia"/>
          <w:iCs/>
          <w:sz w:val="24"/>
        </w:rPr>
        <w:t>条</w:t>
      </w:r>
      <w:r w:rsidR="00DF321F">
        <w:rPr>
          <w:rFonts w:ascii="SimSun" w:hAnsi="SimSun" w:cs="SimSun" w:hint="eastAsia"/>
          <w:iCs/>
          <w:sz w:val="24"/>
        </w:rPr>
        <w:t>执行情况</w:t>
      </w:r>
      <w:r w:rsidRPr="00BC3E58">
        <w:rPr>
          <w:rFonts w:ascii="SimSun" w:hAnsi="SimSun" w:cs="SimSun" w:hint="eastAsia"/>
          <w:iCs/>
          <w:sz w:val="24"/>
        </w:rPr>
        <w:t>的</w:t>
      </w:r>
      <w:r w:rsidR="00DF321F">
        <w:rPr>
          <w:rFonts w:ascii="SimSun" w:hAnsi="SimSun" w:cs="SimSun" w:hint="eastAsia"/>
          <w:iCs/>
          <w:sz w:val="24"/>
        </w:rPr>
        <w:t>信息</w:t>
      </w:r>
      <w:r w:rsidRPr="00BC3E58">
        <w:rPr>
          <w:rFonts w:ascii="SimSun" w:hAnsi="SimSun" w:cs="SimSun" w:hint="eastAsia"/>
          <w:iCs/>
          <w:sz w:val="24"/>
        </w:rPr>
        <w:t>，</w:t>
      </w:r>
      <w:r w:rsidR="00DF321F" w:rsidRPr="00DF321F">
        <w:rPr>
          <w:rFonts w:eastAsia="Times New Roman" w:cs="Times New Roman"/>
          <w:kern w:val="22"/>
          <w:vertAlign w:val="superscript"/>
          <w:lang w:eastAsia="en-US"/>
        </w:rPr>
        <w:footnoteReference w:id="2"/>
      </w:r>
    </w:p>
    <w:p w:rsidR="00BC3E58" w:rsidRPr="00BC3E58" w:rsidRDefault="00BC3E58" w:rsidP="00DF321F">
      <w:pPr>
        <w:pStyle w:val="Para1"/>
        <w:numPr>
          <w:ilvl w:val="0"/>
          <w:numId w:val="0"/>
        </w:numPr>
        <w:spacing w:before="120" w:line="240" w:lineRule="atLeast"/>
        <w:ind w:leftChars="300" w:left="660"/>
        <w:rPr>
          <w:rFonts w:ascii="SimSun" w:hAnsi="SimSun" w:cs="SimSun"/>
          <w:iCs/>
          <w:sz w:val="24"/>
        </w:rPr>
      </w:pPr>
      <w:r w:rsidRPr="00DF321F">
        <w:rPr>
          <w:rFonts w:ascii="KaiTi" w:eastAsia="KaiTi" w:hAnsi="KaiTi" w:cs="Times New Roman" w:hint="eastAsia"/>
          <w:kern w:val="22"/>
          <w:sz w:val="24"/>
          <w:szCs w:val="24"/>
          <w:lang w:val="zh-CN"/>
        </w:rPr>
        <w:t>审议了</w:t>
      </w:r>
      <w:r w:rsidRPr="00BC3E58">
        <w:rPr>
          <w:rFonts w:ascii="SimSun" w:hAnsi="SimSun" w:cs="SimSun" w:hint="eastAsia"/>
          <w:iCs/>
          <w:sz w:val="24"/>
        </w:rPr>
        <w:t>关于审查财务机制</w:t>
      </w:r>
      <w:r w:rsidR="00DF321F" w:rsidRPr="00BC3E58">
        <w:rPr>
          <w:rFonts w:ascii="SimSun" w:hAnsi="SimSun" w:cs="SimSun" w:hint="eastAsia"/>
          <w:iCs/>
          <w:sz w:val="24"/>
        </w:rPr>
        <w:t>（第</w:t>
      </w:r>
      <w:r w:rsidR="00DF321F" w:rsidRPr="00BC3E58">
        <w:rPr>
          <w:rFonts w:hAnsi="SimSun" w:hint="eastAsia"/>
          <w:sz w:val="24"/>
        </w:rPr>
        <w:t>21</w:t>
      </w:r>
      <w:r w:rsidR="00DF321F" w:rsidRPr="00BC3E58">
        <w:rPr>
          <w:rFonts w:ascii="SimSun" w:hAnsi="SimSun" w:cs="SimSun" w:hint="eastAsia"/>
          <w:iCs/>
          <w:sz w:val="24"/>
        </w:rPr>
        <w:t>条）</w:t>
      </w:r>
      <w:r w:rsidRPr="00BC3E58">
        <w:rPr>
          <w:rFonts w:ascii="SimSun" w:hAnsi="SimSun" w:cs="SimSun" w:hint="eastAsia"/>
          <w:iCs/>
          <w:sz w:val="24"/>
        </w:rPr>
        <w:t>执行情况的第</w:t>
      </w:r>
      <w:r w:rsidRPr="00BC3E58">
        <w:rPr>
          <w:rFonts w:hAnsi="SimSun" w:hint="eastAsia"/>
          <w:sz w:val="24"/>
        </w:rPr>
        <w:t>2/7</w:t>
      </w:r>
      <w:r w:rsidRPr="00BC3E58">
        <w:rPr>
          <w:rFonts w:ascii="SimSun" w:hAnsi="SimSun" w:cs="SimSun" w:hint="eastAsia"/>
          <w:iCs/>
          <w:sz w:val="24"/>
        </w:rPr>
        <w:t>号建议，</w:t>
      </w:r>
    </w:p>
    <w:p w:rsidR="00BC3E58" w:rsidRPr="00134647" w:rsidRDefault="00BC3E58" w:rsidP="008F2823">
      <w:pPr>
        <w:pStyle w:val="Para1"/>
        <w:numPr>
          <w:ilvl w:val="0"/>
          <w:numId w:val="9"/>
        </w:numPr>
        <w:tabs>
          <w:tab w:val="clear" w:pos="360"/>
          <w:tab w:val="num" w:pos="1440"/>
        </w:tabs>
        <w:spacing w:before="120" w:line="240" w:lineRule="atLeast"/>
        <w:ind w:firstLine="720"/>
        <w:rPr>
          <w:b/>
          <w:sz w:val="24"/>
        </w:rPr>
      </w:pPr>
      <w:r w:rsidRPr="00134647">
        <w:rPr>
          <w:rFonts w:ascii="KaiTi" w:eastAsia="KaiTi" w:hAnsi="KaiTi" w:hint="eastAsia"/>
          <w:sz w:val="24"/>
        </w:rPr>
        <w:t>欢迎</w:t>
      </w:r>
      <w:r w:rsidRPr="00134647">
        <w:rPr>
          <w:rFonts w:ascii="SimSun" w:hAnsi="SimSun" w:cs="SimSun" w:hint="eastAsia"/>
          <w:iCs/>
          <w:sz w:val="24"/>
        </w:rPr>
        <w:t>全球环境基金信托基金第七次充资圆满结束，</w:t>
      </w:r>
      <w:r w:rsidRPr="00134647">
        <w:rPr>
          <w:rFonts w:ascii="KaiTi" w:eastAsia="KaiTi" w:hAnsi="KaiTi" w:hint="eastAsia"/>
          <w:iCs/>
          <w:sz w:val="24"/>
        </w:rPr>
        <w:t>赞赏</w:t>
      </w:r>
      <w:r w:rsidRPr="00134647">
        <w:rPr>
          <w:rFonts w:ascii="SimSun" w:hAnsi="SimSun" w:cs="SimSun" w:hint="eastAsia"/>
          <w:iCs/>
          <w:sz w:val="24"/>
        </w:rPr>
        <w:t>各缔约方和国家政府继续提供财务支持，促进在余下的几年中执行</w:t>
      </w:r>
      <w:r w:rsidRPr="00134647">
        <w:rPr>
          <w:rFonts w:hAnsi="SimSun" w:hint="eastAsia"/>
          <w:sz w:val="24"/>
        </w:rPr>
        <w:t>《</w:t>
      </w:r>
      <w:r w:rsidRPr="00134647">
        <w:rPr>
          <w:rFonts w:hAnsi="SimSun"/>
          <w:sz w:val="24"/>
        </w:rPr>
        <w:t>2011-2020</w:t>
      </w:r>
      <w:r w:rsidRPr="00134647">
        <w:rPr>
          <w:rFonts w:ascii="SimSun" w:hAnsi="SimSun" w:cs="SimSun" w:hint="eastAsia"/>
          <w:iCs/>
          <w:sz w:val="24"/>
        </w:rPr>
        <w:t>年生物多样性战略计划》的任务，支持</w:t>
      </w:r>
      <w:r w:rsidRPr="00134647">
        <w:rPr>
          <w:iCs/>
          <w:sz w:val="24"/>
        </w:rPr>
        <w:t>2020</w:t>
      </w:r>
      <w:r w:rsidRPr="00134647">
        <w:rPr>
          <w:rFonts w:ascii="SimSun" w:hAnsi="SimSun" w:cs="SimSun" w:hint="eastAsia"/>
          <w:iCs/>
          <w:sz w:val="24"/>
        </w:rPr>
        <w:t>年后全球生物多样性框架头两年的执行工作；</w:t>
      </w:r>
    </w:p>
    <w:p w:rsidR="00BC3E58" w:rsidRPr="008D31A1" w:rsidRDefault="00BC3E58" w:rsidP="008F2823">
      <w:pPr>
        <w:pStyle w:val="Para1"/>
        <w:numPr>
          <w:ilvl w:val="0"/>
          <w:numId w:val="1"/>
        </w:numPr>
        <w:tabs>
          <w:tab w:val="clear" w:pos="360"/>
          <w:tab w:val="num" w:pos="1440"/>
        </w:tabs>
        <w:spacing w:before="120" w:line="240" w:lineRule="atLeast"/>
        <w:ind w:firstLine="720"/>
        <w:rPr>
          <w:iCs/>
          <w:sz w:val="24"/>
        </w:rPr>
      </w:pPr>
      <w:r w:rsidRPr="00424A94">
        <w:rPr>
          <w:rFonts w:ascii="KaiTi" w:eastAsia="KaiTi" w:hAnsi="KaiTi" w:hint="eastAsia"/>
          <w:sz w:val="24"/>
        </w:rPr>
        <w:t>注意到</w:t>
      </w:r>
      <w:r w:rsidRPr="008D31A1">
        <w:rPr>
          <w:rFonts w:ascii="SimSun" w:hAnsi="SimSun" w:cs="SimSun" w:hint="eastAsia"/>
          <w:iCs/>
          <w:sz w:val="24"/>
        </w:rPr>
        <w:t>信托基金第七次</w:t>
      </w:r>
      <w:r>
        <w:rPr>
          <w:rFonts w:ascii="SimSun" w:hAnsi="SimSun" w:cs="SimSun" w:hint="eastAsia"/>
          <w:iCs/>
          <w:sz w:val="24"/>
        </w:rPr>
        <w:t>充资</w:t>
      </w:r>
      <w:r w:rsidRPr="008D31A1">
        <w:rPr>
          <w:rFonts w:ascii="SimSun" w:hAnsi="SimSun" w:cs="SimSun" w:hint="eastAsia"/>
          <w:iCs/>
          <w:sz w:val="24"/>
        </w:rPr>
        <w:t>的生物多样性方案编制方向反映了缔约方大会第十三届会议通过的指导意见，其中包括对财务机制的综合指导和方案优先事项的四年期框架（</w:t>
      </w:r>
      <w:r w:rsidRPr="00ED2846">
        <w:rPr>
          <w:iCs/>
          <w:sz w:val="24"/>
        </w:rPr>
        <w:t>2018</w:t>
      </w:r>
      <w:r w:rsidR="00507189">
        <w:rPr>
          <w:rFonts w:hint="eastAsia"/>
          <w:iCs/>
          <w:sz w:val="24"/>
        </w:rPr>
        <w:t>年</w:t>
      </w:r>
      <w:r w:rsidR="00507189">
        <w:rPr>
          <w:rFonts w:hint="eastAsia"/>
          <w:iCs/>
          <w:sz w:val="24"/>
        </w:rPr>
        <w:t>7</w:t>
      </w:r>
      <w:r w:rsidR="00507189">
        <w:rPr>
          <w:rFonts w:hint="eastAsia"/>
          <w:iCs/>
          <w:sz w:val="24"/>
        </w:rPr>
        <w:t>月至</w:t>
      </w:r>
      <w:r w:rsidRPr="00ED2846">
        <w:rPr>
          <w:iCs/>
          <w:sz w:val="24"/>
        </w:rPr>
        <w:t>2022</w:t>
      </w:r>
      <w:r w:rsidRPr="008D31A1">
        <w:rPr>
          <w:rFonts w:ascii="SimSun" w:hAnsi="SimSun" w:cs="SimSun" w:hint="eastAsia"/>
          <w:iCs/>
          <w:sz w:val="24"/>
        </w:rPr>
        <w:t>年</w:t>
      </w:r>
      <w:r w:rsidR="00507189" w:rsidRPr="00575CC3">
        <w:rPr>
          <w:rFonts w:hint="eastAsia"/>
          <w:iCs/>
          <w:sz w:val="24"/>
        </w:rPr>
        <w:t>6</w:t>
      </w:r>
      <w:r w:rsidR="00507189">
        <w:rPr>
          <w:rFonts w:ascii="SimSun" w:hAnsi="SimSun" w:cs="SimSun" w:hint="eastAsia"/>
          <w:iCs/>
          <w:sz w:val="24"/>
        </w:rPr>
        <w:t>月</w:t>
      </w:r>
      <w:r w:rsidRPr="008D31A1">
        <w:rPr>
          <w:rFonts w:ascii="SimSun" w:hAnsi="SimSun" w:cs="SimSun" w:hint="eastAsia"/>
          <w:iCs/>
          <w:sz w:val="24"/>
        </w:rPr>
        <w:t>），以及进一步的指导；</w:t>
      </w:r>
      <w:r w:rsidRPr="008D31A1">
        <w:rPr>
          <w:iCs/>
          <w:sz w:val="24"/>
          <w:vertAlign w:val="superscript"/>
        </w:rPr>
        <w:footnoteReference w:id="3"/>
      </w:r>
    </w:p>
    <w:p w:rsidR="00507189" w:rsidRPr="00507189" w:rsidRDefault="006F1774" w:rsidP="008F2823">
      <w:pPr>
        <w:pStyle w:val="Para1"/>
        <w:numPr>
          <w:ilvl w:val="0"/>
          <w:numId w:val="1"/>
        </w:numPr>
        <w:tabs>
          <w:tab w:val="clear" w:pos="360"/>
          <w:tab w:val="num" w:pos="1440"/>
        </w:tabs>
        <w:spacing w:before="120" w:line="240" w:lineRule="atLeast"/>
        <w:ind w:firstLine="720"/>
        <w:rPr>
          <w:sz w:val="24"/>
        </w:rPr>
      </w:pPr>
      <w:r w:rsidRPr="00763401">
        <w:rPr>
          <w:rFonts w:ascii="KaiTi" w:eastAsia="KaiTi" w:hAnsi="KaiTi" w:cs="SimSun"/>
          <w:kern w:val="20"/>
          <w:sz w:val="24"/>
        </w:rPr>
        <w:t>欢迎</w:t>
      </w:r>
      <w:r w:rsidRPr="00763401">
        <w:rPr>
          <w:rFonts w:eastAsiaTheme="minorEastAsia"/>
          <w:kern w:val="22"/>
          <w:sz w:val="24"/>
        </w:rPr>
        <w:t>全球环境基金审查和更新其环境和社会保障措施及其各机构的相关系统的进程</w:t>
      </w:r>
      <w:r w:rsidRPr="008A2252">
        <w:rPr>
          <w:rFonts w:eastAsiaTheme="minorEastAsia" w:hint="eastAsia"/>
          <w:kern w:val="22"/>
          <w:sz w:val="24"/>
        </w:rPr>
        <w:t>以及</w:t>
      </w:r>
      <w:r w:rsidRPr="00C305DB">
        <w:rPr>
          <w:rFonts w:ascii="SimSun" w:hAnsi="SimSun" w:cs="SimSun" w:hint="eastAsia"/>
          <w:color w:val="212121"/>
          <w:sz w:val="24"/>
        </w:rPr>
        <w:t>在</w:t>
      </w:r>
      <w:r>
        <w:rPr>
          <w:rFonts w:ascii="SimSun" w:hAnsi="SimSun" w:cs="SimSun" w:hint="eastAsia"/>
          <w:color w:val="212121"/>
          <w:sz w:val="24"/>
        </w:rPr>
        <w:t>新的性别平等实施</w:t>
      </w:r>
      <w:r>
        <w:rPr>
          <w:rFonts w:ascii="SimSun" w:hAnsi="SimSun" w:cs="SimSun"/>
          <w:color w:val="212121"/>
          <w:sz w:val="24"/>
        </w:rPr>
        <w:t>战略</w:t>
      </w:r>
      <w:r w:rsidRPr="00C305DB">
        <w:rPr>
          <w:rFonts w:ascii="SimSun" w:hAnsi="SimSun" w:cs="SimSun" w:hint="eastAsia"/>
          <w:color w:val="212121"/>
          <w:sz w:val="24"/>
        </w:rPr>
        <w:t>中推进性别平等的指导意见</w:t>
      </w:r>
      <w:r w:rsidRPr="00763401">
        <w:rPr>
          <w:rFonts w:eastAsiaTheme="minorEastAsia"/>
          <w:kern w:val="22"/>
          <w:sz w:val="24"/>
        </w:rPr>
        <w:t>，同时注意到结果将同样适用于全球环境基金资助的所有项目，并邀请全球环境基金向缔约方大会通报如何在其重要进程中考虑《公约》的生物多样性融资机制保障措施自愿准则；</w:t>
      </w:r>
    </w:p>
    <w:p w:rsidR="006F1774" w:rsidRDefault="006F1774" w:rsidP="008F2823">
      <w:pPr>
        <w:pStyle w:val="Para1"/>
        <w:numPr>
          <w:ilvl w:val="0"/>
          <w:numId w:val="1"/>
        </w:numPr>
        <w:tabs>
          <w:tab w:val="clear" w:pos="360"/>
          <w:tab w:val="num" w:pos="1440"/>
        </w:tabs>
        <w:spacing w:before="120" w:line="240" w:lineRule="atLeast"/>
        <w:ind w:firstLine="720"/>
        <w:rPr>
          <w:sz w:val="24"/>
        </w:rPr>
      </w:pPr>
      <w:r w:rsidRPr="00642F5F">
        <w:rPr>
          <w:rFonts w:ascii="KaiTi" w:eastAsia="KaiTi" w:hAnsi="KaiTi" w:hint="eastAsia"/>
          <w:sz w:val="24"/>
        </w:rPr>
        <w:lastRenderedPageBreak/>
        <w:t>注意到</w:t>
      </w:r>
      <w:r w:rsidRPr="00642F5F">
        <w:rPr>
          <w:rFonts w:ascii="SimSun" w:hAnsi="SimSun" w:cs="SimSun" w:hint="eastAsia"/>
          <w:sz w:val="24"/>
        </w:rPr>
        <w:t>正在根据最佳做法标准，审查和更新全球环境基金关于保障措施的政策和与</w:t>
      </w:r>
      <w:r>
        <w:rPr>
          <w:rFonts w:ascii="SimSun" w:hAnsi="SimSun" w:cs="SimSun" w:hint="eastAsia"/>
          <w:sz w:val="24"/>
        </w:rPr>
        <w:t>土著</w:t>
      </w:r>
      <w:r w:rsidRPr="00642F5F">
        <w:rPr>
          <w:rFonts w:ascii="SimSun" w:hAnsi="SimSun" w:cs="SimSun" w:hint="eastAsia"/>
          <w:sz w:val="24"/>
        </w:rPr>
        <w:t>人民接触的规则；</w:t>
      </w:r>
    </w:p>
    <w:p w:rsidR="00BC3E58" w:rsidRPr="008D31A1" w:rsidRDefault="00BC3E58" w:rsidP="008F2823">
      <w:pPr>
        <w:pStyle w:val="Para1"/>
        <w:numPr>
          <w:ilvl w:val="0"/>
          <w:numId w:val="1"/>
        </w:numPr>
        <w:tabs>
          <w:tab w:val="clear" w:pos="360"/>
          <w:tab w:val="num" w:pos="1440"/>
        </w:tabs>
        <w:spacing w:before="120" w:line="240" w:lineRule="atLeast"/>
        <w:ind w:firstLine="720"/>
        <w:rPr>
          <w:sz w:val="24"/>
        </w:rPr>
      </w:pPr>
      <w:r w:rsidRPr="00424A94">
        <w:rPr>
          <w:rFonts w:ascii="KaiTi" w:eastAsia="KaiTi" w:hAnsi="KaiTi" w:hint="eastAsia"/>
          <w:sz w:val="24"/>
        </w:rPr>
        <w:t>邀请</w:t>
      </w:r>
      <w:r w:rsidRPr="008D31A1">
        <w:rPr>
          <w:rFonts w:ascii="SimSun" w:hAnsi="SimSun" w:cs="SimSun" w:hint="eastAsia"/>
          <w:iCs/>
          <w:sz w:val="24"/>
        </w:rPr>
        <w:t>各缔约方在利用全球环境基金第七次充资拨款的同时，</w:t>
      </w:r>
      <w:r>
        <w:rPr>
          <w:rFonts w:ascii="SimSun" w:hAnsi="SimSun" w:cs="SimSun" w:hint="eastAsia"/>
          <w:iCs/>
          <w:sz w:val="24"/>
        </w:rPr>
        <w:t>酌情</w:t>
      </w:r>
      <w:r w:rsidRPr="008D31A1">
        <w:rPr>
          <w:rFonts w:ascii="SimSun" w:hAnsi="SimSun" w:cs="SimSun" w:hint="eastAsia"/>
          <w:iCs/>
          <w:sz w:val="24"/>
        </w:rPr>
        <w:t>通过土著人民和地方社区的各种方案、项目和活动，包括全球环境基金的小额赠款计划</w:t>
      </w:r>
      <w:r>
        <w:rPr>
          <w:rFonts w:ascii="SimSun" w:hAnsi="SimSun" w:cs="SimSun" w:hint="eastAsia"/>
          <w:iCs/>
          <w:sz w:val="24"/>
        </w:rPr>
        <w:t>，</w:t>
      </w:r>
      <w:r>
        <w:rPr>
          <w:rFonts w:ascii="SimSun" w:hAnsi="SimSun" w:cs="SimSun" w:hint="eastAsia"/>
          <w:iCs/>
          <w:sz w:val="24"/>
          <w:lang w:val="en-US"/>
        </w:rPr>
        <w:t>支持</w:t>
      </w:r>
      <w:r w:rsidRPr="008D31A1">
        <w:rPr>
          <w:rFonts w:ascii="SimSun" w:hAnsi="SimSun" w:cs="SimSun" w:hint="eastAsia"/>
          <w:iCs/>
          <w:sz w:val="24"/>
        </w:rPr>
        <w:t>土著人民和地方社区对实现</w:t>
      </w:r>
      <w:r>
        <w:rPr>
          <w:rFonts w:ascii="SimSun" w:hAnsi="SimSun" w:cs="SimSun" w:hint="eastAsia"/>
          <w:iCs/>
          <w:sz w:val="24"/>
        </w:rPr>
        <w:t>爱知生物多样性指标</w:t>
      </w:r>
      <w:r w:rsidRPr="008D31A1">
        <w:rPr>
          <w:rFonts w:ascii="SimSun" w:hAnsi="SimSun" w:cs="SimSun" w:hint="eastAsia"/>
          <w:iCs/>
          <w:sz w:val="24"/>
        </w:rPr>
        <w:t>的集体行动和贡献；</w:t>
      </w:r>
    </w:p>
    <w:p w:rsidR="006F1774" w:rsidRPr="006F1774" w:rsidRDefault="006F1774" w:rsidP="008F2823">
      <w:pPr>
        <w:pStyle w:val="Para1"/>
        <w:numPr>
          <w:ilvl w:val="0"/>
          <w:numId w:val="1"/>
        </w:numPr>
        <w:tabs>
          <w:tab w:val="clear" w:pos="360"/>
          <w:tab w:val="num" w:pos="1440"/>
        </w:tabs>
        <w:spacing w:before="120" w:line="240" w:lineRule="atLeast"/>
        <w:ind w:firstLine="720"/>
        <w:rPr>
          <w:iCs/>
          <w:sz w:val="24"/>
        </w:rPr>
      </w:pPr>
      <w:r w:rsidRPr="00642F5F">
        <w:rPr>
          <w:rFonts w:ascii="KaiTi" w:eastAsia="KaiTi" w:hAnsi="KaiTi" w:hint="eastAsia"/>
          <w:sz w:val="24"/>
        </w:rPr>
        <w:t>邀请</w:t>
      </w:r>
      <w:r w:rsidRPr="00642F5F">
        <w:rPr>
          <w:rFonts w:ascii="SimSun" w:hAnsi="SimSun" w:cs="SimSun" w:hint="eastAsia"/>
          <w:sz w:val="24"/>
        </w:rPr>
        <w:t>全球环境基金</w:t>
      </w:r>
      <w:r>
        <w:rPr>
          <w:rFonts w:ascii="SimSun" w:hAnsi="SimSun" w:cs="SimSun" w:hint="eastAsia"/>
          <w:sz w:val="24"/>
        </w:rPr>
        <w:t>以有效的方式继续</w:t>
      </w:r>
      <w:r w:rsidRPr="00642F5F">
        <w:rPr>
          <w:rFonts w:ascii="SimSun" w:hAnsi="SimSun" w:cs="SimSun" w:hint="eastAsia"/>
          <w:sz w:val="24"/>
        </w:rPr>
        <w:t>支持</w:t>
      </w:r>
      <w:r>
        <w:rPr>
          <w:rFonts w:ascii="SimSun" w:hAnsi="SimSun" w:cs="SimSun" w:hint="eastAsia"/>
          <w:sz w:val="24"/>
        </w:rPr>
        <w:t>根据</w:t>
      </w:r>
      <w:r w:rsidRPr="00F53B46">
        <w:rPr>
          <w:iCs/>
          <w:sz w:val="24"/>
        </w:rPr>
        <w:t>《</w:t>
      </w:r>
      <w:r w:rsidRPr="00F53B46">
        <w:rPr>
          <w:iCs/>
          <w:sz w:val="24"/>
        </w:rPr>
        <w:t>2011-2020</w:t>
      </w:r>
      <w:r w:rsidRPr="00642F5F">
        <w:rPr>
          <w:rFonts w:ascii="SimSun" w:hAnsi="SimSun" w:cs="SimSun" w:hint="eastAsia"/>
          <w:sz w:val="24"/>
        </w:rPr>
        <w:t>年生物多样性战略计划》</w:t>
      </w:r>
      <w:r>
        <w:rPr>
          <w:rFonts w:ascii="SimSun" w:hAnsi="SimSun" w:cs="SimSun" w:hint="eastAsia"/>
          <w:sz w:val="24"/>
        </w:rPr>
        <w:t>进行</w:t>
      </w:r>
      <w:r w:rsidRPr="00642F5F">
        <w:rPr>
          <w:rFonts w:ascii="SimSun" w:hAnsi="SimSun" w:cs="SimSun" w:hint="eastAsia"/>
          <w:sz w:val="24"/>
        </w:rPr>
        <w:t>的国家执行活动，以期缔约方能在</w:t>
      </w:r>
      <w:r w:rsidRPr="00EC66BF">
        <w:rPr>
          <w:sz w:val="24"/>
        </w:rPr>
        <w:t>2020</w:t>
      </w:r>
      <w:r w:rsidRPr="00642F5F">
        <w:rPr>
          <w:rFonts w:ascii="SimSun" w:hAnsi="SimSun" w:cs="SimSun" w:hint="eastAsia"/>
          <w:sz w:val="24"/>
        </w:rPr>
        <w:t>年前加强</w:t>
      </w:r>
      <w:r>
        <w:rPr>
          <w:rFonts w:ascii="SimSun" w:hAnsi="SimSun" w:cs="SimSun" w:hint="eastAsia"/>
          <w:sz w:val="24"/>
        </w:rPr>
        <w:t>爱知生物多样性指标的进展</w:t>
      </w:r>
      <w:r w:rsidRPr="00642F5F">
        <w:rPr>
          <w:rFonts w:ascii="SimSun" w:hAnsi="SimSun" w:cs="SimSun" w:hint="eastAsia"/>
          <w:sz w:val="24"/>
        </w:rPr>
        <w:t>；</w:t>
      </w:r>
    </w:p>
    <w:p w:rsidR="00BC3E58" w:rsidRPr="008D31A1" w:rsidRDefault="00BC3E58" w:rsidP="008F2823">
      <w:pPr>
        <w:pStyle w:val="Para1"/>
        <w:numPr>
          <w:ilvl w:val="0"/>
          <w:numId w:val="1"/>
        </w:numPr>
        <w:tabs>
          <w:tab w:val="clear" w:pos="360"/>
          <w:tab w:val="num" w:pos="1440"/>
        </w:tabs>
        <w:spacing w:before="120" w:line="240" w:lineRule="atLeast"/>
        <w:ind w:firstLine="720"/>
        <w:rPr>
          <w:iCs/>
          <w:sz w:val="24"/>
        </w:rPr>
      </w:pPr>
      <w:r w:rsidRPr="007F336C">
        <w:rPr>
          <w:rFonts w:ascii="KaiTi" w:eastAsia="KaiTi" w:hAnsi="KaiTi" w:hint="eastAsia"/>
          <w:sz w:val="24"/>
        </w:rPr>
        <w:t>邀请</w:t>
      </w:r>
      <w:r w:rsidRPr="008D31A1">
        <w:rPr>
          <w:rFonts w:ascii="SimSun" w:hAnsi="SimSun" w:cs="SimSun" w:hint="eastAsia"/>
          <w:iCs/>
          <w:sz w:val="24"/>
        </w:rPr>
        <w:t>全球环境基金按照第</w:t>
      </w:r>
      <w:r w:rsidRPr="00F53B46">
        <w:rPr>
          <w:iCs/>
          <w:sz w:val="24"/>
        </w:rPr>
        <w:t>XIII/21</w:t>
      </w:r>
      <w:r w:rsidRPr="008D31A1">
        <w:rPr>
          <w:rFonts w:ascii="SimSun" w:hAnsi="SimSun" w:cs="SimSun" w:hint="eastAsia"/>
          <w:iCs/>
          <w:sz w:val="24"/>
        </w:rPr>
        <w:t>号决定</w:t>
      </w:r>
      <w:r>
        <w:rPr>
          <w:rFonts w:ascii="SimSun" w:hAnsi="SimSun" w:cs="SimSun" w:hint="eastAsia"/>
          <w:iCs/>
          <w:sz w:val="24"/>
        </w:rPr>
        <w:t>所载</w:t>
      </w:r>
      <w:r w:rsidR="00F4523D">
        <w:rPr>
          <w:rFonts w:ascii="SimSun" w:hAnsi="SimSun" w:cs="SimSun" w:hint="eastAsia"/>
          <w:iCs/>
          <w:sz w:val="24"/>
        </w:rPr>
        <w:t>综合指导继续向所有符合资格</w:t>
      </w:r>
      <w:r w:rsidRPr="008D31A1">
        <w:rPr>
          <w:rFonts w:ascii="SimSun" w:hAnsi="SimSun" w:cs="SimSun" w:hint="eastAsia"/>
          <w:iCs/>
          <w:sz w:val="24"/>
        </w:rPr>
        <w:t>的缔约方提供能力建设</w:t>
      </w:r>
      <w:r>
        <w:rPr>
          <w:rFonts w:ascii="SimSun" w:hAnsi="SimSun" w:cs="SimSun" w:hint="eastAsia"/>
          <w:iCs/>
          <w:sz w:val="24"/>
        </w:rPr>
        <w:t>支持</w:t>
      </w:r>
      <w:r w:rsidRPr="008D31A1">
        <w:rPr>
          <w:rFonts w:ascii="SimSun" w:hAnsi="SimSun" w:cs="SimSun" w:hint="eastAsia"/>
          <w:iCs/>
          <w:sz w:val="24"/>
        </w:rPr>
        <w:t>：</w:t>
      </w:r>
    </w:p>
    <w:p w:rsidR="00BC3E58" w:rsidRPr="008D31A1" w:rsidRDefault="00BC3E58" w:rsidP="008F2823">
      <w:pPr>
        <w:pStyle w:val="Para1"/>
        <w:numPr>
          <w:ilvl w:val="1"/>
          <w:numId w:val="1"/>
        </w:numPr>
        <w:spacing w:before="120" w:line="240" w:lineRule="atLeast"/>
        <w:rPr>
          <w:iCs/>
          <w:sz w:val="24"/>
        </w:rPr>
      </w:pPr>
      <w:r w:rsidRPr="008D31A1">
        <w:rPr>
          <w:rFonts w:ascii="SimSun" w:hAnsi="SimSun" w:cs="SimSun" w:hint="eastAsia"/>
          <w:iCs/>
          <w:sz w:val="24"/>
        </w:rPr>
        <w:t>关于缔约方确定的问题，促进进一步执行《卡塔赫纳生物安全议定书》和《获取和惠益分享名古屋议定书》，包括区域合作项目，以便利分享</w:t>
      </w:r>
      <w:r>
        <w:rPr>
          <w:rFonts w:ascii="SimSun" w:hAnsi="SimSun" w:cs="SimSun" w:hint="eastAsia"/>
          <w:iCs/>
          <w:sz w:val="24"/>
        </w:rPr>
        <w:t>取得</w:t>
      </w:r>
      <w:r w:rsidRPr="008D31A1">
        <w:rPr>
          <w:rFonts w:ascii="SimSun" w:hAnsi="SimSun" w:cs="SimSun" w:hint="eastAsia"/>
          <w:iCs/>
          <w:sz w:val="24"/>
        </w:rPr>
        <w:t>的经验教训，并利用相关的协同作用；</w:t>
      </w:r>
    </w:p>
    <w:p w:rsidR="00BC3E58" w:rsidRPr="008D31A1" w:rsidRDefault="00BC3E58" w:rsidP="008F2823">
      <w:pPr>
        <w:pStyle w:val="Para1"/>
        <w:numPr>
          <w:ilvl w:val="1"/>
          <w:numId w:val="1"/>
        </w:numPr>
        <w:tabs>
          <w:tab w:val="clear" w:pos="1440"/>
        </w:tabs>
        <w:spacing w:before="120" w:line="240" w:lineRule="atLeast"/>
        <w:rPr>
          <w:iCs/>
          <w:sz w:val="24"/>
        </w:rPr>
      </w:pPr>
      <w:r w:rsidRPr="008D31A1">
        <w:rPr>
          <w:rFonts w:ascii="SimSun" w:hAnsi="SimSun" w:cs="SimSun" w:hint="eastAsia"/>
          <w:sz w:val="24"/>
        </w:rPr>
        <w:t>根据持续加强能力建设促进有效参与生物安全信息交换所的项目期间和利用生物多样性重点领域资源中学得的经验教训，利用获取和惠益分享信息交换所；</w:t>
      </w:r>
    </w:p>
    <w:p w:rsidR="0043596C" w:rsidRPr="004D1C8A" w:rsidRDefault="0043596C" w:rsidP="008F2823">
      <w:pPr>
        <w:pStyle w:val="Para1"/>
        <w:numPr>
          <w:ilvl w:val="0"/>
          <w:numId w:val="1"/>
        </w:numPr>
        <w:tabs>
          <w:tab w:val="clear" w:pos="360"/>
          <w:tab w:val="num" w:pos="1440"/>
        </w:tabs>
        <w:spacing w:before="120" w:line="240" w:lineRule="atLeast"/>
        <w:ind w:firstLine="720"/>
        <w:rPr>
          <w:sz w:val="24"/>
          <w:szCs w:val="24"/>
        </w:rPr>
      </w:pPr>
      <w:r w:rsidRPr="004D1C8A">
        <w:rPr>
          <w:rFonts w:ascii="SimSun" w:hAnsi="SimSun" w:cs="SimSun" w:hint="eastAsia"/>
          <w:kern w:val="22"/>
          <w:sz w:val="24"/>
          <w:szCs w:val="24"/>
        </w:rPr>
        <w:t>邀请全球环境基金</w:t>
      </w:r>
      <w:r>
        <w:rPr>
          <w:rFonts w:ascii="SimSun" w:hAnsi="SimSun" w:cs="SimSun" w:hint="eastAsia"/>
          <w:kern w:val="22"/>
          <w:sz w:val="24"/>
          <w:szCs w:val="24"/>
        </w:rPr>
        <w:t>继续</w:t>
      </w:r>
      <w:r w:rsidRPr="004D1C8A">
        <w:rPr>
          <w:rFonts w:ascii="SimSun" w:hAnsi="SimSun" w:cs="SimSun" w:hint="eastAsia"/>
          <w:kern w:val="22"/>
          <w:sz w:val="24"/>
          <w:szCs w:val="24"/>
        </w:rPr>
        <w:t>提供资金</w:t>
      </w:r>
      <w:r>
        <w:rPr>
          <w:rFonts w:ascii="SimSun" w:hAnsi="SimSun" w:cs="SimSun" w:hint="eastAsia"/>
          <w:kern w:val="22"/>
          <w:sz w:val="24"/>
          <w:szCs w:val="24"/>
        </w:rPr>
        <w:t>，协助</w:t>
      </w:r>
      <w:r w:rsidRPr="004D1C8A">
        <w:rPr>
          <w:rFonts w:ascii="SimSun" w:hAnsi="SimSun" w:cs="SimSun" w:hint="eastAsia"/>
          <w:kern w:val="22"/>
          <w:sz w:val="24"/>
          <w:szCs w:val="24"/>
        </w:rPr>
        <w:t>符合资格的缔约方</w:t>
      </w:r>
      <w:r>
        <w:rPr>
          <w:rFonts w:ascii="SimSun" w:hAnsi="SimSun" w:cs="SimSun" w:hint="eastAsia"/>
          <w:kern w:val="22"/>
          <w:sz w:val="24"/>
          <w:szCs w:val="24"/>
        </w:rPr>
        <w:t>执行《卡塔赫纳议定书》，特别是</w:t>
      </w:r>
      <w:r w:rsidRPr="004D1C8A">
        <w:rPr>
          <w:rFonts w:ascii="SimSun" w:hAnsi="SimSun" w:cs="SimSun" w:hint="eastAsia"/>
          <w:sz w:val="24"/>
          <w:szCs w:val="24"/>
        </w:rPr>
        <w:t>：</w:t>
      </w:r>
    </w:p>
    <w:p w:rsidR="0043596C" w:rsidRPr="004D1C8A" w:rsidRDefault="0043596C" w:rsidP="008F2823">
      <w:pPr>
        <w:pStyle w:val="Para3"/>
        <w:numPr>
          <w:ilvl w:val="2"/>
          <w:numId w:val="10"/>
        </w:numPr>
        <w:tabs>
          <w:tab w:val="clear" w:pos="1980"/>
        </w:tabs>
        <w:adjustRightInd w:val="0"/>
        <w:snapToGrid w:val="0"/>
        <w:spacing w:before="120" w:after="120"/>
        <w:ind w:left="0" w:firstLine="720"/>
        <w:rPr>
          <w:kern w:val="22"/>
          <w:sz w:val="24"/>
          <w:szCs w:val="24"/>
        </w:rPr>
      </w:pPr>
      <w:r w:rsidRPr="004D1C8A">
        <w:rPr>
          <w:rFonts w:ascii="SimSun" w:hAnsi="SimSun" w:cs="SimSun" w:hint="eastAsia"/>
          <w:kern w:val="22"/>
          <w:sz w:val="24"/>
          <w:szCs w:val="24"/>
        </w:rPr>
        <w:t>协助尚未这样做的符合资格的缔约方充分落实执行《议定书》的各项措施；</w:t>
      </w:r>
    </w:p>
    <w:p w:rsidR="0043596C" w:rsidRPr="0043596C" w:rsidRDefault="0043596C" w:rsidP="008F2823">
      <w:pPr>
        <w:pStyle w:val="Para3"/>
        <w:numPr>
          <w:ilvl w:val="2"/>
          <w:numId w:val="10"/>
        </w:numPr>
        <w:tabs>
          <w:tab w:val="clear" w:pos="1980"/>
        </w:tabs>
        <w:adjustRightInd w:val="0"/>
        <w:snapToGrid w:val="0"/>
        <w:spacing w:before="120" w:after="120"/>
        <w:ind w:left="0" w:firstLine="720"/>
        <w:rPr>
          <w:kern w:val="22"/>
          <w:sz w:val="24"/>
          <w:szCs w:val="24"/>
        </w:rPr>
      </w:pPr>
      <w:r>
        <w:rPr>
          <w:rFonts w:ascii="SimSun" w:hAnsi="SimSun" w:cs="SimSun" w:hint="eastAsia"/>
          <w:kern w:val="22"/>
          <w:sz w:val="24"/>
          <w:szCs w:val="24"/>
        </w:rPr>
        <w:t>支持</w:t>
      </w:r>
      <w:r w:rsidRPr="004D1C8A">
        <w:rPr>
          <w:rFonts w:ascii="SimSun" w:hAnsi="SimSun" w:cs="SimSun" w:hint="eastAsia"/>
          <w:kern w:val="22"/>
          <w:sz w:val="24"/>
          <w:szCs w:val="24"/>
        </w:rPr>
        <w:t>符合资格的缔约方</w:t>
      </w:r>
      <w:r>
        <w:rPr>
          <w:rFonts w:ascii="SimSun" w:hAnsi="SimSun" w:cs="SimSun" w:hint="eastAsia"/>
          <w:kern w:val="22"/>
          <w:sz w:val="24"/>
          <w:szCs w:val="24"/>
        </w:rPr>
        <w:t>履行其《议定书》规定的报告义务，包括编写和提交《议定书》规定的</w:t>
      </w:r>
      <w:r w:rsidRPr="004D1C8A">
        <w:rPr>
          <w:rFonts w:ascii="SimSun" w:hAnsi="SimSun" w:cs="SimSun" w:hint="eastAsia"/>
          <w:kern w:val="22"/>
          <w:sz w:val="24"/>
          <w:szCs w:val="24"/>
        </w:rPr>
        <w:t>第四次国家报告；</w:t>
      </w:r>
    </w:p>
    <w:p w:rsidR="0043596C" w:rsidRPr="004D1C8A" w:rsidRDefault="0043596C" w:rsidP="008F2823">
      <w:pPr>
        <w:pStyle w:val="Para3"/>
        <w:numPr>
          <w:ilvl w:val="2"/>
          <w:numId w:val="10"/>
        </w:numPr>
        <w:tabs>
          <w:tab w:val="clear" w:pos="1980"/>
        </w:tabs>
        <w:adjustRightInd w:val="0"/>
        <w:snapToGrid w:val="0"/>
        <w:spacing w:before="120" w:after="120"/>
        <w:ind w:left="0" w:firstLine="720"/>
        <w:rPr>
          <w:kern w:val="22"/>
          <w:sz w:val="24"/>
          <w:szCs w:val="24"/>
        </w:rPr>
      </w:pPr>
      <w:r w:rsidRPr="0043596C">
        <w:rPr>
          <w:rFonts w:hint="eastAsia"/>
          <w:kern w:val="22"/>
          <w:sz w:val="24"/>
          <w:szCs w:val="24"/>
        </w:rPr>
        <w:t>支持各缔约方执行关于遵守《议定书》的履约行动计划；</w:t>
      </w:r>
    </w:p>
    <w:p w:rsidR="0043596C" w:rsidRPr="0043596C" w:rsidRDefault="0043596C" w:rsidP="008F2823">
      <w:pPr>
        <w:pStyle w:val="Para1"/>
        <w:numPr>
          <w:ilvl w:val="0"/>
          <w:numId w:val="1"/>
        </w:numPr>
        <w:tabs>
          <w:tab w:val="clear" w:pos="360"/>
          <w:tab w:val="num" w:pos="1440"/>
        </w:tabs>
        <w:spacing w:before="120" w:line="240" w:lineRule="atLeast"/>
        <w:ind w:firstLine="720"/>
        <w:rPr>
          <w:rFonts w:eastAsia="KaiTi"/>
          <w:sz w:val="24"/>
        </w:rPr>
      </w:pPr>
      <w:r w:rsidRPr="004060A9">
        <w:rPr>
          <w:rFonts w:ascii="KaiTi" w:eastAsia="KaiTi" w:hAnsi="KaiTi" w:hint="eastAsia"/>
          <w:kern w:val="22"/>
          <w:sz w:val="24"/>
        </w:rPr>
        <w:t>邀请</w:t>
      </w:r>
      <w:r w:rsidRPr="004060A9">
        <w:rPr>
          <w:rFonts w:eastAsiaTheme="minorEastAsia" w:hint="eastAsia"/>
          <w:sz w:val="24"/>
        </w:rPr>
        <w:t>全球环境基金</w:t>
      </w:r>
      <w:r>
        <w:rPr>
          <w:rFonts w:eastAsiaTheme="minorEastAsia" w:hint="eastAsia"/>
          <w:sz w:val="24"/>
        </w:rPr>
        <w:t>和相关</w:t>
      </w:r>
      <w:r>
        <w:rPr>
          <w:rFonts w:eastAsiaTheme="minorEastAsia"/>
          <w:sz w:val="24"/>
        </w:rPr>
        <w:t>融资机构</w:t>
      </w:r>
      <w:r w:rsidRPr="004060A9">
        <w:rPr>
          <w:rFonts w:eastAsiaTheme="minorEastAsia" w:hint="eastAsia"/>
          <w:sz w:val="24"/>
        </w:rPr>
        <w:t>为</w:t>
      </w:r>
      <w:r>
        <w:rPr>
          <w:rFonts w:eastAsiaTheme="minorEastAsia" w:hint="eastAsia"/>
          <w:sz w:val="24"/>
        </w:rPr>
        <w:t>支持执行《卡塔赫纳议定书》的</w:t>
      </w:r>
      <w:r w:rsidRPr="004060A9">
        <w:rPr>
          <w:rFonts w:eastAsiaTheme="minorEastAsia" w:hint="eastAsia"/>
          <w:sz w:val="24"/>
        </w:rPr>
        <w:t>区域项目</w:t>
      </w:r>
      <w:r>
        <w:rPr>
          <w:rFonts w:eastAsiaTheme="minorEastAsia" w:hint="eastAsia"/>
          <w:sz w:val="24"/>
        </w:rPr>
        <w:t>和</w:t>
      </w:r>
      <w:r>
        <w:rPr>
          <w:rFonts w:eastAsiaTheme="minorEastAsia"/>
          <w:sz w:val="24"/>
        </w:rPr>
        <w:t>旨在建立科学能力的项目</w:t>
      </w:r>
      <w:r w:rsidRPr="004060A9">
        <w:rPr>
          <w:rFonts w:eastAsiaTheme="minorEastAsia" w:hint="eastAsia"/>
          <w:sz w:val="24"/>
        </w:rPr>
        <w:t>提供资金，以支持各国采取行动，检测和识别改性活生物体，特别是可以促进南北和南南分享经验和教训；</w:t>
      </w:r>
    </w:p>
    <w:p w:rsidR="006203D7" w:rsidRPr="006203D7" w:rsidRDefault="006203D7" w:rsidP="008F2823">
      <w:pPr>
        <w:pStyle w:val="Para1"/>
        <w:numPr>
          <w:ilvl w:val="0"/>
          <w:numId w:val="1"/>
        </w:numPr>
        <w:tabs>
          <w:tab w:val="clear" w:pos="360"/>
          <w:tab w:val="num" w:pos="1440"/>
        </w:tabs>
        <w:spacing w:before="120" w:line="240" w:lineRule="atLeast"/>
        <w:ind w:firstLine="720"/>
        <w:rPr>
          <w:rFonts w:eastAsia="KaiTi"/>
          <w:sz w:val="24"/>
        </w:rPr>
      </w:pPr>
      <w:r w:rsidRPr="00FE219B">
        <w:rPr>
          <w:rFonts w:ascii="KaiTi" w:eastAsia="KaiTi" w:hAnsi="KaiTi" w:hint="eastAsia"/>
          <w:kern w:val="22"/>
          <w:sz w:val="24"/>
          <w:szCs w:val="24"/>
        </w:rPr>
        <w:t>表示赞赏</w:t>
      </w:r>
      <w:r w:rsidR="00F4523D">
        <w:rPr>
          <w:rFonts w:hint="eastAsia"/>
          <w:kern w:val="22"/>
          <w:sz w:val="24"/>
          <w:szCs w:val="24"/>
        </w:rPr>
        <w:t>全球环境基金为若干符合资格</w:t>
      </w:r>
      <w:r w:rsidRPr="00FE219B">
        <w:rPr>
          <w:rFonts w:hint="eastAsia"/>
          <w:kern w:val="22"/>
          <w:sz w:val="24"/>
          <w:szCs w:val="24"/>
        </w:rPr>
        <w:t>的缔约方提供财政支助支持其编写</w:t>
      </w:r>
      <w:r>
        <w:rPr>
          <w:rFonts w:hint="eastAsia"/>
          <w:kern w:val="22"/>
          <w:sz w:val="24"/>
          <w:szCs w:val="24"/>
        </w:rPr>
        <w:t>关于其履行《名古屋议定书》规定义务的</w:t>
      </w:r>
      <w:r w:rsidRPr="00FE219B">
        <w:rPr>
          <w:rFonts w:hint="eastAsia"/>
          <w:kern w:val="22"/>
          <w:sz w:val="24"/>
          <w:szCs w:val="24"/>
        </w:rPr>
        <w:t>临时国家报告，并</w:t>
      </w:r>
      <w:r w:rsidRPr="00970BCE">
        <w:rPr>
          <w:rFonts w:ascii="KaiTi" w:eastAsia="KaiTi" w:hAnsi="KaiTi" w:hint="eastAsia"/>
          <w:kern w:val="22"/>
          <w:sz w:val="24"/>
          <w:szCs w:val="24"/>
        </w:rPr>
        <w:t>注意到</w:t>
      </w:r>
      <w:r w:rsidRPr="00970BCE">
        <w:rPr>
          <w:rFonts w:hint="eastAsia"/>
          <w:kern w:val="22"/>
          <w:sz w:val="24"/>
          <w:szCs w:val="24"/>
        </w:rPr>
        <w:t>及时提供</w:t>
      </w:r>
      <w:r>
        <w:rPr>
          <w:rFonts w:hint="eastAsia"/>
          <w:kern w:val="22"/>
          <w:sz w:val="24"/>
          <w:szCs w:val="24"/>
        </w:rPr>
        <w:t>资金</w:t>
      </w:r>
      <w:r w:rsidRPr="00970BCE">
        <w:rPr>
          <w:rFonts w:hint="eastAsia"/>
          <w:kern w:val="22"/>
          <w:sz w:val="24"/>
          <w:szCs w:val="24"/>
        </w:rPr>
        <w:t>支助编写和按截止日期提交国家报告的重要性</w:t>
      </w:r>
      <w:r w:rsidRPr="00FE219B">
        <w:rPr>
          <w:rFonts w:hint="eastAsia"/>
          <w:kern w:val="22"/>
          <w:sz w:val="24"/>
          <w:szCs w:val="24"/>
        </w:rPr>
        <w:t>；</w:t>
      </w:r>
    </w:p>
    <w:p w:rsidR="006203D7" w:rsidRPr="00E650A4" w:rsidRDefault="006203D7" w:rsidP="008F2823">
      <w:pPr>
        <w:pStyle w:val="Para1"/>
        <w:numPr>
          <w:ilvl w:val="0"/>
          <w:numId w:val="1"/>
        </w:numPr>
        <w:tabs>
          <w:tab w:val="clear" w:pos="360"/>
          <w:tab w:val="num" w:pos="1440"/>
        </w:tabs>
        <w:spacing w:before="120" w:line="240" w:lineRule="atLeast"/>
        <w:rPr>
          <w:rFonts w:eastAsia="Times New Roman" w:cs="Times New Roman"/>
          <w:kern w:val="22"/>
          <w:sz w:val="24"/>
        </w:rPr>
      </w:pPr>
      <w:r w:rsidRPr="006203D7">
        <w:rPr>
          <w:rFonts w:ascii="KaiTi" w:eastAsia="KaiTi" w:hAnsi="KaiTi" w:hint="eastAsia"/>
          <w:kern w:val="22"/>
          <w:sz w:val="24"/>
          <w:szCs w:val="24"/>
        </w:rPr>
        <w:t>邀请</w:t>
      </w:r>
      <w:r w:rsidRPr="00E650A4">
        <w:rPr>
          <w:rFonts w:ascii="SimSun" w:hAnsi="SimSun" w:cs="SimSun" w:hint="eastAsia"/>
          <w:kern w:val="22"/>
          <w:sz w:val="24"/>
          <w:lang w:val="zh-CN"/>
        </w:rPr>
        <w:t>全球环境基金继续协助符合资格的缔约方执行《名古屋议定书》</w:t>
      </w:r>
      <w:r w:rsidRPr="00E650A4">
        <w:rPr>
          <w:rFonts w:ascii="SimSun" w:hAnsi="SimSun" w:cs="SimSun" w:hint="eastAsia"/>
          <w:kern w:val="22"/>
          <w:sz w:val="24"/>
        </w:rPr>
        <w:t>，</w:t>
      </w:r>
      <w:r w:rsidRPr="00E650A4">
        <w:rPr>
          <w:rFonts w:ascii="SimSun" w:hAnsi="SimSun" w:cs="SimSun" w:hint="eastAsia"/>
          <w:kern w:val="22"/>
          <w:sz w:val="24"/>
          <w:lang w:val="zh-CN"/>
        </w:rPr>
        <w:t>包括制定有关获取和惠益分享的立法、行政和政策措施及相关体制安排并为此提供资金</w:t>
      </w:r>
      <w:r w:rsidRPr="00E650A4">
        <w:rPr>
          <w:rFonts w:ascii="SimSun" w:hAnsi="SimSun" w:cs="SimSun" w:hint="eastAsia"/>
          <w:kern w:val="22"/>
          <w:sz w:val="24"/>
        </w:rPr>
        <w:t>；</w:t>
      </w:r>
    </w:p>
    <w:p w:rsidR="00C727DD" w:rsidRPr="000C4982" w:rsidRDefault="00C727DD" w:rsidP="008F2823">
      <w:pPr>
        <w:pStyle w:val="Para1"/>
        <w:numPr>
          <w:ilvl w:val="0"/>
          <w:numId w:val="1"/>
        </w:numPr>
        <w:tabs>
          <w:tab w:val="clear" w:pos="360"/>
          <w:tab w:val="num" w:pos="1440"/>
        </w:tabs>
        <w:spacing w:before="120" w:line="240" w:lineRule="atLeast"/>
        <w:ind w:firstLine="720"/>
        <w:rPr>
          <w:rFonts w:eastAsiaTheme="minorEastAsia"/>
          <w:kern w:val="22"/>
          <w:szCs w:val="24"/>
        </w:rPr>
      </w:pPr>
      <w:r w:rsidRPr="00E67AFB">
        <w:rPr>
          <w:rFonts w:ascii="KaiTi" w:eastAsia="KaiTi" w:hAnsi="KaiTi"/>
          <w:kern w:val="22"/>
          <w:sz w:val="24"/>
          <w:szCs w:val="24"/>
        </w:rPr>
        <w:t>认为</w:t>
      </w:r>
      <w:r w:rsidRPr="00C727DD">
        <w:rPr>
          <w:rFonts w:ascii="SimSun" w:hAnsi="SimSun" w:cs="SimSun"/>
          <w:kern w:val="22"/>
          <w:sz w:val="24"/>
          <w:lang w:val="zh-CN"/>
        </w:rPr>
        <w:t>全球环境基金的独立评价办公室于</w:t>
      </w:r>
      <w:r w:rsidRPr="000C4982">
        <w:rPr>
          <w:rFonts w:eastAsiaTheme="minorEastAsia"/>
          <w:szCs w:val="24"/>
          <w:lang w:val="zh-CN"/>
        </w:rPr>
        <w:t>2017</w:t>
      </w:r>
      <w:r w:rsidRPr="000C4982">
        <w:rPr>
          <w:rFonts w:eastAsiaTheme="minorEastAsia"/>
          <w:szCs w:val="24"/>
          <w:lang w:val="zh-CN"/>
        </w:rPr>
        <w:t>年</w:t>
      </w:r>
      <w:r w:rsidRPr="000C4982">
        <w:rPr>
          <w:rFonts w:eastAsiaTheme="minorEastAsia"/>
          <w:szCs w:val="24"/>
          <w:lang w:val="zh-CN"/>
        </w:rPr>
        <w:t>12</w:t>
      </w:r>
      <w:r w:rsidRPr="000C4982">
        <w:rPr>
          <w:rFonts w:eastAsiaTheme="minorEastAsia"/>
          <w:szCs w:val="24"/>
          <w:lang w:val="zh-CN"/>
        </w:rPr>
        <w:t>月完成的全球环境基金第六次总体执行情况研究，是对财务机制有效性以及缔约方相关呈件第五次审查的良好基础，并</w:t>
      </w:r>
      <w:r w:rsidRPr="00E67AFB">
        <w:rPr>
          <w:rFonts w:ascii="KaiTi" w:eastAsia="KaiTi" w:hAnsi="KaiTi"/>
          <w:kern w:val="22"/>
          <w:sz w:val="24"/>
          <w:szCs w:val="24"/>
        </w:rPr>
        <w:t>邀请</w:t>
      </w:r>
      <w:r w:rsidRPr="000C4982">
        <w:rPr>
          <w:rFonts w:eastAsiaTheme="minorEastAsia"/>
          <w:szCs w:val="24"/>
          <w:lang w:val="zh-CN"/>
        </w:rPr>
        <w:t>全球环境基金理事会采取以下行动，进一步提高财务机制的有效性：</w:t>
      </w:r>
    </w:p>
    <w:p w:rsidR="00C727DD" w:rsidRPr="00747632" w:rsidRDefault="00C727DD" w:rsidP="008F2823">
      <w:pPr>
        <w:pStyle w:val="Para1"/>
        <w:numPr>
          <w:ilvl w:val="0"/>
          <w:numId w:val="13"/>
        </w:numPr>
        <w:tabs>
          <w:tab w:val="left" w:pos="1440"/>
        </w:tabs>
        <w:kinsoku w:val="0"/>
        <w:overflowPunct w:val="0"/>
        <w:autoSpaceDE w:val="0"/>
        <w:autoSpaceDN w:val="0"/>
        <w:snapToGrid w:val="0"/>
        <w:spacing w:before="120"/>
        <w:ind w:left="0" w:firstLine="720"/>
        <w:jc w:val="left"/>
        <w:rPr>
          <w:rFonts w:eastAsiaTheme="minorEastAsia"/>
          <w:szCs w:val="24"/>
          <w:lang w:val="zh-CN"/>
        </w:rPr>
      </w:pPr>
      <w:r w:rsidRPr="000C4982">
        <w:rPr>
          <w:rFonts w:eastAsiaTheme="minorEastAsia"/>
          <w:szCs w:val="24"/>
          <w:lang w:val="zh-CN"/>
        </w:rPr>
        <w:t>继续改进第六次充资统筹方法试点、第七次充资影响方案、其他方案办法及多重点领域项目的设计、管理和执行情况，以解决环境退化的驱动因素；</w:t>
      </w:r>
    </w:p>
    <w:p w:rsidR="00C727DD" w:rsidRPr="00747632" w:rsidRDefault="00C727DD" w:rsidP="008F2823">
      <w:pPr>
        <w:pStyle w:val="Para1"/>
        <w:numPr>
          <w:ilvl w:val="0"/>
          <w:numId w:val="13"/>
        </w:numPr>
        <w:tabs>
          <w:tab w:val="left" w:pos="1440"/>
        </w:tabs>
        <w:kinsoku w:val="0"/>
        <w:overflowPunct w:val="0"/>
        <w:autoSpaceDE w:val="0"/>
        <w:autoSpaceDN w:val="0"/>
        <w:snapToGrid w:val="0"/>
        <w:spacing w:before="120"/>
        <w:ind w:left="0" w:firstLine="720"/>
        <w:jc w:val="left"/>
        <w:rPr>
          <w:rFonts w:eastAsiaTheme="minorEastAsia"/>
          <w:szCs w:val="24"/>
          <w:lang w:val="zh-CN"/>
        </w:rPr>
      </w:pPr>
      <w:r w:rsidRPr="000C4982">
        <w:rPr>
          <w:rFonts w:eastAsiaTheme="minorEastAsia"/>
          <w:szCs w:val="24"/>
          <w:lang w:val="zh-CN"/>
        </w:rPr>
        <w:t>提高对解决冲突专员处理有关财务机制运作投诉的现有程序的认识；</w:t>
      </w:r>
    </w:p>
    <w:p w:rsidR="00C727DD" w:rsidRPr="00747632" w:rsidRDefault="00C727DD" w:rsidP="008F2823">
      <w:pPr>
        <w:pStyle w:val="Para1"/>
        <w:numPr>
          <w:ilvl w:val="0"/>
          <w:numId w:val="13"/>
        </w:numPr>
        <w:tabs>
          <w:tab w:val="left" w:pos="1440"/>
        </w:tabs>
        <w:kinsoku w:val="0"/>
        <w:overflowPunct w:val="0"/>
        <w:autoSpaceDE w:val="0"/>
        <w:autoSpaceDN w:val="0"/>
        <w:snapToGrid w:val="0"/>
        <w:spacing w:before="120"/>
        <w:ind w:left="0" w:firstLine="720"/>
        <w:jc w:val="left"/>
        <w:rPr>
          <w:rFonts w:eastAsiaTheme="minorEastAsia"/>
          <w:szCs w:val="24"/>
          <w:lang w:val="zh-CN"/>
        </w:rPr>
      </w:pPr>
      <w:r w:rsidRPr="000C4982">
        <w:rPr>
          <w:rFonts w:eastAsiaTheme="minorEastAsia"/>
          <w:szCs w:val="24"/>
          <w:lang w:val="zh-CN"/>
        </w:rPr>
        <w:t>进一步提高受资助项目和方案的可持续性，包括保护区的可持续资金提供；</w:t>
      </w:r>
    </w:p>
    <w:p w:rsidR="00C727DD" w:rsidRPr="00747632" w:rsidRDefault="00C727DD" w:rsidP="008F2823">
      <w:pPr>
        <w:pStyle w:val="Para1"/>
        <w:numPr>
          <w:ilvl w:val="0"/>
          <w:numId w:val="13"/>
        </w:numPr>
        <w:tabs>
          <w:tab w:val="left" w:pos="1440"/>
        </w:tabs>
        <w:kinsoku w:val="0"/>
        <w:overflowPunct w:val="0"/>
        <w:autoSpaceDE w:val="0"/>
        <w:autoSpaceDN w:val="0"/>
        <w:snapToGrid w:val="0"/>
        <w:spacing w:before="120"/>
        <w:ind w:left="0" w:firstLine="720"/>
        <w:jc w:val="left"/>
        <w:rPr>
          <w:rFonts w:eastAsiaTheme="minorEastAsia"/>
          <w:szCs w:val="24"/>
          <w:lang w:val="zh-CN"/>
        </w:rPr>
      </w:pPr>
      <w:r w:rsidRPr="000C4982">
        <w:rPr>
          <w:rFonts w:eastAsiaTheme="minorEastAsia"/>
          <w:szCs w:val="24"/>
          <w:lang w:val="zh-CN"/>
        </w:rPr>
        <w:t>继续改善全球环境基金伙伴关系的效率和问责；</w:t>
      </w:r>
    </w:p>
    <w:p w:rsidR="00C727DD" w:rsidRPr="00747632" w:rsidRDefault="00C727DD" w:rsidP="008F2823">
      <w:pPr>
        <w:pStyle w:val="Para1"/>
        <w:numPr>
          <w:ilvl w:val="0"/>
          <w:numId w:val="13"/>
        </w:numPr>
        <w:tabs>
          <w:tab w:val="left" w:pos="1440"/>
        </w:tabs>
        <w:kinsoku w:val="0"/>
        <w:overflowPunct w:val="0"/>
        <w:autoSpaceDE w:val="0"/>
        <w:autoSpaceDN w:val="0"/>
        <w:snapToGrid w:val="0"/>
        <w:spacing w:before="120"/>
        <w:ind w:left="0" w:firstLine="720"/>
        <w:jc w:val="left"/>
        <w:rPr>
          <w:rFonts w:eastAsiaTheme="minorEastAsia"/>
          <w:szCs w:val="24"/>
          <w:lang w:val="zh-CN"/>
        </w:rPr>
      </w:pPr>
      <w:r w:rsidRPr="000C4982">
        <w:rPr>
          <w:rFonts w:eastAsiaTheme="minorEastAsia"/>
          <w:szCs w:val="24"/>
          <w:lang w:val="zh-CN"/>
        </w:rPr>
        <w:lastRenderedPageBreak/>
        <w:t>在提交缔约方大会第十五届会议的报告中列入以下信息：</w:t>
      </w:r>
    </w:p>
    <w:p w:rsidR="00C727DD" w:rsidRPr="000C4982" w:rsidRDefault="00C727DD" w:rsidP="008F2823">
      <w:pPr>
        <w:pStyle w:val="Para1"/>
        <w:numPr>
          <w:ilvl w:val="0"/>
          <w:numId w:val="14"/>
        </w:numPr>
        <w:tabs>
          <w:tab w:val="left" w:pos="2160"/>
        </w:tabs>
        <w:kinsoku w:val="0"/>
        <w:overflowPunct w:val="0"/>
        <w:autoSpaceDE w:val="0"/>
        <w:autoSpaceDN w:val="0"/>
        <w:snapToGrid w:val="0"/>
        <w:spacing w:before="120"/>
        <w:ind w:left="2160" w:hanging="720"/>
        <w:jc w:val="left"/>
        <w:rPr>
          <w:rFonts w:eastAsiaTheme="minorEastAsia"/>
          <w:kern w:val="22"/>
          <w:szCs w:val="24"/>
        </w:rPr>
      </w:pPr>
      <w:r w:rsidRPr="000C4982">
        <w:rPr>
          <w:rFonts w:eastAsiaTheme="minorEastAsia"/>
          <w:szCs w:val="24"/>
          <w:lang w:val="zh-CN"/>
        </w:rPr>
        <w:t>在实施新的共同供资政策方面的进展情况；</w:t>
      </w:r>
    </w:p>
    <w:p w:rsidR="00C727DD" w:rsidRPr="00747632" w:rsidRDefault="00C727DD" w:rsidP="008F2823">
      <w:pPr>
        <w:pStyle w:val="Para1"/>
        <w:numPr>
          <w:ilvl w:val="0"/>
          <w:numId w:val="14"/>
        </w:numPr>
        <w:tabs>
          <w:tab w:val="left" w:pos="2160"/>
        </w:tabs>
        <w:kinsoku w:val="0"/>
        <w:overflowPunct w:val="0"/>
        <w:autoSpaceDE w:val="0"/>
        <w:autoSpaceDN w:val="0"/>
        <w:snapToGrid w:val="0"/>
        <w:spacing w:before="120"/>
        <w:ind w:left="2160" w:hanging="720"/>
        <w:jc w:val="left"/>
        <w:rPr>
          <w:rFonts w:eastAsiaTheme="minorEastAsia"/>
          <w:szCs w:val="24"/>
          <w:lang w:val="zh-CN"/>
        </w:rPr>
      </w:pPr>
      <w:r w:rsidRPr="000C4982">
        <w:rPr>
          <w:rFonts w:eastAsiaTheme="minorEastAsia"/>
          <w:szCs w:val="24"/>
          <w:lang w:val="zh-CN"/>
        </w:rPr>
        <w:t>全球环境基金的机构网络的业绩；</w:t>
      </w:r>
    </w:p>
    <w:p w:rsidR="00C727DD" w:rsidRDefault="00C727DD" w:rsidP="008F2823">
      <w:pPr>
        <w:pStyle w:val="Para1"/>
        <w:numPr>
          <w:ilvl w:val="0"/>
          <w:numId w:val="1"/>
        </w:numPr>
        <w:tabs>
          <w:tab w:val="clear" w:pos="360"/>
          <w:tab w:val="num" w:pos="1440"/>
        </w:tabs>
        <w:spacing w:before="120" w:line="240" w:lineRule="atLeast"/>
        <w:ind w:firstLine="720"/>
        <w:rPr>
          <w:rFonts w:eastAsiaTheme="minorEastAsia"/>
          <w:szCs w:val="24"/>
          <w:lang w:val="zh-CN"/>
        </w:rPr>
      </w:pPr>
      <w:r w:rsidRPr="00E67AFB">
        <w:rPr>
          <w:rFonts w:ascii="KaiTi" w:eastAsia="KaiTi" w:hAnsi="KaiTi" w:cs="SimSun"/>
          <w:kern w:val="22"/>
          <w:sz w:val="24"/>
          <w:lang w:val="zh-CN"/>
        </w:rPr>
        <w:t>请</w:t>
      </w:r>
      <w:r w:rsidRPr="00E67AFB">
        <w:rPr>
          <w:rFonts w:ascii="SimSun" w:hAnsi="SimSun" w:cs="SimSun"/>
          <w:kern w:val="22"/>
          <w:sz w:val="24"/>
          <w:lang w:val="zh-CN"/>
        </w:rPr>
        <w:t>执行秘书在编制财务机制第六次审查任务范围时考虑到过去来自财务机制有效性审查的经验</w:t>
      </w:r>
      <w:r w:rsidRPr="000C4982">
        <w:rPr>
          <w:rFonts w:eastAsiaTheme="minorEastAsia"/>
          <w:szCs w:val="24"/>
          <w:lang w:val="zh-CN"/>
        </w:rPr>
        <w:t>，供缔约方大会第十五届次会议审议；</w:t>
      </w:r>
    </w:p>
    <w:p w:rsidR="00E67AFB" w:rsidRPr="000C4982" w:rsidRDefault="00E67AFB" w:rsidP="007E2963">
      <w:pPr>
        <w:pStyle w:val="Para1"/>
        <w:numPr>
          <w:ilvl w:val="0"/>
          <w:numId w:val="1"/>
        </w:numPr>
        <w:tabs>
          <w:tab w:val="clear" w:pos="360"/>
          <w:tab w:val="num" w:pos="1440"/>
        </w:tabs>
        <w:spacing w:before="120" w:line="240" w:lineRule="atLeast"/>
        <w:ind w:firstLine="720"/>
        <w:rPr>
          <w:kern w:val="22"/>
        </w:rPr>
      </w:pPr>
      <w:r w:rsidRPr="003B1FD0">
        <w:rPr>
          <w:rFonts w:ascii="KaiTi" w:eastAsia="KaiTi" w:hAnsi="KaiTi"/>
          <w:lang w:val="zh-CN"/>
        </w:rPr>
        <w:t>通过</w:t>
      </w:r>
      <w:r w:rsidRPr="00E67AFB">
        <w:rPr>
          <w:rFonts w:eastAsiaTheme="minorEastAsia"/>
          <w:szCs w:val="24"/>
          <w:lang w:val="zh-CN"/>
        </w:rPr>
        <w:t>本决定草案所附</w:t>
      </w:r>
      <w:r w:rsidRPr="00E67AFB">
        <w:rPr>
          <w:rFonts w:eastAsiaTheme="minorEastAsia" w:hint="eastAsia"/>
          <w:szCs w:val="24"/>
          <w:lang w:val="zh-CN"/>
        </w:rPr>
        <w:t>的</w:t>
      </w:r>
      <w:r w:rsidRPr="00E67AFB">
        <w:rPr>
          <w:rFonts w:eastAsiaTheme="minorEastAsia"/>
          <w:szCs w:val="24"/>
          <w:lang w:val="zh-CN"/>
        </w:rPr>
        <w:t>对全球环境基金信托基金第八次充资期间为执行</w:t>
      </w:r>
      <w:r w:rsidRPr="000C4982">
        <w:rPr>
          <w:lang w:val="zh-CN"/>
        </w:rPr>
        <w:t>《公约》</w:t>
      </w:r>
      <w:r>
        <w:rPr>
          <w:lang w:val="zh-CN"/>
        </w:rPr>
        <w:t>及其《议定书》</w:t>
      </w:r>
      <w:r w:rsidRPr="000C4982">
        <w:rPr>
          <w:lang w:val="zh-CN"/>
        </w:rPr>
        <w:t>所需要的资金数额进行全面评估的任务范围；</w:t>
      </w:r>
    </w:p>
    <w:p w:rsidR="00E67AFB" w:rsidRPr="000C4982" w:rsidRDefault="00E67AFB" w:rsidP="007E2963">
      <w:pPr>
        <w:pStyle w:val="Para1"/>
        <w:numPr>
          <w:ilvl w:val="0"/>
          <w:numId w:val="1"/>
        </w:numPr>
        <w:tabs>
          <w:tab w:val="clear" w:pos="360"/>
          <w:tab w:val="num" w:pos="1440"/>
        </w:tabs>
        <w:spacing w:before="120" w:line="240" w:lineRule="atLeast"/>
        <w:ind w:firstLine="720"/>
        <w:rPr>
          <w:kern w:val="22"/>
        </w:rPr>
      </w:pPr>
      <w:r w:rsidRPr="003B1FD0">
        <w:rPr>
          <w:rFonts w:ascii="KaiTi" w:eastAsia="KaiTi" w:hAnsi="KaiTi"/>
          <w:lang w:val="zh-CN"/>
        </w:rPr>
        <w:t>邀请</w:t>
      </w:r>
      <w:r w:rsidRPr="00E67AFB">
        <w:rPr>
          <w:rFonts w:eastAsiaTheme="minorEastAsia"/>
          <w:szCs w:val="24"/>
          <w:lang w:val="zh-CN"/>
        </w:rPr>
        <w:t>有关缔约方向执行秘书提交财务机制下的估计供资和投资需求</w:t>
      </w:r>
      <w:r w:rsidRPr="000C4982">
        <w:rPr>
          <w:lang w:val="zh-CN"/>
        </w:rPr>
        <w:t>，在全球环境基金信托基金进行第八次充资的情况下，供缔约方大会第十五届会议第三次确定供资和投资需要；</w:t>
      </w:r>
    </w:p>
    <w:p w:rsidR="00E67AFB" w:rsidRPr="000C4982" w:rsidRDefault="00E67AFB" w:rsidP="007E2963">
      <w:pPr>
        <w:pStyle w:val="Para1"/>
        <w:numPr>
          <w:ilvl w:val="0"/>
          <w:numId w:val="1"/>
        </w:numPr>
        <w:tabs>
          <w:tab w:val="clear" w:pos="360"/>
          <w:tab w:val="num" w:pos="1440"/>
        </w:tabs>
        <w:spacing w:before="120" w:line="240" w:lineRule="atLeast"/>
        <w:ind w:firstLine="720"/>
        <w:rPr>
          <w:kern w:val="22"/>
        </w:rPr>
      </w:pPr>
      <w:r w:rsidRPr="00747632">
        <w:rPr>
          <w:rFonts w:ascii="KaiTi" w:eastAsia="KaiTi" w:hAnsi="KaiTi"/>
          <w:lang w:val="zh-CN"/>
        </w:rPr>
        <w:t>请</w:t>
      </w:r>
      <w:r w:rsidRPr="000C4982">
        <w:rPr>
          <w:lang w:val="zh-CN"/>
        </w:rPr>
        <w:t>执行秘书</w:t>
      </w:r>
      <w:r>
        <w:rPr>
          <w:rFonts w:hint="eastAsia"/>
          <w:lang w:val="zh-CN"/>
        </w:rPr>
        <w:t>根据上文第</w:t>
      </w:r>
      <w:r>
        <w:rPr>
          <w:rFonts w:hint="eastAsia"/>
          <w:lang w:val="zh-CN"/>
        </w:rPr>
        <w:t>14</w:t>
      </w:r>
      <w:r>
        <w:rPr>
          <w:rFonts w:hint="eastAsia"/>
          <w:lang w:val="zh-CN"/>
        </w:rPr>
        <w:t>段所述任务范围与订约</w:t>
      </w:r>
      <w:r w:rsidR="00D44852">
        <w:rPr>
          <w:rFonts w:hint="eastAsia"/>
          <w:lang w:val="zh-CN"/>
        </w:rPr>
        <w:t>专家小组</w:t>
      </w:r>
      <w:r>
        <w:rPr>
          <w:rFonts w:hint="eastAsia"/>
          <w:lang w:val="zh-CN"/>
        </w:rPr>
        <w:t>合作，</w:t>
      </w:r>
      <w:r w:rsidRPr="000C4982">
        <w:rPr>
          <w:lang w:val="zh-CN"/>
        </w:rPr>
        <w:t>汇编有关缔约方提交的估计供资和投资需求，</w:t>
      </w:r>
      <w:r w:rsidRPr="00E67AFB">
        <w:rPr>
          <w:rFonts w:eastAsiaTheme="minorEastAsia"/>
          <w:szCs w:val="24"/>
          <w:lang w:val="zh-CN"/>
        </w:rPr>
        <w:t>基于并进一步完善第二次确定供资需求所使用的方法和三种情况</w:t>
      </w:r>
      <w:r w:rsidRPr="000C4982">
        <w:rPr>
          <w:lang w:val="zh-CN"/>
        </w:rPr>
        <w:t>，供执行问题附属机构在其第三次会议上审议，在预计全球环境基金信托基金第八次充资的情况下，为缔约方大会第十五届会议第三次确定所需资金提供信息；</w:t>
      </w:r>
    </w:p>
    <w:p w:rsidR="00E67AFB" w:rsidRPr="000C4982" w:rsidRDefault="00E67AFB" w:rsidP="007E2963">
      <w:pPr>
        <w:pStyle w:val="Para1"/>
        <w:numPr>
          <w:ilvl w:val="0"/>
          <w:numId w:val="1"/>
        </w:numPr>
        <w:tabs>
          <w:tab w:val="clear" w:pos="360"/>
          <w:tab w:val="num" w:pos="1440"/>
        </w:tabs>
        <w:spacing w:before="120" w:line="240" w:lineRule="atLeast"/>
        <w:ind w:firstLine="720"/>
        <w:rPr>
          <w:kern w:val="22"/>
        </w:rPr>
      </w:pPr>
      <w:r w:rsidRPr="00747632">
        <w:rPr>
          <w:rFonts w:ascii="KaiTi" w:eastAsia="KaiTi" w:hAnsi="KaiTi"/>
          <w:lang w:val="zh-CN"/>
        </w:rPr>
        <w:t>请</w:t>
      </w:r>
      <w:r w:rsidRPr="000C4982">
        <w:rPr>
          <w:lang w:val="zh-CN"/>
        </w:rPr>
        <w:t>执行问题附属机构第三次会议为全球环境基金信托基金第八次充资期间（</w:t>
      </w:r>
      <w:r w:rsidR="00C14871">
        <w:rPr>
          <w:lang w:val="zh-CN"/>
        </w:rPr>
        <w:t>202</w:t>
      </w:r>
      <w:r w:rsidR="00C14871">
        <w:rPr>
          <w:rFonts w:hint="eastAsia"/>
          <w:lang w:val="zh-CN"/>
        </w:rPr>
        <w:t>2</w:t>
      </w:r>
      <w:r w:rsidR="00C14871">
        <w:rPr>
          <w:rFonts w:hint="eastAsia"/>
          <w:lang w:val="zh-CN"/>
        </w:rPr>
        <w:t>年</w:t>
      </w:r>
      <w:r w:rsidR="00C14871">
        <w:rPr>
          <w:rFonts w:hint="eastAsia"/>
          <w:lang w:val="zh-CN"/>
        </w:rPr>
        <w:t>7</w:t>
      </w:r>
      <w:r w:rsidR="00C14871">
        <w:rPr>
          <w:rFonts w:hint="eastAsia"/>
          <w:lang w:val="zh-CN"/>
        </w:rPr>
        <w:t>月至</w:t>
      </w:r>
      <w:r w:rsidRPr="000C4982">
        <w:rPr>
          <w:lang w:val="zh-CN"/>
        </w:rPr>
        <w:t>2026</w:t>
      </w:r>
      <w:r w:rsidRPr="000C4982">
        <w:rPr>
          <w:lang w:val="zh-CN"/>
        </w:rPr>
        <w:t>年</w:t>
      </w:r>
      <w:r w:rsidR="00C14871">
        <w:rPr>
          <w:rFonts w:hint="eastAsia"/>
          <w:lang w:val="zh-CN"/>
        </w:rPr>
        <w:t>6</w:t>
      </w:r>
      <w:r w:rsidR="00C14871">
        <w:rPr>
          <w:rFonts w:hint="eastAsia"/>
          <w:lang w:val="zh-CN"/>
        </w:rPr>
        <w:t>月</w:t>
      </w:r>
      <w:r w:rsidRPr="000C4982">
        <w:rPr>
          <w:lang w:val="zh-CN"/>
        </w:rPr>
        <w:t>）</w:t>
      </w:r>
      <w:r w:rsidRPr="00E67AFB">
        <w:rPr>
          <w:rFonts w:eastAsiaTheme="minorEastAsia"/>
          <w:szCs w:val="24"/>
          <w:lang w:val="zh-CN"/>
        </w:rPr>
        <w:t>制定一个为期四年的注重成果的方案优先事项框架</w:t>
      </w:r>
      <w:r w:rsidRPr="000C4982">
        <w:rPr>
          <w:lang w:val="zh-CN"/>
        </w:rPr>
        <w:t>，与</w:t>
      </w:r>
      <w:r w:rsidRPr="000C4982">
        <w:rPr>
          <w:lang w:val="zh-CN"/>
        </w:rPr>
        <w:t>2020</w:t>
      </w:r>
      <w:r w:rsidRPr="000C4982">
        <w:rPr>
          <w:lang w:val="zh-CN"/>
        </w:rPr>
        <w:t>年后生物多样性框架保持一致，供缔约方大会第十五届会议审议；</w:t>
      </w:r>
    </w:p>
    <w:p w:rsidR="00C14871" w:rsidRPr="00C14871" w:rsidRDefault="00C14871" w:rsidP="008F2823">
      <w:pPr>
        <w:pStyle w:val="Para1"/>
        <w:numPr>
          <w:ilvl w:val="0"/>
          <w:numId w:val="1"/>
        </w:numPr>
        <w:tabs>
          <w:tab w:val="clear" w:pos="360"/>
          <w:tab w:val="num" w:pos="1440"/>
        </w:tabs>
        <w:spacing w:before="120" w:line="240" w:lineRule="atLeast"/>
        <w:ind w:firstLine="720"/>
        <w:rPr>
          <w:rFonts w:eastAsia="KaiTi"/>
          <w:sz w:val="24"/>
        </w:rPr>
      </w:pPr>
      <w:r w:rsidRPr="0046538B">
        <w:rPr>
          <w:rFonts w:ascii="KaiTi" w:eastAsia="KaiTi" w:hAnsi="KaiTi" w:hint="eastAsia"/>
          <w:sz w:val="24"/>
        </w:rPr>
        <w:t>鼓励</w:t>
      </w:r>
      <w:r w:rsidRPr="00BF7A6B">
        <w:rPr>
          <w:rFonts w:ascii="SimSun" w:hAnsi="SimSun" w:hint="eastAsia"/>
          <w:sz w:val="24"/>
        </w:rPr>
        <w:t>执</w:t>
      </w:r>
      <w:r w:rsidRPr="00BF7A6B">
        <w:rPr>
          <w:rFonts w:hAnsi="SimSun" w:hint="eastAsia"/>
          <w:sz w:val="24"/>
        </w:rPr>
        <w:t>行秘书在向</w:t>
      </w:r>
      <w:r>
        <w:rPr>
          <w:rFonts w:hAnsi="SimSun" w:hint="eastAsia"/>
          <w:sz w:val="24"/>
        </w:rPr>
        <w:t>2</w:t>
      </w:r>
      <w:r>
        <w:rPr>
          <w:rFonts w:hAnsi="SimSun"/>
          <w:sz w:val="24"/>
        </w:rPr>
        <w:t>020</w:t>
      </w:r>
      <w:r>
        <w:rPr>
          <w:rFonts w:hAnsi="SimSun" w:hint="eastAsia"/>
          <w:sz w:val="24"/>
        </w:rPr>
        <w:t>年后全球生物多样性框架</w:t>
      </w:r>
      <w:r w:rsidRPr="00BF7A6B">
        <w:rPr>
          <w:rFonts w:hAnsi="SimSun" w:hint="eastAsia"/>
          <w:sz w:val="24"/>
        </w:rPr>
        <w:t>过渡中与全球环境基金密切合作；</w:t>
      </w:r>
    </w:p>
    <w:p w:rsidR="00C14871" w:rsidRPr="00C14871" w:rsidRDefault="00C14871" w:rsidP="007E2963">
      <w:pPr>
        <w:pStyle w:val="Para1"/>
        <w:numPr>
          <w:ilvl w:val="0"/>
          <w:numId w:val="1"/>
        </w:numPr>
        <w:tabs>
          <w:tab w:val="clear" w:pos="360"/>
          <w:tab w:val="num" w:pos="1440"/>
        </w:tabs>
        <w:spacing w:before="120" w:line="240" w:lineRule="atLeast"/>
        <w:ind w:firstLine="720"/>
        <w:rPr>
          <w:rFonts w:eastAsia="KaiTi"/>
          <w:sz w:val="24"/>
        </w:rPr>
      </w:pPr>
      <w:r w:rsidRPr="00C14871">
        <w:rPr>
          <w:rFonts w:ascii="KaiTi" w:eastAsia="KaiTi" w:hAnsi="KaiTi" w:hint="eastAsia"/>
          <w:sz w:val="24"/>
        </w:rPr>
        <w:t>又鼓励</w:t>
      </w:r>
      <w:r w:rsidRPr="00C14871">
        <w:rPr>
          <w:rFonts w:hAnsi="SimSun" w:hint="eastAsia"/>
          <w:sz w:val="24"/>
        </w:rPr>
        <w:t>执行秘书在向</w:t>
      </w:r>
      <w:r w:rsidRPr="00C14871">
        <w:rPr>
          <w:rFonts w:hAnsi="SimSun" w:hint="eastAsia"/>
          <w:sz w:val="24"/>
        </w:rPr>
        <w:t>2</w:t>
      </w:r>
      <w:r w:rsidRPr="00C14871">
        <w:rPr>
          <w:rFonts w:hAnsi="SimSun"/>
          <w:sz w:val="24"/>
        </w:rPr>
        <w:t>020</w:t>
      </w:r>
      <w:r w:rsidRPr="00C14871">
        <w:rPr>
          <w:rFonts w:hAnsi="SimSun" w:hint="eastAsia"/>
          <w:sz w:val="24"/>
        </w:rPr>
        <w:t>年后全球生物多样性框架过渡中与全球环境基金相关的机构密切合作，同时考虑到增强全球环境基金和其他融资机制之间协同作用的必要性</w:t>
      </w:r>
      <w:r>
        <w:rPr>
          <w:rFonts w:hAnsi="SimSun" w:hint="eastAsia"/>
          <w:sz w:val="24"/>
        </w:rPr>
        <w:t>。</w:t>
      </w:r>
    </w:p>
    <w:p w:rsidR="00C14871" w:rsidRPr="00C14871" w:rsidRDefault="00C14871" w:rsidP="00C14871">
      <w:pPr>
        <w:pStyle w:val="Para1"/>
        <w:numPr>
          <w:ilvl w:val="0"/>
          <w:numId w:val="0"/>
        </w:numPr>
        <w:spacing w:before="120" w:line="240" w:lineRule="atLeast"/>
        <w:ind w:left="720"/>
        <w:jc w:val="center"/>
        <w:rPr>
          <w:rFonts w:ascii="KaiTi" w:eastAsia="KaiTi" w:hAnsi="KaiTi"/>
          <w:sz w:val="24"/>
          <w:szCs w:val="24"/>
          <w:lang w:val="zh-CN"/>
        </w:rPr>
      </w:pPr>
      <w:r w:rsidRPr="00C14871">
        <w:rPr>
          <w:rFonts w:ascii="KaiTi" w:eastAsia="KaiTi" w:hAnsi="KaiTi" w:hint="eastAsia"/>
          <w:sz w:val="24"/>
          <w:szCs w:val="24"/>
          <w:lang w:val="zh-CN"/>
        </w:rPr>
        <w:t>附件</w:t>
      </w:r>
    </w:p>
    <w:p w:rsidR="00C727DD" w:rsidRPr="000C4982" w:rsidRDefault="00C727DD" w:rsidP="00C727DD">
      <w:pPr>
        <w:pStyle w:val="CBD-Para-1"/>
        <w:keepNext/>
        <w:numPr>
          <w:ilvl w:val="0"/>
          <w:numId w:val="0"/>
        </w:numPr>
        <w:snapToGrid w:val="0"/>
        <w:ind w:left="1440" w:right="1542"/>
        <w:jc w:val="center"/>
        <w:rPr>
          <w:rFonts w:eastAsiaTheme="minorEastAsia"/>
          <w:b/>
          <w:bCs/>
          <w:kern w:val="22"/>
          <w:sz w:val="24"/>
          <w:lang w:eastAsia="zh-CN"/>
        </w:rPr>
      </w:pPr>
      <w:r w:rsidRPr="000C4982">
        <w:rPr>
          <w:rFonts w:eastAsiaTheme="minorEastAsia"/>
          <w:b/>
          <w:bCs/>
          <w:sz w:val="24"/>
          <w:lang w:val="zh-CN" w:eastAsia="zh-CN"/>
        </w:rPr>
        <w:t>对全球环境基金信托基金第八次充资期间执行《公约》</w:t>
      </w:r>
      <w:r>
        <w:rPr>
          <w:rFonts w:eastAsiaTheme="minorEastAsia"/>
          <w:b/>
          <w:bCs/>
          <w:sz w:val="24"/>
          <w:lang w:val="zh-CN" w:eastAsia="zh-CN"/>
        </w:rPr>
        <w:t>及其《议定书》</w:t>
      </w:r>
      <w:r w:rsidRPr="000C4982">
        <w:rPr>
          <w:rFonts w:eastAsiaTheme="minorEastAsia"/>
          <w:b/>
          <w:bCs/>
          <w:sz w:val="24"/>
          <w:lang w:val="zh-CN" w:eastAsia="zh-CN"/>
        </w:rPr>
        <w:t>所需资金数额进行全面评估的任务范围</w:t>
      </w:r>
    </w:p>
    <w:p w:rsidR="00C727DD" w:rsidRPr="000C4982" w:rsidRDefault="00C727DD" w:rsidP="00C727DD">
      <w:pPr>
        <w:pStyle w:val="CBD-Para-1"/>
        <w:keepNext/>
        <w:numPr>
          <w:ilvl w:val="0"/>
          <w:numId w:val="0"/>
        </w:numPr>
        <w:tabs>
          <w:tab w:val="left" w:pos="720"/>
        </w:tabs>
        <w:snapToGrid w:val="0"/>
        <w:jc w:val="left"/>
        <w:rPr>
          <w:rFonts w:eastAsiaTheme="minorEastAsia"/>
          <w:b/>
          <w:bCs/>
          <w:kern w:val="22"/>
          <w:sz w:val="24"/>
        </w:rPr>
      </w:pPr>
      <w:proofErr w:type="spellStart"/>
      <w:r w:rsidRPr="000C4982">
        <w:rPr>
          <w:rFonts w:eastAsiaTheme="minorEastAsia"/>
          <w:b/>
          <w:bCs/>
          <w:sz w:val="24"/>
          <w:lang w:val="zh-CN"/>
        </w:rPr>
        <w:t>目标</w:t>
      </w:r>
      <w:proofErr w:type="spellEnd"/>
    </w:p>
    <w:p w:rsidR="00C727DD" w:rsidRPr="000C4982" w:rsidRDefault="00C727DD" w:rsidP="008F2823">
      <w:pPr>
        <w:pStyle w:val="CBD-Para-1"/>
        <w:keepLines w:val="0"/>
        <w:numPr>
          <w:ilvl w:val="0"/>
          <w:numId w:val="12"/>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本任务范围下所开展工作的目标是，使缔约方大会能够依照其提供的指导方针评估协助发展中国家和转型期经济体在全球环境基金第</w:t>
      </w:r>
      <w:r w:rsidR="00C14871">
        <w:rPr>
          <w:rFonts w:eastAsiaTheme="minorEastAsia" w:hint="eastAsia"/>
          <w:sz w:val="24"/>
          <w:lang w:val="zh-CN" w:eastAsia="zh-CN"/>
        </w:rPr>
        <w:t>八</w:t>
      </w:r>
      <w:r w:rsidRPr="000C4982">
        <w:rPr>
          <w:rFonts w:eastAsiaTheme="minorEastAsia"/>
          <w:sz w:val="24"/>
          <w:lang w:val="zh-CN" w:eastAsia="zh-CN"/>
        </w:rPr>
        <w:t>次充资期间履行《公约》</w:t>
      </w:r>
      <w:r>
        <w:rPr>
          <w:rFonts w:eastAsiaTheme="minorEastAsia"/>
          <w:sz w:val="24"/>
          <w:lang w:val="zh-CN" w:eastAsia="zh-CN"/>
        </w:rPr>
        <w:t>及其《议定书》</w:t>
      </w:r>
      <w:r w:rsidRPr="000C4982">
        <w:rPr>
          <w:rFonts w:eastAsiaTheme="minorEastAsia"/>
          <w:sz w:val="24"/>
          <w:lang w:val="zh-CN" w:eastAsia="zh-CN"/>
        </w:rPr>
        <w:t>规定义务的所需资金数额，并根据第</w:t>
      </w:r>
      <w:r w:rsidRPr="000C4982">
        <w:rPr>
          <w:rFonts w:eastAsiaTheme="minorEastAsia"/>
          <w:sz w:val="24"/>
          <w:lang w:val="zh-CN" w:eastAsia="zh-CN"/>
        </w:rPr>
        <w:t>21</w:t>
      </w:r>
      <w:r w:rsidRPr="000C4982">
        <w:rPr>
          <w:rFonts w:eastAsiaTheme="minorEastAsia"/>
          <w:sz w:val="24"/>
          <w:lang w:val="zh-CN" w:eastAsia="zh-CN"/>
        </w:rPr>
        <w:t>条第</w:t>
      </w:r>
      <w:r w:rsidRPr="000C4982">
        <w:rPr>
          <w:rFonts w:eastAsiaTheme="minorEastAsia"/>
          <w:sz w:val="24"/>
          <w:lang w:val="zh-CN" w:eastAsia="zh-CN"/>
        </w:rPr>
        <w:t>1</w:t>
      </w:r>
      <w:r w:rsidRPr="000C4982">
        <w:rPr>
          <w:rFonts w:eastAsiaTheme="minorEastAsia"/>
          <w:sz w:val="24"/>
          <w:lang w:val="zh-CN" w:eastAsia="zh-CN"/>
        </w:rPr>
        <w:t>款和第</w:t>
      </w:r>
      <w:r w:rsidRPr="000C4982">
        <w:rPr>
          <w:rFonts w:eastAsiaTheme="minorEastAsia"/>
          <w:sz w:val="24"/>
          <w:lang w:val="zh-CN" w:eastAsia="zh-CN"/>
        </w:rPr>
        <w:t>III/8</w:t>
      </w:r>
      <w:r w:rsidRPr="000C4982">
        <w:rPr>
          <w:rFonts w:eastAsiaTheme="minorEastAsia"/>
          <w:sz w:val="24"/>
          <w:lang w:val="zh-CN" w:eastAsia="zh-CN"/>
        </w:rPr>
        <w:t>号决定确定所需</w:t>
      </w:r>
      <w:r w:rsidR="00864E90">
        <w:rPr>
          <w:rFonts w:eastAsiaTheme="minorEastAsia" w:hint="eastAsia"/>
          <w:sz w:val="24"/>
          <w:lang w:val="zh-CN" w:eastAsia="zh-CN"/>
        </w:rPr>
        <w:t>要的</w:t>
      </w:r>
      <w:r w:rsidRPr="000C4982">
        <w:rPr>
          <w:rFonts w:eastAsiaTheme="minorEastAsia"/>
          <w:sz w:val="24"/>
          <w:lang w:val="zh-CN" w:eastAsia="zh-CN"/>
        </w:rPr>
        <w:t>资金数额。</w:t>
      </w:r>
    </w:p>
    <w:p w:rsidR="00C727DD" w:rsidRPr="000C4982" w:rsidRDefault="00C727DD" w:rsidP="00C727DD">
      <w:pPr>
        <w:pStyle w:val="CBD-Para-1"/>
        <w:keepNext/>
        <w:numPr>
          <w:ilvl w:val="0"/>
          <w:numId w:val="0"/>
        </w:numPr>
        <w:tabs>
          <w:tab w:val="left" w:pos="720"/>
        </w:tabs>
        <w:snapToGrid w:val="0"/>
        <w:ind w:left="709" w:hanging="709"/>
        <w:jc w:val="left"/>
        <w:rPr>
          <w:rFonts w:eastAsiaTheme="minorEastAsia"/>
          <w:b/>
          <w:bCs/>
          <w:sz w:val="24"/>
          <w:lang w:val="zh-CN" w:eastAsia="zh-CN"/>
        </w:rPr>
      </w:pPr>
      <w:r w:rsidRPr="000C4982">
        <w:rPr>
          <w:rFonts w:eastAsiaTheme="minorEastAsia"/>
          <w:b/>
          <w:bCs/>
          <w:sz w:val="24"/>
          <w:lang w:val="zh-CN" w:eastAsia="zh-CN"/>
        </w:rPr>
        <w:t>范围</w:t>
      </w:r>
    </w:p>
    <w:p w:rsidR="00C727DD" w:rsidRPr="000C4982" w:rsidRDefault="00C727DD" w:rsidP="008F2823">
      <w:pPr>
        <w:pStyle w:val="CBD-Para-1"/>
        <w:keepLines w:val="0"/>
        <w:numPr>
          <w:ilvl w:val="0"/>
          <w:numId w:val="12"/>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对执行《公约》</w:t>
      </w:r>
      <w:r>
        <w:rPr>
          <w:rFonts w:eastAsiaTheme="minorEastAsia"/>
          <w:sz w:val="24"/>
          <w:lang w:val="zh-CN" w:eastAsia="zh-CN"/>
        </w:rPr>
        <w:t>及其《议定书》</w:t>
      </w:r>
      <w:r w:rsidRPr="000C4982">
        <w:rPr>
          <w:rFonts w:eastAsiaTheme="minorEastAsia"/>
          <w:sz w:val="24"/>
          <w:lang w:val="zh-CN" w:eastAsia="zh-CN"/>
        </w:rPr>
        <w:t>所需资金应作全面评估，并依照缔约方大会提供的指导方针，着重评估</w:t>
      </w:r>
      <w:r w:rsidR="00EA3588">
        <w:rPr>
          <w:rFonts w:eastAsiaTheme="minorEastAsia" w:hint="eastAsia"/>
          <w:sz w:val="24"/>
          <w:lang w:val="zh-CN" w:eastAsia="zh-CN"/>
        </w:rPr>
        <w:t>符合全球环境基金支持条件的</w:t>
      </w:r>
      <w:r w:rsidRPr="000C4982">
        <w:rPr>
          <w:rFonts w:eastAsiaTheme="minorEastAsia"/>
          <w:sz w:val="24"/>
          <w:lang w:val="zh-CN" w:eastAsia="zh-CN"/>
        </w:rPr>
        <w:t>发展中国家缔约方和转型期经济体缔约方用于为履行</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月期间《公约》</w:t>
      </w:r>
      <w:r>
        <w:rPr>
          <w:rFonts w:eastAsiaTheme="minorEastAsia"/>
          <w:sz w:val="24"/>
          <w:lang w:val="zh-CN" w:eastAsia="zh-CN"/>
        </w:rPr>
        <w:t>及其《议定书》</w:t>
      </w:r>
      <w:r w:rsidRPr="000C4982">
        <w:rPr>
          <w:rFonts w:eastAsiaTheme="minorEastAsia"/>
          <w:sz w:val="24"/>
          <w:lang w:val="zh-CN" w:eastAsia="zh-CN"/>
        </w:rPr>
        <w:t>规定义务所采取措施的商定全部增量成本的所需资金总额。</w:t>
      </w:r>
    </w:p>
    <w:p w:rsidR="00C727DD" w:rsidRPr="000C4982" w:rsidRDefault="00C727DD" w:rsidP="00C727DD">
      <w:pPr>
        <w:pStyle w:val="CBD-Para-1"/>
        <w:keepNext/>
        <w:numPr>
          <w:ilvl w:val="0"/>
          <w:numId w:val="0"/>
        </w:numPr>
        <w:tabs>
          <w:tab w:val="left" w:pos="720"/>
        </w:tabs>
        <w:snapToGrid w:val="0"/>
        <w:ind w:left="709" w:hanging="709"/>
        <w:jc w:val="left"/>
        <w:rPr>
          <w:rFonts w:eastAsiaTheme="minorEastAsia"/>
          <w:b/>
          <w:bCs/>
          <w:sz w:val="24"/>
          <w:lang w:val="zh-CN" w:eastAsia="zh-CN"/>
        </w:rPr>
      </w:pPr>
      <w:r w:rsidRPr="000C4982">
        <w:rPr>
          <w:rFonts w:eastAsiaTheme="minorEastAsia"/>
          <w:b/>
          <w:bCs/>
          <w:sz w:val="24"/>
          <w:lang w:val="zh-CN" w:eastAsia="zh-CN"/>
        </w:rPr>
        <w:t>方法</w:t>
      </w:r>
    </w:p>
    <w:p w:rsidR="009B0EB6" w:rsidRPr="007540BB" w:rsidRDefault="009B0EB6" w:rsidP="008F2823">
      <w:pPr>
        <w:pStyle w:val="CBD-Para-1"/>
        <w:keepLines w:val="0"/>
        <w:numPr>
          <w:ilvl w:val="0"/>
          <w:numId w:val="12"/>
        </w:numPr>
        <w:tabs>
          <w:tab w:val="left" w:pos="720"/>
        </w:tabs>
        <w:snapToGrid w:val="0"/>
        <w:ind w:left="0" w:firstLine="0"/>
        <w:jc w:val="left"/>
        <w:rPr>
          <w:rFonts w:ascii="SimSun" w:hAnsi="SimSun"/>
          <w:sz w:val="24"/>
          <w:lang w:eastAsia="zh-CN"/>
        </w:rPr>
      </w:pPr>
      <w:r w:rsidRPr="009B0EB6">
        <w:rPr>
          <w:rFonts w:eastAsiaTheme="minorEastAsia" w:hint="eastAsia"/>
          <w:sz w:val="24"/>
          <w:lang w:val="zh-CN" w:eastAsia="zh-CN"/>
        </w:rPr>
        <w:t>资金需要评估应考虑</w:t>
      </w:r>
      <w:r w:rsidRPr="007540BB">
        <w:rPr>
          <w:rFonts w:ascii="SimSun" w:hAnsi="SimSun" w:hint="eastAsia"/>
          <w:sz w:val="24"/>
          <w:lang w:eastAsia="zh-CN"/>
        </w:rPr>
        <w:t>：</w:t>
      </w:r>
      <w:r w:rsidRPr="007540BB">
        <w:rPr>
          <w:rFonts w:ascii="SimSun" w:hAnsi="SimSun"/>
          <w:sz w:val="24"/>
          <w:lang w:eastAsia="zh-CN"/>
        </w:rPr>
        <w:t xml:space="preserve"> </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lastRenderedPageBreak/>
        <w:t>《公约》</w:t>
      </w:r>
      <w:r w:rsidRPr="00A07295">
        <w:rPr>
          <w:rFonts w:hAnsi="SimSun"/>
          <w:sz w:val="24"/>
          <w:szCs w:val="24"/>
        </w:rPr>
        <w:t>第</w:t>
      </w:r>
      <w:r w:rsidRPr="00A07295">
        <w:rPr>
          <w:sz w:val="24"/>
          <w:szCs w:val="24"/>
        </w:rPr>
        <w:t>20</w:t>
      </w:r>
      <w:r w:rsidRPr="00A07295">
        <w:rPr>
          <w:rFonts w:hAnsi="SimSun"/>
          <w:sz w:val="24"/>
          <w:szCs w:val="24"/>
        </w:rPr>
        <w:t>条第</w:t>
      </w:r>
      <w:r w:rsidRPr="00A07295">
        <w:rPr>
          <w:sz w:val="24"/>
          <w:szCs w:val="24"/>
        </w:rPr>
        <w:t>2</w:t>
      </w:r>
      <w:r w:rsidRPr="00A07295">
        <w:rPr>
          <w:rFonts w:hAnsi="SimSun"/>
          <w:sz w:val="24"/>
          <w:szCs w:val="24"/>
        </w:rPr>
        <w:t>款和第</w:t>
      </w:r>
      <w:r w:rsidRPr="00A07295">
        <w:rPr>
          <w:sz w:val="24"/>
          <w:szCs w:val="24"/>
        </w:rPr>
        <w:t>21</w:t>
      </w:r>
      <w:r w:rsidRPr="00A07295">
        <w:rPr>
          <w:rFonts w:hAnsi="SimSun"/>
          <w:sz w:val="24"/>
          <w:szCs w:val="24"/>
        </w:rPr>
        <w:t>条第</w:t>
      </w:r>
      <w:r w:rsidRPr="00A07295">
        <w:rPr>
          <w:sz w:val="24"/>
          <w:szCs w:val="24"/>
        </w:rPr>
        <w:t>1</w:t>
      </w:r>
      <w:r w:rsidRPr="00A07295">
        <w:rPr>
          <w:rFonts w:hAnsi="SimSun"/>
          <w:sz w:val="24"/>
          <w:szCs w:val="24"/>
        </w:rPr>
        <w:t>款以及《</w:t>
      </w:r>
      <w:r w:rsidRPr="00A07295">
        <w:rPr>
          <w:sz w:val="24"/>
          <w:szCs w:val="24"/>
        </w:rPr>
        <w:t>2011-2020</w:t>
      </w:r>
      <w:r w:rsidRPr="00A07295">
        <w:rPr>
          <w:rFonts w:hAnsi="SimSun"/>
          <w:sz w:val="24"/>
          <w:szCs w:val="24"/>
        </w:rPr>
        <w:t>年</w:t>
      </w:r>
      <w:r w:rsidRPr="007540BB">
        <w:rPr>
          <w:rFonts w:ascii="SimSun" w:hAnsi="SimSun" w:hint="eastAsia"/>
          <w:sz w:val="24"/>
          <w:szCs w:val="24"/>
        </w:rPr>
        <w:t>生物多样性战略计划》</w:t>
      </w:r>
      <w:r w:rsidR="00F4523D">
        <w:rPr>
          <w:rFonts w:ascii="SimSun" w:hAnsi="SimSun" w:hint="eastAsia"/>
          <w:sz w:val="24"/>
          <w:szCs w:val="24"/>
        </w:rPr>
        <w:t>爱知生物多样性指标</w:t>
      </w:r>
      <w:r w:rsidR="00F4523D" w:rsidRPr="00F4523D">
        <w:rPr>
          <w:rFonts w:hint="eastAsia"/>
          <w:sz w:val="24"/>
          <w:szCs w:val="24"/>
        </w:rPr>
        <w:t>20</w:t>
      </w:r>
      <w:r w:rsidRPr="007540BB">
        <w:rPr>
          <w:rFonts w:ascii="SimSun" w:hAnsi="SimSun" w:hint="eastAsia"/>
          <w:sz w:val="24"/>
          <w:szCs w:val="24"/>
        </w:rPr>
        <w:t>；</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缔约方大会向财务机制发出的需要将来财政资源的指导方针；</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bookmarkStart w:id="3" w:name="OLE_LINK39"/>
      <w:r w:rsidRPr="007540BB">
        <w:rPr>
          <w:rFonts w:ascii="SimSun" w:hAnsi="SimSun" w:hint="eastAsia"/>
          <w:sz w:val="24"/>
          <w:szCs w:val="24"/>
        </w:rPr>
        <w:t>《公约》下的所有义务以及缔约方大会通过的相关决定；</w:t>
      </w:r>
    </w:p>
    <w:p w:rsidR="009B0EB6"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国家报告中通报给缔约方大会的</w:t>
      </w:r>
      <w:r>
        <w:rPr>
          <w:rFonts w:ascii="SimSun" w:hAnsi="SimSun" w:hint="eastAsia"/>
          <w:sz w:val="24"/>
          <w:szCs w:val="24"/>
        </w:rPr>
        <w:t>信息</w:t>
      </w:r>
      <w:r>
        <w:rPr>
          <w:rFonts w:ascii="SimSun" w:hAnsi="SimSun"/>
          <w:sz w:val="24"/>
          <w:szCs w:val="24"/>
        </w:rPr>
        <w:t>，缔约方通过</w:t>
      </w:r>
      <w:r>
        <w:rPr>
          <w:rFonts w:ascii="SimSun" w:hAnsi="SimSun" w:hint="eastAsia"/>
          <w:sz w:val="24"/>
          <w:szCs w:val="24"/>
        </w:rPr>
        <w:t>财务</w:t>
      </w:r>
      <w:r>
        <w:rPr>
          <w:rFonts w:ascii="SimSun" w:hAnsi="SimSun"/>
          <w:sz w:val="24"/>
          <w:szCs w:val="24"/>
        </w:rPr>
        <w:t>报告框架提供的信息</w:t>
      </w:r>
      <w:bookmarkEnd w:id="3"/>
      <w:r w:rsidRPr="007540BB">
        <w:rPr>
          <w:rFonts w:ascii="SimSun" w:hAnsi="SimSun" w:hint="eastAsia"/>
          <w:sz w:val="24"/>
          <w:szCs w:val="24"/>
        </w:rPr>
        <w:t>；</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全球环境基金理事会为确定符合项目供资资格而商定的规则和准则；</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根据《公约》</w:t>
      </w:r>
      <w:r w:rsidRPr="00E96736">
        <w:rPr>
          <w:rFonts w:ascii="SimSun" w:hAnsi="SimSun"/>
          <w:sz w:val="24"/>
          <w:szCs w:val="24"/>
        </w:rPr>
        <w:t>第6条</w:t>
      </w:r>
      <w:r w:rsidRPr="007540BB">
        <w:rPr>
          <w:rFonts w:ascii="SimSun" w:hAnsi="SimSun" w:hint="eastAsia"/>
          <w:sz w:val="24"/>
          <w:szCs w:val="24"/>
        </w:rPr>
        <w:t>制订的国家战略、计划或方案；</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迄今取得的经验，包括全球环境基</w:t>
      </w:r>
      <w:r>
        <w:rPr>
          <w:rFonts w:ascii="SimSun" w:hAnsi="SimSun" w:hint="eastAsia"/>
          <w:sz w:val="24"/>
          <w:szCs w:val="24"/>
        </w:rPr>
        <w:t>金资助的项目面临的限制以及全球环境基金及其实施和执行机构的绩效；</w:t>
      </w:r>
    </w:p>
    <w:p w:rsidR="009B0EB6" w:rsidRPr="007540BB"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与</w:t>
      </w:r>
      <w:r>
        <w:rPr>
          <w:rFonts w:ascii="SimSun" w:hAnsi="SimSun" w:hint="eastAsia"/>
          <w:sz w:val="24"/>
          <w:szCs w:val="24"/>
        </w:rPr>
        <w:t>全环基金</w:t>
      </w:r>
      <w:r>
        <w:rPr>
          <w:rFonts w:ascii="SimSun" w:hAnsi="SimSun"/>
          <w:sz w:val="24"/>
          <w:szCs w:val="24"/>
        </w:rPr>
        <w:t>资助</w:t>
      </w:r>
      <w:r>
        <w:rPr>
          <w:rFonts w:ascii="SimSun" w:hAnsi="SimSun" w:hint="eastAsia"/>
          <w:sz w:val="24"/>
          <w:szCs w:val="24"/>
        </w:rPr>
        <w:t>的</w:t>
      </w:r>
      <w:r>
        <w:rPr>
          <w:rFonts w:ascii="SimSun" w:hAnsi="SimSun"/>
          <w:sz w:val="24"/>
          <w:szCs w:val="24"/>
        </w:rPr>
        <w:t>其他公约</w:t>
      </w:r>
      <w:r>
        <w:rPr>
          <w:rFonts w:ascii="SimSun" w:hAnsi="SimSun" w:hint="eastAsia"/>
          <w:sz w:val="24"/>
          <w:szCs w:val="24"/>
        </w:rPr>
        <w:t>的协同增效；</w:t>
      </w:r>
    </w:p>
    <w:p w:rsidR="009B0EB6" w:rsidRDefault="009B0EB6" w:rsidP="008F2823">
      <w:pPr>
        <w:pStyle w:val="Para1"/>
        <w:numPr>
          <w:ilvl w:val="1"/>
          <w:numId w:val="15"/>
        </w:numPr>
        <w:tabs>
          <w:tab w:val="left" w:pos="1440"/>
        </w:tabs>
        <w:spacing w:before="120"/>
        <w:ind w:left="-90" w:firstLine="810"/>
        <w:rPr>
          <w:rFonts w:ascii="SimSun" w:hAnsi="SimSun"/>
          <w:sz w:val="24"/>
          <w:szCs w:val="24"/>
        </w:rPr>
      </w:pPr>
      <w:r w:rsidRPr="007540BB">
        <w:rPr>
          <w:rFonts w:ascii="SimSun" w:hAnsi="SimSun" w:hint="eastAsia"/>
          <w:sz w:val="24"/>
          <w:szCs w:val="24"/>
        </w:rPr>
        <w:t>与其他</w:t>
      </w:r>
      <w:r>
        <w:rPr>
          <w:rFonts w:ascii="SimSun" w:hAnsi="SimSun" w:hint="eastAsia"/>
          <w:sz w:val="24"/>
          <w:szCs w:val="24"/>
        </w:rPr>
        <w:t>与</w:t>
      </w:r>
      <w:r>
        <w:rPr>
          <w:rFonts w:ascii="SimSun" w:hAnsi="SimSun"/>
          <w:sz w:val="24"/>
          <w:szCs w:val="24"/>
        </w:rPr>
        <w:t>生物多样性相关</w:t>
      </w:r>
      <w:r>
        <w:rPr>
          <w:rFonts w:ascii="SimSun" w:hAnsi="SimSun" w:hint="eastAsia"/>
          <w:sz w:val="24"/>
          <w:szCs w:val="24"/>
        </w:rPr>
        <w:t>公约的协同增效；</w:t>
      </w:r>
    </w:p>
    <w:p w:rsidR="009B0EB6" w:rsidRPr="006C5BB7" w:rsidRDefault="009B0EB6" w:rsidP="008F2823">
      <w:pPr>
        <w:pStyle w:val="Para1"/>
        <w:numPr>
          <w:ilvl w:val="1"/>
          <w:numId w:val="15"/>
        </w:numPr>
        <w:tabs>
          <w:tab w:val="left" w:pos="1440"/>
        </w:tabs>
        <w:spacing w:before="120"/>
        <w:ind w:left="-90" w:firstLine="810"/>
        <w:rPr>
          <w:rFonts w:ascii="SimSun" w:hAnsi="SimSun"/>
          <w:sz w:val="24"/>
          <w:szCs w:val="24"/>
        </w:rPr>
      </w:pPr>
      <w:r>
        <w:rPr>
          <w:rFonts w:ascii="SimSun" w:hAnsi="SimSun" w:hint="eastAsia"/>
          <w:sz w:val="24"/>
          <w:szCs w:val="24"/>
        </w:rPr>
        <w:t>资源调动战略</w:t>
      </w:r>
      <w:r>
        <w:rPr>
          <w:rFonts w:ascii="SimSun" w:hAnsi="SimSun"/>
          <w:sz w:val="24"/>
          <w:szCs w:val="24"/>
        </w:rPr>
        <w:t>及其指标；</w:t>
      </w:r>
    </w:p>
    <w:p w:rsidR="009B0EB6" w:rsidRPr="006C5BB7" w:rsidRDefault="009B0EB6" w:rsidP="008F2823">
      <w:pPr>
        <w:pStyle w:val="Para1"/>
        <w:numPr>
          <w:ilvl w:val="1"/>
          <w:numId w:val="15"/>
        </w:numPr>
        <w:tabs>
          <w:tab w:val="left" w:pos="1440"/>
        </w:tabs>
        <w:spacing w:before="120"/>
        <w:ind w:left="-90" w:firstLine="810"/>
        <w:rPr>
          <w:rFonts w:ascii="SimSun" w:hAnsi="SimSun"/>
          <w:sz w:val="24"/>
          <w:szCs w:val="24"/>
        </w:rPr>
      </w:pPr>
      <w:r>
        <w:rPr>
          <w:rFonts w:ascii="SimSun" w:hAnsi="SimSun" w:hint="eastAsia"/>
          <w:sz w:val="24"/>
          <w:szCs w:val="24"/>
        </w:rPr>
        <w:t>执行</w:t>
      </w:r>
      <w:r w:rsidRPr="00E96736">
        <w:rPr>
          <w:rFonts w:ascii="SimSun" w:hAnsi="SimSun"/>
          <w:sz w:val="24"/>
          <w:szCs w:val="24"/>
        </w:rPr>
        <w:t>《2011-2020</w:t>
      </w:r>
      <w:r>
        <w:rPr>
          <w:rFonts w:ascii="SimSun" w:hAnsi="SimSun" w:hint="eastAsia"/>
          <w:sz w:val="24"/>
          <w:szCs w:val="24"/>
        </w:rPr>
        <w:t>年</w:t>
      </w:r>
      <w:r>
        <w:rPr>
          <w:rFonts w:ascii="SimSun" w:hAnsi="SimSun"/>
          <w:sz w:val="24"/>
          <w:szCs w:val="24"/>
        </w:rPr>
        <w:t>生物多样性战略计划</w:t>
      </w:r>
      <w:r>
        <w:rPr>
          <w:rFonts w:ascii="SimSun" w:hAnsi="SimSun" w:hint="eastAsia"/>
          <w:sz w:val="24"/>
          <w:szCs w:val="24"/>
        </w:rPr>
        <w:t>》全球</w:t>
      </w:r>
      <w:r>
        <w:rPr>
          <w:rFonts w:ascii="SimSun" w:hAnsi="SimSun"/>
          <w:sz w:val="24"/>
          <w:szCs w:val="24"/>
        </w:rPr>
        <w:t>资源评估高级别小组的第二次报告</w:t>
      </w:r>
      <w:r>
        <w:rPr>
          <w:rFonts w:ascii="SimSun" w:hAnsi="SimSun" w:hint="eastAsia"/>
          <w:sz w:val="24"/>
          <w:szCs w:val="24"/>
        </w:rPr>
        <w:t>及其</w:t>
      </w:r>
      <w:r>
        <w:rPr>
          <w:rFonts w:ascii="SimSun" w:hAnsi="SimSun"/>
          <w:sz w:val="24"/>
          <w:szCs w:val="24"/>
        </w:rPr>
        <w:t>建议</w:t>
      </w:r>
      <w:r>
        <w:rPr>
          <w:rFonts w:ascii="SimSun" w:hAnsi="SimSun" w:hint="eastAsia"/>
          <w:sz w:val="24"/>
          <w:szCs w:val="24"/>
        </w:rPr>
        <w:t>；</w:t>
      </w:r>
    </w:p>
    <w:p w:rsidR="009B0EB6" w:rsidRDefault="009B0EB6" w:rsidP="008F2823">
      <w:pPr>
        <w:pStyle w:val="Para1"/>
        <w:numPr>
          <w:ilvl w:val="1"/>
          <w:numId w:val="15"/>
        </w:numPr>
        <w:tabs>
          <w:tab w:val="left" w:pos="1440"/>
        </w:tabs>
        <w:spacing w:before="120"/>
        <w:ind w:left="-90" w:firstLine="810"/>
        <w:rPr>
          <w:rFonts w:ascii="SimSun" w:hAnsi="SimSun"/>
          <w:sz w:val="24"/>
          <w:szCs w:val="24"/>
        </w:rPr>
      </w:pPr>
      <w:r>
        <w:rPr>
          <w:rFonts w:ascii="SimSun" w:hAnsi="SimSun" w:hint="eastAsia"/>
          <w:sz w:val="24"/>
          <w:szCs w:val="24"/>
        </w:rPr>
        <w:t>可能</w:t>
      </w:r>
      <w:r>
        <w:rPr>
          <w:rFonts w:ascii="SimSun" w:hAnsi="SimSun"/>
          <w:sz w:val="24"/>
          <w:szCs w:val="24"/>
        </w:rPr>
        <w:t>的</w:t>
      </w:r>
      <w:r>
        <w:rPr>
          <w:rFonts w:ascii="SimSun" w:hAnsi="SimSun" w:hint="eastAsia"/>
          <w:sz w:val="24"/>
          <w:szCs w:val="24"/>
        </w:rPr>
        <w:t>话</w:t>
      </w:r>
      <w:r>
        <w:rPr>
          <w:rFonts w:ascii="SimSun" w:hAnsi="SimSun"/>
          <w:sz w:val="24"/>
          <w:szCs w:val="24"/>
        </w:rPr>
        <w:t>，国家生物多样性战略和行动计划</w:t>
      </w:r>
      <w:r>
        <w:rPr>
          <w:rFonts w:ascii="SimSun" w:hAnsi="SimSun" w:hint="eastAsia"/>
          <w:sz w:val="24"/>
          <w:szCs w:val="24"/>
        </w:rPr>
        <w:t>；</w:t>
      </w:r>
    </w:p>
    <w:p w:rsidR="009B0EB6" w:rsidRPr="009B0EB6" w:rsidRDefault="009B0EB6" w:rsidP="008F2823">
      <w:pPr>
        <w:pStyle w:val="Para1"/>
        <w:numPr>
          <w:ilvl w:val="1"/>
          <w:numId w:val="15"/>
        </w:numPr>
        <w:tabs>
          <w:tab w:val="left" w:pos="1440"/>
        </w:tabs>
        <w:spacing w:before="120"/>
        <w:ind w:left="-90" w:firstLine="810"/>
        <w:rPr>
          <w:rFonts w:ascii="SimSun" w:hAnsi="SimSun"/>
          <w:sz w:val="24"/>
          <w:szCs w:val="24"/>
        </w:rPr>
      </w:pPr>
      <w:r>
        <w:rPr>
          <w:rFonts w:hAnsi="SimSun" w:hint="eastAsia"/>
          <w:sz w:val="24"/>
        </w:rPr>
        <w:t>2</w:t>
      </w:r>
      <w:r>
        <w:rPr>
          <w:rFonts w:hAnsi="SimSun"/>
          <w:sz w:val="24"/>
        </w:rPr>
        <w:t>020</w:t>
      </w:r>
      <w:r>
        <w:rPr>
          <w:rFonts w:hAnsi="SimSun" w:hint="eastAsia"/>
          <w:sz w:val="24"/>
        </w:rPr>
        <w:t>年后全球生物多样性框架草案；</w:t>
      </w:r>
    </w:p>
    <w:p w:rsidR="009B0EB6" w:rsidRPr="00BB4356" w:rsidRDefault="00571D87" w:rsidP="008F2823">
      <w:pPr>
        <w:pStyle w:val="Para1"/>
        <w:numPr>
          <w:ilvl w:val="1"/>
          <w:numId w:val="15"/>
        </w:numPr>
        <w:tabs>
          <w:tab w:val="left" w:pos="1440"/>
        </w:tabs>
        <w:spacing w:before="120"/>
        <w:ind w:left="-90" w:firstLine="810"/>
        <w:jc w:val="left"/>
        <w:rPr>
          <w:rFonts w:ascii="SimSun" w:hAnsi="SimSun"/>
          <w:sz w:val="24"/>
          <w:szCs w:val="24"/>
        </w:rPr>
      </w:pPr>
      <w:r>
        <w:rPr>
          <w:rFonts w:ascii="SimSun" w:hAnsi="SimSun" w:hint="eastAsia"/>
          <w:sz w:val="24"/>
          <w:szCs w:val="24"/>
        </w:rPr>
        <w:t>执行可持续发展目标特别是目标17的进展情况（加强执行手段）。</w:t>
      </w:r>
      <w:r>
        <w:rPr>
          <w:rFonts w:ascii="SimSun" w:hAnsi="SimSun"/>
          <w:sz w:val="24"/>
          <w:szCs w:val="24"/>
        </w:rPr>
        <w:br/>
      </w:r>
    </w:p>
    <w:p w:rsidR="009B0EB6" w:rsidRPr="00152231" w:rsidRDefault="009B0EB6" w:rsidP="009B0EB6">
      <w:pPr>
        <w:pStyle w:val="Para1"/>
        <w:numPr>
          <w:ilvl w:val="0"/>
          <w:numId w:val="0"/>
        </w:numPr>
        <w:rPr>
          <w:rFonts w:asciiTheme="minorEastAsia" w:eastAsiaTheme="minorEastAsia" w:hAnsiTheme="minorEastAsia" w:cs="Times New Roman"/>
          <w:b/>
          <w:sz w:val="24"/>
          <w:szCs w:val="24"/>
        </w:rPr>
      </w:pPr>
      <w:r w:rsidRPr="00152231">
        <w:rPr>
          <w:rFonts w:asciiTheme="minorEastAsia" w:eastAsiaTheme="minorEastAsia" w:hAnsiTheme="minorEastAsia" w:cs="Times New Roman"/>
          <w:b/>
          <w:sz w:val="24"/>
          <w:szCs w:val="24"/>
        </w:rPr>
        <w:t>执行程序</w:t>
      </w:r>
    </w:p>
    <w:p w:rsidR="009B0EB6" w:rsidRPr="0015223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bookmarkStart w:id="4" w:name="OLE_LINK45"/>
      <w:bookmarkStart w:id="5" w:name="OLE_LINK71"/>
      <w:r w:rsidRPr="00152231">
        <w:rPr>
          <w:rFonts w:eastAsiaTheme="minorEastAsia"/>
          <w:sz w:val="24"/>
          <w:lang w:eastAsia="zh-CN"/>
        </w:rPr>
        <w:t>经缔约方大会授权并在其支持下，执行秘书</w:t>
      </w:r>
      <w:r w:rsidR="00152231">
        <w:rPr>
          <w:rFonts w:eastAsiaTheme="minorEastAsia" w:hint="eastAsia"/>
          <w:sz w:val="24"/>
          <w:lang w:eastAsia="zh-CN"/>
        </w:rPr>
        <w:t>应</w:t>
      </w:r>
      <w:r w:rsidR="00152231">
        <w:rPr>
          <w:rFonts w:eastAsiaTheme="minorEastAsia"/>
          <w:sz w:val="24"/>
          <w:lang w:eastAsia="zh-CN"/>
        </w:rPr>
        <w:t>在</w:t>
      </w:r>
      <w:r w:rsidR="00152231">
        <w:rPr>
          <w:rFonts w:eastAsiaTheme="minorEastAsia" w:hint="eastAsia"/>
          <w:sz w:val="24"/>
          <w:lang w:eastAsia="zh-CN"/>
        </w:rPr>
        <w:t>资源</w:t>
      </w:r>
      <w:r w:rsidR="00152231">
        <w:rPr>
          <w:rFonts w:eastAsiaTheme="minorEastAsia"/>
          <w:sz w:val="24"/>
          <w:lang w:eastAsia="zh-CN"/>
        </w:rPr>
        <w:t>允许的情况下，</w:t>
      </w:r>
      <w:r w:rsidRPr="00152231">
        <w:rPr>
          <w:rFonts w:eastAsiaTheme="minorEastAsia"/>
          <w:sz w:val="24"/>
          <w:lang w:eastAsia="zh-CN"/>
        </w:rPr>
        <w:t>召集</w:t>
      </w:r>
      <w:r w:rsidR="007E1A32" w:rsidRPr="00152231">
        <w:rPr>
          <w:rFonts w:eastAsiaTheme="minorEastAsia"/>
          <w:sz w:val="24"/>
          <w:lang w:eastAsia="zh-CN"/>
        </w:rPr>
        <w:t>三或</w:t>
      </w:r>
      <w:r w:rsidRPr="00152231">
        <w:rPr>
          <w:rFonts w:eastAsiaTheme="minorEastAsia"/>
          <w:sz w:val="24"/>
          <w:lang w:eastAsia="zh-CN"/>
        </w:rPr>
        <w:t>五人专家小组（发展中国家</w:t>
      </w:r>
      <w:r w:rsidR="007E1A32" w:rsidRPr="00152231">
        <w:rPr>
          <w:rFonts w:eastAsiaTheme="minorEastAsia"/>
          <w:sz w:val="24"/>
          <w:lang w:eastAsia="zh-CN"/>
        </w:rPr>
        <w:t>和</w:t>
      </w:r>
      <w:r w:rsidRPr="00152231">
        <w:rPr>
          <w:rFonts w:eastAsiaTheme="minorEastAsia"/>
          <w:sz w:val="24"/>
          <w:lang w:eastAsia="zh-CN"/>
        </w:rPr>
        <w:t>发达国家</w:t>
      </w:r>
      <w:r w:rsidR="007E1A32" w:rsidRPr="00152231">
        <w:rPr>
          <w:rFonts w:eastAsiaTheme="minorEastAsia"/>
          <w:sz w:val="24"/>
          <w:lang w:eastAsia="zh-CN"/>
        </w:rPr>
        <w:t>人数相等</w:t>
      </w:r>
      <w:r w:rsidRPr="00152231">
        <w:rPr>
          <w:rFonts w:eastAsiaTheme="minorEastAsia"/>
          <w:sz w:val="24"/>
          <w:lang w:eastAsia="zh-CN"/>
        </w:rPr>
        <w:t>，</w:t>
      </w:r>
      <w:r w:rsidR="007E1A32" w:rsidRPr="00152231">
        <w:rPr>
          <w:rFonts w:eastAsiaTheme="minorEastAsia"/>
          <w:sz w:val="24"/>
          <w:lang w:eastAsia="zh-CN"/>
        </w:rPr>
        <w:t>国际</w:t>
      </w:r>
      <w:r w:rsidRPr="00152231">
        <w:rPr>
          <w:rFonts w:eastAsiaTheme="minorEastAsia"/>
          <w:sz w:val="24"/>
          <w:lang w:eastAsia="zh-CN"/>
        </w:rPr>
        <w:t>非政府组织一人），以便根据上述目的和方法，编写关于</w:t>
      </w:r>
      <w:r w:rsidRPr="00152231">
        <w:rPr>
          <w:rFonts w:eastAsiaTheme="minorEastAsia"/>
          <w:sz w:val="24"/>
          <w:lang w:eastAsia="zh-CN"/>
        </w:rPr>
        <w:t>20</w:t>
      </w:r>
      <w:r w:rsidR="007E1A32" w:rsidRPr="00152231">
        <w:rPr>
          <w:rFonts w:eastAsiaTheme="minorEastAsia"/>
          <w:sz w:val="24"/>
          <w:lang w:eastAsia="zh-CN"/>
        </w:rPr>
        <w:t>22</w:t>
      </w:r>
      <w:r w:rsidRPr="00152231">
        <w:rPr>
          <w:rFonts w:eastAsiaTheme="minorEastAsia"/>
          <w:sz w:val="24"/>
          <w:lang w:eastAsia="zh-CN"/>
        </w:rPr>
        <w:t>年</w:t>
      </w:r>
      <w:r w:rsidRPr="00152231">
        <w:rPr>
          <w:rFonts w:eastAsiaTheme="minorEastAsia"/>
          <w:sz w:val="24"/>
          <w:lang w:eastAsia="zh-CN"/>
        </w:rPr>
        <w:t>7</w:t>
      </w:r>
      <w:r w:rsidRPr="00152231">
        <w:rPr>
          <w:rFonts w:eastAsiaTheme="minorEastAsia"/>
          <w:sz w:val="24"/>
          <w:lang w:eastAsia="zh-CN"/>
        </w:rPr>
        <w:t>月至</w:t>
      </w:r>
      <w:r w:rsidRPr="00152231">
        <w:rPr>
          <w:rFonts w:eastAsiaTheme="minorEastAsia"/>
          <w:sz w:val="24"/>
          <w:lang w:eastAsia="zh-CN"/>
        </w:rPr>
        <w:t>202</w:t>
      </w:r>
      <w:r w:rsidR="007E1A32" w:rsidRPr="00152231">
        <w:rPr>
          <w:rFonts w:eastAsiaTheme="minorEastAsia"/>
          <w:sz w:val="24"/>
          <w:lang w:eastAsia="zh-CN"/>
        </w:rPr>
        <w:t>6</w:t>
      </w:r>
      <w:r w:rsidRPr="00152231">
        <w:rPr>
          <w:rFonts w:eastAsiaTheme="minorEastAsia"/>
          <w:sz w:val="24"/>
          <w:lang w:eastAsia="zh-CN"/>
        </w:rPr>
        <w:t>年</w:t>
      </w:r>
      <w:r w:rsidRPr="00152231">
        <w:rPr>
          <w:rFonts w:eastAsiaTheme="minorEastAsia"/>
          <w:sz w:val="24"/>
          <w:lang w:eastAsia="zh-CN"/>
        </w:rPr>
        <w:t>6</w:t>
      </w:r>
      <w:r w:rsidRPr="00152231">
        <w:rPr>
          <w:rFonts w:eastAsiaTheme="minorEastAsia"/>
          <w:sz w:val="24"/>
          <w:lang w:eastAsia="zh-CN"/>
        </w:rPr>
        <w:t>月期间执行《公约》所需资金以及目前可用资金的全面评估。</w:t>
      </w:r>
      <w:bookmarkEnd w:id="4"/>
      <w:bookmarkEnd w:id="5"/>
    </w:p>
    <w:p w:rsidR="009B0EB6" w:rsidRPr="0015223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152231">
        <w:rPr>
          <w:rFonts w:eastAsiaTheme="minorEastAsia"/>
          <w:sz w:val="24"/>
          <w:lang w:eastAsia="zh-CN"/>
        </w:rPr>
        <w:t>在编写评估报告时，专家小组应采取可能需要的访谈、调查、定量和定性分析以及磋商，包括：</w:t>
      </w:r>
    </w:p>
    <w:p w:rsidR="009B0EB6" w:rsidRPr="007540BB" w:rsidRDefault="009B0EB6" w:rsidP="005F1FA1">
      <w:pPr>
        <w:pStyle w:val="Para1"/>
        <w:numPr>
          <w:ilvl w:val="0"/>
          <w:numId w:val="16"/>
        </w:numPr>
        <w:tabs>
          <w:tab w:val="left" w:pos="1440"/>
        </w:tabs>
        <w:spacing w:before="120"/>
        <w:ind w:hanging="720"/>
        <w:rPr>
          <w:rFonts w:ascii="SimSun" w:hAnsi="SimSun"/>
          <w:sz w:val="24"/>
          <w:szCs w:val="24"/>
        </w:rPr>
      </w:pPr>
      <w:r w:rsidRPr="007540BB">
        <w:rPr>
          <w:rFonts w:ascii="SimSun" w:hAnsi="SimSun" w:hint="eastAsia"/>
          <w:sz w:val="24"/>
          <w:szCs w:val="24"/>
        </w:rPr>
        <w:t>汇编和分析</w:t>
      </w:r>
      <w:r w:rsidR="007E1A32">
        <w:rPr>
          <w:rFonts w:ascii="SimSun" w:hAnsi="SimSun" w:hint="eastAsia"/>
          <w:sz w:val="24"/>
          <w:szCs w:val="24"/>
        </w:rPr>
        <w:t>符合全球环境基金</w:t>
      </w:r>
      <w:r w:rsidR="00F4523D">
        <w:rPr>
          <w:rFonts w:ascii="SimSun" w:hAnsi="SimSun" w:hint="eastAsia"/>
          <w:sz w:val="24"/>
          <w:szCs w:val="24"/>
        </w:rPr>
        <w:t>资格</w:t>
      </w:r>
      <w:r w:rsidR="007E1A32">
        <w:rPr>
          <w:rFonts w:ascii="SimSun" w:hAnsi="SimSun" w:hint="eastAsia"/>
          <w:sz w:val="24"/>
          <w:szCs w:val="24"/>
        </w:rPr>
        <w:t>的</w:t>
      </w:r>
      <w:r w:rsidRPr="007540BB">
        <w:rPr>
          <w:rFonts w:ascii="SimSun" w:hAnsi="SimSun" w:hint="eastAsia"/>
          <w:sz w:val="24"/>
          <w:szCs w:val="24"/>
        </w:rPr>
        <w:t>缔约方根据《公约</w:t>
      </w:r>
      <w:r w:rsidRPr="00C96DE7">
        <w:rPr>
          <w:sz w:val="24"/>
          <w:szCs w:val="24"/>
        </w:rPr>
        <w:t>》第</w:t>
      </w:r>
      <w:r w:rsidRPr="00C96DE7">
        <w:rPr>
          <w:sz w:val="24"/>
          <w:szCs w:val="24"/>
        </w:rPr>
        <w:t>16</w:t>
      </w:r>
      <w:r w:rsidRPr="006D5EA3">
        <w:rPr>
          <w:rFonts w:ascii="SimSun" w:hAnsi="SimSun" w:hint="eastAsia"/>
          <w:sz w:val="24"/>
          <w:szCs w:val="24"/>
        </w:rPr>
        <w:t>条</w:t>
      </w:r>
      <w:r w:rsidRPr="007540BB">
        <w:rPr>
          <w:rFonts w:ascii="SimSun" w:hAnsi="SimSun" w:hint="eastAsia"/>
          <w:sz w:val="24"/>
          <w:szCs w:val="24"/>
        </w:rPr>
        <w:t>所编写国家生物多样性战略和行动计划，包括针对具体国家的资源调动战略中确定的需要；</w:t>
      </w:r>
    </w:p>
    <w:p w:rsidR="009B0EB6" w:rsidRPr="00771567" w:rsidRDefault="009B0EB6" w:rsidP="005F1FA1">
      <w:pPr>
        <w:pStyle w:val="Para1"/>
        <w:numPr>
          <w:ilvl w:val="0"/>
          <w:numId w:val="16"/>
        </w:numPr>
        <w:tabs>
          <w:tab w:val="left" w:pos="1440"/>
        </w:tabs>
        <w:spacing w:before="120"/>
        <w:ind w:hanging="720"/>
        <w:rPr>
          <w:sz w:val="24"/>
          <w:szCs w:val="24"/>
        </w:rPr>
      </w:pPr>
      <w:bookmarkStart w:id="6" w:name="OLE_LINK46"/>
      <w:r w:rsidRPr="007540BB">
        <w:rPr>
          <w:rFonts w:ascii="SimSun" w:hAnsi="SimSun" w:hint="eastAsia"/>
          <w:sz w:val="24"/>
          <w:szCs w:val="24"/>
        </w:rPr>
        <w:t>审议缔约方根据《</w:t>
      </w:r>
      <w:r w:rsidRPr="00771567">
        <w:rPr>
          <w:sz w:val="24"/>
          <w:szCs w:val="24"/>
        </w:rPr>
        <w:t>公约》第</w:t>
      </w:r>
      <w:r w:rsidRPr="00771567">
        <w:rPr>
          <w:sz w:val="24"/>
          <w:szCs w:val="24"/>
        </w:rPr>
        <w:t>26</w:t>
      </w:r>
      <w:r w:rsidRPr="00771567">
        <w:rPr>
          <w:sz w:val="24"/>
          <w:szCs w:val="24"/>
        </w:rPr>
        <w:t>条提交的报告，以确定履行《公约》规定义务的资金需求；</w:t>
      </w:r>
      <w:bookmarkEnd w:id="6"/>
      <w:r w:rsidRPr="00771567">
        <w:rPr>
          <w:sz w:val="24"/>
          <w:szCs w:val="24"/>
        </w:rPr>
        <w:t xml:space="preserve"> </w:t>
      </w:r>
    </w:p>
    <w:p w:rsidR="009B0EB6" w:rsidRPr="00771567" w:rsidRDefault="009B0EB6" w:rsidP="005F1FA1">
      <w:pPr>
        <w:pStyle w:val="Para1"/>
        <w:numPr>
          <w:ilvl w:val="0"/>
          <w:numId w:val="16"/>
        </w:numPr>
        <w:tabs>
          <w:tab w:val="left" w:pos="1440"/>
        </w:tabs>
        <w:spacing w:before="120"/>
        <w:ind w:hanging="720"/>
        <w:rPr>
          <w:sz w:val="24"/>
          <w:szCs w:val="24"/>
        </w:rPr>
      </w:pPr>
      <w:r w:rsidRPr="00771567">
        <w:rPr>
          <w:sz w:val="24"/>
          <w:szCs w:val="24"/>
        </w:rPr>
        <w:t>估计的缔约方大会财务机制指导所涉经费问题；</w:t>
      </w:r>
    </w:p>
    <w:p w:rsidR="009B0EB6" w:rsidRPr="00771567" w:rsidRDefault="009B0EB6" w:rsidP="005F1FA1">
      <w:pPr>
        <w:pStyle w:val="Para1"/>
        <w:numPr>
          <w:ilvl w:val="0"/>
          <w:numId w:val="16"/>
        </w:numPr>
        <w:tabs>
          <w:tab w:val="left" w:pos="1440"/>
        </w:tabs>
        <w:spacing w:before="120"/>
        <w:ind w:hanging="720"/>
        <w:rPr>
          <w:sz w:val="24"/>
          <w:szCs w:val="24"/>
        </w:rPr>
      </w:pPr>
      <w:bookmarkStart w:id="7" w:name="OLE_LINK47"/>
      <w:r w:rsidRPr="00771567">
        <w:rPr>
          <w:sz w:val="24"/>
          <w:szCs w:val="24"/>
        </w:rPr>
        <w:t>迄今财务机制为各充资阶段提供资金的经验</w:t>
      </w:r>
      <w:bookmarkEnd w:id="7"/>
      <w:r w:rsidRPr="00771567">
        <w:rPr>
          <w:sz w:val="24"/>
          <w:szCs w:val="24"/>
        </w:rPr>
        <w:t>；</w:t>
      </w:r>
    </w:p>
    <w:p w:rsidR="009B0EB6" w:rsidRPr="007540BB" w:rsidRDefault="009B0EB6" w:rsidP="005F1FA1">
      <w:pPr>
        <w:pStyle w:val="Para1"/>
        <w:numPr>
          <w:ilvl w:val="0"/>
          <w:numId w:val="16"/>
        </w:numPr>
        <w:tabs>
          <w:tab w:val="left" w:pos="1440"/>
        </w:tabs>
        <w:spacing w:before="120"/>
        <w:ind w:hanging="720"/>
        <w:rPr>
          <w:rFonts w:ascii="SimSun" w:hAnsi="SimSun"/>
          <w:sz w:val="24"/>
          <w:szCs w:val="24"/>
        </w:rPr>
      </w:pPr>
      <w:bookmarkStart w:id="8" w:name="OLE_LINK48"/>
      <w:r w:rsidRPr="007540BB">
        <w:rPr>
          <w:rFonts w:ascii="SimSun" w:hAnsi="SimSun" w:hint="eastAsia"/>
          <w:sz w:val="24"/>
          <w:szCs w:val="24"/>
        </w:rPr>
        <w:t>汇编和分析</w:t>
      </w:r>
      <w:r w:rsidR="007E1A32">
        <w:rPr>
          <w:rFonts w:ascii="SimSun" w:hAnsi="SimSun" w:hint="eastAsia"/>
          <w:sz w:val="24"/>
          <w:szCs w:val="24"/>
        </w:rPr>
        <w:t>符合全球环境基金</w:t>
      </w:r>
      <w:r w:rsidR="00F4523D">
        <w:rPr>
          <w:rFonts w:ascii="SimSun" w:hAnsi="SimSun" w:hint="eastAsia"/>
          <w:sz w:val="24"/>
          <w:szCs w:val="24"/>
        </w:rPr>
        <w:t>资格</w:t>
      </w:r>
      <w:r w:rsidR="007E1A32">
        <w:rPr>
          <w:rFonts w:ascii="SimSun" w:hAnsi="SimSun" w:hint="eastAsia"/>
          <w:sz w:val="24"/>
          <w:szCs w:val="24"/>
        </w:rPr>
        <w:t>的</w:t>
      </w:r>
      <w:r w:rsidRPr="007540BB">
        <w:rPr>
          <w:rFonts w:ascii="SimSun" w:hAnsi="SimSun" w:hint="eastAsia"/>
          <w:sz w:val="24"/>
          <w:szCs w:val="24"/>
        </w:rPr>
        <w:t>缔约方就其履行《公约》规定义务的资金需求所提交的任何补充资料</w:t>
      </w:r>
      <w:bookmarkEnd w:id="8"/>
      <w:r w:rsidRPr="007540BB">
        <w:rPr>
          <w:rFonts w:ascii="SimSun" w:hAnsi="SimSun" w:hint="eastAsia"/>
          <w:sz w:val="24"/>
          <w:szCs w:val="24"/>
        </w:rPr>
        <w:t>。</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bookmarkStart w:id="9" w:name="OLE_LINK49"/>
      <w:r w:rsidRPr="005F1FA1">
        <w:rPr>
          <w:rFonts w:eastAsiaTheme="minorEastAsia"/>
          <w:sz w:val="24"/>
          <w:lang w:eastAsia="zh-CN"/>
        </w:rPr>
        <w:lastRenderedPageBreak/>
        <w:t>全球环境基金和执行秘书应对专家小组的评估报告草案作一次审查，以确保这些职权范围所规定的数据及做法的准确性和一致性。</w:t>
      </w:r>
      <w:bookmarkEnd w:id="9"/>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执行秘书应努力确保在</w:t>
      </w:r>
      <w:bookmarkStart w:id="10" w:name="OLE_LINK14"/>
      <w:r w:rsidRPr="005F1FA1">
        <w:rPr>
          <w:rFonts w:eastAsiaTheme="minorEastAsia"/>
          <w:sz w:val="24"/>
          <w:lang w:eastAsia="zh-CN"/>
        </w:rPr>
        <w:t>执行问题附属机构第</w:t>
      </w:r>
      <w:r w:rsidR="007E1A32" w:rsidRPr="005F1FA1">
        <w:rPr>
          <w:rFonts w:eastAsiaTheme="minorEastAsia"/>
          <w:sz w:val="24"/>
          <w:lang w:eastAsia="zh-CN"/>
        </w:rPr>
        <w:t>三</w:t>
      </w:r>
      <w:r w:rsidRPr="005F1FA1">
        <w:rPr>
          <w:rFonts w:eastAsiaTheme="minorEastAsia"/>
          <w:sz w:val="24"/>
          <w:lang w:eastAsia="zh-CN"/>
        </w:rPr>
        <w:t>次会议</w:t>
      </w:r>
      <w:bookmarkEnd w:id="10"/>
      <w:r w:rsidRPr="005F1FA1">
        <w:rPr>
          <w:rFonts w:eastAsiaTheme="minorEastAsia"/>
          <w:sz w:val="24"/>
          <w:lang w:eastAsia="zh-CN"/>
        </w:rPr>
        <w:t>之前一个月向所有缔约方分发专家小组的评估报告。</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执行问题附属机构第</w:t>
      </w:r>
      <w:r w:rsidR="00BD0E1F" w:rsidRPr="005F1FA1">
        <w:rPr>
          <w:rFonts w:eastAsiaTheme="minorEastAsia"/>
          <w:sz w:val="24"/>
          <w:lang w:eastAsia="zh-CN"/>
        </w:rPr>
        <w:t>三</w:t>
      </w:r>
      <w:r w:rsidRPr="005F1FA1">
        <w:rPr>
          <w:rFonts w:eastAsiaTheme="minorEastAsia"/>
          <w:sz w:val="24"/>
          <w:lang w:eastAsia="zh-CN"/>
        </w:rPr>
        <w:t>次会议应审查专家小组的评估报告，并提出建议供缔约方大会第十</w:t>
      </w:r>
      <w:r w:rsidR="00BD0E1F" w:rsidRPr="005F1FA1">
        <w:rPr>
          <w:rFonts w:eastAsiaTheme="minorEastAsia"/>
          <w:sz w:val="24"/>
          <w:lang w:eastAsia="zh-CN"/>
        </w:rPr>
        <w:t>五</w:t>
      </w:r>
      <w:r w:rsidRPr="005F1FA1">
        <w:rPr>
          <w:rFonts w:eastAsiaTheme="minorEastAsia"/>
          <w:sz w:val="24"/>
          <w:lang w:eastAsia="zh-CN"/>
        </w:rPr>
        <w:t>届会议审议。</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缔约方大会第十</w:t>
      </w:r>
      <w:r w:rsidR="00BD0E1F" w:rsidRPr="005F1FA1">
        <w:rPr>
          <w:rFonts w:eastAsiaTheme="minorEastAsia"/>
          <w:sz w:val="24"/>
          <w:lang w:eastAsia="zh-CN"/>
        </w:rPr>
        <w:t>五</w:t>
      </w:r>
      <w:r w:rsidRPr="005F1FA1">
        <w:rPr>
          <w:rFonts w:eastAsiaTheme="minorEastAsia"/>
          <w:sz w:val="24"/>
          <w:lang w:eastAsia="zh-CN"/>
        </w:rPr>
        <w:t>届会议将就全球环境基金信托基金</w:t>
      </w:r>
      <w:r w:rsidR="00F4523D" w:rsidRPr="005F1FA1">
        <w:rPr>
          <w:rFonts w:eastAsiaTheme="minorEastAsia"/>
          <w:sz w:val="24"/>
          <w:lang w:eastAsia="zh-CN"/>
        </w:rPr>
        <w:t>第八</w:t>
      </w:r>
      <w:r w:rsidRPr="005F1FA1">
        <w:rPr>
          <w:rFonts w:eastAsiaTheme="minorEastAsia"/>
          <w:sz w:val="24"/>
          <w:lang w:eastAsia="zh-CN"/>
        </w:rPr>
        <w:t>次增资期间执行《公约》及其各议定书需要的资金数额的评估作出决定，并随后将结果通知全球环境基金。</w:t>
      </w:r>
    </w:p>
    <w:p w:rsidR="009B0EB6" w:rsidRPr="005F1FA1" w:rsidRDefault="009B0EB6" w:rsidP="009B0EB6">
      <w:pPr>
        <w:pStyle w:val="Para1"/>
        <w:numPr>
          <w:ilvl w:val="0"/>
          <w:numId w:val="0"/>
        </w:numPr>
        <w:rPr>
          <w:rFonts w:eastAsiaTheme="minorEastAsia" w:cs="Times New Roman"/>
          <w:sz w:val="24"/>
          <w:szCs w:val="24"/>
        </w:rPr>
      </w:pPr>
      <w:r w:rsidRPr="005F1FA1">
        <w:rPr>
          <w:rFonts w:eastAsiaTheme="minorEastAsia" w:cs="Times New Roman"/>
          <w:sz w:val="24"/>
          <w:szCs w:val="24"/>
        </w:rPr>
        <w:t>咨询过程</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在编写评估报告时，专家小组应广泛咨询所有相关个人和机构以及其他认为有用的资料来源。</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专家小组应</w:t>
      </w:r>
      <w:r w:rsidR="00D44852" w:rsidRPr="005F1FA1">
        <w:rPr>
          <w:rFonts w:eastAsiaTheme="minorEastAsia"/>
          <w:sz w:val="24"/>
          <w:lang w:eastAsia="zh-CN"/>
        </w:rPr>
        <w:t>与秘书处和全球环境基金协商</w:t>
      </w:r>
      <w:r w:rsidRPr="005F1FA1">
        <w:rPr>
          <w:rFonts w:eastAsiaTheme="minorEastAsia"/>
          <w:sz w:val="24"/>
          <w:lang w:eastAsia="zh-CN"/>
        </w:rPr>
        <w:t>编写关于</w:t>
      </w:r>
      <w:r w:rsidRPr="005F1FA1">
        <w:rPr>
          <w:rFonts w:eastAsiaTheme="minorEastAsia"/>
          <w:sz w:val="24"/>
          <w:lang w:eastAsia="zh-CN"/>
        </w:rPr>
        <w:t>20</w:t>
      </w:r>
      <w:r w:rsidR="00D44852" w:rsidRPr="005F1FA1">
        <w:rPr>
          <w:rFonts w:eastAsiaTheme="minorEastAsia"/>
          <w:sz w:val="24"/>
          <w:lang w:eastAsia="zh-CN"/>
        </w:rPr>
        <w:t>22</w:t>
      </w:r>
      <w:r w:rsidRPr="005F1FA1">
        <w:rPr>
          <w:rFonts w:eastAsiaTheme="minorEastAsia"/>
          <w:sz w:val="24"/>
          <w:lang w:eastAsia="zh-CN"/>
        </w:rPr>
        <w:t>年</w:t>
      </w:r>
      <w:r w:rsidRPr="005F1FA1">
        <w:rPr>
          <w:rFonts w:eastAsiaTheme="minorEastAsia"/>
          <w:sz w:val="24"/>
          <w:lang w:eastAsia="zh-CN"/>
        </w:rPr>
        <w:t>7</w:t>
      </w:r>
      <w:r w:rsidRPr="005F1FA1">
        <w:rPr>
          <w:rFonts w:eastAsiaTheme="minorEastAsia"/>
          <w:sz w:val="24"/>
          <w:lang w:eastAsia="zh-CN"/>
        </w:rPr>
        <w:t>月至</w:t>
      </w:r>
      <w:r w:rsidR="00D44852" w:rsidRPr="005F1FA1">
        <w:rPr>
          <w:rFonts w:eastAsiaTheme="minorEastAsia"/>
          <w:sz w:val="24"/>
          <w:lang w:eastAsia="zh-CN"/>
        </w:rPr>
        <w:t>2026</w:t>
      </w:r>
      <w:r w:rsidRPr="005F1FA1">
        <w:rPr>
          <w:rFonts w:eastAsiaTheme="minorEastAsia"/>
          <w:sz w:val="24"/>
          <w:lang w:eastAsia="zh-CN"/>
        </w:rPr>
        <w:t>年</w:t>
      </w:r>
      <w:r w:rsidRPr="005F1FA1">
        <w:rPr>
          <w:rFonts w:eastAsiaTheme="minorEastAsia"/>
          <w:sz w:val="24"/>
          <w:lang w:eastAsia="zh-CN"/>
        </w:rPr>
        <w:t>6</w:t>
      </w:r>
      <w:r w:rsidRPr="005F1FA1">
        <w:rPr>
          <w:rFonts w:eastAsiaTheme="minorEastAsia"/>
          <w:sz w:val="24"/>
          <w:lang w:eastAsia="zh-CN"/>
        </w:rPr>
        <w:t>月资金需求的问卷调查并将其分发给《公约》的所有</w:t>
      </w:r>
      <w:r w:rsidR="00D44852" w:rsidRPr="005F1FA1">
        <w:rPr>
          <w:rFonts w:eastAsiaTheme="minorEastAsia"/>
          <w:sz w:val="24"/>
          <w:lang w:eastAsia="zh-CN"/>
        </w:rPr>
        <w:t>发展中国家和</w:t>
      </w:r>
      <w:r w:rsidR="00D44852" w:rsidRPr="005F1FA1">
        <w:rPr>
          <w:rFonts w:eastAsiaTheme="minorEastAsia"/>
          <w:sz w:val="24"/>
          <w:lang w:val="zh-CN" w:eastAsia="zh-CN"/>
        </w:rPr>
        <w:t>转型期经济体</w:t>
      </w:r>
      <w:r w:rsidRPr="005F1FA1">
        <w:rPr>
          <w:rFonts w:eastAsiaTheme="minorEastAsia"/>
          <w:sz w:val="24"/>
          <w:lang w:eastAsia="zh-CN"/>
        </w:rPr>
        <w:t>缔约方，并将结果纳入评估报告。</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bookmarkStart w:id="11" w:name="OLE_LINK51"/>
      <w:r w:rsidRPr="005F1FA1">
        <w:rPr>
          <w:rFonts w:eastAsiaTheme="minorEastAsia"/>
          <w:sz w:val="24"/>
          <w:lang w:eastAsia="zh-CN"/>
        </w:rPr>
        <w:t>应组织访谈和咨询会议，让相关主要利益攸关方参加，包括主要的缔约方集团、《公约》秘书处以及全球环境基金的秘书处、独立评价办公室和下属机构</w:t>
      </w:r>
      <w:bookmarkEnd w:id="11"/>
      <w:r w:rsidRPr="005F1FA1">
        <w:rPr>
          <w:rFonts w:eastAsiaTheme="minorEastAsia"/>
          <w:sz w:val="24"/>
          <w:lang w:eastAsia="zh-CN"/>
        </w:rPr>
        <w:t>。</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专家小组应尽可能努力进行区域和次区域咨询，并利用公约秘书处和全球环境基金在研究期间组织的区域和次区域讲习班。</w:t>
      </w:r>
    </w:p>
    <w:p w:rsidR="009B0EB6" w:rsidRPr="005F1FA1" w:rsidRDefault="009B0EB6" w:rsidP="007E2963">
      <w:pPr>
        <w:pStyle w:val="CBD-Para-1"/>
        <w:keepLines w:val="0"/>
        <w:numPr>
          <w:ilvl w:val="0"/>
          <w:numId w:val="12"/>
        </w:numPr>
        <w:tabs>
          <w:tab w:val="left" w:pos="720"/>
        </w:tabs>
        <w:snapToGrid w:val="0"/>
        <w:ind w:left="0" w:firstLine="0"/>
        <w:jc w:val="left"/>
        <w:rPr>
          <w:rFonts w:eastAsiaTheme="minorEastAsia"/>
          <w:sz w:val="24"/>
          <w:lang w:eastAsia="zh-CN"/>
        </w:rPr>
      </w:pPr>
      <w:bookmarkStart w:id="12" w:name="OLE_LINK52"/>
      <w:r w:rsidRPr="005F1FA1">
        <w:rPr>
          <w:rFonts w:eastAsiaTheme="minorEastAsia"/>
          <w:sz w:val="24"/>
          <w:lang w:eastAsia="zh-CN"/>
        </w:rPr>
        <w:t>评估执行《公约》及其各《议定书》需要的资金以及可利用的资金的办法应该透明、可靠并可复制，并根据第</w:t>
      </w:r>
      <w:r w:rsidRPr="005F1FA1">
        <w:rPr>
          <w:rFonts w:eastAsiaTheme="minorEastAsia"/>
          <w:sz w:val="24"/>
          <w:lang w:eastAsia="zh-CN"/>
        </w:rPr>
        <w:t>20</w:t>
      </w:r>
      <w:r w:rsidRPr="005F1FA1">
        <w:rPr>
          <w:rFonts w:eastAsiaTheme="minorEastAsia"/>
          <w:sz w:val="24"/>
          <w:lang w:eastAsia="zh-CN"/>
        </w:rPr>
        <w:t>条第</w:t>
      </w:r>
      <w:r w:rsidRPr="005F1FA1">
        <w:rPr>
          <w:rFonts w:eastAsiaTheme="minorEastAsia"/>
          <w:sz w:val="24"/>
          <w:lang w:eastAsia="zh-CN"/>
        </w:rPr>
        <w:t>2</w:t>
      </w:r>
      <w:r w:rsidRPr="005F1FA1">
        <w:rPr>
          <w:rFonts w:eastAsiaTheme="minorEastAsia"/>
          <w:sz w:val="24"/>
          <w:lang w:eastAsia="zh-CN"/>
        </w:rPr>
        <w:t>款说明增加费用的明确理由</w:t>
      </w:r>
      <w:bookmarkEnd w:id="12"/>
      <w:r w:rsidRPr="005F1FA1">
        <w:rPr>
          <w:rFonts w:eastAsiaTheme="minorEastAsia"/>
          <w:sz w:val="24"/>
          <w:lang w:eastAsia="zh-CN"/>
        </w:rPr>
        <w:t>，同时考虑到从其他为公约提供服务的国际基金收集的资料和缔约方提交的应用增支成本概念的资料，以及全球环境基金理事会核准的现行全球环境基金规则和准则。</w:t>
      </w:r>
    </w:p>
    <w:p w:rsidR="00D44852" w:rsidRPr="005F1FA1" w:rsidRDefault="00D44852" w:rsidP="007E2963">
      <w:pPr>
        <w:pStyle w:val="CBD-Para-1"/>
        <w:keepLines w:val="0"/>
        <w:numPr>
          <w:ilvl w:val="0"/>
          <w:numId w:val="12"/>
        </w:numPr>
        <w:tabs>
          <w:tab w:val="left" w:pos="720"/>
        </w:tabs>
        <w:snapToGrid w:val="0"/>
        <w:ind w:left="0" w:firstLine="0"/>
        <w:jc w:val="left"/>
        <w:rPr>
          <w:rFonts w:eastAsiaTheme="minorEastAsia"/>
          <w:sz w:val="24"/>
          <w:lang w:eastAsia="zh-CN"/>
        </w:rPr>
      </w:pPr>
      <w:r w:rsidRPr="005F1FA1">
        <w:rPr>
          <w:rFonts w:eastAsiaTheme="minorEastAsia"/>
          <w:sz w:val="24"/>
          <w:lang w:eastAsia="zh-CN"/>
        </w:rPr>
        <w:t>根据编制本需求评估报告的经验，专家小组将向执行秘书就在线系统的内容和模式提出建议，以方便相关缔约方未来提交需求评估报告。</w:t>
      </w:r>
    </w:p>
    <w:p w:rsidR="009F4854" w:rsidRPr="005F1FA1" w:rsidRDefault="009B0EB6" w:rsidP="007E2963">
      <w:pPr>
        <w:pStyle w:val="CBD-Para-1"/>
        <w:keepLines w:val="0"/>
        <w:numPr>
          <w:ilvl w:val="0"/>
          <w:numId w:val="12"/>
        </w:numPr>
        <w:tabs>
          <w:tab w:val="left" w:pos="720"/>
        </w:tabs>
        <w:snapToGrid w:val="0"/>
        <w:ind w:left="0" w:firstLine="0"/>
        <w:jc w:val="left"/>
        <w:rPr>
          <w:rFonts w:eastAsiaTheme="minorEastAsia"/>
          <w:color w:val="000000"/>
          <w:sz w:val="24"/>
          <w:lang w:val="en-US" w:eastAsia="zh-CN"/>
        </w:rPr>
      </w:pPr>
      <w:bookmarkStart w:id="13" w:name="OLE_LINK5"/>
      <w:r w:rsidRPr="005F1FA1">
        <w:rPr>
          <w:rFonts w:eastAsiaTheme="minorEastAsia"/>
          <w:sz w:val="24"/>
          <w:lang w:eastAsia="zh-CN"/>
        </w:rPr>
        <w:t>专家小组应解决执行问题</w:t>
      </w:r>
      <w:r w:rsidR="00D44852" w:rsidRPr="005F1FA1">
        <w:rPr>
          <w:rFonts w:eastAsiaTheme="minorEastAsia"/>
          <w:sz w:val="24"/>
          <w:lang w:eastAsia="zh-CN"/>
        </w:rPr>
        <w:t>附属机构第三</w:t>
      </w:r>
      <w:r w:rsidRPr="005F1FA1">
        <w:rPr>
          <w:rFonts w:eastAsiaTheme="minorEastAsia"/>
          <w:sz w:val="24"/>
          <w:lang w:eastAsia="zh-CN"/>
        </w:rPr>
        <w:t>次会议在审议评估报告期间可能提出的其他问题。</w:t>
      </w:r>
      <w:bookmarkEnd w:id="13"/>
      <w:r w:rsidR="000E4916" w:rsidRPr="005F1FA1">
        <w:rPr>
          <w:rFonts w:eastAsiaTheme="minorEastAsia"/>
          <w:sz w:val="24"/>
          <w:lang w:eastAsia="zh-CN"/>
        </w:rPr>
        <w:t xml:space="preserve"> </w:t>
      </w:r>
    </w:p>
    <w:bookmarkEnd w:id="2"/>
    <w:p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p>
    <w:sectPr w:rsidR="00666863" w:rsidRPr="00E40630"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02F" w:rsidRDefault="0020302F">
      <w:pPr>
        <w:rPr>
          <w:rFonts w:ascii="Univers" w:eastAsia="Univers" w:hAnsi="Univers" w:cs="Times New Roman"/>
        </w:rPr>
      </w:pPr>
      <w:r>
        <w:rPr>
          <w:rFonts w:ascii="Univers" w:eastAsia="Univers" w:hAnsi="Univers" w:cs="Times New Roman"/>
        </w:rPr>
        <w:separator/>
      </w:r>
    </w:p>
  </w:endnote>
  <w:endnote w:type="continuationSeparator" w:id="0">
    <w:p w:rsidR="0020302F" w:rsidRDefault="0020302F">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02F" w:rsidRDefault="0020302F">
      <w:pPr>
        <w:rPr>
          <w:rFonts w:ascii="Univers" w:eastAsia="Univers" w:hAnsi="Univers" w:cs="Times New Roman"/>
        </w:rPr>
      </w:pPr>
      <w:r>
        <w:rPr>
          <w:rFonts w:ascii="Univers" w:eastAsia="Univers" w:hAnsi="Univers" w:cs="Times New Roman"/>
        </w:rPr>
        <w:separator/>
      </w:r>
    </w:p>
  </w:footnote>
  <w:footnote w:type="continuationSeparator" w:id="0">
    <w:p w:rsidR="0020302F" w:rsidRDefault="0020302F">
      <w:pPr>
        <w:rPr>
          <w:rFonts w:ascii="Univers" w:eastAsia="Univers" w:hAnsi="Univers" w:cs="Times New Roman"/>
        </w:rPr>
      </w:pPr>
      <w:r>
        <w:rPr>
          <w:rFonts w:ascii="Univers" w:eastAsia="Univers" w:hAnsi="Univers" w:cs="Times New Roman"/>
        </w:rPr>
        <w:continuationSeparator/>
      </w:r>
    </w:p>
  </w:footnote>
  <w:footnote w:id="1">
    <w:p w:rsidR="00DF321F" w:rsidRDefault="00DF321F" w:rsidP="00DF321F">
      <w:pPr>
        <w:pStyle w:val="FootnoteText"/>
        <w:ind w:firstLine="0"/>
        <w:rPr>
          <w:rFonts w:hint="eastAsia"/>
        </w:rPr>
      </w:pPr>
      <w:r w:rsidRPr="00206BC7">
        <w:rPr>
          <w:rStyle w:val="FootnoteReference"/>
          <w:sz w:val="24"/>
          <w:u w:val="none"/>
          <w:vertAlign w:val="superscript"/>
        </w:rPr>
        <w:footnoteRef/>
      </w:r>
      <w:r>
        <w:rPr>
          <w:rFonts w:hint="eastAsia"/>
        </w:rPr>
        <w:t xml:space="preserve">    </w:t>
      </w:r>
      <w:r w:rsidRPr="00C13D40">
        <w:t>CBD/COP/14/7</w:t>
      </w:r>
      <w:r w:rsidR="00206BC7">
        <w:rPr>
          <w:rFonts w:hint="eastAsia"/>
        </w:rPr>
        <w:t>。</w:t>
      </w:r>
    </w:p>
  </w:footnote>
  <w:footnote w:id="2">
    <w:p w:rsidR="00DF321F" w:rsidRPr="00282782" w:rsidRDefault="00DF321F" w:rsidP="00DF321F">
      <w:pPr>
        <w:pStyle w:val="FootnoteText"/>
        <w:ind w:firstLine="0"/>
        <w:rPr>
          <w:rFonts w:hint="eastAsia"/>
          <w:kern w:val="18"/>
          <w:szCs w:val="18"/>
        </w:rPr>
      </w:pPr>
      <w:r w:rsidRPr="00206BC7">
        <w:rPr>
          <w:rStyle w:val="FootnoteReference"/>
          <w:sz w:val="24"/>
          <w:u w:val="none"/>
          <w:vertAlign w:val="superscript"/>
        </w:rPr>
        <w:footnoteRef/>
      </w:r>
      <w:r w:rsidRPr="00206BC7">
        <w:rPr>
          <w:rStyle w:val="FootnoteReference"/>
          <w:sz w:val="24"/>
          <w:u w:val="none"/>
          <w:vertAlign w:val="superscript"/>
        </w:rPr>
        <w:t xml:space="preserve"> </w:t>
      </w:r>
      <w:r w:rsidRPr="00206BC7">
        <w:rPr>
          <w:rStyle w:val="FootnoteReference"/>
          <w:rFonts w:hint="eastAsia"/>
          <w:sz w:val="24"/>
          <w:u w:val="none"/>
          <w:vertAlign w:val="superscript"/>
        </w:rPr>
        <w:t xml:space="preserve">   </w:t>
      </w:r>
      <w:r>
        <w:rPr>
          <w:rFonts w:hint="eastAsia"/>
          <w:vertAlign w:val="superscript"/>
        </w:rPr>
        <w:t xml:space="preserve">  </w:t>
      </w:r>
      <w:r w:rsidR="00206BC7">
        <w:rPr>
          <w:kern w:val="18"/>
          <w:szCs w:val="18"/>
        </w:rPr>
        <w:t>CBD/COP/14/8</w:t>
      </w:r>
      <w:r w:rsidR="00206BC7">
        <w:rPr>
          <w:rFonts w:hint="eastAsia"/>
          <w:kern w:val="18"/>
          <w:szCs w:val="18"/>
        </w:rPr>
        <w:t>。</w:t>
      </w:r>
    </w:p>
  </w:footnote>
  <w:footnote w:id="3">
    <w:p w:rsidR="00BC3E58" w:rsidRPr="008C0972" w:rsidRDefault="00BC3E58" w:rsidP="00BC3E58">
      <w:pPr>
        <w:pStyle w:val="FootnoteText"/>
        <w:tabs>
          <w:tab w:val="left" w:pos="360"/>
        </w:tabs>
        <w:ind w:firstLine="0"/>
        <w:rPr>
          <w:sz w:val="20"/>
          <w:szCs w:val="20"/>
        </w:rPr>
      </w:pPr>
      <w:r w:rsidRPr="00206BC7">
        <w:rPr>
          <w:rStyle w:val="FootnoteReference"/>
          <w:sz w:val="24"/>
          <w:u w:val="none"/>
          <w:vertAlign w:val="superscript"/>
        </w:rPr>
        <w:footnoteRef/>
      </w:r>
      <w:r w:rsidR="00DF321F" w:rsidRPr="00206BC7">
        <w:rPr>
          <w:rStyle w:val="FootnoteReference"/>
          <w:rFonts w:hint="eastAsia"/>
          <w:sz w:val="24"/>
          <w:u w:val="none"/>
          <w:vertAlign w:val="superscript"/>
        </w:rPr>
        <w:t xml:space="preserve">   </w:t>
      </w:r>
      <w:r w:rsidRPr="00DF321F">
        <w:rPr>
          <w:rFonts w:ascii="SimSun" w:hAnsi="SimSun" w:cs="SimSun" w:hint="eastAsia"/>
          <w:szCs w:val="18"/>
        </w:rPr>
        <w:t>见第</w:t>
      </w:r>
      <w:r w:rsidRPr="00DF321F">
        <w:rPr>
          <w:szCs w:val="18"/>
        </w:rPr>
        <w:t xml:space="preserve"> XIII/21</w:t>
      </w:r>
      <w:r w:rsidRPr="00DF321F">
        <w:rPr>
          <w:rFonts w:ascii="SimSun" w:hAnsi="SimSun" w:cs="SimSun" w:hint="eastAsia"/>
          <w:szCs w:val="18"/>
        </w:rPr>
        <w:t>号决定。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5D09F1">
      <w:rPr>
        <w:noProof/>
        <w:kern w:val="22"/>
        <w:sz w:val="24"/>
      </w:rPr>
      <w:t>L.35</w:t>
    </w:r>
  </w:p>
  <w:p w:rsidR="00660A89" w:rsidRDefault="00660A89" w:rsidP="00660A89">
    <w:pPr>
      <w:pStyle w:val="Header"/>
      <w:rPr>
        <w:sz w:val="24"/>
        <w:szCs w:val="22"/>
      </w:rPr>
    </w:pPr>
    <w:r w:rsidRPr="00367DF4">
      <w:rPr>
        <w:sz w:val="24"/>
        <w:szCs w:val="22"/>
      </w:rPr>
      <w:t xml:space="preserve">Page </w:t>
    </w:r>
    <w:r w:rsidR="00706A71" w:rsidRPr="00367DF4">
      <w:rPr>
        <w:sz w:val="24"/>
        <w:szCs w:val="22"/>
      </w:rPr>
      <w:fldChar w:fldCharType="begin"/>
    </w:r>
    <w:r w:rsidRPr="00367DF4">
      <w:rPr>
        <w:sz w:val="24"/>
        <w:szCs w:val="22"/>
      </w:rPr>
      <w:instrText xml:space="preserve"> PAGE </w:instrText>
    </w:r>
    <w:r w:rsidR="00706A71" w:rsidRPr="00367DF4">
      <w:rPr>
        <w:sz w:val="24"/>
        <w:szCs w:val="22"/>
      </w:rPr>
      <w:fldChar w:fldCharType="separate"/>
    </w:r>
    <w:r w:rsidR="00B20C1D">
      <w:rPr>
        <w:noProof/>
        <w:sz w:val="24"/>
        <w:szCs w:val="22"/>
      </w:rPr>
      <w:t>4</w:t>
    </w:r>
    <w:r w:rsidR="00706A71"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5F1FA1">
      <w:rPr>
        <w:noProof/>
        <w:kern w:val="22"/>
        <w:sz w:val="24"/>
      </w:rPr>
      <w:t>L.35</w:t>
    </w:r>
  </w:p>
  <w:p w:rsidR="0017652F" w:rsidRDefault="0017652F" w:rsidP="00526DA7">
    <w:pPr>
      <w:pStyle w:val="Header"/>
      <w:jc w:val="right"/>
      <w:rPr>
        <w:sz w:val="24"/>
        <w:szCs w:val="22"/>
      </w:rPr>
    </w:pPr>
    <w:r w:rsidRPr="00367DF4">
      <w:rPr>
        <w:sz w:val="24"/>
        <w:szCs w:val="22"/>
      </w:rPr>
      <w:t xml:space="preserve">Page </w:t>
    </w:r>
    <w:r w:rsidR="00706A71" w:rsidRPr="00367DF4">
      <w:rPr>
        <w:sz w:val="24"/>
        <w:szCs w:val="22"/>
      </w:rPr>
      <w:fldChar w:fldCharType="begin"/>
    </w:r>
    <w:r w:rsidRPr="00367DF4">
      <w:rPr>
        <w:sz w:val="24"/>
        <w:szCs w:val="22"/>
      </w:rPr>
      <w:instrText xml:space="preserve"> PAGE </w:instrText>
    </w:r>
    <w:r w:rsidR="00706A71" w:rsidRPr="00367DF4">
      <w:rPr>
        <w:sz w:val="24"/>
        <w:szCs w:val="22"/>
      </w:rPr>
      <w:fldChar w:fldCharType="separate"/>
    </w:r>
    <w:r w:rsidR="00B20C1D">
      <w:rPr>
        <w:noProof/>
        <w:sz w:val="24"/>
        <w:szCs w:val="22"/>
      </w:rPr>
      <w:t>5</w:t>
    </w:r>
    <w:r w:rsidR="00706A71"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E0442B4"/>
    <w:multiLevelType w:val="multilevel"/>
    <w:tmpl w:val="47609542"/>
    <w:lvl w:ilvl="0">
      <w:start w:val="1"/>
      <w:numFmt w:val="decimal"/>
      <w:pStyle w:val="Para1"/>
      <w:lvlText w:val="%1."/>
      <w:lvlJc w:val="left"/>
      <w:pPr>
        <w:tabs>
          <w:tab w:val="num" w:pos="360"/>
        </w:tabs>
      </w:pPr>
      <w:rPr>
        <w:rFonts w:ascii="Times New Roman" w:hAnsi="Times New Roman"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5B047B4E"/>
    <w:multiLevelType w:val="hybridMultilevel"/>
    <w:tmpl w:val="CCAC5798"/>
    <w:lvl w:ilvl="0" w:tplc="D400A5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AA47EF"/>
    <w:multiLevelType w:val="hybridMultilevel"/>
    <w:tmpl w:val="C6347424"/>
    <w:lvl w:ilvl="0" w:tplc="3592A4DE">
      <w:start w:val="1"/>
      <w:numFmt w:val="lowerLetter"/>
      <w:lvlText w:val="(%1)"/>
      <w:lvlJc w:val="left"/>
      <w:pPr>
        <w:ind w:left="144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5357F78"/>
    <w:multiLevelType w:val="hybridMultilevel"/>
    <w:tmpl w:val="E59652FE"/>
    <w:lvl w:ilvl="0" w:tplc="03182068">
      <w:start w:val="1"/>
      <w:numFmt w:val="decimal"/>
      <w:pStyle w:val="Paraofficial"/>
      <w:lvlText w:val="%1."/>
      <w:lvlJc w:val="left"/>
      <w:pPr>
        <w:tabs>
          <w:tab w:val="num" w:pos="1080"/>
        </w:tabs>
        <w:ind w:firstLine="720"/>
      </w:pPr>
      <w:rPr>
        <w:rFonts w:cs="Times New Roman" w:hint="default"/>
      </w:rPr>
    </w:lvl>
    <w:lvl w:ilvl="1" w:tplc="820ED5E8" w:tentative="1">
      <w:start w:val="1"/>
      <w:numFmt w:val="lowerLetter"/>
      <w:lvlText w:val="%2."/>
      <w:lvlJc w:val="left"/>
      <w:pPr>
        <w:tabs>
          <w:tab w:val="num" w:pos="2160"/>
        </w:tabs>
        <w:ind w:left="2160" w:hanging="360"/>
      </w:pPr>
      <w:rPr>
        <w:rFonts w:cs="Times New Roman"/>
      </w:rPr>
    </w:lvl>
    <w:lvl w:ilvl="2" w:tplc="E604C98E" w:tentative="1">
      <w:start w:val="1"/>
      <w:numFmt w:val="lowerRoman"/>
      <w:lvlText w:val="%3."/>
      <w:lvlJc w:val="right"/>
      <w:pPr>
        <w:tabs>
          <w:tab w:val="num" w:pos="2880"/>
        </w:tabs>
        <w:ind w:left="2880" w:hanging="180"/>
      </w:pPr>
      <w:rPr>
        <w:rFonts w:cs="Times New Roman"/>
      </w:rPr>
    </w:lvl>
    <w:lvl w:ilvl="3" w:tplc="C77A0EF6" w:tentative="1">
      <w:start w:val="1"/>
      <w:numFmt w:val="decimal"/>
      <w:lvlText w:val="%4."/>
      <w:lvlJc w:val="left"/>
      <w:pPr>
        <w:tabs>
          <w:tab w:val="num" w:pos="3600"/>
        </w:tabs>
        <w:ind w:left="3600" w:hanging="360"/>
      </w:pPr>
      <w:rPr>
        <w:rFonts w:cs="Times New Roman"/>
      </w:rPr>
    </w:lvl>
    <w:lvl w:ilvl="4" w:tplc="35BA73A6" w:tentative="1">
      <w:start w:val="1"/>
      <w:numFmt w:val="lowerLetter"/>
      <w:lvlText w:val="%5."/>
      <w:lvlJc w:val="left"/>
      <w:pPr>
        <w:tabs>
          <w:tab w:val="num" w:pos="4320"/>
        </w:tabs>
        <w:ind w:left="4320" w:hanging="360"/>
      </w:pPr>
      <w:rPr>
        <w:rFonts w:cs="Times New Roman"/>
      </w:rPr>
    </w:lvl>
    <w:lvl w:ilvl="5" w:tplc="33A829E2" w:tentative="1">
      <w:start w:val="1"/>
      <w:numFmt w:val="lowerRoman"/>
      <w:lvlText w:val="%6."/>
      <w:lvlJc w:val="right"/>
      <w:pPr>
        <w:tabs>
          <w:tab w:val="num" w:pos="5040"/>
        </w:tabs>
        <w:ind w:left="5040" w:hanging="180"/>
      </w:pPr>
      <w:rPr>
        <w:rFonts w:cs="Times New Roman"/>
      </w:rPr>
    </w:lvl>
    <w:lvl w:ilvl="6" w:tplc="07D02912" w:tentative="1">
      <w:start w:val="1"/>
      <w:numFmt w:val="decimal"/>
      <w:lvlText w:val="%7."/>
      <w:lvlJc w:val="left"/>
      <w:pPr>
        <w:tabs>
          <w:tab w:val="num" w:pos="5760"/>
        </w:tabs>
        <w:ind w:left="5760" w:hanging="360"/>
      </w:pPr>
      <w:rPr>
        <w:rFonts w:cs="Times New Roman"/>
      </w:rPr>
    </w:lvl>
    <w:lvl w:ilvl="7" w:tplc="EBC23A72" w:tentative="1">
      <w:start w:val="1"/>
      <w:numFmt w:val="lowerLetter"/>
      <w:lvlText w:val="%8."/>
      <w:lvlJc w:val="left"/>
      <w:pPr>
        <w:tabs>
          <w:tab w:val="num" w:pos="6480"/>
        </w:tabs>
        <w:ind w:left="6480" w:hanging="360"/>
      </w:pPr>
      <w:rPr>
        <w:rFonts w:cs="Times New Roman"/>
      </w:rPr>
    </w:lvl>
    <w:lvl w:ilvl="8" w:tplc="B1AC8B76" w:tentative="1">
      <w:start w:val="1"/>
      <w:numFmt w:val="lowerRoman"/>
      <w:lvlText w:val="%9."/>
      <w:lvlJc w:val="right"/>
      <w:pPr>
        <w:tabs>
          <w:tab w:val="num" w:pos="7200"/>
        </w:tabs>
        <w:ind w:left="7200" w:hanging="180"/>
      </w:pPr>
      <w:rPr>
        <w:rFonts w:cs="Times New Roman"/>
      </w:rPr>
    </w:lvl>
  </w:abstractNum>
  <w:abstractNum w:abstractNumId="11" w15:restartNumberingAfterBreak="0">
    <w:nsid w:val="68821D59"/>
    <w:multiLevelType w:val="hybridMultilevel"/>
    <w:tmpl w:val="6624D136"/>
    <w:lvl w:ilvl="0" w:tplc="1B6A1E32">
      <w:start w:val="1"/>
      <w:numFmt w:val="japaneseCounting"/>
      <w:lvlText w:val="(%1)"/>
      <w:lvlJc w:val="left"/>
      <w:pPr>
        <w:ind w:left="2730" w:hanging="570"/>
      </w:pPr>
      <w:rPr>
        <w:rFonts w:hint="default"/>
      </w:rPr>
    </w:lvl>
    <w:lvl w:ilvl="1" w:tplc="3592A4DE">
      <w:start w:val="1"/>
      <w:numFmt w:val="lowerLetter"/>
      <w:lvlText w:val="(%2)"/>
      <w:lvlJc w:val="left"/>
      <w:pPr>
        <w:ind w:left="1440" w:hanging="36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790437"/>
    <w:multiLevelType w:val="hybridMultilevel"/>
    <w:tmpl w:val="8DE4CA08"/>
    <w:lvl w:ilvl="0" w:tplc="FFFFFFFF">
      <w:start w:val="1"/>
      <w:numFmt w:val="japaneseCounting"/>
      <w:lvlText w:val="(%1)"/>
      <w:lvlJc w:val="left"/>
      <w:pPr>
        <w:ind w:left="1290" w:hanging="570"/>
      </w:pPr>
      <w:rPr>
        <w:rFonts w:hint="default"/>
      </w:rPr>
    </w:lvl>
    <w:lvl w:ilvl="1" w:tplc="973C7066"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4"/>
  </w:num>
  <w:num w:numId="2">
    <w:abstractNumId w:val="0"/>
  </w:num>
  <w:num w:numId="3">
    <w:abstractNumId w:val="10"/>
  </w:num>
  <w:num w:numId="4">
    <w:abstractNumId w:val="6"/>
  </w:num>
  <w:num w:numId="5">
    <w:abstractNumId w:val="1"/>
  </w:num>
  <w:num w:numId="6">
    <w:abstractNumId w:val="4"/>
  </w:num>
  <w:num w:numId="7">
    <w:abstractNumId w:val="3"/>
  </w:num>
  <w:num w:numId="8">
    <w:abstractNumId w:val="2"/>
  </w:num>
  <w:num w:numId="9">
    <w:abstractNumId w:val="4"/>
    <w:lvlOverride w:ilvl="0">
      <w:startOverride w:val="1"/>
    </w:lvlOverride>
  </w:num>
  <w:num w:numId="10">
    <w:abstractNumId w:val="5"/>
  </w:num>
  <w:num w:numId="11">
    <w:abstractNumId w:val="9"/>
  </w:num>
  <w:num w:numId="12">
    <w:abstractNumId w:val="9"/>
    <w:lvlOverride w:ilvl="0">
      <w:lvl w:ilvl="0" w:tplc="FFFFFFFF">
        <w:start w:val="1"/>
        <w:numFmt w:val="decimal"/>
        <w:pStyle w:val="CBD-Para-1"/>
        <w:lvlText w:val="%1."/>
        <w:lvlJc w:val="left"/>
        <w:pPr>
          <w:ind w:left="2149" w:hanging="360"/>
        </w:pPr>
        <w:rPr>
          <w:b w:val="0"/>
        </w:rPr>
      </w:lvl>
    </w:lvlOverride>
  </w:num>
  <w:num w:numId="13">
    <w:abstractNumId w:val="7"/>
  </w:num>
  <w:num w:numId="14">
    <w:abstractNumId w:val="12"/>
  </w:num>
  <w:num w:numId="15">
    <w:abstractNumId w:val="11"/>
  </w:num>
  <w:num w:numId="16">
    <w:abstractNumId w:val="8"/>
  </w:num>
  <w:num w:numId="17">
    <w:abstractNumId w:val="4"/>
  </w:num>
  <w:num w:numId="18">
    <w:abstractNumId w:val="4"/>
  </w:num>
  <w:num w:numId="19">
    <w:abstractNumId w:val="4"/>
  </w:num>
  <w:num w:numId="20">
    <w:abstractNumId w:val="4"/>
  </w:num>
  <w:num w:numId="21">
    <w:abstractNumId w:val="4"/>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11FEF"/>
    <w:rsid w:val="00062E12"/>
    <w:rsid w:val="000A5388"/>
    <w:rsid w:val="000B099A"/>
    <w:rsid w:val="000B200B"/>
    <w:rsid w:val="000B42E0"/>
    <w:rsid w:val="000E4916"/>
    <w:rsid w:val="001055C7"/>
    <w:rsid w:val="0014440A"/>
    <w:rsid w:val="00152231"/>
    <w:rsid w:val="0017652F"/>
    <w:rsid w:val="001A18D7"/>
    <w:rsid w:val="001A4969"/>
    <w:rsid w:val="001C6AF5"/>
    <w:rsid w:val="001D28F7"/>
    <w:rsid w:val="001E7F85"/>
    <w:rsid w:val="001F268A"/>
    <w:rsid w:val="001F65C2"/>
    <w:rsid w:val="0020302F"/>
    <w:rsid w:val="00206BC7"/>
    <w:rsid w:val="00220173"/>
    <w:rsid w:val="00220462"/>
    <w:rsid w:val="002473F7"/>
    <w:rsid w:val="0029567E"/>
    <w:rsid w:val="002A3359"/>
    <w:rsid w:val="002B4AAD"/>
    <w:rsid w:val="003150CB"/>
    <w:rsid w:val="00362B19"/>
    <w:rsid w:val="0039207C"/>
    <w:rsid w:val="003A57C0"/>
    <w:rsid w:val="003B1FD0"/>
    <w:rsid w:val="003C6809"/>
    <w:rsid w:val="003E6ED3"/>
    <w:rsid w:val="003F5E16"/>
    <w:rsid w:val="00403279"/>
    <w:rsid w:val="004148C8"/>
    <w:rsid w:val="0043596C"/>
    <w:rsid w:val="00447CB4"/>
    <w:rsid w:val="00457769"/>
    <w:rsid w:val="00474EF8"/>
    <w:rsid w:val="00497336"/>
    <w:rsid w:val="004C4203"/>
    <w:rsid w:val="00502FC2"/>
    <w:rsid w:val="00507189"/>
    <w:rsid w:val="005160B9"/>
    <w:rsid w:val="00526DA7"/>
    <w:rsid w:val="005373FE"/>
    <w:rsid w:val="005465C3"/>
    <w:rsid w:val="00571D87"/>
    <w:rsid w:val="00575CC3"/>
    <w:rsid w:val="00595CF6"/>
    <w:rsid w:val="005D02E8"/>
    <w:rsid w:val="005D09F1"/>
    <w:rsid w:val="005E4552"/>
    <w:rsid w:val="005E6475"/>
    <w:rsid w:val="005F1FA1"/>
    <w:rsid w:val="00601E02"/>
    <w:rsid w:val="006154D2"/>
    <w:rsid w:val="006203D7"/>
    <w:rsid w:val="006242E9"/>
    <w:rsid w:val="00660A89"/>
    <w:rsid w:val="00666863"/>
    <w:rsid w:val="00685EBE"/>
    <w:rsid w:val="006D67C0"/>
    <w:rsid w:val="006F0B8D"/>
    <w:rsid w:val="006F1774"/>
    <w:rsid w:val="00706A71"/>
    <w:rsid w:val="00720748"/>
    <w:rsid w:val="00747352"/>
    <w:rsid w:val="0079191A"/>
    <w:rsid w:val="007E1A32"/>
    <w:rsid w:val="007E2963"/>
    <w:rsid w:val="008027F1"/>
    <w:rsid w:val="00811302"/>
    <w:rsid w:val="00811778"/>
    <w:rsid w:val="00846267"/>
    <w:rsid w:val="00853EB8"/>
    <w:rsid w:val="008645B4"/>
    <w:rsid w:val="00864E90"/>
    <w:rsid w:val="0086503B"/>
    <w:rsid w:val="00871C9F"/>
    <w:rsid w:val="00887F31"/>
    <w:rsid w:val="008B1503"/>
    <w:rsid w:val="008F2823"/>
    <w:rsid w:val="00924E62"/>
    <w:rsid w:val="00953C22"/>
    <w:rsid w:val="00955DEE"/>
    <w:rsid w:val="009658E0"/>
    <w:rsid w:val="009779CB"/>
    <w:rsid w:val="0098360A"/>
    <w:rsid w:val="009B0EB6"/>
    <w:rsid w:val="009B7651"/>
    <w:rsid w:val="009D2834"/>
    <w:rsid w:val="009F4854"/>
    <w:rsid w:val="00A05940"/>
    <w:rsid w:val="00A06782"/>
    <w:rsid w:val="00A17F8C"/>
    <w:rsid w:val="00A31CA6"/>
    <w:rsid w:val="00A43CB6"/>
    <w:rsid w:val="00A5550F"/>
    <w:rsid w:val="00A57DDC"/>
    <w:rsid w:val="00AA4091"/>
    <w:rsid w:val="00AA694D"/>
    <w:rsid w:val="00AC707D"/>
    <w:rsid w:val="00AD53FC"/>
    <w:rsid w:val="00AE755E"/>
    <w:rsid w:val="00AF2F1D"/>
    <w:rsid w:val="00B042A2"/>
    <w:rsid w:val="00B20C1D"/>
    <w:rsid w:val="00B22565"/>
    <w:rsid w:val="00B36CBF"/>
    <w:rsid w:val="00B92DD6"/>
    <w:rsid w:val="00BC3E58"/>
    <w:rsid w:val="00BD0E1F"/>
    <w:rsid w:val="00BE71ED"/>
    <w:rsid w:val="00C11C86"/>
    <w:rsid w:val="00C12149"/>
    <w:rsid w:val="00C14871"/>
    <w:rsid w:val="00C161EB"/>
    <w:rsid w:val="00C66174"/>
    <w:rsid w:val="00C727DD"/>
    <w:rsid w:val="00C7690F"/>
    <w:rsid w:val="00C9504B"/>
    <w:rsid w:val="00CA1A7A"/>
    <w:rsid w:val="00CA47C3"/>
    <w:rsid w:val="00CC0138"/>
    <w:rsid w:val="00CC5CE1"/>
    <w:rsid w:val="00CC7B35"/>
    <w:rsid w:val="00CD3ED2"/>
    <w:rsid w:val="00D132C7"/>
    <w:rsid w:val="00D44135"/>
    <w:rsid w:val="00D44852"/>
    <w:rsid w:val="00D82E38"/>
    <w:rsid w:val="00D90F93"/>
    <w:rsid w:val="00DF321F"/>
    <w:rsid w:val="00DF7EF5"/>
    <w:rsid w:val="00E13B5C"/>
    <w:rsid w:val="00E33CA1"/>
    <w:rsid w:val="00E402B9"/>
    <w:rsid w:val="00E40630"/>
    <w:rsid w:val="00E43F23"/>
    <w:rsid w:val="00E474C9"/>
    <w:rsid w:val="00E67AFB"/>
    <w:rsid w:val="00E7190C"/>
    <w:rsid w:val="00EA3588"/>
    <w:rsid w:val="00EA78DB"/>
    <w:rsid w:val="00EC13B2"/>
    <w:rsid w:val="00EE4356"/>
    <w:rsid w:val="00EF36C9"/>
    <w:rsid w:val="00F27144"/>
    <w:rsid w:val="00F4523D"/>
    <w:rsid w:val="00F5045B"/>
    <w:rsid w:val="00F90E0F"/>
    <w:rsid w:val="00F92321"/>
    <w:rsid w:val="00FC0DF4"/>
    <w:rsid w:val="00FF196E"/>
  </w:rsids>
  <m:mathPr>
    <m:mathFont m:val="Cambria Math"/>
    <m:brkBin m:val="before"/>
    <m:brkBinSub m:val="--"/>
    <m:smallFrac/>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713969-235E-4DE3-988A-509F4C37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A71"/>
    <w:pPr>
      <w:jc w:val="both"/>
    </w:pPr>
    <w:rPr>
      <w:rFonts w:cs="Angsana New"/>
      <w:sz w:val="22"/>
      <w:szCs w:val="24"/>
      <w:lang w:val="en-GB"/>
    </w:rPr>
  </w:style>
  <w:style w:type="paragraph" w:styleId="Heading1">
    <w:name w:val="heading 1"/>
    <w:basedOn w:val="Normal"/>
    <w:next w:val="Heading2"/>
    <w:qFormat/>
    <w:rsid w:val="00706A71"/>
    <w:pPr>
      <w:keepNext/>
      <w:tabs>
        <w:tab w:val="left" w:pos="720"/>
      </w:tabs>
      <w:spacing w:before="240" w:after="120"/>
      <w:jc w:val="center"/>
      <w:outlineLvl w:val="0"/>
    </w:pPr>
    <w:rPr>
      <w:b/>
      <w:caps/>
    </w:rPr>
  </w:style>
  <w:style w:type="paragraph" w:styleId="Heading2">
    <w:name w:val="heading 2"/>
    <w:basedOn w:val="Normal"/>
    <w:next w:val="Normal"/>
    <w:qFormat/>
    <w:rsid w:val="00706A71"/>
    <w:pPr>
      <w:keepNext/>
      <w:tabs>
        <w:tab w:val="left" w:pos="720"/>
      </w:tabs>
      <w:spacing w:before="120" w:after="120"/>
      <w:jc w:val="center"/>
      <w:outlineLvl w:val="1"/>
    </w:pPr>
    <w:rPr>
      <w:b/>
      <w:bCs/>
      <w:i/>
      <w:iCs/>
    </w:rPr>
  </w:style>
  <w:style w:type="paragraph" w:styleId="Heading3">
    <w:name w:val="heading 3"/>
    <w:basedOn w:val="Normal"/>
    <w:next w:val="Normal"/>
    <w:qFormat/>
    <w:rsid w:val="00706A71"/>
    <w:pPr>
      <w:keepNext/>
      <w:tabs>
        <w:tab w:val="left" w:pos="567"/>
      </w:tabs>
      <w:spacing w:before="120" w:after="120"/>
      <w:jc w:val="center"/>
      <w:outlineLvl w:val="2"/>
    </w:pPr>
    <w:rPr>
      <w:i/>
      <w:iCs/>
    </w:rPr>
  </w:style>
  <w:style w:type="paragraph" w:styleId="Heading4">
    <w:name w:val="heading 4"/>
    <w:basedOn w:val="Normal"/>
    <w:qFormat/>
    <w:rsid w:val="00706A71"/>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706A71"/>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rsid w:val="00706A71"/>
    <w:pPr>
      <w:keepNext/>
      <w:spacing w:after="240" w:line="240" w:lineRule="exact"/>
      <w:ind w:left="720"/>
      <w:outlineLvl w:val="5"/>
    </w:pPr>
    <w:rPr>
      <w:u w:val="single"/>
    </w:rPr>
  </w:style>
  <w:style w:type="paragraph" w:styleId="Heading7">
    <w:name w:val="heading 7"/>
    <w:basedOn w:val="Normal"/>
    <w:next w:val="Normal"/>
    <w:qFormat/>
    <w:rsid w:val="00706A71"/>
    <w:pPr>
      <w:keepNext/>
      <w:jc w:val="right"/>
      <w:outlineLvl w:val="6"/>
    </w:pPr>
    <w:rPr>
      <w:rFonts w:ascii="Univers" w:hAnsi="Univers"/>
      <w:b/>
      <w:sz w:val="28"/>
    </w:rPr>
  </w:style>
  <w:style w:type="paragraph" w:styleId="Heading8">
    <w:name w:val="heading 8"/>
    <w:basedOn w:val="Normal"/>
    <w:next w:val="Normal"/>
    <w:qFormat/>
    <w:rsid w:val="00706A71"/>
    <w:pPr>
      <w:keepNext/>
      <w:jc w:val="right"/>
      <w:outlineLvl w:val="7"/>
    </w:pPr>
    <w:rPr>
      <w:rFonts w:ascii="Univers" w:hAnsi="Univers"/>
      <w:b/>
      <w:sz w:val="32"/>
    </w:rPr>
  </w:style>
  <w:style w:type="paragraph" w:styleId="Heading9">
    <w:name w:val="heading 9"/>
    <w:basedOn w:val="Normal"/>
    <w:next w:val="Normal"/>
    <w:qFormat/>
    <w:rsid w:val="00706A7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06A71"/>
    <w:rPr>
      <w:rFonts w:cs="Times New Roman"/>
      <w:sz w:val="16"/>
      <w:szCs w:val="16"/>
    </w:rPr>
  </w:style>
  <w:style w:type="character" w:customStyle="1" w:styleId="CharChar2">
    <w:name w:val="Char Char2"/>
    <w:semiHidden/>
    <w:locked/>
    <w:rsid w:val="00706A71"/>
    <w:rPr>
      <w:rFonts w:ascii="Times New Roman" w:hAnsi="Times New Roman"/>
      <w:sz w:val="18"/>
    </w:rPr>
  </w:style>
  <w:style w:type="paragraph" w:styleId="BodyText">
    <w:name w:val="Body Text"/>
    <w:basedOn w:val="Normal"/>
    <w:rsid w:val="00706A71"/>
    <w:pPr>
      <w:spacing w:before="120" w:after="120"/>
      <w:ind w:firstLine="720"/>
    </w:pPr>
    <w:rPr>
      <w:iCs/>
    </w:rPr>
  </w:style>
  <w:style w:type="paragraph" w:styleId="Footer">
    <w:name w:val="footer"/>
    <w:basedOn w:val="Normal"/>
    <w:rsid w:val="00706A71"/>
    <w:pPr>
      <w:tabs>
        <w:tab w:val="center" w:pos="4320"/>
        <w:tab w:val="right" w:pos="8640"/>
      </w:tabs>
      <w:ind w:firstLine="720"/>
      <w:jc w:val="right"/>
    </w:pPr>
  </w:style>
  <w:style w:type="paragraph" w:customStyle="1" w:styleId="Para1">
    <w:name w:val="Para1"/>
    <w:basedOn w:val="Normal"/>
    <w:link w:val="Para1Char1"/>
    <w:rsid w:val="00706A71"/>
    <w:pPr>
      <w:numPr>
        <w:numId w:val="6"/>
      </w:numPr>
      <w:spacing w:after="120"/>
    </w:pPr>
    <w:rPr>
      <w:snapToGrid w:val="0"/>
      <w:szCs w:val="18"/>
    </w:rPr>
  </w:style>
  <w:style w:type="paragraph" w:customStyle="1" w:styleId="Para20">
    <w:name w:val="Para2"/>
    <w:basedOn w:val="Para1"/>
    <w:rsid w:val="00706A71"/>
    <w:pPr>
      <w:numPr>
        <w:numId w:val="0"/>
      </w:numPr>
      <w:autoSpaceDE w:val="0"/>
      <w:autoSpaceDN w:val="0"/>
    </w:pPr>
  </w:style>
  <w:style w:type="paragraph" w:customStyle="1" w:styleId="Para3">
    <w:name w:val="Para3"/>
    <w:basedOn w:val="Normal"/>
    <w:rsid w:val="00706A71"/>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06A71"/>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06A71"/>
    <w:rPr>
      <w:rFonts w:cs="Times New Roman"/>
      <w:sz w:val="18"/>
      <w:u w:val="single"/>
      <w:vertAlign w:val="baseline"/>
    </w:rPr>
  </w:style>
  <w:style w:type="paragraph" w:customStyle="1" w:styleId="Cornernotation">
    <w:name w:val="Corner notation"/>
    <w:basedOn w:val="Normal"/>
    <w:rsid w:val="00706A71"/>
    <w:pPr>
      <w:ind w:left="284" w:right="4398" w:hanging="284"/>
      <w:jc w:val="left"/>
    </w:pPr>
  </w:style>
  <w:style w:type="paragraph" w:customStyle="1" w:styleId="para2">
    <w:name w:val="para2"/>
    <w:basedOn w:val="Normal"/>
    <w:rsid w:val="00706A71"/>
    <w:pPr>
      <w:numPr>
        <w:numId w:val="5"/>
      </w:numPr>
      <w:spacing w:before="120" w:after="120"/>
    </w:pPr>
    <w:rPr>
      <w:szCs w:val="20"/>
    </w:rPr>
  </w:style>
  <w:style w:type="paragraph" w:customStyle="1" w:styleId="Paranum">
    <w:name w:val="Paranum"/>
    <w:basedOn w:val="Para1"/>
    <w:rsid w:val="00706A71"/>
    <w:pPr>
      <w:numPr>
        <w:numId w:val="8"/>
      </w:numPr>
      <w:spacing w:line="240" w:lineRule="exact"/>
    </w:pPr>
    <w:rPr>
      <w:snapToGrid/>
      <w:szCs w:val="20"/>
      <w:lang w:val="en-US"/>
    </w:rPr>
  </w:style>
  <w:style w:type="paragraph" w:styleId="EndnoteText">
    <w:name w:val="endnote text"/>
    <w:basedOn w:val="Normal"/>
    <w:semiHidden/>
    <w:rsid w:val="00706A71"/>
    <w:pPr>
      <w:widowControl w:val="0"/>
      <w:tabs>
        <w:tab w:val="left" w:pos="-720"/>
      </w:tabs>
      <w:suppressAutoHyphens/>
    </w:pPr>
    <w:rPr>
      <w:rFonts w:ascii="Courier New" w:hAnsi="Courier New"/>
    </w:rPr>
  </w:style>
  <w:style w:type="character" w:styleId="EndnoteReference">
    <w:name w:val="endnote reference"/>
    <w:semiHidden/>
    <w:locked/>
    <w:rsid w:val="00706A71"/>
    <w:rPr>
      <w:rFonts w:cs="Times New Roman"/>
      <w:vertAlign w:val="superscript"/>
    </w:rPr>
  </w:style>
  <w:style w:type="character" w:styleId="PageNumber">
    <w:name w:val="page number"/>
    <w:rsid w:val="00706A71"/>
    <w:rPr>
      <w:rFonts w:ascii="Times New Roman" w:hAnsi="Times New Roman" w:cs="Times New Roman"/>
      <w:sz w:val="22"/>
    </w:rPr>
  </w:style>
  <w:style w:type="paragraph" w:customStyle="1" w:styleId="para4">
    <w:name w:val="para4"/>
    <w:basedOn w:val="Normal"/>
    <w:rsid w:val="00706A71"/>
    <w:pPr>
      <w:numPr>
        <w:ilvl w:val="3"/>
        <w:numId w:val="7"/>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706A71"/>
    <w:pPr>
      <w:ind w:left="1843" w:right="996" w:hanging="567"/>
      <w:jc w:val="left"/>
    </w:pPr>
  </w:style>
  <w:style w:type="paragraph" w:customStyle="1" w:styleId="Heading2multiline">
    <w:name w:val="Heading 2 (multiline)"/>
    <w:basedOn w:val="Heading1"/>
    <w:next w:val="Normal"/>
    <w:rsid w:val="00706A71"/>
    <w:pPr>
      <w:spacing w:before="120"/>
      <w:ind w:left="1843" w:right="998" w:hanging="567"/>
      <w:jc w:val="left"/>
    </w:pPr>
    <w:rPr>
      <w:i/>
      <w:iCs/>
      <w:caps w:val="0"/>
    </w:rPr>
  </w:style>
  <w:style w:type="paragraph" w:customStyle="1" w:styleId="Heading3multiline">
    <w:name w:val="Heading 3 (multiline)"/>
    <w:basedOn w:val="Heading3"/>
    <w:next w:val="Normal"/>
    <w:rsid w:val="00706A71"/>
    <w:pPr>
      <w:ind w:left="1418" w:hanging="425"/>
      <w:jc w:val="left"/>
    </w:pPr>
  </w:style>
  <w:style w:type="paragraph" w:customStyle="1" w:styleId="Heading2longmultiline">
    <w:name w:val="Heading 2 (long multiline)"/>
    <w:basedOn w:val="Heading2multiline"/>
    <w:rsid w:val="00706A71"/>
    <w:pPr>
      <w:ind w:left="2127" w:hanging="1276"/>
    </w:pPr>
  </w:style>
  <w:style w:type="paragraph" w:customStyle="1" w:styleId="Heading1longmultiline">
    <w:name w:val="Heading 1 (long multiline)"/>
    <w:basedOn w:val="Heading1"/>
    <w:rsid w:val="00706A71"/>
    <w:pPr>
      <w:ind w:left="1843" w:hanging="1134"/>
      <w:jc w:val="left"/>
    </w:pPr>
  </w:style>
  <w:style w:type="paragraph" w:styleId="BodyTextIndent">
    <w:name w:val="Body Text Indent"/>
    <w:basedOn w:val="Normal"/>
    <w:rsid w:val="00706A71"/>
    <w:pPr>
      <w:spacing w:before="120" w:after="120"/>
      <w:ind w:left="1440" w:hanging="720"/>
      <w:jc w:val="left"/>
    </w:pPr>
  </w:style>
  <w:style w:type="paragraph" w:customStyle="1" w:styleId="Heading-plainbold">
    <w:name w:val="Heading-plain bold"/>
    <w:basedOn w:val="BodyText"/>
    <w:rsid w:val="00706A71"/>
    <w:pPr>
      <w:ind w:firstLine="0"/>
      <w:jc w:val="center"/>
    </w:pPr>
    <w:rPr>
      <w:b/>
      <w:bCs/>
      <w:i/>
      <w:iCs w:val="0"/>
    </w:rPr>
  </w:style>
  <w:style w:type="paragraph" w:customStyle="1" w:styleId="Heading-plainitalic">
    <w:name w:val="Heading-plain italic"/>
    <w:basedOn w:val="Heading-plainbold"/>
    <w:rsid w:val="00706A71"/>
    <w:rPr>
      <w:b w:val="0"/>
      <w:bCs w:val="0"/>
    </w:rPr>
  </w:style>
  <w:style w:type="paragraph" w:styleId="TOC1">
    <w:name w:val="toc 1"/>
    <w:basedOn w:val="Normal"/>
    <w:next w:val="Normal"/>
    <w:autoRedefine/>
    <w:semiHidden/>
    <w:rsid w:val="00706A71"/>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706A71"/>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706A71"/>
    <w:pPr>
      <w:ind w:left="2160" w:hanging="720"/>
    </w:pPr>
  </w:style>
  <w:style w:type="paragraph" w:styleId="Header">
    <w:name w:val="header"/>
    <w:basedOn w:val="Normal"/>
    <w:link w:val="HeaderChar"/>
    <w:uiPriority w:val="99"/>
    <w:rsid w:val="00706A71"/>
    <w:pPr>
      <w:tabs>
        <w:tab w:val="center" w:pos="4320"/>
        <w:tab w:val="right" w:pos="8640"/>
      </w:tabs>
    </w:pPr>
    <w:rPr>
      <w:rFonts w:cs="Times New Roman"/>
    </w:rPr>
  </w:style>
  <w:style w:type="paragraph" w:customStyle="1" w:styleId="HEADINGNOTFORTOC">
    <w:name w:val="HEADING (NOT FOR TOC)"/>
    <w:basedOn w:val="Heading1"/>
    <w:next w:val="Heading2"/>
    <w:rsid w:val="00706A71"/>
  </w:style>
  <w:style w:type="character" w:customStyle="1" w:styleId="Document5">
    <w:name w:val="Document 5"/>
    <w:rsid w:val="00706A71"/>
    <w:rPr>
      <w:rFonts w:cs="Times New Roman"/>
    </w:rPr>
  </w:style>
  <w:style w:type="paragraph" w:customStyle="1" w:styleId="Paragraph">
    <w:name w:val="Paragraph"/>
    <w:basedOn w:val="Normal"/>
    <w:rsid w:val="00706A71"/>
    <w:pPr>
      <w:spacing w:before="120" w:after="120"/>
    </w:pPr>
  </w:style>
  <w:style w:type="character" w:styleId="Hyperlink">
    <w:name w:val="Hyperlink"/>
    <w:rsid w:val="00706A71"/>
    <w:rPr>
      <w:rFonts w:cs="Times New Roman"/>
      <w:color w:val="0000FF"/>
      <w:u w:val="single"/>
    </w:rPr>
  </w:style>
  <w:style w:type="paragraph" w:styleId="BodyTextIndent2">
    <w:name w:val="Body Text Indent 2"/>
    <w:basedOn w:val="Normal"/>
    <w:rsid w:val="00706A71"/>
    <w:pPr>
      <w:ind w:firstLine="720"/>
    </w:pPr>
  </w:style>
  <w:style w:type="paragraph" w:customStyle="1" w:styleId="bodytextnoindent">
    <w:name w:val="body text (no indent)"/>
    <w:basedOn w:val="Normal"/>
    <w:rsid w:val="00706A71"/>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706A71"/>
    <w:rPr>
      <w:i/>
      <w:iCs/>
    </w:rPr>
  </w:style>
  <w:style w:type="paragraph" w:styleId="BodyText3">
    <w:name w:val="Body Text 3"/>
    <w:basedOn w:val="Normal"/>
    <w:rsid w:val="00706A71"/>
    <w:pPr>
      <w:jc w:val="center"/>
    </w:pPr>
    <w:rPr>
      <w:sz w:val="28"/>
    </w:rPr>
  </w:style>
  <w:style w:type="character" w:customStyle="1" w:styleId="BodyTextChar">
    <w:name w:val="Body Text Char"/>
    <w:rsid w:val="00706A71"/>
    <w:rPr>
      <w:sz w:val="24"/>
      <w:lang w:val="en-GB"/>
    </w:rPr>
  </w:style>
  <w:style w:type="paragraph" w:customStyle="1" w:styleId="Bodytextitalic">
    <w:name w:val="Body text italic"/>
    <w:basedOn w:val="BodyText"/>
    <w:rsid w:val="00706A71"/>
    <w:rPr>
      <w:i/>
      <w:iCs w:val="0"/>
    </w:rPr>
  </w:style>
  <w:style w:type="paragraph" w:customStyle="1" w:styleId="boxbody">
    <w:name w:val="boxbody"/>
    <w:basedOn w:val="Normal"/>
    <w:rsid w:val="00706A71"/>
    <w:pPr>
      <w:spacing w:before="100" w:beforeAutospacing="1" w:after="100" w:afterAutospacing="1"/>
      <w:ind w:left="612" w:right="612"/>
    </w:pPr>
    <w:rPr>
      <w:rFonts w:eastAsia="Univers" w:cs="Times New Roman"/>
      <w:sz w:val="18"/>
      <w:szCs w:val="18"/>
    </w:rPr>
  </w:style>
  <w:style w:type="character" w:styleId="FollowedHyperlink">
    <w:name w:val="FollowedHyperlink"/>
    <w:rsid w:val="00706A71"/>
    <w:rPr>
      <w:rFonts w:cs="Times New Roman"/>
      <w:color w:val="800080"/>
      <w:u w:val="single"/>
    </w:rPr>
  </w:style>
  <w:style w:type="paragraph" w:customStyle="1" w:styleId="HEADING">
    <w:name w:val="HEADING"/>
    <w:basedOn w:val="Normal"/>
    <w:rsid w:val="00706A71"/>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706A71"/>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706A71"/>
    <w:pPr>
      <w:tabs>
        <w:tab w:val="clear" w:pos="720"/>
      </w:tabs>
    </w:pPr>
    <w:rPr>
      <w:rFonts w:cs="Times New Roman"/>
    </w:rPr>
  </w:style>
  <w:style w:type="character" w:customStyle="1" w:styleId="Heading2CharChar">
    <w:name w:val="Heading 2 Char Char"/>
    <w:rsid w:val="00706A71"/>
    <w:rPr>
      <w:rFonts w:ascii="Arial" w:hAnsi="Arial"/>
      <w:b/>
      <w:i/>
      <w:sz w:val="28"/>
      <w:lang w:val="en-US"/>
    </w:rPr>
  </w:style>
  <w:style w:type="paragraph" w:customStyle="1" w:styleId="Heading-plain0">
    <w:name w:val="Heading-plain"/>
    <w:basedOn w:val="Normal"/>
    <w:rsid w:val="00706A71"/>
    <w:pPr>
      <w:spacing w:before="120" w:after="120"/>
      <w:jc w:val="center"/>
      <w:outlineLvl w:val="0"/>
    </w:pPr>
    <w:rPr>
      <w:i/>
      <w:szCs w:val="20"/>
    </w:rPr>
  </w:style>
  <w:style w:type="paragraph" w:styleId="NormalWeb">
    <w:name w:val="Normal (Web)"/>
    <w:basedOn w:val="Normal"/>
    <w:rsid w:val="00706A71"/>
    <w:pPr>
      <w:spacing w:before="100" w:beforeAutospacing="1" w:after="100" w:afterAutospacing="1"/>
      <w:jc w:val="left"/>
    </w:pPr>
    <w:rPr>
      <w:color w:val="000000"/>
      <w:sz w:val="18"/>
      <w:szCs w:val="18"/>
      <w:lang w:val="en-US"/>
    </w:rPr>
  </w:style>
  <w:style w:type="paragraph" w:customStyle="1" w:styleId="Para10">
    <w:name w:val="Para 1"/>
    <w:basedOn w:val="BodyText"/>
    <w:rsid w:val="00706A71"/>
    <w:pPr>
      <w:ind w:firstLine="0"/>
    </w:pPr>
    <w:rPr>
      <w:rFonts w:eastAsia="Univers"/>
      <w:bCs/>
      <w:iCs w:val="0"/>
      <w:szCs w:val="22"/>
    </w:rPr>
  </w:style>
  <w:style w:type="character" w:customStyle="1" w:styleId="Para1Char">
    <w:name w:val="Para 1 Char"/>
    <w:rsid w:val="00706A71"/>
    <w:rPr>
      <w:rFonts w:eastAsia="Times New Roman"/>
      <w:sz w:val="22"/>
      <w:lang w:val="en-GB"/>
    </w:rPr>
  </w:style>
  <w:style w:type="paragraph" w:customStyle="1" w:styleId="Para2rev">
    <w:name w:val="Para 2 (rev)"/>
    <w:basedOn w:val="Normal"/>
    <w:rsid w:val="00706A71"/>
    <w:pPr>
      <w:tabs>
        <w:tab w:val="num" w:pos="720"/>
      </w:tabs>
      <w:spacing w:after="120"/>
      <w:ind w:left="720" w:hanging="360"/>
    </w:pPr>
  </w:style>
  <w:style w:type="paragraph" w:customStyle="1" w:styleId="Paraofficial">
    <w:name w:val="Para official"/>
    <w:basedOn w:val="Normal"/>
    <w:rsid w:val="00706A71"/>
    <w:pPr>
      <w:framePr w:hSpace="187" w:vSpace="187" w:wrap="notBeside" w:vAnchor="text" w:hAnchor="text" w:y="1"/>
      <w:numPr>
        <w:numId w:val="3"/>
      </w:numPr>
      <w:spacing w:before="240" w:after="240"/>
      <w:jc w:val="left"/>
    </w:pPr>
    <w:rPr>
      <w:szCs w:val="20"/>
    </w:rPr>
  </w:style>
  <w:style w:type="paragraph" w:customStyle="1" w:styleId="Para1Char0">
    <w:name w:val="Para1 Char"/>
    <w:basedOn w:val="Normal"/>
    <w:rsid w:val="00706A71"/>
    <w:pPr>
      <w:tabs>
        <w:tab w:val="num" w:pos="720"/>
      </w:tabs>
      <w:spacing w:before="120" w:after="120"/>
      <w:ind w:left="360"/>
    </w:pPr>
    <w:rPr>
      <w:snapToGrid w:val="0"/>
      <w:szCs w:val="18"/>
    </w:rPr>
  </w:style>
  <w:style w:type="paragraph" w:customStyle="1" w:styleId="Para1-Annex">
    <w:name w:val="Para1-Annex"/>
    <w:basedOn w:val="Normal"/>
    <w:rsid w:val="00706A71"/>
    <w:pPr>
      <w:numPr>
        <w:numId w:val="4"/>
      </w:numPr>
      <w:spacing w:after="120"/>
    </w:pPr>
    <w:rPr>
      <w:rFonts w:cs="Times New Roman"/>
      <w:szCs w:val="22"/>
      <w:lang w:val="en-US"/>
    </w:rPr>
  </w:style>
  <w:style w:type="paragraph" w:customStyle="1" w:styleId="Para40">
    <w:name w:val="Para4"/>
    <w:basedOn w:val="Para3"/>
    <w:rsid w:val="00706A71"/>
    <w:pPr>
      <w:numPr>
        <w:ilvl w:val="0"/>
        <w:numId w:val="0"/>
      </w:numPr>
      <w:tabs>
        <w:tab w:val="clear" w:pos="1980"/>
        <w:tab w:val="left" w:pos="2552"/>
        <w:tab w:val="num" w:pos="3540"/>
      </w:tabs>
      <w:ind w:left="2552" w:hanging="567"/>
    </w:pPr>
    <w:rPr>
      <w:lang w:val="en-US"/>
    </w:rPr>
  </w:style>
  <w:style w:type="character" w:styleId="Strong">
    <w:name w:val="Strong"/>
    <w:qFormat/>
    <w:rsid w:val="00706A71"/>
    <w:rPr>
      <w:rFonts w:cs="Times New Roman"/>
      <w:b/>
    </w:rPr>
  </w:style>
  <w:style w:type="paragraph" w:customStyle="1" w:styleId="StyleBodyTextTimesNewRoman11ptCharChar">
    <w:name w:val="Style Body Text + Times New Roman 11 pt Char Char"/>
    <w:basedOn w:val="BodyText"/>
    <w:rsid w:val="00706A71"/>
    <w:rPr>
      <w:iCs w:val="0"/>
      <w:snapToGrid w:val="0"/>
      <w:color w:val="000000"/>
      <w:szCs w:val="22"/>
      <w:lang w:val="en-US"/>
    </w:rPr>
  </w:style>
  <w:style w:type="character" w:customStyle="1" w:styleId="StyleBodyTextTimesNewRoman11ptCharCharChar">
    <w:name w:val="Style Body Text + Times New Roman 11 pt Char Char Char"/>
    <w:rsid w:val="00706A71"/>
    <w:rPr>
      <w:snapToGrid w:val="0"/>
      <w:color w:val="000000"/>
      <w:sz w:val="22"/>
      <w:lang w:val="en-US"/>
    </w:rPr>
  </w:style>
  <w:style w:type="paragraph" w:customStyle="1" w:styleId="StylePara1Firstline127cm">
    <w:name w:val="Style Para1 + First line:  1.27 cm"/>
    <w:basedOn w:val="Para1"/>
    <w:rsid w:val="00706A71"/>
    <w:pPr>
      <w:numPr>
        <w:numId w:val="0"/>
      </w:numPr>
      <w:tabs>
        <w:tab w:val="num" w:pos="360"/>
      </w:tabs>
    </w:pPr>
    <w:rPr>
      <w:szCs w:val="20"/>
    </w:rPr>
  </w:style>
  <w:style w:type="paragraph" w:styleId="Title">
    <w:name w:val="Title"/>
    <w:basedOn w:val="Normal"/>
    <w:qFormat/>
    <w:rsid w:val="00706A71"/>
    <w:pPr>
      <w:jc w:val="center"/>
    </w:pPr>
    <w:rPr>
      <w:i/>
      <w:iCs/>
    </w:rPr>
  </w:style>
  <w:style w:type="paragraph" w:styleId="TOC5">
    <w:name w:val="toc 5"/>
    <w:basedOn w:val="Normal"/>
    <w:next w:val="Normal"/>
    <w:autoRedefine/>
    <w:semiHidden/>
    <w:rsid w:val="00706A71"/>
    <w:pPr>
      <w:ind w:left="880"/>
    </w:pPr>
  </w:style>
  <w:style w:type="character" w:styleId="CommentReference">
    <w:name w:val="annotation reference"/>
    <w:rsid w:val="00706A71"/>
    <w:rPr>
      <w:rFonts w:cs="Times New Roman"/>
      <w:sz w:val="16"/>
    </w:rPr>
  </w:style>
  <w:style w:type="paragraph" w:styleId="CommentText">
    <w:name w:val="annotation text"/>
    <w:basedOn w:val="Normal"/>
    <w:rsid w:val="00706A71"/>
    <w:rPr>
      <w:rFonts w:cs="Times New Roman"/>
      <w:sz w:val="20"/>
      <w:szCs w:val="20"/>
    </w:rPr>
  </w:style>
  <w:style w:type="character" w:customStyle="1" w:styleId="CharChar1">
    <w:name w:val="Char Char1"/>
    <w:locked/>
    <w:rsid w:val="00706A71"/>
    <w:rPr>
      <w:lang w:val="en-GB"/>
    </w:rPr>
  </w:style>
  <w:style w:type="paragraph" w:styleId="ListParagraph">
    <w:name w:val="List Paragraph"/>
    <w:basedOn w:val="Normal"/>
    <w:uiPriority w:val="34"/>
    <w:qFormat/>
    <w:rsid w:val="00706A71"/>
    <w:pPr>
      <w:ind w:left="720"/>
      <w:contextualSpacing/>
    </w:pPr>
  </w:style>
  <w:style w:type="paragraph" w:styleId="CommentSubject">
    <w:name w:val="annotation subject"/>
    <w:basedOn w:val="CommentText"/>
    <w:next w:val="CommentText"/>
    <w:rsid w:val="00706A71"/>
    <w:rPr>
      <w:rFonts w:cs="Angsana New"/>
      <w:b/>
      <w:bCs/>
    </w:rPr>
  </w:style>
  <w:style w:type="character" w:customStyle="1" w:styleId="CharChar">
    <w:name w:val="Char Char"/>
    <w:locked/>
    <w:rsid w:val="00706A71"/>
    <w:rPr>
      <w:b/>
      <w:lang w:val="en-GB"/>
    </w:rPr>
  </w:style>
  <w:style w:type="character" w:customStyle="1" w:styleId="tw4winMark">
    <w:name w:val="tw4winMark"/>
    <w:rsid w:val="00706A71"/>
    <w:rPr>
      <w:rFonts w:ascii="Courier New" w:hAnsi="Courier New"/>
      <w:vanish/>
      <w:color w:val="800080"/>
      <w:sz w:val="24"/>
      <w:vertAlign w:val="subscript"/>
    </w:rPr>
  </w:style>
  <w:style w:type="character" w:customStyle="1" w:styleId="tw4winError">
    <w:name w:val="tw4winError"/>
    <w:rsid w:val="00706A71"/>
    <w:rPr>
      <w:rFonts w:ascii="Courier New" w:hAnsi="Courier New"/>
      <w:color w:val="00FF00"/>
      <w:sz w:val="40"/>
    </w:rPr>
  </w:style>
  <w:style w:type="character" w:customStyle="1" w:styleId="tw4winTerm">
    <w:name w:val="tw4winTerm"/>
    <w:rsid w:val="00706A71"/>
    <w:rPr>
      <w:color w:val="0000FF"/>
    </w:rPr>
  </w:style>
  <w:style w:type="character" w:customStyle="1" w:styleId="tw4winPopup">
    <w:name w:val="tw4winPopup"/>
    <w:rsid w:val="00706A71"/>
    <w:rPr>
      <w:rFonts w:ascii="Courier New" w:hAnsi="Courier New"/>
      <w:noProof/>
      <w:color w:val="008000"/>
    </w:rPr>
  </w:style>
  <w:style w:type="character" w:customStyle="1" w:styleId="tw4winJump">
    <w:name w:val="tw4winJump"/>
    <w:rsid w:val="00706A71"/>
    <w:rPr>
      <w:rFonts w:ascii="Courier New" w:hAnsi="Courier New"/>
      <w:noProof/>
      <w:color w:val="008080"/>
    </w:rPr>
  </w:style>
  <w:style w:type="character" w:customStyle="1" w:styleId="tw4winExternal">
    <w:name w:val="tw4winExternal"/>
    <w:rsid w:val="00706A71"/>
    <w:rPr>
      <w:rFonts w:ascii="Courier New" w:hAnsi="Courier New"/>
      <w:noProof/>
      <w:color w:val="808080"/>
    </w:rPr>
  </w:style>
  <w:style w:type="character" w:customStyle="1" w:styleId="tw4winInternal">
    <w:name w:val="tw4winInternal"/>
    <w:rsid w:val="00706A71"/>
    <w:rPr>
      <w:rFonts w:ascii="Courier New" w:hAnsi="Courier New"/>
      <w:noProof/>
      <w:color w:val="FF0000"/>
    </w:rPr>
  </w:style>
  <w:style w:type="character" w:customStyle="1" w:styleId="DONOTTRANSLATE">
    <w:name w:val="DO_NOT_TRANSLATE"/>
    <w:rsid w:val="00706A71"/>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C3E58"/>
    <w:pPr>
      <w:spacing w:after="160" w:line="240" w:lineRule="exact"/>
    </w:pPr>
    <w:rPr>
      <w:rFonts w:cs="Times New Roman"/>
      <w:sz w:val="18"/>
      <w:szCs w:val="20"/>
      <w:u w:val="single"/>
      <w:lang w:val="en-US"/>
    </w:rPr>
  </w:style>
  <w:style w:type="paragraph" w:customStyle="1" w:styleId="sub-item">
    <w:name w:val="sub-item"/>
    <w:basedOn w:val="Heading2"/>
    <w:qFormat/>
    <w:rsid w:val="00BC3E58"/>
    <w:pPr>
      <w:spacing w:before="240"/>
      <w:ind w:firstLine="709"/>
      <w:jc w:val="left"/>
      <w:outlineLvl w:val="0"/>
    </w:pPr>
    <w:rPr>
      <w:rFonts w:eastAsia="Times New Roman" w:cs="Times New Roman"/>
      <w:i w:val="0"/>
      <w:szCs w:val="22"/>
      <w:lang w:val="en-CA" w:eastAsia="en-CA"/>
    </w:rPr>
  </w:style>
  <w:style w:type="character" w:customStyle="1" w:styleId="Para1Char1">
    <w:name w:val="Para1 Char1"/>
    <w:link w:val="Para1"/>
    <w:rsid w:val="0043596C"/>
    <w:rPr>
      <w:rFonts w:cs="Angsana New"/>
      <w:snapToGrid w:val="0"/>
      <w:sz w:val="22"/>
      <w:szCs w:val="18"/>
      <w:lang w:val="en-GB"/>
    </w:rPr>
  </w:style>
  <w:style w:type="paragraph" w:customStyle="1" w:styleId="CBD-Para-1">
    <w:name w:val="CBD-Para-1"/>
    <w:basedOn w:val="Normal"/>
    <w:qFormat/>
    <w:rsid w:val="00C727DD"/>
    <w:pPr>
      <w:keepLines/>
      <w:numPr>
        <w:numId w:val="11"/>
      </w:numPr>
      <w:spacing w:before="120" w:after="120"/>
    </w:pPr>
    <w:rPr>
      <w:rFonts w:eastAsia="Malgun Gothic"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8BC2F-CC9E-442B-9517-3DE4DFDD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7</cp:revision>
  <cp:lastPrinted>2014-10-12T14:43:00Z</cp:lastPrinted>
  <dcterms:created xsi:type="dcterms:W3CDTF">2018-11-29T00:49:00Z</dcterms:created>
  <dcterms:modified xsi:type="dcterms:W3CDTF">2018-11-29T00:54:00Z</dcterms:modified>
</cp:coreProperties>
</file>